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40" w:before="80"/>
      </w:pPr>
      <w:r>
        <w:rPr>
          <w:b/>
          <w:i w:val="0"/>
          <w:color w:val="1C3A36"/>
          <w:sz w:val="24"/>
        </w:rPr>
        <w:t>Independent Valuation Study — Educational Analysis</w:t>
      </w:r>
    </w:p>
    <w:p>
      <w:pPr>
        <w:spacing w:after="40" w:before="0"/>
      </w:pPr>
      <w:r>
        <w:rPr>
          <w:b/>
          <w:i w:val="0"/>
          <w:color w:val="1C3A36"/>
          <w:sz w:val="34"/>
        </w:rPr>
        <w:t>GB Corp S.A.E. (EGX: GBCO)</w:t>
      </w:r>
    </w:p>
    <w:p>
      <w:pPr>
        <w:spacing w:after="160" w:before="0"/>
      </w:pPr>
      <w:r>
        <w:rPr>
          <w:b w:val="0"/>
          <w:i/>
          <w:color w:val="6E7B77"/>
          <w:sz w:val="21"/>
        </w:rPr>
        <w:t>Fundamental analysis · Technical analysis · Monte Carlo simulation — one integrated read</w:t>
      </w:r>
      <w:r>
        <w:rPr>
          <w:b w:val="0"/>
          <w:i/>
          <w:color w:val="6E7B77"/>
          <w:sz w:val="21"/>
        </w:rPr>
        <w:t xml:space="preserve">   ·   edition 07-09-2026   ·   7 September 2026</w:t>
      </w:r>
    </w:p>
    <w:p>
      <w:pPr>
        <w:spacing w:after="200" w:before="0"/>
      </w:pPr>
      <w:r>
        <w:rPr>
          <w:b/>
          <w:i w:val="0"/>
          <w:color w:val="1C3A36"/>
          <w:sz w:val="19"/>
        </w:rPr>
        <w:t xml:space="preserve">Anchor: </w:t>
      </w:r>
      <w:r>
        <w:rPr>
          <w:b w:val="0"/>
          <w:i w:val="0"/>
          <w:color w:val="1C3A36"/>
          <w:sz w:val="19"/>
        </w:rPr>
        <w:t xml:space="preserve">EGP 28.98 (3 September 2026 close) · 1,085.5 mn shares · market capitalisation EGP 31.5 bn · the continuing listed entity of the former GB Auto (Ghabbour), renamed GB Corp in 2023, housing </w:t>
      </w:r>
      <w:r>
        <w:rPr>
          <w:b/>
          <w:i w:val="0"/>
          <w:color w:val="1C3A36"/>
          <w:sz w:val="19"/>
        </w:rPr>
        <w:t>GB Auto</w:t>
      </w:r>
      <w:r>
        <w:rPr>
          <w:b w:val="0"/>
          <w:i w:val="0"/>
          <w:color w:val="1C3A36"/>
          <w:sz w:val="19"/>
        </w:rPr>
        <w:t xml:space="preserve"> (passenger cars, commercial vehicles &amp; construction equipment, tires &amp; trading, light mobility; Egypt · Iraq · Jordan), </w:t>
      </w:r>
      <w:r>
        <w:rPr>
          <w:b/>
          <w:i w:val="0"/>
          <w:color w:val="1C3A36"/>
          <w:sz w:val="19"/>
        </w:rPr>
        <w:t>GB Capital</w:t>
      </w:r>
      <w:r>
        <w:rPr>
          <w:b w:val="0"/>
          <w:i w:val="0"/>
          <w:color w:val="1C3A36"/>
          <w:sz w:val="19"/>
        </w:rPr>
        <w:t xml:space="preserve"> (leasing, factoring, consumer finance, SME lending) and associate stakes led by </w:t>
      </w:r>
      <w:r>
        <w:rPr>
          <w:b/>
          <w:i w:val="0"/>
          <w:color w:val="1C3A36"/>
          <w:sz w:val="19"/>
        </w:rPr>
        <w:t>MNT-Halan</w:t>
      </w:r>
      <w:r>
        <w:rPr>
          <w:b w:val="0"/>
          <w:i w:val="0"/>
          <w:color w:val="1C3A36"/>
          <w:sz w:val="19"/>
        </w:rPr>
        <w:t xml:space="preserve"> · the price cone and the technical read are computed on the exchange library’s own last session, EGP 29.51 on 23 August 2026, and the valuation is struck on the later price above — two clocks, both dated · primary lens: split-the-legs sum-of-the-parts (operating company + captive lender) · the MNT-Halan stake mark remains the dominant swing factor, ahead of Auto cash conversion and the Egyptian nominal-rate path.</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READ FIRST — what this document is, and is not.</w:t>
            </w:r>
            <w:r>
              <w:rPr>
                <w:color w:val="1C3A36"/>
                <w:sz w:val="19"/>
              </w:rPr>
            </w:r>
          </w:p>
          <w:p>
            <w:pPr>
              <w:spacing w:after="100"/>
            </w:pPr>
            <w:r>
              <w:rPr>
                <w:color w:val="1C3A36"/>
                <w:sz w:val="19"/>
              </w:rPr>
              <w:t>This study is a valuation exercise and an expression of personal analytical opinion, published free of charge for educational purposes: it shows how one analyst applies fundamental, technical and probabilistic methods to a listed company, and invites scrutiny of that methodology. It is NOT investment advice, NOT a recommendation or solicitation to buy, sell or hold any security, and NOT directed at the circumstances of any reader. The preparer is not licensed by any securities regulator in any jurisdiction, holds no Egyptian (FRA) or other brokerage or advisory authorisation, provides no financial consultancy, manages no money, and accepts no fees, funds or clients. See the Disclosure &amp; Disclaimer at the end.</w:t>
            </w:r>
          </w:p>
          <w:p>
            <w:pPr>
              <w:spacing w:after="100"/>
            </w:pPr>
            <w:r>
              <w:rPr>
                <w:color w:val="1C3A36"/>
                <w:sz w:val="19"/>
              </w:rPr>
              <w:t>All values are model outputs presented as ranges and distributions because no single number should be relied on. Reported financials are the company’s own disclosure — the FY2023, FY2024 and FY2025 earnings releases and the reviewed consolidated statements to 30 June 2026; forward-looking inputs — the marks on GB Capital and the MNT-Halan stake, the complexity discount, the multiples, the cash-flow model and the simulation’s factor probabilities — are the preparer’s judgments and are flagged throughout. The far forecast years are published as ranges rather than points, taken from how wrong this method has been on this company’s own history; Appendix A carries the table and the count behind each band. A note on identity: GB Corp S.A.E. is the renamed GB Auto S.A.E. (Ghabbour Auto); the EGX ticker is GBCO and the price history continues the former AUTO listing. Consult a licensed financial advisor before any investment decision.</w:t>
            </w:r>
          </w:p>
        </w:tc>
      </w:tr>
    </w:tbl>
    <w:p>
      <w:pPr>
        <w:spacing w:after="40"/>
      </w:pPr>
    </w:p>
    <w:p>
      <w:pPr>
        <w:spacing w:after="80" w:before="200"/>
      </w:pPr>
      <w:r>
        <w:rPr>
          <w:b/>
          <w:i w:val="0"/>
          <w:color w:val="1C3A36"/>
          <w:sz w:val="24"/>
        </w:rPr>
        <w:t>Headline</w:t>
      </w:r>
    </w:p>
    <w:p>
      <w:pPr>
        <w:spacing w:after="160" w:before="0"/>
      </w:pPr>
      <w:r>
        <w:rPr>
          <w:b/>
          <w:i w:val="0"/>
          <w:color w:val="1C3A36"/>
          <w:sz w:val="21"/>
        </w:rPr>
        <w:t xml:space="preserve">The model reads GB Corp below its central estimate, and the whole of that distance sits in one line nobody can trade. </w:t>
      </w:r>
      <w:r>
        <w:rPr>
          <w:b w:val="0"/>
          <w:i w:val="0"/>
          <w:color w:val="1C3A36"/>
          <w:sz w:val="21"/>
        </w:rPr>
        <w:t xml:space="preserve">At EGP 28.98 the shares sit 53% below a central estimate of EGP 44.33. The four reads spread wider than usual: the split-the-legs sum-of-the-parts lands at EGP 53.53 after a 10% complexity discount (pre-discount EGP 59.47); a relative read on forward earnings marks EGP 28.88, essentially the traded price; and a normalised mid-cycle read sits at EGP 32.89. The disagreement is not four methods arguing about an operating business. It is two reads that carry GB Corp’s associate stake and two that do not. </w:t>
      </w:r>
      <w:r>
        <w:rPr>
          <w:b w:val="0"/>
          <w:i w:val="0"/>
          <w:color w:val="1C3A36"/>
          <w:sz w:val="21"/>
        </w:rPr>
        <w:t xml:space="preserve">GB Corp’s own 9 June 2026 press release states its MNT-Halan holding directly — 41.61%, against 42.58% before that transaction. Applied to the round’s USD 1.4 bn valuation at EGP/USD 47.5, the stake alone marks at EGP 27.7 bn — 88% of GB Corp’s entire market capitalisation. That is a confirmed, dated, company-stated figure rather than a sourcing gap, and it is what makes this study awkward rather than simply bullish: taken at face value it implies the market pays close to nothing for a profitable auto business that turned over EGP 80.2 bn last year. Either the market applies a far steeper discount to that private mark than this study’s 10%, or GB Corp is mispriced. This study does not settle which; §7 returns to it. </w:t>
      </w:r>
      <w:r>
        <w:rPr>
          <w:b w:val="0"/>
          <w:i w:val="0"/>
          <w:color w:val="1C3A36"/>
          <w:sz w:val="21"/>
        </w:rPr>
        <w:t>The tape is no longer the counter-argument it was. On the library’s last session the price sat below its twenty- and fifty-day averages, with the oscillator at 40 and the moving-average convergence histogram negative — a stock that has come off, not one that is extended. Over three months the simulation places the fifth-to-ninety-fifth percentile band at roughly EGP 21–44 with a median near EGP 30; that engine prices the stock’s own path and is untouched by anything in the paragraph above.</w:t>
      </w:r>
    </w:p>
    <w:p>
      <w:pPr>
        <w:spacing w:after="80" w:before="200"/>
      </w:pPr>
      <w:r>
        <w:rPr>
          <w:b/>
          <w:i w:val="0"/>
          <w:color w:val="1C3A36"/>
          <w:sz w:val="24"/>
        </w:rPr>
        <w:t>Valuation summary — every read at a glance</w:t>
      </w:r>
    </w:p>
    <w:p>
      <w:pPr>
        <w:spacing w:after="120" w:before="0"/>
      </w:pPr>
      <w:r>
        <w:rPr>
          <w:b w:val="0"/>
          <w:i w:val="0"/>
          <w:color w:val="1C3A36"/>
          <w:sz w:val="19"/>
        </w:rPr>
        <w:t>One table for the reads that follow — what the business is worth (fundamental), what the tape is doing (technical), where price could travel over three months (the simulation), and how three independent expert methods land. Every row is developed in the sections and appendices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3096"/>
            <w:shd w:val="clear" w:color="auto" w:fill="EAF0EE"/>
          </w:tcPr>
          <w:p>
            <w:pPr>
              <w:spacing w:after="20"/>
            </w:pPr>
            <w:r>
              <w:rPr>
                <w:b/>
                <w:color w:val="1C3A36"/>
                <w:sz w:val="17"/>
              </w:rPr>
              <w:t>Lens / read</w:t>
            </w:r>
          </w:p>
        </w:tc>
        <w:tc>
          <w:tcPr>
            <w:tcW w:type="dxa" w:w="3384"/>
            <w:shd w:val="clear" w:color="auto" w:fill="EAF0EE"/>
          </w:tcPr>
          <w:p>
            <w:pPr>
              <w:spacing w:after="20"/>
            </w:pPr>
            <w:r>
              <w:rPr>
                <w:b/>
                <w:color w:val="1C3A36"/>
                <w:sz w:val="17"/>
              </w:rPr>
              <w:t>What it measures</w:t>
            </w:r>
          </w:p>
        </w:tc>
        <w:tc>
          <w:tcPr>
            <w:tcW w:type="dxa" w:w="2088"/>
            <w:shd w:val="clear" w:color="auto" w:fill="EAF0EE"/>
          </w:tcPr>
          <w:p>
            <w:pPr>
              <w:spacing w:after="20"/>
            </w:pPr>
            <w:r>
              <w:rPr>
                <w:b/>
                <w:color w:val="1C3A36"/>
                <w:sz w:val="17"/>
              </w:rPr>
              <w:t>Output</w:t>
            </w:r>
          </w:p>
        </w:tc>
        <w:tc>
          <w:tcPr>
            <w:tcW w:type="dxa" w:w="1656"/>
            <w:shd w:val="clear" w:color="auto" w:fill="EAF0EE"/>
          </w:tcPr>
          <w:p>
            <w:pPr>
              <w:spacing w:after="20"/>
            </w:pPr>
            <w:r>
              <w:rPr>
                <w:b/>
                <w:color w:val="1C3A36"/>
                <w:sz w:val="17"/>
              </w:rPr>
              <w:t>Against the price</w:t>
            </w:r>
          </w:p>
        </w:tc>
      </w:tr>
      <w:tr>
        <w:tc>
          <w:tcPr>
            <w:tcW w:type="dxa" w:w="3096"/>
            <w:shd w:val="clear" w:color="auto" w:fill="F6F1E6"/>
          </w:tcPr>
          <w:p>
            <w:pPr>
              <w:spacing w:after="20"/>
            </w:pPr>
            <w:r>
              <w:rPr>
                <w:b/>
                <w:color w:val="1C3A36"/>
                <w:sz w:val="17"/>
              </w:rPr>
              <w:t>FUNDAMENTAL — what the business is worth (the anchor)</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Split-legs sum-of-the-parts (primary)</w:t>
            </w:r>
          </w:p>
        </w:tc>
        <w:tc>
          <w:tcPr>
            <w:tcW w:type="dxa" w:w="3384"/>
          </w:tcPr>
          <w:p>
            <w:pPr>
              <w:spacing w:after="20"/>
              <w:jc w:val="right"/>
            </w:pPr>
            <w:r>
              <w:rPr>
                <w:color w:val="1C3A36"/>
                <w:sz w:val="17"/>
              </w:rPr>
              <w:t>Auto cash-flow model + lender book + associate marks, less the discount</w:t>
            </w:r>
          </w:p>
        </w:tc>
        <w:tc>
          <w:tcPr>
            <w:tcW w:type="dxa" w:w="2088"/>
          </w:tcPr>
          <w:p>
            <w:pPr>
              <w:spacing w:after="20"/>
              <w:jc w:val="right"/>
            </w:pPr>
            <w:r>
              <w:rPr>
                <w:color w:val="1C3A36"/>
                <w:sz w:val="17"/>
              </w:rPr>
              <w:t>EGP 53.53</w:t>
            </w:r>
          </w:p>
        </w:tc>
        <w:tc>
          <w:tcPr>
            <w:tcW w:type="dxa" w:w="1656"/>
          </w:tcPr>
          <w:p>
            <w:pPr>
              <w:spacing w:after="20"/>
              <w:jc w:val="right"/>
            </w:pPr>
            <w:r>
              <w:rPr>
                <w:color w:val="1C3A36"/>
                <w:sz w:val="17"/>
              </w:rPr>
              <w:t>+85%</w:t>
            </w:r>
          </w:p>
        </w:tc>
      </w:tr>
      <w:tr>
        <w:tc>
          <w:tcPr>
            <w:tcW w:type="dxa" w:w="3096"/>
          </w:tcPr>
          <w:p>
            <w:pPr>
              <w:spacing w:after="20"/>
            </w:pPr>
            <w:r>
              <w:rPr>
                <w:color w:val="1C3A36"/>
                <w:sz w:val="17"/>
              </w:rPr>
              <w:t>Pre-discount net asset value</w:t>
            </w:r>
          </w:p>
        </w:tc>
        <w:tc>
          <w:tcPr>
            <w:tcW w:type="dxa" w:w="3384"/>
          </w:tcPr>
          <w:p>
            <w:pPr>
              <w:spacing w:after="20"/>
              <w:jc w:val="right"/>
            </w:pPr>
            <w:r>
              <w:rPr>
                <w:color w:val="1C3A36"/>
                <w:sz w:val="17"/>
              </w:rPr>
              <w:t>The same legs, no complexity discount</w:t>
            </w:r>
          </w:p>
        </w:tc>
        <w:tc>
          <w:tcPr>
            <w:tcW w:type="dxa" w:w="2088"/>
          </w:tcPr>
          <w:p>
            <w:pPr>
              <w:spacing w:after="20"/>
              <w:jc w:val="right"/>
            </w:pPr>
            <w:r>
              <w:rPr>
                <w:color w:val="1C3A36"/>
                <w:sz w:val="17"/>
              </w:rPr>
              <w:t>EGP 59.47</w:t>
            </w:r>
          </w:p>
        </w:tc>
        <w:tc>
          <w:tcPr>
            <w:tcW w:type="dxa" w:w="1656"/>
          </w:tcPr>
          <w:p>
            <w:pPr>
              <w:spacing w:after="20"/>
              <w:jc w:val="right"/>
            </w:pPr>
            <w:r>
              <w:rPr>
                <w:color w:val="1C3A36"/>
                <w:sz w:val="17"/>
              </w:rPr>
              <w:t>+105%</w:t>
            </w:r>
          </w:p>
        </w:tc>
      </w:tr>
      <w:tr>
        <w:tc>
          <w:tcPr>
            <w:tcW w:type="dxa" w:w="3096"/>
          </w:tcPr>
          <w:p>
            <w:pPr>
              <w:spacing w:after="20"/>
            </w:pPr>
            <w:r>
              <w:rPr>
                <w:color w:val="1C3A36"/>
                <w:sz w:val="17"/>
              </w:rPr>
              <w:t>Relative multiples</w:t>
            </w:r>
          </w:p>
        </w:tc>
        <w:tc>
          <w:tcPr>
            <w:tcW w:type="dxa" w:w="3384"/>
          </w:tcPr>
          <w:p>
            <w:pPr>
              <w:spacing w:after="20"/>
              <w:jc w:val="right"/>
            </w:pPr>
            <w:r>
              <w:rPr>
                <w:color w:val="1C3A36"/>
                <w:sz w:val="17"/>
              </w:rPr>
              <w:t>FY2026E earnings per share × a justified multiple</w:t>
            </w:r>
          </w:p>
        </w:tc>
        <w:tc>
          <w:tcPr>
            <w:tcW w:type="dxa" w:w="2088"/>
          </w:tcPr>
          <w:p>
            <w:pPr>
              <w:spacing w:after="20"/>
              <w:jc w:val="right"/>
            </w:pPr>
            <w:r>
              <w:rPr>
                <w:color w:val="1C3A36"/>
                <w:sz w:val="17"/>
              </w:rPr>
              <w:t>EGP 28.88</w:t>
            </w:r>
          </w:p>
        </w:tc>
        <w:tc>
          <w:tcPr>
            <w:tcW w:type="dxa" w:w="1656"/>
          </w:tcPr>
          <w:p>
            <w:pPr>
              <w:spacing w:after="20"/>
              <w:jc w:val="right"/>
            </w:pPr>
            <w:r>
              <w:rPr>
                <w:color w:val="1C3A36"/>
                <w:sz w:val="17"/>
              </w:rPr>
              <w:t>-0%</w:t>
            </w:r>
          </w:p>
        </w:tc>
      </w:tr>
      <w:tr>
        <w:tc>
          <w:tcPr>
            <w:tcW w:type="dxa" w:w="3096"/>
          </w:tcPr>
          <w:p>
            <w:pPr>
              <w:spacing w:after="20"/>
            </w:pPr>
            <w:r>
              <w:rPr>
                <w:color w:val="1C3A36"/>
                <w:sz w:val="17"/>
              </w:rPr>
              <w:t>Normalised earnings</w:t>
            </w:r>
          </w:p>
        </w:tc>
        <w:tc>
          <w:tcPr>
            <w:tcW w:type="dxa" w:w="3384"/>
          </w:tcPr>
          <w:p>
            <w:pPr>
              <w:spacing w:after="20"/>
              <w:jc w:val="right"/>
            </w:pPr>
            <w:r>
              <w:rPr>
                <w:color w:val="1C3A36"/>
                <w:sz w:val="17"/>
              </w:rPr>
              <w:t>Mid-cycle profit × a through-cycle multiple</w:t>
            </w:r>
          </w:p>
        </w:tc>
        <w:tc>
          <w:tcPr>
            <w:tcW w:type="dxa" w:w="2088"/>
          </w:tcPr>
          <w:p>
            <w:pPr>
              <w:spacing w:after="20"/>
              <w:jc w:val="right"/>
            </w:pPr>
            <w:r>
              <w:rPr>
                <w:color w:val="1C3A36"/>
                <w:sz w:val="17"/>
              </w:rPr>
              <w:t>EGP 32.89</w:t>
            </w:r>
          </w:p>
        </w:tc>
        <w:tc>
          <w:tcPr>
            <w:tcW w:type="dxa" w:w="1656"/>
          </w:tcPr>
          <w:p>
            <w:pPr>
              <w:spacing w:after="20"/>
              <w:jc w:val="right"/>
            </w:pPr>
            <w:r>
              <w:rPr>
                <w:color w:val="1C3A36"/>
                <w:sz w:val="17"/>
              </w:rPr>
              <w:t>+13%</w:t>
            </w:r>
          </w:p>
        </w:tc>
      </w:tr>
      <w:tr>
        <w:tc>
          <w:tcPr>
            <w:tcW w:type="dxa" w:w="3096"/>
          </w:tcPr>
          <w:p>
            <w:pPr>
              <w:spacing w:after="20"/>
            </w:pPr>
            <w:r>
              <w:rPr>
                <w:color w:val="1C3A36"/>
                <w:sz w:val="17"/>
              </w:rPr>
              <w:t>Weighted central</w:t>
            </w:r>
          </w:p>
        </w:tc>
        <w:tc>
          <w:tcPr>
            <w:tcW w:type="dxa" w:w="3384"/>
          </w:tcPr>
          <w:p>
            <w:pPr>
              <w:spacing w:after="20"/>
              <w:jc w:val="right"/>
            </w:pPr>
            <w:r>
              <w:rPr>
                <w:color w:val="1C3A36"/>
                <w:sz w:val="17"/>
              </w:rPr>
              <w:t>Blend 40% / 15% / 20% / 25%</w:t>
            </w:r>
          </w:p>
        </w:tc>
        <w:tc>
          <w:tcPr>
            <w:tcW w:type="dxa" w:w="2088"/>
          </w:tcPr>
          <w:p>
            <w:pPr>
              <w:spacing w:after="20"/>
              <w:jc w:val="right"/>
            </w:pPr>
            <w:r>
              <w:rPr>
                <w:color w:val="1C3A36"/>
                <w:sz w:val="17"/>
              </w:rPr>
              <w:t>EGP 44.33</w:t>
            </w:r>
          </w:p>
        </w:tc>
        <w:tc>
          <w:tcPr>
            <w:tcW w:type="dxa" w:w="1656"/>
          </w:tcPr>
          <w:p>
            <w:pPr>
              <w:spacing w:after="20"/>
              <w:jc w:val="right"/>
            </w:pPr>
            <w:r>
              <w:rPr>
                <w:color w:val="1C3A36"/>
                <w:sz w:val="17"/>
              </w:rPr>
              <w:t>+53% vs EGP 28.98</w:t>
            </w:r>
          </w:p>
        </w:tc>
      </w:tr>
      <w:tr>
        <w:tc>
          <w:tcPr>
            <w:tcW w:type="dxa" w:w="3096"/>
            <w:shd w:val="clear" w:color="auto" w:fill="F6F1E6"/>
          </w:tcPr>
          <w:p>
            <w:pPr>
              <w:spacing w:after="20"/>
            </w:pPr>
            <w:r>
              <w:rPr>
                <w:b/>
                <w:color w:val="1C3A36"/>
                <w:sz w:val="17"/>
              </w:rPr>
              <w:t>TECHNICAL — what the tape is doing (timing, not value)</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Trend</w:t>
            </w:r>
          </w:p>
        </w:tc>
        <w:tc>
          <w:tcPr>
            <w:tcW w:type="dxa" w:w="3384"/>
          </w:tcPr>
          <w:p>
            <w:pPr>
              <w:spacing w:after="20"/>
              <w:jc w:val="right"/>
            </w:pPr>
            <w:r>
              <w:rPr>
                <w:color w:val="1C3A36"/>
                <w:sz w:val="17"/>
              </w:rPr>
              <w:t>Close EGP 29.51 against the 20/50/100/200-day averages</w:t>
            </w:r>
          </w:p>
        </w:tc>
        <w:tc>
          <w:tcPr>
            <w:tcW w:type="dxa" w:w="2088"/>
          </w:tcPr>
          <w:p>
            <w:pPr>
              <w:spacing w:after="20"/>
              <w:jc w:val="right"/>
            </w:pPr>
            <w:r>
              <w:rPr>
                <w:color w:val="1C3A36"/>
                <w:sz w:val="17"/>
              </w:rPr>
              <w:t>Below the two short, above the two long</w:t>
            </w:r>
          </w:p>
        </w:tc>
        <w:tc>
          <w:tcPr>
            <w:tcW w:type="dxa" w:w="1656"/>
          </w:tcPr>
          <w:p>
            <w:pPr>
              <w:spacing w:after="20"/>
              <w:jc w:val="right"/>
            </w:pPr>
            <w:r>
              <w:rPr>
                <w:color w:val="1C3A36"/>
                <w:sz w:val="17"/>
              </w:rPr>
              <w:t>Trend intact, momentum lost</w:t>
            </w:r>
          </w:p>
        </w:tc>
      </w:tr>
      <w:tr>
        <w:tc>
          <w:tcPr>
            <w:tcW w:type="dxa" w:w="3096"/>
          </w:tcPr>
          <w:p>
            <w:pPr>
              <w:spacing w:after="20"/>
            </w:pPr>
            <w:r>
              <w:rPr>
                <w:color w:val="1C3A36"/>
                <w:sz w:val="17"/>
              </w:rPr>
              <w:t>Momentum / range</w:t>
            </w:r>
          </w:p>
        </w:tc>
        <w:tc>
          <w:tcPr>
            <w:tcW w:type="dxa" w:w="3384"/>
          </w:tcPr>
          <w:p>
            <w:pPr>
              <w:spacing w:after="20"/>
              <w:jc w:val="right"/>
            </w:pPr>
            <w:r>
              <w:rPr>
                <w:color w:val="1C3A36"/>
                <w:sz w:val="17"/>
              </w:rPr>
              <w:t>Relative strength · convergence · 52-week range</w:t>
            </w:r>
          </w:p>
        </w:tc>
        <w:tc>
          <w:tcPr>
            <w:tcW w:type="dxa" w:w="2088"/>
          </w:tcPr>
          <w:p>
            <w:pPr>
              <w:spacing w:after="20"/>
              <w:jc w:val="right"/>
            </w:pPr>
            <w:r>
              <w:rPr>
                <w:color w:val="1C3A36"/>
                <w:sz w:val="17"/>
              </w:rPr>
              <w:t>RSI 40 · histogram -0.27 · 19.10–34.20</w:t>
            </w:r>
          </w:p>
        </w:tc>
        <w:tc>
          <w:tcPr>
            <w:tcW w:type="dxa" w:w="1656"/>
          </w:tcPr>
          <w:p>
            <w:pPr>
              <w:spacing w:after="20"/>
              <w:jc w:val="right"/>
            </w:pPr>
            <w:r>
              <w:rPr>
                <w:color w:val="1C3A36"/>
                <w:sz w:val="17"/>
              </w:rPr>
              <w:t>Soft, not oversold</w:t>
            </w:r>
          </w:p>
        </w:tc>
      </w:tr>
      <w:tr>
        <w:tc>
          <w:tcPr>
            <w:tcW w:type="dxa" w:w="3096"/>
            <w:shd w:val="clear" w:color="auto" w:fill="F6F1E6"/>
          </w:tcPr>
          <w:p>
            <w:pPr>
              <w:spacing w:after="20"/>
            </w:pPr>
            <w:r>
              <w:rPr>
                <w:b/>
                <w:color w:val="1C3A36"/>
                <w:sz w:val="17"/>
              </w:rPr>
              <w:t>SIMULATION — where price could go in 3 months (paths from the anchor)</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1 month</w:t>
            </w:r>
          </w:p>
        </w:tc>
        <w:tc>
          <w:tcPr>
            <w:tcW w:type="dxa" w:w="3384"/>
          </w:tcPr>
          <w:p>
            <w:pPr>
              <w:spacing w:after="20"/>
              <w:jc w:val="right"/>
            </w:pPr>
            <w:r>
              <w:rPr>
                <w:color w:val="1C3A36"/>
                <w:sz w:val="17"/>
              </w:rPr>
              <w:t>50,000 paths · sixteen factors</w:t>
            </w:r>
          </w:p>
        </w:tc>
        <w:tc>
          <w:tcPr>
            <w:tcW w:type="dxa" w:w="2088"/>
          </w:tcPr>
          <w:p>
            <w:pPr>
              <w:spacing w:after="20"/>
              <w:jc w:val="right"/>
            </w:pPr>
            <w:r>
              <w:rPr>
                <w:color w:val="1C3A36"/>
                <w:sz w:val="17"/>
              </w:rPr>
              <w:t>p5 23.6 · p50 29.4 · p95 36.6</w:t>
            </w:r>
          </w:p>
        </w:tc>
        <w:tc>
          <w:tcPr>
            <w:tcW w:type="dxa" w:w="1656"/>
          </w:tcPr>
          <w:p>
            <w:pPr>
              <w:spacing w:after="20"/>
              <w:jc w:val="right"/>
            </w:pPr>
            <w:r>
              <w:rPr>
                <w:color w:val="1C3A36"/>
                <w:sz w:val="17"/>
              </w:rPr>
              <w:t>Median above the anchor</w:t>
            </w:r>
          </w:p>
        </w:tc>
      </w:tr>
      <w:tr>
        <w:tc>
          <w:tcPr>
            <w:tcW w:type="dxa" w:w="3096"/>
          </w:tcPr>
          <w:p>
            <w:pPr>
              <w:spacing w:after="20"/>
            </w:pPr>
            <w:r>
              <w:rPr>
                <w:color w:val="1C3A36"/>
                <w:sz w:val="17"/>
              </w:rPr>
              <w:t>3 months</w:t>
            </w:r>
          </w:p>
        </w:tc>
        <w:tc>
          <w:tcPr>
            <w:tcW w:type="dxa" w:w="3384"/>
          </w:tcPr>
          <w:p>
            <w:pPr>
              <w:spacing w:after="20"/>
              <w:jc w:val="right"/>
            </w:pPr>
            <w:r>
              <w:rPr>
                <w:color w:val="1C3A36"/>
                <w:sz w:val="17"/>
              </w:rPr>
              <w:t>same engine, longer horizon</w:t>
            </w:r>
          </w:p>
        </w:tc>
        <w:tc>
          <w:tcPr>
            <w:tcW w:type="dxa" w:w="2088"/>
          </w:tcPr>
          <w:p>
            <w:pPr>
              <w:spacing w:after="20"/>
              <w:jc w:val="right"/>
            </w:pPr>
            <w:r>
              <w:rPr>
                <w:color w:val="1C3A36"/>
                <w:sz w:val="17"/>
              </w:rPr>
              <w:t>p5 20.6 · p50 30.1 · p95 44.1</w:t>
            </w:r>
          </w:p>
        </w:tc>
        <w:tc>
          <w:tcPr>
            <w:tcW w:type="dxa" w:w="1656"/>
          </w:tcPr>
          <w:p>
            <w:pPr>
              <w:spacing w:after="20"/>
              <w:jc w:val="right"/>
            </w:pPr>
            <w:r>
              <w:rPr>
                <w:color w:val="1C3A36"/>
                <w:sz w:val="17"/>
              </w:rPr>
              <w:t>Wide, right-skewed</w:t>
            </w:r>
          </w:p>
        </w:tc>
      </w:tr>
      <w:tr>
        <w:tc>
          <w:tcPr>
            <w:tcW w:type="dxa" w:w="3096"/>
            <w:shd w:val="clear" w:color="auto" w:fill="F6F1E6"/>
          </w:tcPr>
          <w:p>
            <w:pPr>
              <w:spacing w:after="20"/>
            </w:pPr>
            <w:r>
              <w:rPr>
                <w:b/>
                <w:color w:val="1C3A36"/>
                <w:sz w:val="17"/>
              </w:rPr>
              <w:t>EXPERT PANEL — three independent methods (Appendix D)</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Expert 1 — split-legs net asset value</w:t>
            </w:r>
          </w:p>
        </w:tc>
        <w:tc>
          <w:tcPr>
            <w:tcW w:type="dxa" w:w="3384"/>
          </w:tcPr>
          <w:p>
            <w:pPr>
              <w:spacing w:after="20"/>
              <w:jc w:val="right"/>
            </w:pPr>
            <w:r>
              <w:rPr>
                <w:color w:val="1C3A36"/>
                <w:sz w:val="17"/>
              </w:rPr>
              <w:t>Marks each leg; argues the discount</w:t>
            </w:r>
          </w:p>
        </w:tc>
        <w:tc>
          <w:tcPr>
            <w:tcW w:type="dxa" w:w="2088"/>
          </w:tcPr>
          <w:p>
            <w:pPr>
              <w:spacing w:after="20"/>
              <w:jc w:val="right"/>
            </w:pPr>
            <w:r>
              <w:rPr>
                <w:color w:val="1C3A36"/>
                <w:sz w:val="17"/>
              </w:rPr>
              <w:t>EGP 54.72</w:t>
            </w:r>
          </w:p>
        </w:tc>
        <w:tc>
          <w:tcPr>
            <w:tcW w:type="dxa" w:w="1656"/>
          </w:tcPr>
          <w:p>
            <w:pPr>
              <w:spacing w:after="20"/>
              <w:jc w:val="right"/>
            </w:pPr>
            <w:r>
              <w:rPr>
                <w:color w:val="1C3A36"/>
                <w:sz w:val="17"/>
              </w:rPr>
              <w:t>Most bullish</w:t>
            </w:r>
          </w:p>
        </w:tc>
      </w:tr>
      <w:tr>
        <w:tc>
          <w:tcPr>
            <w:tcW w:type="dxa" w:w="3096"/>
          </w:tcPr>
          <w:p>
            <w:pPr>
              <w:spacing w:after="20"/>
            </w:pPr>
            <w:r>
              <w:rPr>
                <w:color w:val="1C3A36"/>
                <w:sz w:val="17"/>
              </w:rPr>
              <w:t>Expert 2 — normalised earnings power</w:t>
            </w:r>
          </w:p>
        </w:tc>
        <w:tc>
          <w:tcPr>
            <w:tcW w:type="dxa" w:w="3384"/>
          </w:tcPr>
          <w:p>
            <w:pPr>
              <w:spacing w:after="20"/>
              <w:jc w:val="right"/>
            </w:pPr>
            <w:r>
              <w:rPr>
                <w:color w:val="1C3A36"/>
                <w:sz w:val="17"/>
              </w:rPr>
              <w:t>Mid-cycle profit × multiple, stake-blind</w:t>
            </w:r>
          </w:p>
        </w:tc>
        <w:tc>
          <w:tcPr>
            <w:tcW w:type="dxa" w:w="2088"/>
          </w:tcPr>
          <w:p>
            <w:pPr>
              <w:spacing w:after="20"/>
              <w:jc w:val="right"/>
            </w:pPr>
            <w:r>
              <w:rPr>
                <w:color w:val="1C3A36"/>
                <w:sz w:val="17"/>
              </w:rPr>
              <w:t>EGP 32.89</w:t>
            </w:r>
          </w:p>
        </w:tc>
        <w:tc>
          <w:tcPr>
            <w:tcW w:type="dxa" w:w="1656"/>
          </w:tcPr>
          <w:p>
            <w:pPr>
              <w:spacing w:after="20"/>
              <w:jc w:val="right"/>
            </w:pPr>
            <w:r>
              <w:rPr>
                <w:color w:val="1C3A36"/>
                <w:sz w:val="17"/>
              </w:rPr>
              <w:t>Most conservative</w:t>
            </w:r>
          </w:p>
        </w:tc>
      </w:tr>
      <w:tr>
        <w:tc>
          <w:tcPr>
            <w:tcW w:type="dxa" w:w="3096"/>
          </w:tcPr>
          <w:p>
            <w:pPr>
              <w:spacing w:after="20"/>
            </w:pPr>
            <w:r>
              <w:rPr>
                <w:color w:val="1C3A36"/>
                <w:sz w:val="17"/>
              </w:rPr>
              <w:t>Expert 3 — cash returns (return on capital vs its cost)</w:t>
            </w:r>
          </w:p>
        </w:tc>
        <w:tc>
          <w:tcPr>
            <w:tcW w:type="dxa" w:w="3384"/>
          </w:tcPr>
          <w:p>
            <w:pPr>
              <w:spacing w:after="20"/>
              <w:jc w:val="right"/>
            </w:pPr>
            <w:r>
              <w:rPr>
                <w:color w:val="1C3A36"/>
                <w:sz w:val="17"/>
              </w:rPr>
              <w:t>Economic profit on capital employed</w:t>
            </w:r>
          </w:p>
        </w:tc>
        <w:tc>
          <w:tcPr>
            <w:tcW w:type="dxa" w:w="2088"/>
          </w:tcPr>
          <w:p>
            <w:pPr>
              <w:spacing w:after="20"/>
              <w:jc w:val="right"/>
            </w:pPr>
            <w:r>
              <w:rPr>
                <w:color w:val="1C3A36"/>
                <w:sz w:val="17"/>
              </w:rPr>
              <w:t>EGP 39.47</w:t>
            </w:r>
          </w:p>
        </w:tc>
        <w:tc>
          <w:tcPr>
            <w:tcW w:type="dxa" w:w="1656"/>
          </w:tcPr>
          <w:p>
            <w:pPr>
              <w:spacing w:after="20"/>
              <w:jc w:val="right"/>
            </w:pPr>
            <w:r>
              <w:rPr>
                <w:color w:val="1C3A36"/>
                <w:sz w:val="17"/>
              </w:rPr>
              <w:t>In between</w:t>
            </w:r>
          </w:p>
        </w:tc>
      </w:tr>
      <w:tr>
        <w:tc>
          <w:tcPr>
            <w:tcW w:type="dxa" w:w="3096"/>
          </w:tcPr>
          <w:p>
            <w:pPr>
              <w:spacing w:after="20"/>
            </w:pPr>
            <w:r>
              <w:rPr>
                <w:color w:val="1C3A36"/>
                <w:sz w:val="17"/>
              </w:rPr>
              <w:t>Panel range</w:t>
            </w:r>
          </w:p>
        </w:tc>
        <w:tc>
          <w:tcPr>
            <w:tcW w:type="dxa" w:w="3384"/>
          </w:tcPr>
          <w:p>
            <w:pPr>
              <w:spacing w:after="20"/>
              <w:jc w:val="right"/>
            </w:pPr>
            <w:r>
              <w:rPr>
                <w:color w:val="1C3A36"/>
                <w:sz w:val="17"/>
              </w:rPr>
              <w:t>The spread is the MNT-Halan mark</w:t>
            </w:r>
          </w:p>
        </w:tc>
        <w:tc>
          <w:tcPr>
            <w:tcW w:type="dxa" w:w="2088"/>
          </w:tcPr>
          <w:p>
            <w:pPr>
              <w:spacing w:after="20"/>
              <w:jc w:val="right"/>
            </w:pPr>
            <w:r>
              <w:rPr>
                <w:color w:val="1C3A36"/>
                <w:sz w:val="17"/>
              </w:rPr>
              <w:t>EGP 32.89–54.72</w:t>
            </w:r>
          </w:p>
        </w:tc>
        <w:tc>
          <w:tcPr>
            <w:tcW w:type="dxa" w:w="1656"/>
          </w:tcPr>
          <w:p>
            <w:pPr>
              <w:spacing w:after="20"/>
              <w:jc w:val="right"/>
            </w:pPr>
            <w:r>
              <w:rPr>
                <w:color w:val="1C3A36"/>
                <w:sz w:val="17"/>
              </w:rPr>
              <w:t>Middle read EGP 39.47</w:t>
            </w:r>
          </w:p>
        </w:tc>
      </w:tr>
    </w:tbl>
    <w:p>
      <w:pPr>
        <w:spacing w:after="40"/>
      </w:pPr>
    </w:p>
    <w:p>
      <w:pPr>
        <w:spacing w:after="160" w:before="0"/>
      </w:pPr>
      <w:r>
        <w:rPr>
          <w:b/>
          <w:i w:val="0"/>
          <w:color w:val="1C3A36"/>
          <w:sz w:val="19"/>
        </w:rPr>
        <w:t xml:space="preserve">Bottom line. </w:t>
      </w:r>
      <w:r>
        <w:rPr>
          <w:b w:val="0"/>
          <w:i w:val="0"/>
          <w:color w:val="1C3A36"/>
          <w:sz w:val="19"/>
        </w:rPr>
        <w:t>Every disagreement in that table traces to one question, and it is not what GB Corp owns. The central sits at EGP 44.33 against EGP 28.98, +53%; the three experts span EGP 32.89 to 54.72; and the two reads that never touch the associate stake — relative at EGP 28.88 and normalised at EGP 32.89 — sit within 13% of the traded price. Strip the stake out and this is an operator priced about right. Put it back in at the round's own valuation and the shares look materially cheap. The three-month distribution is indifferent either way: it prices the stock's own measured path, and its median sits above the anchor only because that measured drift survived the calibration test in Appendix B, by a margin that appendix states rather than flatters.</w:t>
      </w:r>
    </w:p>
    <w:p>
      <w:pPr>
        <w:spacing w:after="80" w:before="200"/>
      </w:pPr>
      <w:r>
        <w:rPr>
          <w:b/>
          <w:i w:val="0"/>
          <w:color w:val="1C3A36"/>
          <w:sz w:val="24"/>
        </w:rPr>
        <w:t>Company overview — GB Corp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2736"/>
            <w:shd w:val="clear" w:color="auto" w:fill="EAF0EE"/>
          </w:tcPr>
          <w:p>
            <w:pPr>
              <w:spacing w:after="20"/>
            </w:pPr>
            <w:r>
              <w:rPr>
                <w:b/>
                <w:color w:val="1C3A36"/>
                <w:sz w:val="18"/>
              </w:rPr>
              <w:t>Item</w:t>
            </w:r>
          </w:p>
        </w:tc>
        <w:tc>
          <w:tcPr>
            <w:tcW w:type="dxa" w:w="7488"/>
            <w:shd w:val="clear" w:color="auto" w:fill="EAF0EE"/>
          </w:tcPr>
          <w:p>
            <w:pPr>
              <w:spacing w:after="20"/>
            </w:pPr>
            <w:r>
              <w:rPr>
                <w:b/>
                <w:color w:val="1C3A36"/>
                <w:sz w:val="18"/>
              </w:rPr>
              <w:t>Value</w:t>
            </w:r>
          </w:p>
        </w:tc>
      </w:tr>
      <w:tr>
        <w:tc>
          <w:tcPr>
            <w:tcW w:type="dxa" w:w="2736"/>
          </w:tcPr>
          <w:p>
            <w:pPr>
              <w:spacing w:after="20"/>
            </w:pPr>
            <w:r>
              <w:rPr>
                <w:b/>
                <w:color w:val="1C3A36"/>
                <w:sz w:val="18"/>
              </w:rPr>
              <w:t>Listed entity</w:t>
            </w:r>
          </w:p>
        </w:tc>
        <w:tc>
          <w:tcPr>
            <w:tcW w:type="dxa" w:w="7488"/>
          </w:tcPr>
          <w:p>
            <w:pPr>
              <w:spacing w:after="20"/>
              <w:jc w:val="right"/>
            </w:pPr>
            <w:r>
              <w:rPr>
                <w:color w:val="1C3A36"/>
                <w:sz w:val="18"/>
              </w:rPr>
              <w:t>GB Corp S.A.E. (EGX: GBCO; formerly GB Auto / Ghabbour Auto, AUTO)</w:t>
            </w:r>
          </w:p>
        </w:tc>
      </w:tr>
      <w:tr>
        <w:tc>
          <w:tcPr>
            <w:tcW w:type="dxa" w:w="2736"/>
          </w:tcPr>
          <w:p>
            <w:pPr>
              <w:spacing w:after="20"/>
            </w:pPr>
            <w:r>
              <w:rPr>
                <w:b/>
                <w:color w:val="1C3A36"/>
                <w:sz w:val="18"/>
              </w:rPr>
              <w:t>What it owns</w:t>
            </w:r>
          </w:p>
        </w:tc>
        <w:tc>
          <w:tcPr>
            <w:tcW w:type="dxa" w:w="7488"/>
          </w:tcPr>
          <w:p>
            <w:pPr>
              <w:spacing w:after="20"/>
              <w:jc w:val="right"/>
            </w:pPr>
            <w:r>
              <w:rPr>
                <w:color w:val="1C3A36"/>
                <w:sz w:val="18"/>
              </w:rPr>
              <w:t>GB Auto (passenger-car assembly &amp; distribution, commercial vehicles &amp; construction equipment, tires &amp; trading, light mobility) · GB Capital (Drive Finance, GB Lease &amp; Factoring, rentals, Kredit) · associates: MNT-Halan, Bedaya, Kaf</w:t>
            </w:r>
          </w:p>
        </w:tc>
      </w:tr>
      <w:tr>
        <w:tc>
          <w:tcPr>
            <w:tcW w:type="dxa" w:w="2736"/>
          </w:tcPr>
          <w:p>
            <w:pPr>
              <w:spacing w:after="20"/>
            </w:pPr>
            <w:r>
              <w:rPr>
                <w:b/>
                <w:color w:val="1C3A36"/>
                <w:sz w:val="18"/>
              </w:rPr>
              <w:t>Price / date</w:t>
            </w:r>
          </w:p>
        </w:tc>
        <w:tc>
          <w:tcPr>
            <w:tcW w:type="dxa" w:w="7488"/>
          </w:tcPr>
          <w:p>
            <w:pPr>
              <w:spacing w:after="20"/>
              <w:jc w:val="right"/>
            </w:pPr>
            <w:r>
              <w:rPr>
                <w:color w:val="1C3A36"/>
                <w:sz w:val="18"/>
              </w:rPr>
              <w:t>EGP 28.98 · 3 September 2026 close</w:t>
            </w:r>
          </w:p>
        </w:tc>
      </w:tr>
      <w:tr>
        <w:tc>
          <w:tcPr>
            <w:tcW w:type="dxa" w:w="2736"/>
          </w:tcPr>
          <w:p>
            <w:pPr>
              <w:spacing w:after="20"/>
            </w:pPr>
            <w:r>
              <w:rPr>
                <w:b/>
                <w:color w:val="1C3A36"/>
                <w:sz w:val="18"/>
              </w:rPr>
              <w:t>Shares · market capitalisation</w:t>
            </w:r>
          </w:p>
        </w:tc>
        <w:tc>
          <w:tcPr>
            <w:tcW w:type="dxa" w:w="7488"/>
          </w:tcPr>
          <w:p>
            <w:pPr>
              <w:spacing w:after="20"/>
              <w:jc w:val="right"/>
            </w:pPr>
            <w:r>
              <w:rPr>
                <w:color w:val="1C3A36"/>
                <w:sz w:val="18"/>
              </w:rPr>
              <w:t>1,085.5 mn · EGP 31.5 bn</w:t>
            </w:r>
          </w:p>
        </w:tc>
      </w:tr>
      <w:tr>
        <w:tc>
          <w:tcPr>
            <w:tcW w:type="dxa" w:w="2736"/>
          </w:tcPr>
          <w:p>
            <w:pPr>
              <w:spacing w:after="20"/>
            </w:pPr>
            <w:r>
              <w:rPr>
                <w:b/>
                <w:color w:val="1C3A36"/>
                <w:sz w:val="18"/>
              </w:rPr>
              <w:t>FY2025 revenue / net profit</w:t>
            </w:r>
          </w:p>
        </w:tc>
        <w:tc>
          <w:tcPr>
            <w:tcW w:type="dxa" w:w="7488"/>
          </w:tcPr>
          <w:p>
            <w:pPr>
              <w:spacing w:after="20"/>
              <w:jc w:val="right"/>
            </w:pPr>
            <w:r>
              <w:rPr>
                <w:color w:val="1C3A36"/>
                <w:sz w:val="18"/>
              </w:rPr>
              <w:t>EGP 80,229.8 mn (+49% year on year) · EGP 2,880.0 mn (3.6% of revenue)</w:t>
            </w:r>
          </w:p>
        </w:tc>
      </w:tr>
      <w:tr>
        <w:tc>
          <w:tcPr>
            <w:tcW w:type="dxa" w:w="2736"/>
          </w:tcPr>
          <w:p>
            <w:pPr>
              <w:spacing w:after="20"/>
            </w:pPr>
            <w:r>
              <w:rPr>
                <w:b/>
                <w:color w:val="1C3A36"/>
                <w:sz w:val="18"/>
              </w:rPr>
              <w:t>1H2026 revenue / net profit</w:t>
            </w:r>
          </w:p>
        </w:tc>
        <w:tc>
          <w:tcPr>
            <w:tcW w:type="dxa" w:w="7488"/>
          </w:tcPr>
          <w:p>
            <w:pPr>
              <w:spacing w:after="20"/>
              <w:jc w:val="right"/>
            </w:pPr>
            <w:r>
              <w:rPr>
                <w:color w:val="1C3A36"/>
                <w:sz w:val="18"/>
              </w:rPr>
              <w:t>EGP 48,474.4 mn · EGP 1,262.0 mn (reviewed, six months to 30 June 2026)</w:t>
            </w:r>
          </w:p>
        </w:tc>
      </w:tr>
      <w:tr>
        <w:tc>
          <w:tcPr>
            <w:tcW w:type="dxa" w:w="2736"/>
          </w:tcPr>
          <w:p>
            <w:pPr>
              <w:spacing w:after="20"/>
            </w:pPr>
            <w:r>
              <w:rPr>
                <w:b/>
                <w:color w:val="1C3A36"/>
                <w:sz w:val="18"/>
              </w:rPr>
              <w:t>Group gross margin, FY2023 / FY2024 / FY2025</w:t>
            </w:r>
          </w:p>
        </w:tc>
        <w:tc>
          <w:tcPr>
            <w:tcW w:type="dxa" w:w="7488"/>
          </w:tcPr>
          <w:p>
            <w:pPr>
              <w:spacing w:after="20"/>
              <w:jc w:val="right"/>
            </w:pPr>
            <w:r>
              <w:rPr>
                <w:color w:val="1C3A36"/>
                <w:sz w:val="18"/>
              </w:rPr>
              <w:t>24.31% / 19.48% / 15.49%</w:t>
            </w:r>
          </w:p>
        </w:tc>
      </w:tr>
      <w:tr>
        <w:tc>
          <w:tcPr>
            <w:tcW w:type="dxa" w:w="2736"/>
          </w:tcPr>
          <w:p>
            <w:pPr>
              <w:spacing w:after="20"/>
            </w:pPr>
            <w:r>
              <w:rPr>
                <w:b/>
                <w:color w:val="1C3A36"/>
                <w:sz w:val="18"/>
              </w:rPr>
              <w:t>GB Auto gross margin, reviewed half to 30 June 2026</w:t>
            </w:r>
          </w:p>
        </w:tc>
        <w:tc>
          <w:tcPr>
            <w:tcW w:type="dxa" w:w="7488"/>
          </w:tcPr>
          <w:p>
            <w:pPr>
              <w:spacing w:after="20"/>
              <w:jc w:val="right"/>
            </w:pPr>
            <w:r>
              <w:rPr>
                <w:color w:val="1C3A36"/>
                <w:sz w:val="18"/>
              </w:rPr>
              <w:t>14.30% — the segment revenue and gross profit the release prints for the half</w:t>
            </w:r>
          </w:p>
        </w:tc>
      </w:tr>
      <w:tr>
        <w:tc>
          <w:tcPr>
            <w:tcW w:type="dxa" w:w="2736"/>
          </w:tcPr>
          <w:p>
            <w:pPr>
              <w:spacing w:after="20"/>
            </w:pPr>
            <w:r>
              <w:rPr>
                <w:b/>
                <w:color w:val="1C3A36"/>
                <w:sz w:val="18"/>
              </w:rPr>
              <w:t>Auto net debt · group equity (30 June 2026)</w:t>
            </w:r>
          </w:p>
        </w:tc>
        <w:tc>
          <w:tcPr>
            <w:tcW w:type="dxa" w:w="7488"/>
          </w:tcPr>
          <w:p>
            <w:pPr>
              <w:spacing w:after="20"/>
              <w:jc w:val="right"/>
            </w:pPr>
            <w:r>
              <w:rPr>
                <w:color w:val="1C3A36"/>
                <w:sz w:val="18"/>
              </w:rPr>
              <w:t>EGP 14,623.7 mn · EGP 35,127.9 mn</w:t>
            </w:r>
          </w:p>
        </w:tc>
      </w:tr>
      <w:tr>
        <w:tc>
          <w:tcPr>
            <w:tcW w:type="dxa" w:w="2736"/>
          </w:tcPr>
          <w:p>
            <w:pPr>
              <w:spacing w:after="20"/>
            </w:pPr>
            <w:r>
              <w:rPr>
                <w:b/>
                <w:color w:val="1C3A36"/>
                <w:sz w:val="18"/>
              </w:rPr>
              <w:t>52-week range (library, 23 August 2026)</w:t>
            </w:r>
          </w:p>
        </w:tc>
        <w:tc>
          <w:tcPr>
            <w:tcW w:type="dxa" w:w="7488"/>
          </w:tcPr>
          <w:p>
            <w:pPr>
              <w:spacing w:after="20"/>
              <w:jc w:val="right"/>
            </w:pPr>
            <w:r>
              <w:rPr>
                <w:color w:val="1C3A36"/>
                <w:sz w:val="18"/>
              </w:rPr>
              <w:t>EGP 19.10 – 34.20</w:t>
            </w:r>
          </w:p>
        </w:tc>
      </w:tr>
      <w:tr>
        <w:tc>
          <w:tcPr>
            <w:tcW w:type="dxa" w:w="2736"/>
          </w:tcPr>
          <w:p>
            <w:pPr>
              <w:spacing w:after="20"/>
            </w:pPr>
            <w:r>
              <w:rPr>
                <w:b/>
                <w:color w:val="1C3A36"/>
                <w:sz w:val="18"/>
              </w:rPr>
              <w:t>MNT-Halan stake</w:t>
            </w:r>
          </w:p>
        </w:tc>
        <w:tc>
          <w:tcPr>
            <w:tcW w:type="dxa" w:w="7488"/>
          </w:tcPr>
          <w:p>
            <w:pPr>
              <w:spacing w:after="20"/>
              <w:jc w:val="right"/>
            </w:pPr>
            <w:r>
              <w:rPr>
                <w:color w:val="1C3A36"/>
                <w:sz w:val="18"/>
              </w:rPr>
              <w:t>41.61%, stated by the company on 9 June 2026, against 42.58% before that transaction</w:t>
            </w:r>
          </w:p>
        </w:tc>
      </w:tr>
    </w:tbl>
    <w:p>
      <w:pPr>
        <w:spacing w:after="40"/>
      </w:pPr>
    </w:p>
    <w:p>
      <w:pPr>
        <w:spacing w:after="200" w:before="0"/>
      </w:pPr>
      <w:r>
        <w:rPr>
          <w:b w:val="0"/>
          <w:i/>
          <w:color w:val="6E7B77"/>
          <w:sz w:val="17"/>
        </w:rPr>
        <w:t>Source: the company’s own FY2023, FY2024 and FY2025 earnings releases; its 2Q/1H2026 release of 13 August 2026 and the reviewed consolidated statements to 30 June 2026; the MNT-Halan transaction release of 9 June 2026; and the exchange price library. Every figure in this table is read from the study’s committed record.</w:t>
      </w:r>
    </w:p>
    <w:p>
      <w:pPr>
        <w:spacing w:after="120" w:before="280"/>
      </w:pPr>
      <w:r>
        <w:rPr>
          <w:b/>
          <w:i w:val="0"/>
          <w:color w:val="1C3A36"/>
          <w:sz w:val="30"/>
        </w:rPr>
        <w:t>1  Fundamental valuation</w:t>
      </w:r>
    </w:p>
    <w:p>
      <w:pPr>
        <w:spacing w:after="120" w:before="0"/>
      </w:pPr>
      <w:r>
        <w:rPr>
          <w:b w:val="0"/>
          <w:i w:val="0"/>
          <w:color w:val="1C3A36"/>
          <w:sz w:val="21"/>
        </w:rPr>
        <w:t>We value GB Corp as an operating company with a captive finance arm and split the legs: blending an auto assembler-distributor, a leveraged lender and an unlisted fintech associate into one multiple would blur three different economics. The primary lens is therefore a split-legs sum-of-the-parts — the Auto operating leg on a free-cash-flow model; GB Capital on its adjusted operating book times a return-justified multiple; the MNT-Halan-led associate stakes at GB Corp’s own stated ownership applied to the June 2026 funding round. A relative-multiple read and a normalised mid-cycle read complete the set. The weights and the football field are in §1.5, and §1.5 also states plainly what those weights are and are not.</w:t>
      </w:r>
    </w:p>
    <w:p>
      <w:pPr>
        <w:spacing w:after="80" w:before="200"/>
      </w:pPr>
      <w:r>
        <w:rPr>
          <w:b/>
          <w:i w:val="0"/>
          <w:color w:val="1C3A36"/>
          <w:sz w:val="24"/>
        </w:rPr>
        <w:t>1.1  Split-the-legs sum-of-the-parts — the primary lens</w:t>
      </w:r>
    </w:p>
    <w:p>
      <w:pPr>
        <w:spacing w:after="120" w:before="0"/>
      </w:pPr>
      <w:r>
        <w:rPr>
          <w:b w:val="0"/>
          <w:i w:val="0"/>
          <w:color w:val="1C3A36"/>
          <w:sz w:val="21"/>
        </w:rPr>
        <w:t>Each leg is marked on the basis that fits it. The Auto leg takes the §1.2 cash-flow value. GB Capital is marked on the company’s own adjusted-return equity base — the disclosure that strips the MNT-Halan revaluation out of the equity denominator — at EGP 9,500 mn, one times book, the return-justified multiple for a mid-teens-return lender whose margin benefits from the easing cycle. The associates are marked by applying GB Corp’s own stated stake to the June 2026 funding round: USD 1.4 bn × 41.61% × EGP/USD 47.5. Within the associates line MNT-Halan is 99% of the value, with Bedaya and Kaf the EGP 390 mn residual. From the sum we deduct a 10% complexity discount for the wrapper: an auto operator, a non-bank lender and an unlisted fintech in one listing will not trade at the clean sum of its parts.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3600"/>
            <w:shd w:val="clear" w:color="auto" w:fill="EAF0EE"/>
          </w:tcPr>
          <w:p>
            <w:pPr>
              <w:spacing w:after="20"/>
            </w:pPr>
            <w:r>
              <w:rPr>
                <w:b/>
                <w:color w:val="1C3A36"/>
                <w:sz w:val="18"/>
              </w:rPr>
              <w:t>Leg (base case)</w:t>
            </w:r>
          </w:p>
        </w:tc>
        <w:tc>
          <w:tcPr>
            <w:tcW w:type="dxa" w:w="4464"/>
            <w:shd w:val="clear" w:color="auto" w:fill="EAF0EE"/>
          </w:tcPr>
          <w:p>
            <w:pPr>
              <w:spacing w:after="20"/>
            </w:pPr>
            <w:r>
              <w:rPr>
                <w:b/>
                <w:color w:val="1C3A36"/>
                <w:sz w:val="18"/>
              </w:rPr>
              <w:t>Basis</w:t>
            </w:r>
          </w:p>
        </w:tc>
        <w:tc>
          <w:tcPr>
            <w:tcW w:type="dxa" w:w="2160"/>
            <w:shd w:val="clear" w:color="auto" w:fill="EAF0EE"/>
          </w:tcPr>
          <w:p>
            <w:pPr>
              <w:spacing w:after="20"/>
            </w:pPr>
            <w:r>
              <w:rPr>
                <w:b/>
                <w:color w:val="1C3A36"/>
                <w:sz w:val="18"/>
              </w:rPr>
              <w:t>Value (EGP mn)</w:t>
            </w:r>
          </w:p>
        </w:tc>
      </w:tr>
      <w:tr>
        <w:tc>
          <w:tcPr>
            <w:tcW w:type="dxa" w:w="3600"/>
          </w:tcPr>
          <w:p>
            <w:pPr>
              <w:spacing w:after="20"/>
            </w:pPr>
            <w:r>
              <w:rPr>
                <w:b/>
                <w:color w:val="1C3A36"/>
                <w:sz w:val="18"/>
              </w:rPr>
              <w:t>GB Auto operating leg</w:t>
            </w:r>
          </w:p>
        </w:tc>
        <w:tc>
          <w:tcPr>
            <w:tcW w:type="dxa" w:w="4464"/>
          </w:tcPr>
          <w:p>
            <w:pPr>
              <w:spacing w:after="20"/>
              <w:jc w:val="right"/>
            </w:pPr>
            <w:r>
              <w:rPr>
                <w:color w:val="1C3A36"/>
                <w:sz w:val="18"/>
              </w:rPr>
              <w:t>Free-cash-flow model (§1.2): enterprise value 42,212 less net debt 14,624 less minority 591</w:t>
            </w:r>
          </w:p>
        </w:tc>
        <w:tc>
          <w:tcPr>
            <w:tcW w:type="dxa" w:w="2160"/>
          </w:tcPr>
          <w:p>
            <w:pPr>
              <w:spacing w:after="20"/>
              <w:jc w:val="right"/>
            </w:pPr>
            <w:r>
              <w:rPr>
                <w:color w:val="1C3A36"/>
                <w:sz w:val="18"/>
              </w:rPr>
              <w:t>26,998</w:t>
            </w:r>
          </w:p>
        </w:tc>
      </w:tr>
      <w:tr>
        <w:tc>
          <w:tcPr>
            <w:tcW w:type="dxa" w:w="3600"/>
          </w:tcPr>
          <w:p>
            <w:pPr>
              <w:spacing w:after="20"/>
            </w:pPr>
            <w:r>
              <w:rPr>
                <w:b/>
                <w:color w:val="1C3A36"/>
                <w:sz w:val="18"/>
              </w:rPr>
              <w:t>GB Capital lending leg</w:t>
            </w:r>
          </w:p>
        </w:tc>
        <w:tc>
          <w:tcPr>
            <w:tcW w:type="dxa" w:w="4464"/>
          </w:tcPr>
          <w:p>
            <w:pPr>
              <w:spacing w:after="20"/>
              <w:jc w:val="right"/>
            </w:pPr>
            <w:r>
              <w:rPr>
                <w:color w:val="1C3A36"/>
                <w:sz w:val="18"/>
              </w:rPr>
              <w:t>Adjusted operating book 9,500 × 1.0×</w:t>
            </w:r>
          </w:p>
        </w:tc>
        <w:tc>
          <w:tcPr>
            <w:tcW w:type="dxa" w:w="2160"/>
          </w:tcPr>
          <w:p>
            <w:pPr>
              <w:spacing w:after="20"/>
              <w:jc w:val="right"/>
            </w:pPr>
            <w:r>
              <w:rPr>
                <w:color w:val="1C3A36"/>
                <w:sz w:val="18"/>
              </w:rPr>
              <w:t>9,500</w:t>
            </w:r>
          </w:p>
        </w:tc>
      </w:tr>
      <w:tr>
        <w:tc>
          <w:tcPr>
            <w:tcW w:type="dxa" w:w="3600"/>
          </w:tcPr>
          <w:p>
            <w:pPr>
              <w:spacing w:after="20"/>
            </w:pPr>
            <w:r>
              <w:rPr>
                <w:b/>
                <w:color w:val="1C3A36"/>
                <w:sz w:val="18"/>
              </w:rPr>
              <w:t>Associate — MNT-Halan (41.61%, stated 9 June 2026)</w:t>
            </w:r>
          </w:p>
        </w:tc>
        <w:tc>
          <w:tcPr>
            <w:tcW w:type="dxa" w:w="4464"/>
          </w:tcPr>
          <w:p>
            <w:pPr>
              <w:spacing w:after="20"/>
              <w:jc w:val="right"/>
            </w:pPr>
            <w:r>
              <w:rPr>
                <w:color w:val="1C3A36"/>
                <w:sz w:val="18"/>
              </w:rPr>
              <w:t>USD 1.4 bn June-2026 round × 41.61% × 47.5 EGP/USD</w:t>
            </w:r>
          </w:p>
        </w:tc>
        <w:tc>
          <w:tcPr>
            <w:tcW w:type="dxa" w:w="2160"/>
          </w:tcPr>
          <w:p>
            <w:pPr>
              <w:spacing w:after="20"/>
              <w:jc w:val="right"/>
            </w:pPr>
            <w:r>
              <w:rPr>
                <w:color w:val="1C3A36"/>
                <w:sz w:val="18"/>
              </w:rPr>
              <w:t>27,671</w:t>
            </w:r>
          </w:p>
        </w:tc>
      </w:tr>
      <w:tr>
        <w:tc>
          <w:tcPr>
            <w:tcW w:type="dxa" w:w="3600"/>
          </w:tcPr>
          <w:p>
            <w:pPr>
              <w:spacing w:after="20"/>
            </w:pPr>
            <w:r>
              <w:rPr>
                <w:b/>
                <w:color w:val="1C3A36"/>
                <w:sz w:val="18"/>
              </w:rPr>
              <w:t>Other associates (Bedaya, Kaf)</w:t>
            </w:r>
          </w:p>
        </w:tc>
        <w:tc>
          <w:tcPr>
            <w:tcW w:type="dxa" w:w="4464"/>
          </w:tcPr>
          <w:p>
            <w:pPr>
              <w:spacing w:after="20"/>
              <w:jc w:val="right"/>
            </w:pPr>
            <w:r>
              <w:rPr>
                <w:color w:val="1C3A36"/>
                <w:sz w:val="18"/>
              </w:rPr>
              <w:t>Residual carrying value</w:t>
            </w:r>
          </w:p>
        </w:tc>
        <w:tc>
          <w:tcPr>
            <w:tcW w:type="dxa" w:w="2160"/>
          </w:tcPr>
          <w:p>
            <w:pPr>
              <w:spacing w:after="20"/>
              <w:jc w:val="right"/>
            </w:pPr>
            <w:r>
              <w:rPr>
                <w:color w:val="1C3A36"/>
                <w:sz w:val="18"/>
              </w:rPr>
              <w:t>390</w:t>
            </w:r>
          </w:p>
        </w:tc>
      </w:tr>
      <w:tr>
        <w:tc>
          <w:tcPr>
            <w:tcW w:type="dxa" w:w="3600"/>
          </w:tcPr>
          <w:p>
            <w:pPr>
              <w:spacing w:after="20"/>
            </w:pPr>
            <w:r>
              <w:rPr>
                <w:b/>
                <w:color w:val="1C3A36"/>
                <w:sz w:val="18"/>
              </w:rPr>
              <w:t>Σ Equity value (pre-discount)</w:t>
            </w:r>
          </w:p>
        </w:tc>
        <w:tc>
          <w:tcPr>
            <w:tcW w:type="dxa" w:w="4464"/>
          </w:tcPr>
          <w:p>
            <w:pPr>
              <w:spacing w:after="20"/>
              <w:jc w:val="right"/>
            </w:pPr>
            <w:r>
              <w:rPr>
                <w:color w:val="1C3A36"/>
                <w:sz w:val="18"/>
              </w:rPr>
              <w:t>= EGP 59.47 / share</w:t>
            </w:r>
          </w:p>
        </w:tc>
        <w:tc>
          <w:tcPr>
            <w:tcW w:type="dxa" w:w="2160"/>
          </w:tcPr>
          <w:p>
            <w:pPr>
              <w:spacing w:after="20"/>
              <w:jc w:val="right"/>
            </w:pPr>
            <w:r>
              <w:rPr>
                <w:color w:val="1C3A36"/>
                <w:sz w:val="18"/>
              </w:rPr>
              <w:t>64,558</w:t>
            </w:r>
          </w:p>
        </w:tc>
      </w:tr>
      <w:tr>
        <w:tc>
          <w:tcPr>
            <w:tcW w:type="dxa" w:w="3600"/>
          </w:tcPr>
          <w:p>
            <w:pPr>
              <w:spacing w:after="20"/>
            </w:pPr>
            <w:r>
              <w:rPr>
                <w:b/>
                <w:color w:val="1C3A36"/>
                <w:sz w:val="18"/>
              </w:rPr>
              <w:t>less: complexity / conglomerate discount</w:t>
            </w:r>
          </w:p>
        </w:tc>
        <w:tc>
          <w:tcPr>
            <w:tcW w:type="dxa" w:w="4464"/>
          </w:tcPr>
          <w:p>
            <w:pPr>
              <w:spacing w:after="20"/>
              <w:jc w:val="right"/>
            </w:pPr>
            <w:r>
              <w:rPr>
                <w:color w:val="1C3A36"/>
                <w:sz w:val="18"/>
              </w:rPr>
              <w:t>10%</w:t>
            </w:r>
          </w:p>
        </w:tc>
        <w:tc>
          <w:tcPr>
            <w:tcW w:type="dxa" w:w="2160"/>
          </w:tcPr>
          <w:p>
            <w:pPr>
              <w:spacing w:after="20"/>
              <w:jc w:val="right"/>
            </w:pPr>
            <w:r>
              <w:rPr>
                <w:color w:val="1C3A36"/>
                <w:sz w:val="18"/>
              </w:rPr>
              <w:t>(6,456)</w:t>
            </w:r>
          </w:p>
        </w:tc>
      </w:tr>
      <w:tr>
        <w:tc>
          <w:tcPr>
            <w:tcW w:type="dxa" w:w="3600"/>
          </w:tcPr>
          <w:p>
            <w:pPr>
              <w:spacing w:after="20"/>
            </w:pPr>
            <w:r>
              <w:rPr>
                <w:b/>
                <w:color w:val="1C3A36"/>
                <w:sz w:val="18"/>
              </w:rPr>
              <w:t>Sum-of-the-parts equity value</w:t>
            </w:r>
          </w:p>
        </w:tc>
        <w:tc>
          <w:tcPr>
            <w:tcW w:type="dxa" w:w="4464"/>
          </w:tcPr>
          <w:p>
            <w:pPr>
              <w:spacing w:after="20"/>
              <w:jc w:val="right"/>
            </w:pPr>
            <w:r>
              <w:rPr>
                <w:color w:val="1C3A36"/>
                <w:sz w:val="18"/>
              </w:rPr>
              <w:t>= EGP 53.53 / share</w:t>
            </w:r>
          </w:p>
        </w:tc>
        <w:tc>
          <w:tcPr>
            <w:tcW w:type="dxa" w:w="2160"/>
          </w:tcPr>
          <w:p>
            <w:pPr>
              <w:spacing w:after="20"/>
              <w:jc w:val="right"/>
            </w:pPr>
            <w:r>
              <w:rPr>
                <w:color w:val="1C3A36"/>
                <w:sz w:val="18"/>
              </w:rPr>
              <w:t>58,102</w:t>
            </w:r>
          </w:p>
        </w:tc>
      </w:tr>
    </w:tbl>
    <w:p>
      <w:pPr>
        <w:spacing w:after="40"/>
      </w:pPr>
    </w:p>
    <w:p>
      <w:pPr>
        <w:spacing w:after="120" w:before="0"/>
      </w:pPr>
      <w:r>
        <w:rPr>
          <w:b/>
          <w:i w:val="0"/>
          <w:color w:val="1C3A36"/>
          <w:sz w:val="21"/>
        </w:rPr>
        <w:t>Sum-of-the-parts base EGP 53.53 per share</w:t>
      </w:r>
      <w:r>
        <w:rPr>
          <w:b w:val="0"/>
          <w:i w:val="0"/>
          <w:color w:val="1C3A36"/>
          <w:sz w:val="21"/>
        </w:rPr>
        <w:t>, with a bear–bull span of EGP 27.99–90.71 — driven mainly by the discount applied to the MNT-Halan mark and by the Auto margin and working-capital path (§1.9). The market-implied read is a puzzle rather than a sourcing question: market capitalisation less the lender and the associates at the stated stake implies a deeply negative value for the Auto leg, which is impossible for a profitable business turning over EGP 66.4 bn. The honest readings are that the market applies a much steeper discount to this private mark than this study’s 10%, that it does not accept the round’s valuation as transferring to a minority holder, or that GB Corp is mispriced. §7 discusses which is most plausible.</w:t>
      </w:r>
    </w:p>
    <w:p>
      <w:pPr>
        <w:spacing w:after="80" w:before="200"/>
      </w:pPr>
      <w:r>
        <w:rPr>
          <w:b/>
          <w:i w:val="0"/>
          <w:color w:val="1C3A36"/>
          <w:sz w:val="24"/>
        </w:rPr>
        <w:t>What the MNT-Halan stake is worth inside this valuation</w:t>
      </w:r>
    </w:p>
    <w:p>
      <w:pPr>
        <w:spacing w:after="80" w:before="0"/>
      </w:pPr>
      <w:r>
        <w:rPr>
          <w:b w:val="0"/>
          <w:i w:val="0"/>
          <w:color w:val="1C3A36"/>
          <w:sz w:val="19"/>
        </w:rPr>
        <w:t>Because this single line dominates the whole valuation, here is its exact footprint, on the company’s own stated figure: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3888"/>
            <w:shd w:val="clear" w:color="auto" w:fill="EAF0EE"/>
          </w:tcPr>
          <w:p>
            <w:pPr>
              <w:spacing w:after="20"/>
            </w:pPr>
            <w:r>
              <w:rPr>
                <w:b/>
                <w:color w:val="1C3A36"/>
                <w:sz w:val="18"/>
              </w:rPr>
              <w:t>MNT-Halan in the GBCO valuation</w:t>
            </w:r>
          </w:p>
        </w:tc>
        <w:tc>
          <w:tcPr>
            <w:tcW w:type="dxa" w:w="6336"/>
            <w:shd w:val="clear" w:color="auto" w:fill="EAF0EE"/>
          </w:tcPr>
          <w:p>
            <w:pPr>
              <w:spacing w:after="20"/>
            </w:pPr>
            <w:r>
              <w:rPr>
                <w:b/>
                <w:color w:val="1C3A36"/>
                <w:sz w:val="18"/>
              </w:rPr>
              <w:t>Value</w:t>
            </w:r>
          </w:p>
        </w:tc>
      </w:tr>
      <w:tr>
        <w:tc>
          <w:tcPr>
            <w:tcW w:type="dxa" w:w="3888"/>
          </w:tcPr>
          <w:p>
            <w:pPr>
              <w:spacing w:after="20"/>
            </w:pPr>
            <w:r>
              <w:rPr>
                <w:b/>
                <w:color w:val="1C3A36"/>
                <w:sz w:val="18"/>
              </w:rPr>
              <w:t>Value at the June-2026 round (41.61% stake)</w:t>
            </w:r>
          </w:p>
        </w:tc>
        <w:tc>
          <w:tcPr>
            <w:tcW w:type="dxa" w:w="6336"/>
          </w:tcPr>
          <w:p>
            <w:pPr>
              <w:spacing w:after="20"/>
              <w:jc w:val="right"/>
            </w:pPr>
            <w:r>
              <w:rPr>
                <w:color w:val="1C3A36"/>
                <w:sz w:val="18"/>
              </w:rPr>
              <w:t>USD 1.4 bn × 41.61% × 47.5 = EGP 27,671 mn</w:t>
            </w:r>
          </w:p>
        </w:tc>
      </w:tr>
      <w:tr>
        <w:tc>
          <w:tcPr>
            <w:tcW w:type="dxa" w:w="3888"/>
          </w:tcPr>
          <w:p>
            <w:pPr>
              <w:spacing w:after="20"/>
            </w:pPr>
            <w:r>
              <w:rPr>
                <w:b/>
                <w:color w:val="1C3A36"/>
                <w:sz w:val="18"/>
              </w:rPr>
              <w:t>Per share, pre-discount</w:t>
            </w:r>
          </w:p>
        </w:tc>
        <w:tc>
          <w:tcPr>
            <w:tcW w:type="dxa" w:w="6336"/>
          </w:tcPr>
          <w:p>
            <w:pPr>
              <w:spacing w:after="20"/>
              <w:jc w:val="right"/>
            </w:pPr>
            <w:r>
              <w:rPr>
                <w:color w:val="1C3A36"/>
                <w:sz w:val="18"/>
              </w:rPr>
              <w:t>EGP 25.49 — 43% of the EGP 59.47 pre-discount net asset value</w:t>
            </w:r>
          </w:p>
        </w:tc>
      </w:tr>
      <w:tr>
        <w:tc>
          <w:tcPr>
            <w:tcW w:type="dxa" w:w="3888"/>
          </w:tcPr>
          <w:p>
            <w:pPr>
              <w:spacing w:after="20"/>
            </w:pPr>
            <w:r>
              <w:rPr>
                <w:b/>
                <w:color w:val="1C3A36"/>
                <w:sz w:val="18"/>
              </w:rPr>
              <w:t>Per share, after the 10% discount</w:t>
            </w:r>
          </w:p>
        </w:tc>
        <w:tc>
          <w:tcPr>
            <w:tcW w:type="dxa" w:w="6336"/>
          </w:tcPr>
          <w:p>
            <w:pPr>
              <w:spacing w:after="20"/>
              <w:jc w:val="right"/>
            </w:pPr>
            <w:r>
              <w:rPr>
                <w:color w:val="1C3A36"/>
                <w:sz w:val="18"/>
              </w:rPr>
              <w:t>EGP 22.94 — the same 43% share of the EGP 53.53 sum-of-the-parts</w:t>
            </w:r>
          </w:p>
        </w:tc>
      </w:tr>
      <w:tr>
        <w:tc>
          <w:tcPr>
            <w:tcW w:type="dxa" w:w="3888"/>
          </w:tcPr>
          <w:p>
            <w:pPr>
              <w:spacing w:after="20"/>
            </w:pPr>
            <w:r>
              <w:rPr>
                <w:b/>
                <w:color w:val="1C3A36"/>
                <w:sz w:val="18"/>
              </w:rPr>
              <w:t>As a share of the market price (EGP 28.98)</w:t>
            </w:r>
          </w:p>
        </w:tc>
        <w:tc>
          <w:tcPr>
            <w:tcW w:type="dxa" w:w="6336"/>
          </w:tcPr>
          <w:p>
            <w:pPr>
              <w:spacing w:after="20"/>
              <w:jc w:val="right"/>
            </w:pPr>
            <w:r>
              <w:rPr>
                <w:color w:val="1C3A36"/>
                <w:sz w:val="18"/>
              </w:rPr>
              <w:t>79% of market capitalisation — the puzzle, stated</w:t>
            </w:r>
          </w:p>
        </w:tc>
      </w:tr>
      <w:tr>
        <w:tc>
          <w:tcPr>
            <w:tcW w:type="dxa" w:w="3888"/>
          </w:tcPr>
          <w:p>
            <w:pPr>
              <w:spacing w:after="20"/>
            </w:pPr>
            <w:r>
              <w:rPr>
                <w:b/>
                <w:color w:val="1C3A36"/>
                <w:sz w:val="18"/>
              </w:rPr>
              <w:t>Every 5 percentage points of stake</w:t>
            </w:r>
          </w:p>
        </w:tc>
        <w:tc>
          <w:tcPr>
            <w:tcW w:type="dxa" w:w="6336"/>
          </w:tcPr>
          <w:p>
            <w:pPr>
              <w:spacing w:after="20"/>
              <w:jc w:val="right"/>
            </w:pPr>
            <w:r>
              <w:rPr>
                <w:color w:val="1C3A36"/>
                <w:sz w:val="18"/>
              </w:rPr>
              <w:t>EGP 2.76 per share of sum-of-the-parts value</w:t>
            </w:r>
          </w:p>
        </w:tc>
      </w:tr>
    </w:tbl>
    <w:p>
      <w:pPr>
        <w:spacing w:after="40"/>
      </w:pPr>
    </w:p>
    <w:p>
      <w:pPr>
        <w:spacing w:after="80" w:before="200"/>
      </w:pPr>
      <w:r>
        <w:rPr>
          <w:b/>
          <w:i w:val="0"/>
          <w:color w:val="1C3A36"/>
          <w:sz w:val="24"/>
        </w:rPr>
        <w:t>The market-cap puzzle — what the stated stake actually implies</w:t>
      </w:r>
    </w:p>
    <w:p>
      <w:pPr>
        <w:spacing w:after="120" w:before="0"/>
      </w:pPr>
      <w:r>
        <w:rPr>
          <w:b w:val="0"/>
          <w:i w:val="0"/>
          <w:color w:val="1C3A36"/>
          <w:sz w:val="19"/>
        </w:rPr>
        <w:t>The stake is a stated number; the residual uncertainty sits in the mark and the discount. The table below prices the stake question anyway, because it shows the slope a reader is arguing about: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2160"/>
            <w:shd w:val="clear" w:color="auto" w:fill="EAF0EE"/>
          </w:tcPr>
          <w:p>
            <w:pPr>
              <w:spacing w:after="20"/>
            </w:pPr>
            <w:r>
              <w:rPr>
                <w:b/>
                <w:color w:val="1C3A36"/>
                <w:sz w:val="17"/>
              </w:rPr>
              <w:t>GB stake in MNT-Halan</w:t>
            </w:r>
          </w:p>
        </w:tc>
        <w:tc>
          <w:tcPr>
            <w:tcW w:type="dxa" w:w="2448"/>
            <w:shd w:val="clear" w:color="auto" w:fill="EAF0EE"/>
          </w:tcPr>
          <w:p>
            <w:pPr>
              <w:spacing w:after="20"/>
            </w:pPr>
            <w:r>
              <w:rPr>
                <w:b/>
                <w:color w:val="1C3A36"/>
                <w:sz w:val="17"/>
              </w:rPr>
              <w:t>MNT-Halan value (EGP mn)</w:t>
            </w:r>
          </w:p>
        </w:tc>
        <w:tc>
          <w:tcPr>
            <w:tcW w:type="dxa" w:w="1872"/>
            <w:shd w:val="clear" w:color="auto" w:fill="EAF0EE"/>
          </w:tcPr>
          <w:p>
            <w:pPr>
              <w:spacing w:after="20"/>
            </w:pPr>
            <w:r>
              <w:rPr>
                <w:b/>
                <w:color w:val="1C3A36"/>
                <w:sz w:val="17"/>
              </w:rPr>
              <w:t>Fair value per share</w:t>
            </w:r>
          </w:p>
        </w:tc>
        <w:tc>
          <w:tcPr>
            <w:tcW w:type="dxa" w:w="3744"/>
            <w:shd w:val="clear" w:color="auto" w:fill="EAF0EE"/>
          </w:tcPr>
          <w:p>
            <w:pPr>
              <w:spacing w:after="20"/>
            </w:pPr>
            <w:r>
              <w:rPr>
                <w:b/>
                <w:color w:val="1C3A36"/>
                <w:sz w:val="17"/>
              </w:rPr>
              <w:t>Note</w:t>
            </w:r>
          </w:p>
        </w:tc>
      </w:tr>
      <w:tr>
        <w:tc>
          <w:tcPr>
            <w:tcW w:type="dxa" w:w="2160"/>
          </w:tcPr>
          <w:p>
            <w:pPr>
              <w:spacing w:after="20"/>
            </w:pPr>
            <w:r>
              <w:rPr>
                <w:b/>
                <w:color w:val="1C3A36"/>
                <w:sz w:val="17"/>
              </w:rPr>
              <w:t>20.00%</w:t>
            </w:r>
          </w:p>
        </w:tc>
        <w:tc>
          <w:tcPr>
            <w:tcW w:type="dxa" w:w="2448"/>
          </w:tcPr>
          <w:p>
            <w:pPr>
              <w:spacing w:after="20"/>
              <w:jc w:val="right"/>
            </w:pPr>
            <w:r>
              <w:rPr>
                <w:color w:val="1C3A36"/>
                <w:sz w:val="17"/>
              </w:rPr>
              <w:t>13,300</w:t>
            </w:r>
          </w:p>
        </w:tc>
        <w:tc>
          <w:tcPr>
            <w:tcW w:type="dxa" w:w="1872"/>
          </w:tcPr>
          <w:p>
            <w:pPr>
              <w:spacing w:after="20"/>
              <w:jc w:val="right"/>
            </w:pPr>
            <w:r>
              <w:rPr>
                <w:color w:val="1C3A36"/>
                <w:sz w:val="17"/>
              </w:rPr>
              <w:t>41.61</w:t>
            </w:r>
          </w:p>
        </w:tc>
        <w:tc>
          <w:tcPr>
            <w:tcW w:type="dxa" w:w="3744"/>
          </w:tcPr>
          <w:p>
            <w:pPr>
              <w:spacing w:after="20"/>
              <w:jc w:val="right"/>
            </w:pPr>
            <w:r>
              <w:rPr>
                <w:color w:val="1C3A36"/>
                <w:sz w:val="17"/>
              </w:rPr>
              <w:t>a placeholder used in an early draft — superseded</w:t>
            </w:r>
          </w:p>
        </w:tc>
      </w:tr>
      <w:tr>
        <w:tc>
          <w:tcPr>
            <w:tcW w:type="dxa" w:w="2160"/>
          </w:tcPr>
          <w:p>
            <w:pPr>
              <w:spacing w:after="20"/>
            </w:pPr>
            <w:r>
              <w:rPr>
                <w:b/>
                <w:color w:val="1C3A36"/>
                <w:sz w:val="17"/>
              </w:rPr>
              <w:t>25.00%</w:t>
            </w:r>
          </w:p>
        </w:tc>
        <w:tc>
          <w:tcPr>
            <w:tcW w:type="dxa" w:w="2448"/>
          </w:tcPr>
          <w:p>
            <w:pPr>
              <w:spacing w:after="20"/>
              <w:jc w:val="right"/>
            </w:pPr>
            <w:r>
              <w:rPr>
                <w:color w:val="1C3A36"/>
                <w:sz w:val="17"/>
              </w:rPr>
              <w:t>16,625</w:t>
            </w:r>
          </w:p>
        </w:tc>
        <w:tc>
          <w:tcPr>
            <w:tcW w:type="dxa" w:w="1872"/>
          </w:tcPr>
          <w:p>
            <w:pPr>
              <w:spacing w:after="20"/>
              <w:jc w:val="right"/>
            </w:pPr>
            <w:r>
              <w:rPr>
                <w:color w:val="1C3A36"/>
                <w:sz w:val="17"/>
              </w:rPr>
              <w:t>44.37</w:t>
            </w:r>
          </w:p>
        </w:tc>
        <w:tc>
          <w:tcPr>
            <w:tcW w:type="dxa" w:w="3744"/>
          </w:tcPr>
          <w:p>
            <w:pPr>
              <w:spacing w:after="20"/>
              <w:jc w:val="right"/>
            </w:pPr>
            <w:r>
              <w:rPr>
                <w:color w:val="1C3A36"/>
                <w:sz w:val="17"/>
              </w:rPr>
            </w:r>
          </w:p>
        </w:tc>
      </w:tr>
      <w:tr>
        <w:tc>
          <w:tcPr>
            <w:tcW w:type="dxa" w:w="2160"/>
          </w:tcPr>
          <w:p>
            <w:pPr>
              <w:spacing w:after="20"/>
            </w:pPr>
            <w:r>
              <w:rPr>
                <w:b/>
                <w:color w:val="1C3A36"/>
                <w:sz w:val="17"/>
              </w:rPr>
              <w:t>30.00%</w:t>
            </w:r>
          </w:p>
        </w:tc>
        <w:tc>
          <w:tcPr>
            <w:tcW w:type="dxa" w:w="2448"/>
          </w:tcPr>
          <w:p>
            <w:pPr>
              <w:spacing w:after="20"/>
              <w:jc w:val="right"/>
            </w:pPr>
            <w:r>
              <w:rPr>
                <w:color w:val="1C3A36"/>
                <w:sz w:val="17"/>
              </w:rPr>
              <w:t>19,950</w:t>
            </w:r>
          </w:p>
        </w:tc>
        <w:tc>
          <w:tcPr>
            <w:tcW w:type="dxa" w:w="1872"/>
          </w:tcPr>
          <w:p>
            <w:pPr>
              <w:spacing w:after="20"/>
              <w:jc w:val="right"/>
            </w:pPr>
            <w:r>
              <w:rPr>
                <w:color w:val="1C3A36"/>
                <w:sz w:val="17"/>
              </w:rPr>
              <w:t>47.12</w:t>
            </w:r>
          </w:p>
        </w:tc>
        <w:tc>
          <w:tcPr>
            <w:tcW w:type="dxa" w:w="3744"/>
          </w:tcPr>
          <w:p>
            <w:pPr>
              <w:spacing w:after="20"/>
              <w:jc w:val="right"/>
            </w:pPr>
            <w:r>
              <w:rPr>
                <w:color w:val="1C3A36"/>
                <w:sz w:val="17"/>
              </w:rPr>
            </w:r>
          </w:p>
        </w:tc>
      </w:tr>
      <w:tr>
        <w:tc>
          <w:tcPr>
            <w:tcW w:type="dxa" w:w="2160"/>
          </w:tcPr>
          <w:p>
            <w:pPr>
              <w:spacing w:after="20"/>
            </w:pPr>
            <w:r>
              <w:rPr>
                <w:b/>
                <w:color w:val="1C3A36"/>
                <w:sz w:val="17"/>
              </w:rPr>
              <w:t>35.00%</w:t>
            </w:r>
          </w:p>
        </w:tc>
        <w:tc>
          <w:tcPr>
            <w:tcW w:type="dxa" w:w="2448"/>
          </w:tcPr>
          <w:p>
            <w:pPr>
              <w:spacing w:after="20"/>
              <w:jc w:val="right"/>
            </w:pPr>
            <w:r>
              <w:rPr>
                <w:color w:val="1C3A36"/>
                <w:sz w:val="17"/>
              </w:rPr>
              <w:t>23,275</w:t>
            </w:r>
          </w:p>
        </w:tc>
        <w:tc>
          <w:tcPr>
            <w:tcW w:type="dxa" w:w="1872"/>
          </w:tcPr>
          <w:p>
            <w:pPr>
              <w:spacing w:after="20"/>
              <w:jc w:val="right"/>
            </w:pPr>
            <w:r>
              <w:rPr>
                <w:color w:val="1C3A36"/>
                <w:sz w:val="17"/>
              </w:rPr>
              <w:t>49.88</w:t>
            </w:r>
          </w:p>
        </w:tc>
        <w:tc>
          <w:tcPr>
            <w:tcW w:type="dxa" w:w="3744"/>
          </w:tcPr>
          <w:p>
            <w:pPr>
              <w:spacing w:after="20"/>
              <w:jc w:val="right"/>
            </w:pPr>
            <w:r>
              <w:rPr>
                <w:color w:val="1C3A36"/>
                <w:sz w:val="17"/>
              </w:rPr>
            </w:r>
          </w:p>
        </w:tc>
      </w:tr>
      <w:tr>
        <w:tc>
          <w:tcPr>
            <w:tcW w:type="dxa" w:w="2160"/>
          </w:tcPr>
          <w:p>
            <w:pPr>
              <w:spacing w:after="20"/>
            </w:pPr>
            <w:r>
              <w:rPr>
                <w:b/>
                <w:color w:val="1C3A36"/>
                <w:sz w:val="17"/>
              </w:rPr>
              <w:t>40.00%</w:t>
            </w:r>
          </w:p>
        </w:tc>
        <w:tc>
          <w:tcPr>
            <w:tcW w:type="dxa" w:w="2448"/>
          </w:tcPr>
          <w:p>
            <w:pPr>
              <w:spacing w:after="20"/>
              <w:jc w:val="right"/>
            </w:pPr>
            <w:r>
              <w:rPr>
                <w:color w:val="1C3A36"/>
                <w:sz w:val="17"/>
              </w:rPr>
              <w:t>26,600</w:t>
            </w:r>
          </w:p>
        </w:tc>
        <w:tc>
          <w:tcPr>
            <w:tcW w:type="dxa" w:w="1872"/>
          </w:tcPr>
          <w:p>
            <w:pPr>
              <w:spacing w:after="20"/>
              <w:jc w:val="right"/>
            </w:pPr>
            <w:r>
              <w:rPr>
                <w:color w:val="1C3A36"/>
                <w:sz w:val="17"/>
              </w:rPr>
              <w:t>52.64</w:t>
            </w:r>
          </w:p>
        </w:tc>
        <w:tc>
          <w:tcPr>
            <w:tcW w:type="dxa" w:w="3744"/>
          </w:tcPr>
          <w:p>
            <w:pPr>
              <w:spacing w:after="20"/>
              <w:jc w:val="right"/>
            </w:pPr>
            <w:r>
              <w:rPr>
                <w:color w:val="1C3A36"/>
                <w:sz w:val="17"/>
              </w:rPr>
            </w:r>
          </w:p>
        </w:tc>
      </w:tr>
      <w:tr>
        <w:tc>
          <w:tcPr>
            <w:tcW w:type="dxa" w:w="2160"/>
          </w:tcPr>
          <w:p>
            <w:pPr>
              <w:spacing w:after="20"/>
            </w:pPr>
            <w:r>
              <w:rPr>
                <w:b/>
                <w:color w:val="1C3A36"/>
                <w:sz w:val="17"/>
              </w:rPr>
              <w:t>42.58%</w:t>
            </w:r>
          </w:p>
        </w:tc>
        <w:tc>
          <w:tcPr>
            <w:tcW w:type="dxa" w:w="2448"/>
          </w:tcPr>
          <w:p>
            <w:pPr>
              <w:spacing w:after="20"/>
              <w:jc w:val="right"/>
            </w:pPr>
            <w:r>
              <w:rPr>
                <w:color w:val="1C3A36"/>
                <w:sz w:val="17"/>
              </w:rPr>
              <w:t>28,316</w:t>
            </w:r>
          </w:p>
        </w:tc>
        <w:tc>
          <w:tcPr>
            <w:tcW w:type="dxa" w:w="1872"/>
          </w:tcPr>
          <w:p>
            <w:pPr>
              <w:spacing w:after="20"/>
              <w:jc w:val="right"/>
            </w:pPr>
            <w:r>
              <w:rPr>
                <w:color w:val="1C3A36"/>
                <w:sz w:val="17"/>
              </w:rPr>
              <w:t>54.06</w:t>
            </w:r>
          </w:p>
        </w:tc>
        <w:tc>
          <w:tcPr>
            <w:tcW w:type="dxa" w:w="3744"/>
          </w:tcPr>
          <w:p>
            <w:pPr>
              <w:spacing w:after="20"/>
              <w:jc w:val="right"/>
            </w:pPr>
            <w:r>
              <w:rPr>
                <w:color w:val="1C3A36"/>
                <w:sz w:val="17"/>
              </w:rPr>
              <w:t>the pre-transaction figure, superseded</w:t>
            </w:r>
          </w:p>
        </w:tc>
      </w:tr>
      <w:tr>
        <w:tc>
          <w:tcPr>
            <w:tcW w:type="dxa" w:w="2160"/>
          </w:tcPr>
          <w:p>
            <w:pPr>
              <w:spacing w:after="20"/>
            </w:pPr>
            <w:r>
              <w:rPr>
                <w:b/>
                <w:color w:val="1C3A36"/>
                <w:sz w:val="17"/>
              </w:rPr>
              <w:t>41.61%</w:t>
            </w:r>
          </w:p>
        </w:tc>
        <w:tc>
          <w:tcPr>
            <w:tcW w:type="dxa" w:w="2448"/>
          </w:tcPr>
          <w:p>
            <w:pPr>
              <w:spacing w:after="20"/>
              <w:jc w:val="right"/>
            </w:pPr>
            <w:r>
              <w:rPr>
                <w:color w:val="1C3A36"/>
                <w:sz w:val="17"/>
              </w:rPr>
              <w:t>27,671</w:t>
            </w:r>
          </w:p>
        </w:tc>
        <w:tc>
          <w:tcPr>
            <w:tcW w:type="dxa" w:w="1872"/>
          </w:tcPr>
          <w:p>
            <w:pPr>
              <w:spacing w:after="20"/>
              <w:jc w:val="right"/>
            </w:pPr>
            <w:r>
              <w:rPr>
                <w:color w:val="1C3A36"/>
                <w:sz w:val="17"/>
              </w:rPr>
              <w:t>53.53</w:t>
            </w:r>
          </w:p>
        </w:tc>
        <w:tc>
          <w:tcPr>
            <w:tcW w:type="dxa" w:w="3744"/>
          </w:tcPr>
          <w:p>
            <w:pPr>
              <w:spacing w:after="20"/>
              <w:jc w:val="right"/>
            </w:pPr>
            <w:r>
              <w:rPr>
                <w:color w:val="1C3A36"/>
                <w:sz w:val="17"/>
              </w:rPr>
              <w:t>stated by the company, 9 June 2026 — base case</w:t>
            </w:r>
          </w:p>
        </w:tc>
      </w:tr>
    </w:tbl>
    <w:p>
      <w:pPr>
        <w:spacing w:after="40"/>
      </w:pPr>
    </w:p>
    <w:p>
      <w:pPr>
        <w:spacing w:after="120" w:before="0"/>
      </w:pPr>
      <w:r>
        <w:rPr>
          <w:b/>
          <w:i w:val="0"/>
          <w:color w:val="1C3A36"/>
          <w:sz w:val="19"/>
        </w:rPr>
        <w:t xml:space="preserve">In plain terms: </w:t>
      </w:r>
      <w:r>
        <w:rPr>
          <w:b w:val="0"/>
          <w:i w:val="0"/>
          <w:color w:val="1C3A36"/>
          <w:sz w:val="19"/>
        </w:rPr>
        <w:t>the open question is not what GB Corp owns but what that ownership is worth, and why the market does not price it at face value. A 41.61% stake in a company marked at USD 1.4 bn is worth 79% of GB Corp’s entire market capitalisation — either the market applies a private-mark discount this study’s 10% does not capture, or GB Corp is mispriced. The bear case in §1.5 reflects the former through a much heavier discount on the stake; the base case takes the stated number at the round’s valuation. §7 returns to this as the study’s central open question.</w:t>
      </w:r>
    </w:p>
    <w:p>
      <w:pPr>
        <w:spacing w:after="80" w:before="200"/>
      </w:pPr>
      <w:r>
        <w:rPr>
          <w:b/>
          <w:i w:val="0"/>
          <w:color w:val="1C3A36"/>
          <w:sz w:val="24"/>
        </w:rPr>
        <w:t>1.2  The Auto-leg cash-flow model</w:t>
      </w:r>
    </w:p>
    <w:p>
      <w:pPr>
        <w:spacing w:after="120" w:before="0"/>
      </w:pPr>
      <w:r>
        <w:rPr>
          <w:b w:val="0"/>
          <w:i w:val="0"/>
          <w:color w:val="1C3A36"/>
          <w:sz w:val="21"/>
        </w:rPr>
        <w:t>The Auto leg is built bottom-up on disclosed units × average selling price per line of business: volumes and revenue are published per line, so the price is arithmetic rather than an assumption, and the driver table is in §1.6 and Appendix A. Gross margin opens at 13.80% and settles at 14.50%; selling and administrative cost holds near 7.3% of revenue; capital expenditure follows the EGP 3,000 mn guided for the first year and then normalises; and the crux — net working capital — glides from 26.5% of revenue to 21.5% as the payables re-extension completes and the Sadat stock build unwinds. The cost of capital is not one crisis rate held for ever: it is a schedule, built through the house cost-of-capital module from a normalised risk-free rate of 19.59%, a regression beta of 0.8907 and an equity risk premium of 9.41%, gliding from 22.88% in the first forecast year to a norm-built terminal of 14.18%. Terminal growth is stored as a REAL rate of 0.0% on the house Egyptian inflation path and recomputes to 7.00% nominal; it is not a typed nominal figure. §1.8 carries the whole build.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3024"/>
            <w:shd w:val="clear" w:color="auto" w:fill="EAF0EE"/>
          </w:tcPr>
          <w:p>
            <w:pPr>
              <w:spacing w:after="20"/>
            </w:pPr>
            <w:r>
              <w:rPr>
                <w:b/>
                <w:color w:val="1C3A36"/>
                <w:sz w:val="17"/>
              </w:rPr>
              <w:t>EGP mn</w:t>
            </w:r>
          </w:p>
        </w:tc>
        <w:tc>
          <w:tcPr>
            <w:tcW w:type="dxa" w:w="1440"/>
            <w:shd w:val="clear" w:color="auto" w:fill="EAF0EE"/>
          </w:tcPr>
          <w:p>
            <w:pPr>
              <w:spacing w:after="20"/>
            </w:pPr>
            <w:r>
              <w:rPr>
                <w:b/>
                <w:color w:val="1C3A36"/>
                <w:sz w:val="17"/>
              </w:rPr>
              <w:t>FY26E</w:t>
            </w:r>
          </w:p>
        </w:tc>
        <w:tc>
          <w:tcPr>
            <w:tcW w:type="dxa" w:w="1440"/>
            <w:shd w:val="clear" w:color="auto" w:fill="EAF0EE"/>
          </w:tcPr>
          <w:p>
            <w:pPr>
              <w:spacing w:after="20"/>
            </w:pPr>
            <w:r>
              <w:rPr>
                <w:b/>
                <w:color w:val="1C3A36"/>
                <w:sz w:val="17"/>
              </w:rPr>
              <w:t>FY27E</w:t>
            </w:r>
          </w:p>
        </w:tc>
        <w:tc>
          <w:tcPr>
            <w:tcW w:type="dxa" w:w="1440"/>
            <w:shd w:val="clear" w:color="auto" w:fill="EAF0EE"/>
          </w:tcPr>
          <w:p>
            <w:pPr>
              <w:spacing w:after="20"/>
            </w:pPr>
            <w:r>
              <w:rPr>
                <w:b/>
                <w:color w:val="1C3A36"/>
                <w:sz w:val="17"/>
              </w:rPr>
              <w:t>FY28E</w:t>
            </w:r>
          </w:p>
        </w:tc>
        <w:tc>
          <w:tcPr>
            <w:tcW w:type="dxa" w:w="1440"/>
            <w:shd w:val="clear" w:color="auto" w:fill="EAF0EE"/>
          </w:tcPr>
          <w:p>
            <w:pPr>
              <w:spacing w:after="20"/>
            </w:pPr>
            <w:r>
              <w:rPr>
                <w:b/>
                <w:color w:val="1C3A36"/>
                <w:sz w:val="17"/>
              </w:rPr>
              <w:t>FY29E</w:t>
            </w:r>
          </w:p>
        </w:tc>
        <w:tc>
          <w:tcPr>
            <w:tcW w:type="dxa" w:w="1440"/>
            <w:shd w:val="clear" w:color="auto" w:fill="EAF0EE"/>
          </w:tcPr>
          <w:p>
            <w:pPr>
              <w:spacing w:after="20"/>
            </w:pPr>
            <w:r>
              <w:rPr>
                <w:b/>
                <w:color w:val="1C3A36"/>
                <w:sz w:val="17"/>
              </w:rPr>
              <w:t>FY30E</w:t>
            </w:r>
          </w:p>
        </w:tc>
      </w:tr>
      <w:tr>
        <w:tc>
          <w:tcPr>
            <w:tcW w:type="dxa" w:w="3024"/>
          </w:tcPr>
          <w:p>
            <w:pPr>
              <w:spacing w:after="20"/>
            </w:pPr>
            <w:r>
              <w:rPr>
                <w:b/>
                <w:color w:val="1C3A36"/>
                <w:sz w:val="17"/>
              </w:rPr>
              <w:t>Auto revenue</w:t>
            </w:r>
          </w:p>
        </w:tc>
        <w:tc>
          <w:tcPr>
            <w:tcW w:type="dxa" w:w="1440"/>
          </w:tcPr>
          <w:p>
            <w:pPr>
              <w:spacing w:after="20"/>
              <w:jc w:val="right"/>
            </w:pPr>
            <w:r>
              <w:rPr>
                <w:color w:val="1C3A36"/>
                <w:sz w:val="17"/>
              </w:rPr>
              <w:t>78,550</w:t>
            </w:r>
          </w:p>
        </w:tc>
        <w:tc>
          <w:tcPr>
            <w:tcW w:type="dxa" w:w="1440"/>
          </w:tcPr>
          <w:p>
            <w:pPr>
              <w:spacing w:after="20"/>
              <w:jc w:val="right"/>
            </w:pPr>
            <w:r>
              <w:rPr>
                <w:color w:val="1C3A36"/>
                <w:sz w:val="17"/>
              </w:rPr>
              <w:t>95,736</w:t>
            </w:r>
          </w:p>
        </w:tc>
        <w:tc>
          <w:tcPr>
            <w:tcW w:type="dxa" w:w="1440"/>
          </w:tcPr>
          <w:p>
            <w:pPr>
              <w:spacing w:after="20"/>
              <w:jc w:val="right"/>
            </w:pPr>
            <w:r>
              <w:rPr>
                <w:color w:val="1C3A36"/>
                <w:sz w:val="17"/>
              </w:rPr>
              <w:t>112,459</w:t>
            </w:r>
          </w:p>
        </w:tc>
        <w:tc>
          <w:tcPr>
            <w:tcW w:type="dxa" w:w="1440"/>
          </w:tcPr>
          <w:p>
            <w:pPr>
              <w:spacing w:after="20"/>
              <w:jc w:val="right"/>
            </w:pPr>
            <w:r>
              <w:rPr>
                <w:color w:val="1C3A36"/>
                <w:sz w:val="17"/>
              </w:rPr>
              <w:t>128,714</w:t>
            </w:r>
          </w:p>
        </w:tc>
        <w:tc>
          <w:tcPr>
            <w:tcW w:type="dxa" w:w="1440"/>
          </w:tcPr>
          <w:p>
            <w:pPr>
              <w:spacing w:after="20"/>
              <w:jc w:val="right"/>
            </w:pPr>
            <w:r>
              <w:rPr>
                <w:color w:val="1C3A36"/>
                <w:sz w:val="17"/>
              </w:rPr>
              <w:t>144,761</w:t>
            </w:r>
          </w:p>
        </w:tc>
      </w:tr>
      <w:tr>
        <w:tc>
          <w:tcPr>
            <w:tcW w:type="dxa" w:w="3024"/>
          </w:tcPr>
          <w:p>
            <w:pPr>
              <w:spacing w:after="20"/>
            </w:pPr>
            <w:r>
              <w:rPr>
                <w:b/>
                <w:color w:val="1C3A36"/>
                <w:sz w:val="17"/>
              </w:rPr>
              <w:t>Operating profit before depreciation</w:t>
            </w:r>
          </w:p>
        </w:tc>
        <w:tc>
          <w:tcPr>
            <w:tcW w:type="dxa" w:w="1440"/>
          </w:tcPr>
          <w:p>
            <w:pPr>
              <w:spacing w:after="20"/>
              <w:jc w:val="right"/>
            </w:pPr>
            <w:r>
              <w:rPr>
                <w:color w:val="1C3A36"/>
                <w:sz w:val="17"/>
              </w:rPr>
              <w:t>6,677</w:t>
            </w:r>
          </w:p>
        </w:tc>
        <w:tc>
          <w:tcPr>
            <w:tcW w:type="dxa" w:w="1440"/>
          </w:tcPr>
          <w:p>
            <w:pPr>
              <w:spacing w:after="20"/>
              <w:jc w:val="right"/>
            </w:pPr>
            <w:r>
              <w:rPr>
                <w:color w:val="1C3A36"/>
                <w:sz w:val="17"/>
              </w:rPr>
              <w:t>8,616</w:t>
            </w:r>
          </w:p>
        </w:tc>
        <w:tc>
          <w:tcPr>
            <w:tcW w:type="dxa" w:w="1440"/>
          </w:tcPr>
          <w:p>
            <w:pPr>
              <w:spacing w:after="20"/>
              <w:jc w:val="right"/>
            </w:pPr>
            <w:r>
              <w:rPr>
                <w:color w:val="1C3A36"/>
                <w:sz w:val="17"/>
              </w:rPr>
              <w:t>10,571</w:t>
            </w:r>
          </w:p>
        </w:tc>
        <w:tc>
          <w:tcPr>
            <w:tcW w:type="dxa" w:w="1440"/>
          </w:tcPr>
          <w:p>
            <w:pPr>
              <w:spacing w:after="20"/>
              <w:jc w:val="right"/>
            </w:pPr>
            <w:r>
              <w:rPr>
                <w:color w:val="1C3A36"/>
                <w:sz w:val="17"/>
              </w:rPr>
              <w:t>12,228</w:t>
            </w:r>
          </w:p>
        </w:tc>
        <w:tc>
          <w:tcPr>
            <w:tcW w:type="dxa" w:w="1440"/>
          </w:tcPr>
          <w:p>
            <w:pPr>
              <w:spacing w:after="20"/>
              <w:jc w:val="right"/>
            </w:pPr>
            <w:r>
              <w:rPr>
                <w:color w:val="1C3A36"/>
                <w:sz w:val="17"/>
              </w:rPr>
              <w:t>13,752</w:t>
            </w:r>
          </w:p>
        </w:tc>
      </w:tr>
      <w:tr>
        <w:tc>
          <w:tcPr>
            <w:tcW w:type="dxa" w:w="3024"/>
          </w:tcPr>
          <w:p>
            <w:pPr>
              <w:spacing w:after="20"/>
            </w:pPr>
            <w:r>
              <w:rPr>
                <w:b/>
                <w:color w:val="1C3A36"/>
                <w:sz w:val="17"/>
              </w:rPr>
              <w:t>Depreciation &amp; amortisation</w:t>
            </w:r>
          </w:p>
        </w:tc>
        <w:tc>
          <w:tcPr>
            <w:tcW w:type="dxa" w:w="1440"/>
          </w:tcPr>
          <w:p>
            <w:pPr>
              <w:spacing w:after="20"/>
              <w:jc w:val="right"/>
            </w:pPr>
            <w:r>
              <w:rPr>
                <w:color w:val="1C3A36"/>
                <w:sz w:val="17"/>
              </w:rPr>
              <w:t>(864)</w:t>
            </w:r>
          </w:p>
        </w:tc>
        <w:tc>
          <w:tcPr>
            <w:tcW w:type="dxa" w:w="1440"/>
          </w:tcPr>
          <w:p>
            <w:pPr>
              <w:spacing w:after="20"/>
              <w:jc w:val="right"/>
            </w:pPr>
            <w:r>
              <w:rPr>
                <w:color w:val="1C3A36"/>
                <w:sz w:val="17"/>
              </w:rPr>
              <w:t>(1,053)</w:t>
            </w:r>
          </w:p>
        </w:tc>
        <w:tc>
          <w:tcPr>
            <w:tcW w:type="dxa" w:w="1440"/>
          </w:tcPr>
          <w:p>
            <w:pPr>
              <w:spacing w:after="20"/>
              <w:jc w:val="right"/>
            </w:pPr>
            <w:r>
              <w:rPr>
                <w:color w:val="1C3A36"/>
                <w:sz w:val="17"/>
              </w:rPr>
              <w:t>(1,237)</w:t>
            </w:r>
          </w:p>
        </w:tc>
        <w:tc>
          <w:tcPr>
            <w:tcW w:type="dxa" w:w="1440"/>
          </w:tcPr>
          <w:p>
            <w:pPr>
              <w:spacing w:after="20"/>
              <w:jc w:val="right"/>
            </w:pPr>
            <w:r>
              <w:rPr>
                <w:color w:val="1C3A36"/>
                <w:sz w:val="17"/>
              </w:rPr>
              <w:t>(1,416)</w:t>
            </w:r>
          </w:p>
        </w:tc>
        <w:tc>
          <w:tcPr>
            <w:tcW w:type="dxa" w:w="1440"/>
          </w:tcPr>
          <w:p>
            <w:pPr>
              <w:spacing w:after="20"/>
              <w:jc w:val="right"/>
            </w:pPr>
            <w:r>
              <w:rPr>
                <w:color w:val="1C3A36"/>
                <w:sz w:val="17"/>
              </w:rPr>
              <w:t>(1,592)</w:t>
            </w:r>
          </w:p>
        </w:tc>
      </w:tr>
      <w:tr>
        <w:tc>
          <w:tcPr>
            <w:tcW w:type="dxa" w:w="3024"/>
          </w:tcPr>
          <w:p>
            <w:pPr>
              <w:spacing w:after="20"/>
            </w:pPr>
            <w:r>
              <w:rPr>
                <w:b/>
                <w:color w:val="1C3A36"/>
                <w:sz w:val="17"/>
              </w:rPr>
              <w:t>Operating profit</w:t>
            </w:r>
          </w:p>
        </w:tc>
        <w:tc>
          <w:tcPr>
            <w:tcW w:type="dxa" w:w="1440"/>
          </w:tcPr>
          <w:p>
            <w:pPr>
              <w:spacing w:after="20"/>
              <w:jc w:val="right"/>
            </w:pPr>
            <w:r>
              <w:rPr>
                <w:color w:val="1C3A36"/>
                <w:sz w:val="17"/>
              </w:rPr>
              <w:t>5,813</w:t>
            </w:r>
          </w:p>
        </w:tc>
        <w:tc>
          <w:tcPr>
            <w:tcW w:type="dxa" w:w="1440"/>
          </w:tcPr>
          <w:p>
            <w:pPr>
              <w:spacing w:after="20"/>
              <w:jc w:val="right"/>
            </w:pPr>
            <w:r>
              <w:rPr>
                <w:color w:val="1C3A36"/>
                <w:sz w:val="17"/>
              </w:rPr>
              <w:t>7,563</w:t>
            </w:r>
          </w:p>
        </w:tc>
        <w:tc>
          <w:tcPr>
            <w:tcW w:type="dxa" w:w="1440"/>
          </w:tcPr>
          <w:p>
            <w:pPr>
              <w:spacing w:after="20"/>
              <w:jc w:val="right"/>
            </w:pPr>
            <w:r>
              <w:rPr>
                <w:color w:val="1C3A36"/>
                <w:sz w:val="17"/>
              </w:rPr>
              <w:t>9,334</w:t>
            </w:r>
          </w:p>
        </w:tc>
        <w:tc>
          <w:tcPr>
            <w:tcW w:type="dxa" w:w="1440"/>
          </w:tcPr>
          <w:p>
            <w:pPr>
              <w:spacing w:after="20"/>
              <w:jc w:val="right"/>
            </w:pPr>
            <w:r>
              <w:rPr>
                <w:color w:val="1C3A36"/>
                <w:sz w:val="17"/>
              </w:rPr>
              <w:t>10,812</w:t>
            </w:r>
          </w:p>
        </w:tc>
        <w:tc>
          <w:tcPr>
            <w:tcW w:type="dxa" w:w="1440"/>
          </w:tcPr>
          <w:p>
            <w:pPr>
              <w:spacing w:after="20"/>
              <w:jc w:val="right"/>
            </w:pPr>
            <w:r>
              <w:rPr>
                <w:color w:val="1C3A36"/>
                <w:sz w:val="17"/>
              </w:rPr>
              <w:t>12,160</w:t>
            </w:r>
          </w:p>
        </w:tc>
      </w:tr>
      <w:tr>
        <w:tc>
          <w:tcPr>
            <w:tcW w:type="dxa" w:w="3024"/>
          </w:tcPr>
          <w:p>
            <w:pPr>
              <w:spacing w:after="20"/>
            </w:pPr>
            <w:r>
              <w:rPr>
                <w:b/>
                <w:color w:val="1C3A36"/>
                <w:sz w:val="17"/>
              </w:rPr>
              <w:t>Operating profit after tax at 28%</w:t>
            </w:r>
          </w:p>
        </w:tc>
        <w:tc>
          <w:tcPr>
            <w:tcW w:type="dxa" w:w="1440"/>
          </w:tcPr>
          <w:p>
            <w:pPr>
              <w:spacing w:after="20"/>
              <w:jc w:val="right"/>
            </w:pPr>
            <w:r>
              <w:rPr>
                <w:color w:val="1C3A36"/>
                <w:sz w:val="17"/>
              </w:rPr>
              <w:t>4,185</w:t>
            </w:r>
          </w:p>
        </w:tc>
        <w:tc>
          <w:tcPr>
            <w:tcW w:type="dxa" w:w="1440"/>
          </w:tcPr>
          <w:p>
            <w:pPr>
              <w:spacing w:after="20"/>
              <w:jc w:val="right"/>
            </w:pPr>
            <w:r>
              <w:rPr>
                <w:color w:val="1C3A36"/>
                <w:sz w:val="17"/>
              </w:rPr>
              <w:t>5,445</w:t>
            </w:r>
          </w:p>
        </w:tc>
        <w:tc>
          <w:tcPr>
            <w:tcW w:type="dxa" w:w="1440"/>
          </w:tcPr>
          <w:p>
            <w:pPr>
              <w:spacing w:after="20"/>
              <w:jc w:val="right"/>
            </w:pPr>
            <w:r>
              <w:rPr>
                <w:color w:val="1C3A36"/>
                <w:sz w:val="17"/>
              </w:rPr>
              <w:t>6,721</w:t>
            </w:r>
          </w:p>
        </w:tc>
        <w:tc>
          <w:tcPr>
            <w:tcW w:type="dxa" w:w="1440"/>
          </w:tcPr>
          <w:p>
            <w:pPr>
              <w:spacing w:after="20"/>
              <w:jc w:val="right"/>
            </w:pPr>
            <w:r>
              <w:rPr>
                <w:color w:val="1C3A36"/>
                <w:sz w:val="17"/>
              </w:rPr>
              <w:t>7,785</w:t>
            </w:r>
          </w:p>
        </w:tc>
        <w:tc>
          <w:tcPr>
            <w:tcW w:type="dxa" w:w="1440"/>
          </w:tcPr>
          <w:p>
            <w:pPr>
              <w:spacing w:after="20"/>
              <w:jc w:val="right"/>
            </w:pPr>
            <w:r>
              <w:rPr>
                <w:color w:val="1C3A36"/>
                <w:sz w:val="17"/>
              </w:rPr>
              <w:t>8,755</w:t>
            </w:r>
          </w:p>
        </w:tc>
      </w:tr>
      <w:tr>
        <w:tc>
          <w:tcPr>
            <w:tcW w:type="dxa" w:w="3024"/>
          </w:tcPr>
          <w:p>
            <w:pPr>
              <w:spacing w:after="20"/>
            </w:pPr>
            <w:r>
              <w:rPr>
                <w:b/>
                <w:color w:val="1C3A36"/>
                <w:sz w:val="17"/>
              </w:rPr>
              <w:t>+ Depreciation &amp; amortisation</w:t>
            </w:r>
          </w:p>
        </w:tc>
        <w:tc>
          <w:tcPr>
            <w:tcW w:type="dxa" w:w="1440"/>
          </w:tcPr>
          <w:p>
            <w:pPr>
              <w:spacing w:after="20"/>
              <w:jc w:val="right"/>
            </w:pPr>
            <w:r>
              <w:rPr>
                <w:color w:val="1C3A36"/>
                <w:sz w:val="17"/>
              </w:rPr>
              <w:t>864</w:t>
            </w:r>
          </w:p>
        </w:tc>
        <w:tc>
          <w:tcPr>
            <w:tcW w:type="dxa" w:w="1440"/>
          </w:tcPr>
          <w:p>
            <w:pPr>
              <w:spacing w:after="20"/>
              <w:jc w:val="right"/>
            </w:pPr>
            <w:r>
              <w:rPr>
                <w:color w:val="1C3A36"/>
                <w:sz w:val="17"/>
              </w:rPr>
              <w:t>1,053</w:t>
            </w:r>
          </w:p>
        </w:tc>
        <w:tc>
          <w:tcPr>
            <w:tcW w:type="dxa" w:w="1440"/>
          </w:tcPr>
          <w:p>
            <w:pPr>
              <w:spacing w:after="20"/>
              <w:jc w:val="right"/>
            </w:pPr>
            <w:r>
              <w:rPr>
                <w:color w:val="1C3A36"/>
                <w:sz w:val="17"/>
              </w:rPr>
              <w:t>1,237</w:t>
            </w:r>
          </w:p>
        </w:tc>
        <w:tc>
          <w:tcPr>
            <w:tcW w:type="dxa" w:w="1440"/>
          </w:tcPr>
          <w:p>
            <w:pPr>
              <w:spacing w:after="20"/>
              <w:jc w:val="right"/>
            </w:pPr>
            <w:r>
              <w:rPr>
                <w:color w:val="1C3A36"/>
                <w:sz w:val="17"/>
              </w:rPr>
              <w:t>1,416</w:t>
            </w:r>
          </w:p>
        </w:tc>
        <w:tc>
          <w:tcPr>
            <w:tcW w:type="dxa" w:w="1440"/>
          </w:tcPr>
          <w:p>
            <w:pPr>
              <w:spacing w:after="20"/>
              <w:jc w:val="right"/>
            </w:pPr>
            <w:r>
              <w:rPr>
                <w:color w:val="1C3A36"/>
                <w:sz w:val="17"/>
              </w:rPr>
              <w:t>1,592</w:t>
            </w:r>
          </w:p>
        </w:tc>
      </w:tr>
      <w:tr>
        <w:tc>
          <w:tcPr>
            <w:tcW w:type="dxa" w:w="3024"/>
          </w:tcPr>
          <w:p>
            <w:pPr>
              <w:spacing w:after="20"/>
            </w:pPr>
            <w:r>
              <w:rPr>
                <w:b/>
                <w:color w:val="1C3A36"/>
                <w:sz w:val="17"/>
              </w:rPr>
              <w:t>− Capital expenditure</w:t>
            </w:r>
          </w:p>
        </w:tc>
        <w:tc>
          <w:tcPr>
            <w:tcW w:type="dxa" w:w="1440"/>
          </w:tcPr>
          <w:p>
            <w:pPr>
              <w:spacing w:after="20"/>
              <w:jc w:val="right"/>
            </w:pPr>
            <w:r>
              <w:rPr>
                <w:color w:val="1C3A36"/>
                <w:sz w:val="17"/>
              </w:rPr>
              <w:t>(3,000)</w:t>
            </w:r>
          </w:p>
        </w:tc>
        <w:tc>
          <w:tcPr>
            <w:tcW w:type="dxa" w:w="1440"/>
          </w:tcPr>
          <w:p>
            <w:pPr>
              <w:spacing w:after="20"/>
              <w:jc w:val="right"/>
            </w:pPr>
            <w:r>
              <w:rPr>
                <w:color w:val="1C3A36"/>
                <w:sz w:val="17"/>
              </w:rPr>
              <w:t>(2,400)</w:t>
            </w:r>
          </w:p>
        </w:tc>
        <w:tc>
          <w:tcPr>
            <w:tcW w:type="dxa" w:w="1440"/>
          </w:tcPr>
          <w:p>
            <w:pPr>
              <w:spacing w:after="20"/>
              <w:jc w:val="right"/>
            </w:pPr>
            <w:r>
              <w:rPr>
                <w:color w:val="1C3A36"/>
                <w:sz w:val="17"/>
              </w:rPr>
              <w:t>(2,500)</w:t>
            </w:r>
          </w:p>
        </w:tc>
        <w:tc>
          <w:tcPr>
            <w:tcW w:type="dxa" w:w="1440"/>
          </w:tcPr>
          <w:p>
            <w:pPr>
              <w:spacing w:after="20"/>
              <w:jc w:val="right"/>
            </w:pPr>
            <w:r>
              <w:rPr>
                <w:color w:val="1C3A36"/>
                <w:sz w:val="17"/>
              </w:rPr>
              <w:t>(2,600)</w:t>
            </w:r>
          </w:p>
        </w:tc>
        <w:tc>
          <w:tcPr>
            <w:tcW w:type="dxa" w:w="1440"/>
          </w:tcPr>
          <w:p>
            <w:pPr>
              <w:spacing w:after="20"/>
              <w:jc w:val="right"/>
            </w:pPr>
            <w:r>
              <w:rPr>
                <w:color w:val="1C3A36"/>
                <w:sz w:val="17"/>
              </w:rPr>
              <w:t>(2,800)</w:t>
            </w:r>
          </w:p>
        </w:tc>
      </w:tr>
      <w:tr>
        <w:tc>
          <w:tcPr>
            <w:tcW w:type="dxa" w:w="3024"/>
          </w:tcPr>
          <w:p>
            <w:pPr>
              <w:spacing w:after="20"/>
            </w:pPr>
            <w:r>
              <w:rPr>
                <w:b/>
                <w:color w:val="1C3A36"/>
                <w:sz w:val="17"/>
              </w:rPr>
              <w:t>− Change in working capital</w:t>
            </w:r>
          </w:p>
        </w:tc>
        <w:tc>
          <w:tcPr>
            <w:tcW w:type="dxa" w:w="1440"/>
          </w:tcPr>
          <w:p>
            <w:pPr>
              <w:spacing w:after="20"/>
              <w:jc w:val="right"/>
            </w:pPr>
            <w:r>
              <w:rPr>
                <w:color w:val="1C3A36"/>
                <w:sz w:val="17"/>
              </w:rPr>
              <w:t>(1,899)</w:t>
            </w:r>
          </w:p>
        </w:tc>
        <w:tc>
          <w:tcPr>
            <w:tcW w:type="dxa" w:w="1440"/>
          </w:tcPr>
          <w:p>
            <w:pPr>
              <w:spacing w:after="20"/>
              <w:jc w:val="right"/>
            </w:pPr>
            <w:r>
              <w:rPr>
                <w:color w:val="1C3A36"/>
                <w:sz w:val="17"/>
              </w:rPr>
              <w:t>(3,118)</w:t>
            </w:r>
          </w:p>
        </w:tc>
        <w:tc>
          <w:tcPr>
            <w:tcW w:type="dxa" w:w="1440"/>
          </w:tcPr>
          <w:p>
            <w:pPr>
              <w:spacing w:after="20"/>
              <w:jc w:val="right"/>
            </w:pPr>
            <w:r>
              <w:rPr>
                <w:color w:val="1C3A36"/>
                <w:sz w:val="17"/>
              </w:rPr>
              <w:t>(2,494)</w:t>
            </w:r>
          </w:p>
        </w:tc>
        <w:tc>
          <w:tcPr>
            <w:tcW w:type="dxa" w:w="1440"/>
          </w:tcPr>
          <w:p>
            <w:pPr>
              <w:spacing w:after="20"/>
              <w:jc w:val="right"/>
            </w:pPr>
            <w:r>
              <w:rPr>
                <w:color w:val="1C3A36"/>
                <w:sz w:val="17"/>
              </w:rPr>
              <w:t>(2,533)</w:t>
            </w:r>
          </w:p>
        </w:tc>
        <w:tc>
          <w:tcPr>
            <w:tcW w:type="dxa" w:w="1440"/>
          </w:tcPr>
          <w:p>
            <w:pPr>
              <w:spacing w:after="20"/>
              <w:jc w:val="right"/>
            </w:pPr>
            <w:r>
              <w:rPr>
                <w:color w:val="1C3A36"/>
                <w:sz w:val="17"/>
              </w:rPr>
              <w:t>(2,163)</w:t>
            </w:r>
          </w:p>
        </w:tc>
      </w:tr>
      <w:tr>
        <w:tc>
          <w:tcPr>
            <w:tcW w:type="dxa" w:w="3024"/>
          </w:tcPr>
          <w:p>
            <w:pPr>
              <w:spacing w:after="20"/>
            </w:pPr>
            <w:r>
              <w:rPr>
                <w:b/>
                <w:color w:val="1C3A36"/>
                <w:sz w:val="17"/>
              </w:rPr>
              <w:t>Free cash flow to the firm</w:t>
            </w:r>
          </w:p>
        </w:tc>
        <w:tc>
          <w:tcPr>
            <w:tcW w:type="dxa" w:w="1440"/>
          </w:tcPr>
          <w:p>
            <w:pPr>
              <w:spacing w:after="20"/>
              <w:jc w:val="right"/>
            </w:pPr>
            <w:r>
              <w:rPr>
                <w:color w:val="1C3A36"/>
                <w:sz w:val="17"/>
              </w:rPr>
              <w:t>151</w:t>
            </w:r>
          </w:p>
        </w:tc>
        <w:tc>
          <w:tcPr>
            <w:tcW w:type="dxa" w:w="1440"/>
          </w:tcPr>
          <w:p>
            <w:pPr>
              <w:spacing w:after="20"/>
              <w:jc w:val="right"/>
            </w:pPr>
            <w:r>
              <w:rPr>
                <w:color w:val="1C3A36"/>
                <w:sz w:val="17"/>
              </w:rPr>
              <w:t>980</w:t>
            </w:r>
          </w:p>
        </w:tc>
        <w:tc>
          <w:tcPr>
            <w:tcW w:type="dxa" w:w="1440"/>
          </w:tcPr>
          <w:p>
            <w:pPr>
              <w:spacing w:after="20"/>
              <w:jc w:val="right"/>
            </w:pPr>
            <w:r>
              <w:rPr>
                <w:color w:val="1C3A36"/>
                <w:sz w:val="17"/>
              </w:rPr>
              <w:t>2,964</w:t>
            </w:r>
          </w:p>
        </w:tc>
        <w:tc>
          <w:tcPr>
            <w:tcW w:type="dxa" w:w="1440"/>
          </w:tcPr>
          <w:p>
            <w:pPr>
              <w:spacing w:after="20"/>
              <w:jc w:val="right"/>
            </w:pPr>
            <w:r>
              <w:rPr>
                <w:color w:val="1C3A36"/>
                <w:sz w:val="17"/>
              </w:rPr>
              <w:t>4,068</w:t>
            </w:r>
          </w:p>
        </w:tc>
        <w:tc>
          <w:tcPr>
            <w:tcW w:type="dxa" w:w="1440"/>
          </w:tcPr>
          <w:p>
            <w:pPr>
              <w:spacing w:after="20"/>
              <w:jc w:val="right"/>
            </w:pPr>
            <w:r>
              <w:rPr>
                <w:color w:val="1C3A36"/>
                <w:sz w:val="17"/>
              </w:rPr>
              <w:t>5,384</w:t>
            </w:r>
          </w:p>
        </w:tc>
      </w:tr>
      <w:tr>
        <w:tc>
          <w:tcPr>
            <w:tcW w:type="dxa" w:w="3024"/>
          </w:tcPr>
          <w:p>
            <w:pPr>
              <w:spacing w:after="20"/>
            </w:pPr>
            <w:r>
              <w:rPr>
                <w:b/>
                <w:color w:val="1C3A36"/>
                <w:sz w:val="17"/>
              </w:rPr>
              <w:t>Discount factor</w:t>
            </w:r>
          </w:p>
        </w:tc>
        <w:tc>
          <w:tcPr>
            <w:tcW w:type="dxa" w:w="1440"/>
          </w:tcPr>
          <w:p>
            <w:pPr>
              <w:spacing w:after="20"/>
              <w:jc w:val="right"/>
            </w:pPr>
            <w:r>
              <w:rPr>
                <w:color w:val="1C3A36"/>
                <w:sz w:val="17"/>
              </w:rPr>
              <w:t>0.814</w:t>
            </w:r>
          </w:p>
        </w:tc>
        <w:tc>
          <w:tcPr>
            <w:tcW w:type="dxa" w:w="1440"/>
          </w:tcPr>
          <w:p>
            <w:pPr>
              <w:spacing w:after="20"/>
              <w:jc w:val="right"/>
            </w:pPr>
            <w:r>
              <w:rPr>
                <w:color w:val="1C3A36"/>
                <w:sz w:val="17"/>
              </w:rPr>
              <w:t>0.680</w:t>
            </w:r>
          </w:p>
        </w:tc>
        <w:tc>
          <w:tcPr>
            <w:tcW w:type="dxa" w:w="1440"/>
          </w:tcPr>
          <w:p>
            <w:pPr>
              <w:spacing w:after="20"/>
              <w:jc w:val="right"/>
            </w:pPr>
            <w:r>
              <w:rPr>
                <w:color w:val="1C3A36"/>
                <w:sz w:val="17"/>
              </w:rPr>
              <w:t>0.579</w:t>
            </w:r>
          </w:p>
        </w:tc>
        <w:tc>
          <w:tcPr>
            <w:tcW w:type="dxa" w:w="1440"/>
          </w:tcPr>
          <w:p>
            <w:pPr>
              <w:spacing w:after="20"/>
              <w:jc w:val="right"/>
            </w:pPr>
            <w:r>
              <w:rPr>
                <w:color w:val="1C3A36"/>
                <w:sz w:val="17"/>
              </w:rPr>
              <w:t>0.502</w:t>
            </w:r>
          </w:p>
        </w:tc>
        <w:tc>
          <w:tcPr>
            <w:tcW w:type="dxa" w:w="1440"/>
          </w:tcPr>
          <w:p>
            <w:pPr>
              <w:spacing w:after="20"/>
              <w:jc w:val="right"/>
            </w:pPr>
            <w:r>
              <w:rPr>
                <w:color w:val="1C3A36"/>
                <w:sz w:val="17"/>
              </w:rPr>
              <w:t>0.440</w:t>
            </w:r>
          </w:p>
        </w:tc>
      </w:tr>
      <w:tr>
        <w:tc>
          <w:tcPr>
            <w:tcW w:type="dxa" w:w="3024"/>
          </w:tcPr>
          <w:p>
            <w:pPr>
              <w:spacing w:after="20"/>
            </w:pPr>
            <w:r>
              <w:rPr>
                <w:b/>
                <w:color w:val="1C3A36"/>
                <w:sz w:val="17"/>
              </w:rPr>
              <w:t>Present value of free cash flow</w:t>
            </w:r>
          </w:p>
        </w:tc>
        <w:tc>
          <w:tcPr>
            <w:tcW w:type="dxa" w:w="1440"/>
          </w:tcPr>
          <w:p>
            <w:pPr>
              <w:spacing w:after="20"/>
              <w:jc w:val="right"/>
            </w:pPr>
            <w:r>
              <w:rPr>
                <w:color w:val="1C3A36"/>
                <w:sz w:val="17"/>
              </w:rPr>
              <w:t>123</w:t>
            </w:r>
          </w:p>
        </w:tc>
        <w:tc>
          <w:tcPr>
            <w:tcW w:type="dxa" w:w="1440"/>
          </w:tcPr>
          <w:p>
            <w:pPr>
              <w:spacing w:after="20"/>
              <w:jc w:val="right"/>
            </w:pPr>
            <w:r>
              <w:rPr>
                <w:color w:val="1C3A36"/>
                <w:sz w:val="17"/>
              </w:rPr>
              <w:t>666</w:t>
            </w:r>
          </w:p>
        </w:tc>
        <w:tc>
          <w:tcPr>
            <w:tcW w:type="dxa" w:w="1440"/>
          </w:tcPr>
          <w:p>
            <w:pPr>
              <w:spacing w:after="20"/>
              <w:jc w:val="right"/>
            </w:pPr>
            <w:r>
              <w:rPr>
                <w:color w:val="1C3A36"/>
                <w:sz w:val="17"/>
              </w:rPr>
              <w:t>1,717</w:t>
            </w:r>
          </w:p>
        </w:tc>
        <w:tc>
          <w:tcPr>
            <w:tcW w:type="dxa" w:w="1440"/>
          </w:tcPr>
          <w:p>
            <w:pPr>
              <w:spacing w:after="20"/>
              <w:jc w:val="right"/>
            </w:pPr>
            <w:r>
              <w:rPr>
                <w:color w:val="1C3A36"/>
                <w:sz w:val="17"/>
              </w:rPr>
              <w:t>2,042</w:t>
            </w:r>
          </w:p>
        </w:tc>
        <w:tc>
          <w:tcPr>
            <w:tcW w:type="dxa" w:w="1440"/>
          </w:tcPr>
          <w:p>
            <w:pPr>
              <w:spacing w:after="20"/>
              <w:jc w:val="right"/>
            </w:pPr>
            <w:r>
              <w:rPr>
                <w:color w:val="1C3A36"/>
                <w:sz w:val="17"/>
              </w:rPr>
              <w:t>2,367</w:t>
            </w:r>
          </w:p>
        </w:tc>
      </w:tr>
    </w:tbl>
    <w:p>
      <w:pPr>
        <w:spacing w:after="40"/>
      </w:pPr>
    </w:p>
    <w:p>
      <w:pPr>
        <w:spacing w:after="200" w:before="0"/>
      </w:pPr>
      <w:r>
        <w:rPr>
          <w:b w:val="0"/>
          <w:i/>
          <w:color w:val="6E7B77"/>
          <w:sz w:val="17"/>
        </w:rPr>
        <w:t>The discount factors are the cost-of-capital schedule’s own cumulative factors, one forward rate per year; they are not a single rate compounded.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5760"/>
            <w:shd w:val="clear" w:color="auto" w:fill="EAF0EE"/>
          </w:tcPr>
          <w:p>
            <w:pPr>
              <w:spacing w:after="20"/>
            </w:pPr>
            <w:r>
              <w:rPr>
                <w:b/>
                <w:color w:val="1C3A36"/>
                <w:sz w:val="18"/>
              </w:rPr>
              <w:t>Bridge to the Auto leg’s equity value</w:t>
            </w:r>
          </w:p>
        </w:tc>
        <w:tc>
          <w:tcPr>
            <w:tcW w:type="dxa" w:w="2304"/>
            <w:shd w:val="clear" w:color="auto" w:fill="EAF0EE"/>
          </w:tcPr>
          <w:p>
            <w:pPr>
              <w:spacing w:after="20"/>
            </w:pPr>
            <w:r>
              <w:rPr>
                <w:b/>
                <w:color w:val="1C3A36"/>
                <w:sz w:val="18"/>
              </w:rPr>
              <w:t>EGP mn</w:t>
            </w:r>
          </w:p>
        </w:tc>
      </w:tr>
      <w:tr>
        <w:tc>
          <w:tcPr>
            <w:tcW w:type="dxa" w:w="5760"/>
          </w:tcPr>
          <w:p>
            <w:pPr>
              <w:spacing w:after="20"/>
            </w:pPr>
            <w:r>
              <w:rPr>
                <w:b/>
                <w:color w:val="1C3A36"/>
                <w:sz w:val="18"/>
              </w:rPr>
              <w:t>Σ present value of explicit free cash flow</w:t>
            </w:r>
          </w:p>
        </w:tc>
        <w:tc>
          <w:tcPr>
            <w:tcW w:type="dxa" w:w="2304"/>
          </w:tcPr>
          <w:p>
            <w:pPr>
              <w:spacing w:after="20"/>
              <w:jc w:val="right"/>
            </w:pPr>
            <w:r>
              <w:rPr>
                <w:color w:val="1C3A36"/>
                <w:sz w:val="18"/>
              </w:rPr>
              <w:t>6,915</w:t>
            </w:r>
          </w:p>
        </w:tc>
      </w:tr>
      <w:tr>
        <w:tc>
          <w:tcPr>
            <w:tcW w:type="dxa" w:w="5760"/>
          </w:tcPr>
          <w:p>
            <w:pPr>
              <w:spacing w:after="20"/>
            </w:pPr>
            <w:r>
              <w:rPr>
                <w:b/>
                <w:color w:val="1C3A36"/>
                <w:sz w:val="18"/>
              </w:rPr>
              <w:t>Terminal value at 7.00% nominal growth</w:t>
            </w:r>
          </w:p>
        </w:tc>
        <w:tc>
          <w:tcPr>
            <w:tcW w:type="dxa" w:w="2304"/>
          </w:tcPr>
          <w:p>
            <w:pPr>
              <w:spacing w:after="20"/>
              <w:jc w:val="right"/>
            </w:pPr>
            <w:r>
              <w:rPr>
                <w:color w:val="1C3A36"/>
                <w:sz w:val="18"/>
              </w:rPr>
              <w:t>80,285</w:t>
            </w:r>
          </w:p>
        </w:tc>
      </w:tr>
      <w:tr>
        <w:tc>
          <w:tcPr>
            <w:tcW w:type="dxa" w:w="5760"/>
          </w:tcPr>
          <w:p>
            <w:pPr>
              <w:spacing w:after="20"/>
            </w:pPr>
            <w:r>
              <w:rPr>
                <w:b/>
                <w:color w:val="1C3A36"/>
                <w:sz w:val="18"/>
              </w:rPr>
              <w:t>Present value of the terminal value</w:t>
            </w:r>
          </w:p>
        </w:tc>
        <w:tc>
          <w:tcPr>
            <w:tcW w:type="dxa" w:w="2304"/>
          </w:tcPr>
          <w:p>
            <w:pPr>
              <w:spacing w:after="20"/>
              <w:jc w:val="right"/>
            </w:pPr>
            <w:r>
              <w:rPr>
                <w:color w:val="1C3A36"/>
                <w:sz w:val="18"/>
              </w:rPr>
              <w:t>35,297</w:t>
            </w:r>
          </w:p>
        </w:tc>
      </w:tr>
      <w:tr>
        <w:tc>
          <w:tcPr>
            <w:tcW w:type="dxa" w:w="5760"/>
          </w:tcPr>
          <w:p>
            <w:pPr>
              <w:spacing w:after="20"/>
            </w:pPr>
            <w:r>
              <w:rPr>
                <w:b/>
                <w:color w:val="1C3A36"/>
                <w:sz w:val="18"/>
              </w:rPr>
              <w:t>Enterprise value — Auto leg</w:t>
            </w:r>
          </w:p>
        </w:tc>
        <w:tc>
          <w:tcPr>
            <w:tcW w:type="dxa" w:w="2304"/>
          </w:tcPr>
          <w:p>
            <w:pPr>
              <w:spacing w:after="20"/>
              <w:jc w:val="right"/>
            </w:pPr>
            <w:r>
              <w:rPr>
                <w:color w:val="1C3A36"/>
                <w:sz w:val="18"/>
              </w:rPr>
              <w:t>42,212</w:t>
            </w:r>
          </w:p>
        </w:tc>
      </w:tr>
      <w:tr>
        <w:tc>
          <w:tcPr>
            <w:tcW w:type="dxa" w:w="5760"/>
          </w:tcPr>
          <w:p>
            <w:pPr>
              <w:spacing w:after="20"/>
            </w:pPr>
            <w:r>
              <w:rPr>
                <w:b/>
                <w:color w:val="1C3A36"/>
                <w:sz w:val="18"/>
              </w:rPr>
              <w:t>Terminal value as a share of enterprise value</w:t>
            </w:r>
          </w:p>
        </w:tc>
        <w:tc>
          <w:tcPr>
            <w:tcW w:type="dxa" w:w="2304"/>
          </w:tcPr>
          <w:p>
            <w:pPr>
              <w:spacing w:after="20"/>
              <w:jc w:val="right"/>
            </w:pPr>
            <w:r>
              <w:rPr>
                <w:color w:val="1C3A36"/>
                <w:sz w:val="18"/>
              </w:rPr>
              <w:t>84%</w:t>
            </w:r>
          </w:p>
        </w:tc>
      </w:tr>
      <w:tr>
        <w:tc>
          <w:tcPr>
            <w:tcW w:type="dxa" w:w="5760"/>
          </w:tcPr>
          <w:p>
            <w:pPr>
              <w:spacing w:after="20"/>
            </w:pPr>
            <w:r>
              <w:rPr>
                <w:b/>
                <w:color w:val="1C3A36"/>
                <w:sz w:val="18"/>
              </w:rPr>
              <w:t>less: Auto net debt</w:t>
            </w:r>
          </w:p>
        </w:tc>
        <w:tc>
          <w:tcPr>
            <w:tcW w:type="dxa" w:w="2304"/>
          </w:tcPr>
          <w:p>
            <w:pPr>
              <w:spacing w:after="20"/>
              <w:jc w:val="right"/>
            </w:pPr>
            <w:r>
              <w:rPr>
                <w:color w:val="1C3A36"/>
                <w:sz w:val="18"/>
              </w:rPr>
              <w:t>(14,624)</w:t>
            </w:r>
          </w:p>
        </w:tc>
      </w:tr>
      <w:tr>
        <w:tc>
          <w:tcPr>
            <w:tcW w:type="dxa" w:w="5760"/>
          </w:tcPr>
          <w:p>
            <w:pPr>
              <w:spacing w:after="20"/>
            </w:pPr>
            <w:r>
              <w:rPr>
                <w:b/>
                <w:color w:val="1C3A36"/>
                <w:sz w:val="18"/>
              </w:rPr>
              <w:t>less: Auto non-controlling interests</w:t>
            </w:r>
          </w:p>
        </w:tc>
        <w:tc>
          <w:tcPr>
            <w:tcW w:type="dxa" w:w="2304"/>
          </w:tcPr>
          <w:p>
            <w:pPr>
              <w:spacing w:after="20"/>
              <w:jc w:val="right"/>
            </w:pPr>
            <w:r>
              <w:rPr>
                <w:color w:val="1C3A36"/>
                <w:sz w:val="18"/>
              </w:rPr>
              <w:t>(591)</w:t>
            </w:r>
          </w:p>
        </w:tc>
      </w:tr>
      <w:tr>
        <w:tc>
          <w:tcPr>
            <w:tcW w:type="dxa" w:w="5760"/>
          </w:tcPr>
          <w:p>
            <w:pPr>
              <w:spacing w:after="20"/>
            </w:pPr>
            <w:r>
              <w:rPr>
                <w:b/>
                <w:color w:val="1C3A36"/>
                <w:sz w:val="18"/>
              </w:rPr>
              <w:t>Auto equity value</w:t>
            </w:r>
          </w:p>
        </w:tc>
        <w:tc>
          <w:tcPr>
            <w:tcW w:type="dxa" w:w="2304"/>
          </w:tcPr>
          <w:p>
            <w:pPr>
              <w:spacing w:after="20"/>
              <w:jc w:val="right"/>
            </w:pPr>
            <w:r>
              <w:rPr>
                <w:color w:val="1C3A36"/>
                <w:sz w:val="18"/>
              </w:rPr>
              <w:t>26,998</w:t>
            </w:r>
          </w:p>
        </w:tc>
      </w:tr>
    </w:tbl>
    <w:p>
      <w:pPr>
        <w:spacing w:after="40"/>
      </w:pPr>
    </w:p>
    <w:p>
      <w:pPr>
        <w:spacing w:after="120" w:before="0"/>
      </w:pPr>
      <w:r>
        <w:rPr>
          <w:b w:val="0"/>
          <w:i w:val="0"/>
          <w:color w:val="1C3A36"/>
          <w:sz w:val="21"/>
        </w:rPr>
        <w:t>Two honesty notes. First, 84% of the enterprise value sits in the terminal value — this is a growth-and-rates bet dressed as a five-year model, which is why §1.9 sensitises the discount-rate and terminal-growth grid rather than hiding it. Second, the explicit-period cash flow is thin in the first year (EGP 151 mn) precisely because growth consumes working capital; the value is in the steady state, not the ramp. Both are disclosed rather than blended away.</w:t>
      </w:r>
    </w:p>
    <w:p>
      <w:pPr>
        <w:spacing w:after="120" w:before="0"/>
      </w:pPr>
      <w:r>
        <w:rPr>
          <w:b w:val="0"/>
          <w:i w:val="0"/>
          <w:color w:val="1C3A36"/>
          <w:sz w:val="19"/>
        </w:rPr>
        <w:t>A third note, and it is a refusal rather than a caveat. The house standard is that a terminal rests on a DISCLOSED asset life, and no usable life could be sourced for this company: the accounting-policy note discloses rate RANGES by asset class rather than a scalar, and the identity route — recovering an implied life from the property, plant and equipment note — returns a span that depends on an undisclosed land split and produces per-class rates that contradict the disclosed bands. A life this desk chose would not be a disclosed life, so none was chosen; the terminal is carried on the construction described above and the refusal is recorded rather than papered over. Appendix B states what that leaves open.</w:t>
      </w:r>
    </w:p>
    <w:p>
      <w:pPr>
        <w:spacing w:after="80" w:before="200"/>
      </w:pPr>
      <w:r>
        <w:rPr>
          <w:b/>
          <w:i w:val="0"/>
          <w:color w:val="1C3A36"/>
          <w:sz w:val="24"/>
        </w:rPr>
        <w:t>1.3  Relative multiples</w:t>
      </w:r>
    </w:p>
    <w:p>
      <w:pPr>
        <w:spacing w:after="120" w:before="0"/>
      </w:pPr>
      <w:r>
        <w:rPr>
          <w:b w:val="0"/>
          <w:i w:val="0"/>
          <w:color w:val="1C3A36"/>
          <w:sz w:val="21"/>
        </w:rPr>
        <w:t>On the model's own forward build — group net profit attributable of EGP 3,300 mn in the first forecast year, earnings per share of EGP 3.04 — GB Corp trades at 9.5× forward earnings. A justified multiple for the blend — an emerging-market auto distributor plus a mid-teens-return non-bank lender, with an unlisted fintech kicker — is taken at 8.0–11.0×. The lens is marked on the forward earnings per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3744"/>
            <w:shd w:val="clear" w:color="auto" w:fill="EAF0EE"/>
          </w:tcPr>
          <w:p>
            <w:pPr>
              <w:spacing w:after="20"/>
            </w:pPr>
            <w:r>
              <w:rPr>
                <w:b/>
                <w:color w:val="1C3A36"/>
                <w:sz w:val="18"/>
              </w:rPr>
              <w:t>Relative basis</w:t>
            </w:r>
          </w:p>
        </w:tc>
        <w:tc>
          <w:tcPr>
            <w:tcW w:type="dxa" w:w="1872"/>
            <w:shd w:val="clear" w:color="auto" w:fill="EAF0EE"/>
          </w:tcPr>
          <w:p>
            <w:pPr>
              <w:spacing w:after="20"/>
            </w:pPr>
            <w:r>
              <w:rPr>
                <w:b/>
                <w:color w:val="1C3A36"/>
                <w:sz w:val="18"/>
              </w:rPr>
              <w:t>Bear</w:t>
            </w:r>
          </w:p>
        </w:tc>
        <w:tc>
          <w:tcPr>
            <w:tcW w:type="dxa" w:w="1872"/>
            <w:shd w:val="clear" w:color="auto" w:fill="EAF0EE"/>
          </w:tcPr>
          <w:p>
            <w:pPr>
              <w:spacing w:after="20"/>
            </w:pPr>
            <w:r>
              <w:rPr>
                <w:b/>
                <w:color w:val="1C3A36"/>
                <w:sz w:val="18"/>
              </w:rPr>
              <w:t>Base</w:t>
            </w:r>
          </w:p>
        </w:tc>
        <w:tc>
          <w:tcPr>
            <w:tcW w:type="dxa" w:w="1872"/>
            <w:shd w:val="clear" w:color="auto" w:fill="EAF0EE"/>
          </w:tcPr>
          <w:p>
            <w:pPr>
              <w:spacing w:after="20"/>
            </w:pPr>
            <w:r>
              <w:rPr>
                <w:b/>
                <w:color w:val="1C3A36"/>
                <w:sz w:val="18"/>
              </w:rPr>
              <w:t>Bull</w:t>
            </w:r>
          </w:p>
        </w:tc>
      </w:tr>
      <w:tr>
        <w:tc>
          <w:tcPr>
            <w:tcW w:type="dxa" w:w="3744"/>
          </w:tcPr>
          <w:p>
            <w:pPr>
              <w:spacing w:after="20"/>
            </w:pPr>
            <w:r>
              <w:rPr>
                <w:b/>
                <w:color w:val="1C3A36"/>
                <w:sz w:val="18"/>
              </w:rPr>
              <w:t>FY2026E net profit (EGP mn)</w:t>
            </w:r>
          </w:p>
        </w:tc>
        <w:tc>
          <w:tcPr>
            <w:tcW w:type="dxa" w:w="1872"/>
          </w:tcPr>
          <w:p>
            <w:pPr>
              <w:spacing w:after="20"/>
              <w:jc w:val="right"/>
            </w:pPr>
            <w:r>
              <w:rPr>
                <w:color w:val="1C3A36"/>
                <w:sz w:val="18"/>
              </w:rPr>
              <w:t>3,300</w:t>
            </w:r>
          </w:p>
        </w:tc>
        <w:tc>
          <w:tcPr>
            <w:tcW w:type="dxa" w:w="1872"/>
          </w:tcPr>
          <w:p>
            <w:pPr>
              <w:spacing w:after="20"/>
              <w:jc w:val="right"/>
            </w:pPr>
            <w:r>
              <w:rPr>
                <w:color w:val="1C3A36"/>
                <w:sz w:val="18"/>
              </w:rPr>
              <w:t>3,300</w:t>
            </w:r>
          </w:p>
        </w:tc>
        <w:tc>
          <w:tcPr>
            <w:tcW w:type="dxa" w:w="1872"/>
          </w:tcPr>
          <w:p>
            <w:pPr>
              <w:spacing w:after="20"/>
              <w:jc w:val="right"/>
            </w:pPr>
            <w:r>
              <w:rPr>
                <w:color w:val="1C3A36"/>
                <w:sz w:val="18"/>
              </w:rPr>
              <w:t>3,300</w:t>
            </w:r>
          </w:p>
        </w:tc>
      </w:tr>
      <w:tr>
        <w:tc>
          <w:tcPr>
            <w:tcW w:type="dxa" w:w="3744"/>
          </w:tcPr>
          <w:p>
            <w:pPr>
              <w:spacing w:after="20"/>
            </w:pPr>
            <w:r>
              <w:rPr>
                <w:b/>
                <w:color w:val="1C3A36"/>
                <w:sz w:val="18"/>
              </w:rPr>
              <w:t>Earnings per share (EGP)</w:t>
            </w:r>
          </w:p>
        </w:tc>
        <w:tc>
          <w:tcPr>
            <w:tcW w:type="dxa" w:w="1872"/>
          </w:tcPr>
          <w:p>
            <w:pPr>
              <w:spacing w:after="20"/>
              <w:jc w:val="right"/>
            </w:pPr>
            <w:r>
              <w:rPr>
                <w:color w:val="1C3A36"/>
                <w:sz w:val="18"/>
              </w:rPr>
              <w:t>3.04</w:t>
            </w:r>
          </w:p>
        </w:tc>
        <w:tc>
          <w:tcPr>
            <w:tcW w:type="dxa" w:w="1872"/>
          </w:tcPr>
          <w:p>
            <w:pPr>
              <w:spacing w:after="20"/>
              <w:jc w:val="right"/>
            </w:pPr>
            <w:r>
              <w:rPr>
                <w:color w:val="1C3A36"/>
                <w:sz w:val="18"/>
              </w:rPr>
              <w:t>3.04</w:t>
            </w:r>
          </w:p>
        </w:tc>
        <w:tc>
          <w:tcPr>
            <w:tcW w:type="dxa" w:w="1872"/>
          </w:tcPr>
          <w:p>
            <w:pPr>
              <w:spacing w:after="20"/>
              <w:jc w:val="right"/>
            </w:pPr>
            <w:r>
              <w:rPr>
                <w:color w:val="1C3A36"/>
                <w:sz w:val="18"/>
              </w:rPr>
              <w:t>3.04</w:t>
            </w:r>
          </w:p>
        </w:tc>
      </w:tr>
      <w:tr>
        <w:tc>
          <w:tcPr>
            <w:tcW w:type="dxa" w:w="3744"/>
          </w:tcPr>
          <w:p>
            <w:pPr>
              <w:spacing w:after="20"/>
            </w:pPr>
            <w:r>
              <w:rPr>
                <w:b/>
                <w:color w:val="1C3A36"/>
                <w:sz w:val="18"/>
              </w:rPr>
              <w:t>Justified multiple</w:t>
            </w:r>
          </w:p>
        </w:tc>
        <w:tc>
          <w:tcPr>
            <w:tcW w:type="dxa" w:w="1872"/>
          </w:tcPr>
          <w:p>
            <w:pPr>
              <w:spacing w:after="20"/>
              <w:jc w:val="right"/>
            </w:pPr>
            <w:r>
              <w:rPr>
                <w:color w:val="1C3A36"/>
                <w:sz w:val="18"/>
              </w:rPr>
              <w:t>8.0×</w:t>
            </w:r>
          </w:p>
        </w:tc>
        <w:tc>
          <w:tcPr>
            <w:tcW w:type="dxa" w:w="1872"/>
          </w:tcPr>
          <w:p>
            <w:pPr>
              <w:spacing w:after="20"/>
              <w:jc w:val="right"/>
            </w:pPr>
            <w:r>
              <w:rPr>
                <w:color w:val="1C3A36"/>
                <w:sz w:val="18"/>
              </w:rPr>
              <w:t>9.5×</w:t>
            </w:r>
          </w:p>
        </w:tc>
        <w:tc>
          <w:tcPr>
            <w:tcW w:type="dxa" w:w="1872"/>
          </w:tcPr>
          <w:p>
            <w:pPr>
              <w:spacing w:after="20"/>
              <w:jc w:val="right"/>
            </w:pPr>
            <w:r>
              <w:rPr>
                <w:color w:val="1C3A36"/>
                <w:sz w:val="18"/>
              </w:rPr>
              <w:t>11.0×</w:t>
            </w:r>
          </w:p>
        </w:tc>
      </w:tr>
      <w:tr>
        <w:tc>
          <w:tcPr>
            <w:tcW w:type="dxa" w:w="3744"/>
          </w:tcPr>
          <w:p>
            <w:pPr>
              <w:spacing w:after="20"/>
            </w:pPr>
            <w:r>
              <w:rPr>
                <w:b/>
                <w:color w:val="1C3A36"/>
                <w:sz w:val="18"/>
              </w:rPr>
              <w:t>Fair value (EGP/share)</w:t>
            </w:r>
          </w:p>
        </w:tc>
        <w:tc>
          <w:tcPr>
            <w:tcW w:type="dxa" w:w="1872"/>
          </w:tcPr>
          <w:p>
            <w:pPr>
              <w:spacing w:after="20"/>
              <w:jc w:val="right"/>
            </w:pPr>
            <w:r>
              <w:rPr>
                <w:color w:val="1C3A36"/>
                <w:sz w:val="18"/>
              </w:rPr>
              <w:t>24.32</w:t>
            </w:r>
          </w:p>
        </w:tc>
        <w:tc>
          <w:tcPr>
            <w:tcW w:type="dxa" w:w="1872"/>
          </w:tcPr>
          <w:p>
            <w:pPr>
              <w:spacing w:after="20"/>
              <w:jc w:val="right"/>
            </w:pPr>
            <w:r>
              <w:rPr>
                <w:color w:val="1C3A36"/>
                <w:sz w:val="18"/>
              </w:rPr>
              <w:t>28.88</w:t>
            </w:r>
          </w:p>
        </w:tc>
        <w:tc>
          <w:tcPr>
            <w:tcW w:type="dxa" w:w="1872"/>
          </w:tcPr>
          <w:p>
            <w:pPr>
              <w:spacing w:after="20"/>
              <w:jc w:val="right"/>
            </w:pPr>
            <w:r>
              <w:rPr>
                <w:color w:val="1C3A36"/>
                <w:sz w:val="18"/>
              </w:rPr>
              <w:t>33.44</w:t>
            </w:r>
          </w:p>
        </w:tc>
      </w:tr>
    </w:tbl>
    <w:p>
      <w:pPr>
        <w:spacing w:after="40"/>
      </w:pPr>
    </w:p>
    <w:p>
      <w:pPr>
        <w:spacing w:after="120" w:before="0"/>
      </w:pPr>
      <w:r>
        <w:rPr>
          <w:b/>
          <w:i w:val="0"/>
          <w:color w:val="1C3A36"/>
          <w:sz w:val="21"/>
        </w:rPr>
        <w:t>Relative base EGP 28.88</w:t>
      </w:r>
      <w:r>
        <w:rPr>
          <w:b w:val="0"/>
          <w:i w:val="0"/>
          <w:color w:val="1C3A36"/>
          <w:sz w:val="21"/>
        </w:rPr>
        <w:t xml:space="preserve"> — the most conservative read, -0% against the price, and probably where a sceptic anchors: it pays for this year’s earnings and gives nothing for the working-capital release or the associate stake.</w:t>
      </w:r>
    </w:p>
    <w:p>
      <w:pPr>
        <w:spacing w:after="80" w:before="200"/>
      </w:pPr>
      <w:r>
        <w:rPr>
          <w:b/>
          <w:i w:val="0"/>
          <w:color w:val="1C3A36"/>
          <w:sz w:val="24"/>
        </w:rPr>
        <w:t>1.4  Normalised earnings power — where this sits in the cycle</w:t>
      </w:r>
    </w:p>
    <w:p>
      <w:pPr>
        <w:spacing w:after="120" w:before="0"/>
      </w:pPr>
      <w:r>
        <w:rPr>
          <w:b w:val="0"/>
          <w:i w:val="0"/>
          <w:color w:val="1C3A36"/>
          <w:sz w:val="21"/>
        </w:rPr>
        <w:t>Cycle position first. The passenger-car volume disclosed for FY2025, 56,548 units, is 2.1 times the FY2023 figure of 26,994 — a recovery that is mid-cycle rather than late-cycle. Margins are past their peak, and the company's own filed record says so: group gross margin ran 24.31% in FY2023 and 19.48% in FY2024, both carrying an import-scarcity windfall, against 15.49% in FY2025; on the auto leg alone the reviewed half to 30 June 2026 ran 14.30%. Mid-cycle earnings power therefore blends recovering volumes with normalised margins at EGP 4,200 mn of group profit after tax, against the EGP 2,880.0 mn reported for FY2025.</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3744"/>
            <w:shd w:val="clear" w:color="auto" w:fill="EAF0EE"/>
          </w:tcPr>
          <w:p>
            <w:pPr>
              <w:spacing w:after="20"/>
            </w:pPr>
            <w:r>
              <w:rPr>
                <w:b/>
                <w:color w:val="1C3A36"/>
                <w:sz w:val="18"/>
              </w:rPr>
              <w:t>Normalised-earnings basis</w:t>
            </w:r>
          </w:p>
        </w:tc>
        <w:tc>
          <w:tcPr>
            <w:tcW w:type="dxa" w:w="1872"/>
            <w:shd w:val="clear" w:color="auto" w:fill="EAF0EE"/>
          </w:tcPr>
          <w:p>
            <w:pPr>
              <w:spacing w:after="20"/>
            </w:pPr>
            <w:r>
              <w:rPr>
                <w:b/>
                <w:color w:val="1C3A36"/>
                <w:sz w:val="18"/>
              </w:rPr>
              <w:t>Bear</w:t>
            </w:r>
          </w:p>
        </w:tc>
        <w:tc>
          <w:tcPr>
            <w:tcW w:type="dxa" w:w="1872"/>
            <w:shd w:val="clear" w:color="auto" w:fill="EAF0EE"/>
          </w:tcPr>
          <w:p>
            <w:pPr>
              <w:spacing w:after="20"/>
            </w:pPr>
            <w:r>
              <w:rPr>
                <w:b/>
                <w:color w:val="1C3A36"/>
                <w:sz w:val="18"/>
              </w:rPr>
              <w:t>Base</w:t>
            </w:r>
          </w:p>
        </w:tc>
        <w:tc>
          <w:tcPr>
            <w:tcW w:type="dxa" w:w="1872"/>
            <w:shd w:val="clear" w:color="auto" w:fill="EAF0EE"/>
          </w:tcPr>
          <w:p>
            <w:pPr>
              <w:spacing w:after="20"/>
            </w:pPr>
            <w:r>
              <w:rPr>
                <w:b/>
                <w:color w:val="1C3A36"/>
                <w:sz w:val="18"/>
              </w:rPr>
              <w:t>Bull</w:t>
            </w:r>
          </w:p>
        </w:tc>
      </w:tr>
      <w:tr>
        <w:tc>
          <w:tcPr>
            <w:tcW w:type="dxa" w:w="3744"/>
          </w:tcPr>
          <w:p>
            <w:pPr>
              <w:spacing w:after="20"/>
            </w:pPr>
            <w:r>
              <w:rPr>
                <w:b/>
                <w:color w:val="1C3A36"/>
                <w:sz w:val="18"/>
              </w:rPr>
              <w:t>Mid-cycle profit after tax (EGP mn)</w:t>
            </w:r>
          </w:p>
        </w:tc>
        <w:tc>
          <w:tcPr>
            <w:tcW w:type="dxa" w:w="1872"/>
          </w:tcPr>
          <w:p>
            <w:pPr>
              <w:spacing w:after="20"/>
              <w:jc w:val="right"/>
            </w:pPr>
            <w:r>
              <w:rPr>
                <w:color w:val="1C3A36"/>
                <w:sz w:val="18"/>
              </w:rPr>
              <w:t>3,600</w:t>
            </w:r>
          </w:p>
        </w:tc>
        <w:tc>
          <w:tcPr>
            <w:tcW w:type="dxa" w:w="1872"/>
          </w:tcPr>
          <w:p>
            <w:pPr>
              <w:spacing w:after="20"/>
              <w:jc w:val="right"/>
            </w:pPr>
            <w:r>
              <w:rPr>
                <w:color w:val="1C3A36"/>
                <w:sz w:val="18"/>
              </w:rPr>
              <w:t>4,200</w:t>
            </w:r>
          </w:p>
        </w:tc>
        <w:tc>
          <w:tcPr>
            <w:tcW w:type="dxa" w:w="1872"/>
          </w:tcPr>
          <w:p>
            <w:pPr>
              <w:spacing w:after="20"/>
              <w:jc w:val="right"/>
            </w:pPr>
            <w:r>
              <w:rPr>
                <w:color w:val="1C3A36"/>
                <w:sz w:val="18"/>
              </w:rPr>
              <w:t>4,800</w:t>
            </w:r>
          </w:p>
        </w:tc>
      </w:tr>
      <w:tr>
        <w:tc>
          <w:tcPr>
            <w:tcW w:type="dxa" w:w="3744"/>
          </w:tcPr>
          <w:p>
            <w:pPr>
              <w:spacing w:after="20"/>
            </w:pPr>
            <w:r>
              <w:rPr>
                <w:b/>
                <w:color w:val="1C3A36"/>
                <w:sz w:val="18"/>
              </w:rPr>
              <w:t>Earnings per share (EGP)</w:t>
            </w:r>
          </w:p>
        </w:tc>
        <w:tc>
          <w:tcPr>
            <w:tcW w:type="dxa" w:w="1872"/>
          </w:tcPr>
          <w:p>
            <w:pPr>
              <w:spacing w:after="20"/>
              <w:jc w:val="right"/>
            </w:pPr>
            <w:r>
              <w:rPr>
                <w:color w:val="1C3A36"/>
                <w:sz w:val="18"/>
              </w:rPr>
              <w:t>3.32</w:t>
            </w:r>
          </w:p>
        </w:tc>
        <w:tc>
          <w:tcPr>
            <w:tcW w:type="dxa" w:w="1872"/>
          </w:tcPr>
          <w:p>
            <w:pPr>
              <w:spacing w:after="20"/>
              <w:jc w:val="right"/>
            </w:pPr>
            <w:r>
              <w:rPr>
                <w:color w:val="1C3A36"/>
                <w:sz w:val="18"/>
              </w:rPr>
              <w:t>3.87</w:t>
            </w:r>
          </w:p>
        </w:tc>
        <w:tc>
          <w:tcPr>
            <w:tcW w:type="dxa" w:w="1872"/>
          </w:tcPr>
          <w:p>
            <w:pPr>
              <w:spacing w:after="20"/>
              <w:jc w:val="right"/>
            </w:pPr>
            <w:r>
              <w:rPr>
                <w:color w:val="1C3A36"/>
                <w:sz w:val="18"/>
              </w:rPr>
              <w:t>4.42</w:t>
            </w:r>
          </w:p>
        </w:tc>
      </w:tr>
      <w:tr>
        <w:tc>
          <w:tcPr>
            <w:tcW w:type="dxa" w:w="3744"/>
          </w:tcPr>
          <w:p>
            <w:pPr>
              <w:spacing w:after="20"/>
            </w:pPr>
            <w:r>
              <w:rPr>
                <w:b/>
                <w:color w:val="1C3A36"/>
                <w:sz w:val="18"/>
              </w:rPr>
              <w:t>Justified multiple</w:t>
            </w:r>
          </w:p>
        </w:tc>
        <w:tc>
          <w:tcPr>
            <w:tcW w:type="dxa" w:w="1872"/>
          </w:tcPr>
          <w:p>
            <w:pPr>
              <w:spacing w:after="20"/>
              <w:jc w:val="right"/>
            </w:pPr>
            <w:r>
              <w:rPr>
                <w:color w:val="1C3A36"/>
                <w:sz w:val="18"/>
              </w:rPr>
              <w:t>7.5×</w:t>
            </w:r>
          </w:p>
        </w:tc>
        <w:tc>
          <w:tcPr>
            <w:tcW w:type="dxa" w:w="1872"/>
          </w:tcPr>
          <w:p>
            <w:pPr>
              <w:spacing w:after="20"/>
              <w:jc w:val="right"/>
            </w:pPr>
            <w:r>
              <w:rPr>
                <w:color w:val="1C3A36"/>
                <w:sz w:val="18"/>
              </w:rPr>
              <w:t>8.5×</w:t>
            </w:r>
          </w:p>
        </w:tc>
        <w:tc>
          <w:tcPr>
            <w:tcW w:type="dxa" w:w="1872"/>
          </w:tcPr>
          <w:p>
            <w:pPr>
              <w:spacing w:after="20"/>
              <w:jc w:val="right"/>
            </w:pPr>
            <w:r>
              <w:rPr>
                <w:color w:val="1C3A36"/>
                <w:sz w:val="18"/>
              </w:rPr>
              <w:t>9.5×</w:t>
            </w:r>
          </w:p>
        </w:tc>
      </w:tr>
      <w:tr>
        <w:tc>
          <w:tcPr>
            <w:tcW w:type="dxa" w:w="3744"/>
          </w:tcPr>
          <w:p>
            <w:pPr>
              <w:spacing w:after="20"/>
            </w:pPr>
            <w:r>
              <w:rPr>
                <w:b/>
                <w:color w:val="1C3A36"/>
                <w:sz w:val="18"/>
              </w:rPr>
              <w:t>Fair value (EGP/share)</w:t>
            </w:r>
          </w:p>
        </w:tc>
        <w:tc>
          <w:tcPr>
            <w:tcW w:type="dxa" w:w="1872"/>
          </w:tcPr>
          <w:p>
            <w:pPr>
              <w:spacing w:after="20"/>
              <w:jc w:val="right"/>
            </w:pPr>
            <w:r>
              <w:rPr>
                <w:color w:val="1C3A36"/>
                <w:sz w:val="18"/>
              </w:rPr>
              <w:t>24.87</w:t>
            </w:r>
          </w:p>
        </w:tc>
        <w:tc>
          <w:tcPr>
            <w:tcW w:type="dxa" w:w="1872"/>
          </w:tcPr>
          <w:p>
            <w:pPr>
              <w:spacing w:after="20"/>
              <w:jc w:val="right"/>
            </w:pPr>
            <w:r>
              <w:rPr>
                <w:color w:val="1C3A36"/>
                <w:sz w:val="18"/>
              </w:rPr>
              <w:t>32.89</w:t>
            </w:r>
          </w:p>
        </w:tc>
        <w:tc>
          <w:tcPr>
            <w:tcW w:type="dxa" w:w="1872"/>
          </w:tcPr>
          <w:p>
            <w:pPr>
              <w:spacing w:after="20"/>
              <w:jc w:val="right"/>
            </w:pPr>
            <w:r>
              <w:rPr>
                <w:color w:val="1C3A36"/>
                <w:sz w:val="18"/>
              </w:rPr>
              <w:t>42.01</w:t>
            </w:r>
          </w:p>
        </w:tc>
      </w:tr>
    </w:tbl>
    <w:p>
      <w:pPr>
        <w:spacing w:after="40"/>
      </w:pPr>
    </w:p>
    <w:p>
      <w:pPr>
        <w:spacing w:after="120" w:before="0"/>
      </w:pPr>
      <w:r>
        <w:rPr>
          <w:b/>
          <w:i w:val="0"/>
          <w:color w:val="1C3A36"/>
          <w:sz w:val="21"/>
        </w:rPr>
        <w:t>Normalised base EGP 32.89</w:t>
      </w:r>
      <w:r>
        <w:rPr>
          <w:b w:val="0"/>
          <w:i w:val="0"/>
          <w:color w:val="1C3A36"/>
          <w:sz w:val="21"/>
        </w:rPr>
        <w:t xml:space="preserve"> — +13% against the price: in effect the bet that the volume recovery completes while margins hold the post-windfall floor. Like the relative read, it never touches the associate stake.</w:t>
      </w:r>
    </w:p>
    <w:p>
      <w:pPr>
        <w:spacing w:after="80" w:before="200"/>
      </w:pPr>
      <w:r>
        <w:rPr>
          <w:b/>
          <w:i w:val="0"/>
          <w:color w:val="1C3A36"/>
          <w:sz w:val="24"/>
        </w:rPr>
        <w:t>1.5  Synthesis — the four reads, and what the weights are not</w:t>
      </w:r>
    </w:p>
    <w:p>
      <w:pPr>
        <w:spacing w:after="120" w:before="0"/>
      </w:pPr>
      <w:r>
        <w:rPr>
          <w:b w:val="0"/>
          <w:i w:val="0"/>
          <w:color w:val="1C3A36"/>
          <w:sz w:val="21"/>
        </w:rPr>
        <w:t>The sum-of-the-parts carries the heaviest weight because it respects the differing economics of the legs; the pre-discount net asset value carries the discount-narrowing case; the relative read anchors the floor; normalised earnings carries the recovery. That is the construction this edition publishes, and the honest thing to say about it is that the weights were chosen and written down and have never been tested out of sample against any alternative. Two of the four reads value this group off reported and mid-cycle earnings and do not touch the associate stake at all, so 45% of the weight sits in reads that are structurally blind to the largest asset on the page. A reader who wants the number that is not a blend should take the primary read, EGP 53.53, and treat the rest of the table as cross-checks; the difference is 20.7% of the central and it is recorded rather than argued away.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016"/>
        <w:gridCol w:w="2016"/>
        <w:gridCol w:w="2016"/>
        <w:gridCol w:w="2016"/>
        <w:gridCol w:w="2016"/>
      </w:tblGrid>
      <w:tr>
        <w:tc>
          <w:tcPr>
            <w:tcW w:type="dxa" w:w="3456"/>
            <w:shd w:val="clear" w:color="auto" w:fill="EAF0EE"/>
          </w:tcPr>
          <w:p>
            <w:pPr>
              <w:spacing w:after="20"/>
            </w:pPr>
            <w:r>
              <w:rPr>
                <w:b/>
                <w:color w:val="1C3A36"/>
                <w:sz w:val="18"/>
              </w:rPr>
              <w:t>Lens</w:t>
            </w:r>
          </w:p>
        </w:tc>
        <w:tc>
          <w:tcPr>
            <w:tcW w:type="dxa" w:w="1296"/>
            <w:shd w:val="clear" w:color="auto" w:fill="EAF0EE"/>
          </w:tcPr>
          <w:p>
            <w:pPr>
              <w:spacing w:after="20"/>
            </w:pPr>
            <w:r>
              <w:rPr>
                <w:b/>
                <w:color w:val="1C3A36"/>
                <w:sz w:val="18"/>
              </w:rPr>
              <w:t>Weight</w:t>
            </w:r>
          </w:p>
        </w:tc>
        <w:tc>
          <w:tcPr>
            <w:tcW w:type="dxa" w:w="1584"/>
            <w:shd w:val="clear" w:color="auto" w:fill="EAF0EE"/>
          </w:tcPr>
          <w:p>
            <w:pPr>
              <w:spacing w:after="20"/>
            </w:pPr>
            <w:r>
              <w:rPr>
                <w:b/>
                <w:color w:val="1C3A36"/>
                <w:sz w:val="18"/>
              </w:rPr>
              <w:t>Bear</w:t>
            </w:r>
          </w:p>
        </w:tc>
        <w:tc>
          <w:tcPr>
            <w:tcW w:type="dxa" w:w="1584"/>
            <w:shd w:val="clear" w:color="auto" w:fill="EAF0EE"/>
          </w:tcPr>
          <w:p>
            <w:pPr>
              <w:spacing w:after="20"/>
            </w:pPr>
            <w:r>
              <w:rPr>
                <w:b/>
                <w:color w:val="1C3A36"/>
                <w:sz w:val="18"/>
              </w:rPr>
              <w:t>Base</w:t>
            </w:r>
          </w:p>
        </w:tc>
        <w:tc>
          <w:tcPr>
            <w:tcW w:type="dxa" w:w="1584"/>
            <w:shd w:val="clear" w:color="auto" w:fill="EAF0EE"/>
          </w:tcPr>
          <w:p>
            <w:pPr>
              <w:spacing w:after="20"/>
            </w:pPr>
            <w:r>
              <w:rPr>
                <w:b/>
                <w:color w:val="1C3A36"/>
                <w:sz w:val="18"/>
              </w:rPr>
              <w:t>Bull</w:t>
            </w:r>
          </w:p>
        </w:tc>
      </w:tr>
      <w:tr>
        <w:tc>
          <w:tcPr>
            <w:tcW w:type="dxa" w:w="3456"/>
          </w:tcPr>
          <w:p>
            <w:pPr>
              <w:spacing w:after="20"/>
            </w:pPr>
            <w:r>
              <w:rPr>
                <w:b/>
                <w:color w:val="1C3A36"/>
                <w:sz w:val="18"/>
              </w:rPr>
              <w:t>Split-legs sum-of-the-parts</w:t>
            </w:r>
          </w:p>
        </w:tc>
        <w:tc>
          <w:tcPr>
            <w:tcW w:type="dxa" w:w="1296"/>
          </w:tcPr>
          <w:p>
            <w:pPr>
              <w:spacing w:after="20"/>
              <w:jc w:val="right"/>
            </w:pPr>
            <w:r>
              <w:rPr>
                <w:color w:val="1C3A36"/>
                <w:sz w:val="18"/>
              </w:rPr>
              <w:t>40%</w:t>
            </w:r>
          </w:p>
        </w:tc>
        <w:tc>
          <w:tcPr>
            <w:tcW w:type="dxa" w:w="1584"/>
          </w:tcPr>
          <w:p>
            <w:pPr>
              <w:spacing w:after="20"/>
              <w:jc w:val="right"/>
            </w:pPr>
            <w:r>
              <w:rPr>
                <w:color w:val="1C3A36"/>
                <w:sz w:val="18"/>
              </w:rPr>
              <w:t>27.99</w:t>
            </w:r>
          </w:p>
        </w:tc>
        <w:tc>
          <w:tcPr>
            <w:tcW w:type="dxa" w:w="1584"/>
          </w:tcPr>
          <w:p>
            <w:pPr>
              <w:spacing w:after="20"/>
              <w:jc w:val="right"/>
            </w:pPr>
            <w:r>
              <w:rPr>
                <w:color w:val="1C3A36"/>
                <w:sz w:val="18"/>
              </w:rPr>
              <w:t>53.53</w:t>
            </w:r>
          </w:p>
        </w:tc>
        <w:tc>
          <w:tcPr>
            <w:tcW w:type="dxa" w:w="1584"/>
          </w:tcPr>
          <w:p>
            <w:pPr>
              <w:spacing w:after="20"/>
              <w:jc w:val="right"/>
            </w:pPr>
            <w:r>
              <w:rPr>
                <w:color w:val="1C3A36"/>
                <w:sz w:val="18"/>
              </w:rPr>
              <w:t>90.71</w:t>
            </w:r>
          </w:p>
        </w:tc>
      </w:tr>
      <w:tr>
        <w:tc>
          <w:tcPr>
            <w:tcW w:type="dxa" w:w="3456"/>
          </w:tcPr>
          <w:p>
            <w:pPr>
              <w:spacing w:after="20"/>
            </w:pPr>
            <w:r>
              <w:rPr>
                <w:b/>
                <w:color w:val="1C3A36"/>
                <w:sz w:val="18"/>
              </w:rPr>
              <w:t>Pre-discount net asset value</w:t>
            </w:r>
          </w:p>
        </w:tc>
        <w:tc>
          <w:tcPr>
            <w:tcW w:type="dxa" w:w="1296"/>
          </w:tcPr>
          <w:p>
            <w:pPr>
              <w:spacing w:after="20"/>
              <w:jc w:val="right"/>
            </w:pPr>
            <w:r>
              <w:rPr>
                <w:color w:val="1C3A36"/>
                <w:sz w:val="18"/>
              </w:rPr>
              <w:t>15%</w:t>
            </w:r>
          </w:p>
        </w:tc>
        <w:tc>
          <w:tcPr>
            <w:tcW w:type="dxa" w:w="1584"/>
          </w:tcPr>
          <w:p>
            <w:pPr>
              <w:spacing w:after="20"/>
              <w:jc w:val="right"/>
            </w:pPr>
            <w:r>
              <w:rPr>
                <w:color w:val="1C3A36"/>
                <w:sz w:val="18"/>
              </w:rPr>
              <w:t>34.14</w:t>
            </w:r>
          </w:p>
        </w:tc>
        <w:tc>
          <w:tcPr>
            <w:tcW w:type="dxa" w:w="1584"/>
          </w:tcPr>
          <w:p>
            <w:pPr>
              <w:spacing w:after="20"/>
              <w:jc w:val="right"/>
            </w:pPr>
            <w:r>
              <w:rPr>
                <w:color w:val="1C3A36"/>
                <w:sz w:val="18"/>
              </w:rPr>
              <w:t>59.47</w:t>
            </w:r>
          </w:p>
        </w:tc>
        <w:tc>
          <w:tcPr>
            <w:tcW w:type="dxa" w:w="1584"/>
          </w:tcPr>
          <w:p>
            <w:pPr>
              <w:spacing w:after="20"/>
              <w:jc w:val="right"/>
            </w:pPr>
            <w:r>
              <w:rPr>
                <w:color w:val="1C3A36"/>
                <w:sz w:val="18"/>
              </w:rPr>
              <w:t>94.49</w:t>
            </w:r>
          </w:p>
        </w:tc>
      </w:tr>
      <w:tr>
        <w:tc>
          <w:tcPr>
            <w:tcW w:type="dxa" w:w="3456"/>
          </w:tcPr>
          <w:p>
            <w:pPr>
              <w:spacing w:after="20"/>
            </w:pPr>
            <w:r>
              <w:rPr>
                <w:b/>
                <w:color w:val="1C3A36"/>
                <w:sz w:val="18"/>
              </w:rPr>
              <w:t>Relative multiples</w:t>
            </w:r>
          </w:p>
        </w:tc>
        <w:tc>
          <w:tcPr>
            <w:tcW w:type="dxa" w:w="1296"/>
          </w:tcPr>
          <w:p>
            <w:pPr>
              <w:spacing w:after="20"/>
              <w:jc w:val="right"/>
            </w:pPr>
            <w:r>
              <w:rPr>
                <w:color w:val="1C3A36"/>
                <w:sz w:val="18"/>
              </w:rPr>
              <w:t>20%</w:t>
            </w:r>
          </w:p>
        </w:tc>
        <w:tc>
          <w:tcPr>
            <w:tcW w:type="dxa" w:w="1584"/>
          </w:tcPr>
          <w:p>
            <w:pPr>
              <w:spacing w:after="20"/>
              <w:jc w:val="right"/>
            </w:pPr>
            <w:r>
              <w:rPr>
                <w:color w:val="1C3A36"/>
                <w:sz w:val="18"/>
              </w:rPr>
              <w:t>24.32</w:t>
            </w:r>
          </w:p>
        </w:tc>
        <w:tc>
          <w:tcPr>
            <w:tcW w:type="dxa" w:w="1584"/>
          </w:tcPr>
          <w:p>
            <w:pPr>
              <w:spacing w:after="20"/>
              <w:jc w:val="right"/>
            </w:pPr>
            <w:r>
              <w:rPr>
                <w:color w:val="1C3A36"/>
                <w:sz w:val="18"/>
              </w:rPr>
              <w:t>28.88</w:t>
            </w:r>
          </w:p>
        </w:tc>
        <w:tc>
          <w:tcPr>
            <w:tcW w:type="dxa" w:w="1584"/>
          </w:tcPr>
          <w:p>
            <w:pPr>
              <w:spacing w:after="20"/>
              <w:jc w:val="right"/>
            </w:pPr>
            <w:r>
              <w:rPr>
                <w:color w:val="1C3A36"/>
                <w:sz w:val="18"/>
              </w:rPr>
              <w:t>33.44</w:t>
            </w:r>
          </w:p>
        </w:tc>
      </w:tr>
      <w:tr>
        <w:tc>
          <w:tcPr>
            <w:tcW w:type="dxa" w:w="3456"/>
          </w:tcPr>
          <w:p>
            <w:pPr>
              <w:spacing w:after="20"/>
            </w:pPr>
            <w:r>
              <w:rPr>
                <w:b/>
                <w:color w:val="1C3A36"/>
                <w:sz w:val="18"/>
              </w:rPr>
              <w:t>Normalised earnings</w:t>
            </w:r>
          </w:p>
        </w:tc>
        <w:tc>
          <w:tcPr>
            <w:tcW w:type="dxa" w:w="1296"/>
          </w:tcPr>
          <w:p>
            <w:pPr>
              <w:spacing w:after="20"/>
              <w:jc w:val="right"/>
            </w:pPr>
            <w:r>
              <w:rPr>
                <w:color w:val="1C3A36"/>
                <w:sz w:val="18"/>
              </w:rPr>
              <w:t>25%</w:t>
            </w:r>
          </w:p>
        </w:tc>
        <w:tc>
          <w:tcPr>
            <w:tcW w:type="dxa" w:w="1584"/>
          </w:tcPr>
          <w:p>
            <w:pPr>
              <w:spacing w:after="20"/>
              <w:jc w:val="right"/>
            </w:pPr>
            <w:r>
              <w:rPr>
                <w:color w:val="1C3A36"/>
                <w:sz w:val="18"/>
              </w:rPr>
              <w:t>24.87</w:t>
            </w:r>
          </w:p>
        </w:tc>
        <w:tc>
          <w:tcPr>
            <w:tcW w:type="dxa" w:w="1584"/>
          </w:tcPr>
          <w:p>
            <w:pPr>
              <w:spacing w:after="20"/>
              <w:jc w:val="right"/>
            </w:pPr>
            <w:r>
              <w:rPr>
                <w:color w:val="1C3A36"/>
                <w:sz w:val="18"/>
              </w:rPr>
              <w:t>32.89</w:t>
            </w:r>
          </w:p>
        </w:tc>
        <w:tc>
          <w:tcPr>
            <w:tcW w:type="dxa" w:w="1584"/>
          </w:tcPr>
          <w:p>
            <w:pPr>
              <w:spacing w:after="20"/>
              <w:jc w:val="right"/>
            </w:pPr>
            <w:r>
              <w:rPr>
                <w:color w:val="1C3A36"/>
                <w:sz w:val="18"/>
              </w:rPr>
              <w:t>42.01</w:t>
            </w:r>
          </w:p>
        </w:tc>
      </w:tr>
      <w:tr>
        <w:tc>
          <w:tcPr>
            <w:tcW w:type="dxa" w:w="3456"/>
            <w:shd w:val="clear" w:color="auto" w:fill="F6F1E6"/>
          </w:tcPr>
          <w:p>
            <w:pPr>
              <w:spacing w:after="20"/>
            </w:pPr>
            <w:r>
              <w:rPr>
                <w:b/>
                <w:color w:val="1C3A36"/>
                <w:sz w:val="18"/>
              </w:rPr>
              <w:t>Weighted central</w:t>
            </w:r>
          </w:p>
        </w:tc>
        <w:tc>
          <w:tcPr>
            <w:tcW w:type="dxa" w:w="1296"/>
            <w:shd w:val="clear" w:color="auto" w:fill="F6F1E6"/>
          </w:tcPr>
          <w:p>
            <w:pPr>
              <w:spacing w:after="20"/>
              <w:jc w:val="right"/>
            </w:pPr>
            <w:r>
              <w:rPr>
                <w:b/>
                <w:color w:val="1C3A36"/>
                <w:sz w:val="18"/>
              </w:rPr>
            </w:r>
          </w:p>
        </w:tc>
        <w:tc>
          <w:tcPr>
            <w:tcW w:type="dxa" w:w="1584"/>
            <w:shd w:val="clear" w:color="auto" w:fill="F6F1E6"/>
          </w:tcPr>
          <w:p>
            <w:pPr>
              <w:spacing w:after="20"/>
              <w:jc w:val="right"/>
            </w:pPr>
            <w:r>
              <w:rPr>
                <w:b/>
                <w:color w:val="1C3A36"/>
                <w:sz w:val="18"/>
              </w:rPr>
              <w:t>27.40</w:t>
            </w:r>
          </w:p>
        </w:tc>
        <w:tc>
          <w:tcPr>
            <w:tcW w:type="dxa" w:w="1584"/>
            <w:shd w:val="clear" w:color="auto" w:fill="F6F1E6"/>
          </w:tcPr>
          <w:p>
            <w:pPr>
              <w:spacing w:after="20"/>
              <w:jc w:val="right"/>
            </w:pPr>
            <w:r>
              <w:rPr>
                <w:b/>
                <w:color w:val="1C3A36"/>
                <w:sz w:val="18"/>
              </w:rPr>
              <w:t>44.33</w:t>
            </w:r>
          </w:p>
        </w:tc>
        <w:tc>
          <w:tcPr>
            <w:tcW w:type="dxa" w:w="1584"/>
            <w:shd w:val="clear" w:color="auto" w:fill="F6F1E6"/>
          </w:tcPr>
          <w:p>
            <w:pPr>
              <w:spacing w:after="20"/>
              <w:jc w:val="right"/>
            </w:pPr>
            <w:r>
              <w:rPr>
                <w:b/>
                <w:color w:val="1C3A36"/>
                <w:sz w:val="18"/>
              </w:rPr>
              <w:t>67.65</w:t>
            </w:r>
          </w:p>
        </w:tc>
      </w:tr>
    </w:tbl>
    <w:p>
      <w:pPr>
        <w:spacing w:after="40"/>
      </w:pPr>
    </w:p>
    <w:p>
      <w:pPr>
        <w:spacing w:after="40"/>
        <w:jc w:val="center"/>
      </w:pPr>
      <w:r>
        <w:drawing>
          <wp:inline xmlns:a="http://schemas.openxmlformats.org/drawingml/2006/main" xmlns:pic="http://schemas.openxmlformats.org/drawingml/2006/picture">
            <wp:extent cx="5760720" cy="2434943"/>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5760720" cy="2434943"/>
                    </a:xfrm>
                    <a:prstGeom prst="rect"/>
                  </pic:spPr>
                </pic:pic>
              </a:graphicData>
            </a:graphic>
          </wp:inline>
        </w:drawing>
      </w:r>
    </w:p>
    <w:p>
      <w:pPr>
        <w:spacing w:after="200" w:before="0"/>
      </w:pPr>
      <w:r>
        <w:rPr>
          <w:b w:val="0"/>
          <w:i/>
          <w:color w:val="6E7B77"/>
          <w:sz w:val="17"/>
        </w:rPr>
        <w:t>Figure 1 — Valuation football field. Bars span bear to bull per lens; the brass tick is each base case; the gold band is the blended central range; the ink line is the price.</w:t>
      </w:r>
    </w:p>
    <w:p>
      <w:pPr>
        <w:spacing w:after="120" w:before="0"/>
      </w:pPr>
      <w:r>
        <w:rPr>
          <w:b/>
          <w:i w:val="0"/>
          <w:color w:val="1C3A36"/>
          <w:sz w:val="21"/>
        </w:rPr>
        <w:t>Central fair value EGP 44.33 per share</w:t>
      </w:r>
      <w:r>
        <w:rPr>
          <w:b w:val="0"/>
          <w:i w:val="0"/>
          <w:color w:val="1C3A36"/>
          <w:sz w:val="21"/>
        </w:rPr>
        <w:t>, +53% against the price. The width here is not four independent views converging. The sum-of-the-parts and pre-discount reads (EGP 53.53 and 59.47) both carry the same MNT-Halan mark and move together with it, while the relative and normalised reads (EGP 28.88 and 32.89) do not touch it and sit close to the price. That split is itself the finding: strip the associate stake out and this is a fairly-priced operator; put it back in at the round’s valuation and it looks materially cheap.</w:t>
      </w:r>
    </w:p>
    <w:p>
      <w:pPr>
        <w:spacing w:after="80" w:before="200"/>
      </w:pPr>
      <w:r>
        <w:rPr>
          <w:b/>
          <w:i w:val="0"/>
          <w:color w:val="1C3A36"/>
          <w:sz w:val="24"/>
        </w:rPr>
        <w:t>1.6  The legs, and the units × price driver table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016"/>
        <w:gridCol w:w="2016"/>
        <w:gridCol w:w="2016"/>
        <w:gridCol w:w="2016"/>
        <w:gridCol w:w="2016"/>
      </w:tblGrid>
      <w:tr>
        <w:tc>
          <w:tcPr>
            <w:tcW w:type="dxa" w:w="2736"/>
            <w:shd w:val="clear" w:color="auto" w:fill="EAF0EE"/>
          </w:tcPr>
          <w:p>
            <w:pPr>
              <w:spacing w:after="20"/>
            </w:pPr>
            <w:r>
              <w:rPr>
                <w:b/>
                <w:color w:val="1C3A36"/>
                <w:sz w:val="17"/>
              </w:rPr>
              <w:t>Leg</w:t>
            </w:r>
          </w:p>
        </w:tc>
        <w:tc>
          <w:tcPr>
            <w:tcW w:type="dxa" w:w="1728"/>
            <w:shd w:val="clear" w:color="auto" w:fill="EAF0EE"/>
          </w:tcPr>
          <w:p>
            <w:pPr>
              <w:spacing w:after="20"/>
            </w:pPr>
            <w:r>
              <w:rPr>
                <w:b/>
                <w:color w:val="1C3A36"/>
                <w:sz w:val="17"/>
              </w:rPr>
              <w:t>Cyclicality</w:t>
            </w:r>
          </w:p>
        </w:tc>
        <w:tc>
          <w:tcPr>
            <w:tcW w:type="dxa" w:w="2736"/>
            <w:shd w:val="clear" w:color="auto" w:fill="EAF0EE"/>
          </w:tcPr>
          <w:p>
            <w:pPr>
              <w:spacing w:after="20"/>
            </w:pPr>
            <w:r>
              <w:rPr>
                <w:b/>
                <w:color w:val="1C3A36"/>
                <w:sz w:val="17"/>
              </w:rPr>
              <w:t>Margin / return trend</w:t>
            </w:r>
          </w:p>
        </w:tc>
        <w:tc>
          <w:tcPr>
            <w:tcW w:type="dxa" w:w="1944"/>
            <w:shd w:val="clear" w:color="auto" w:fill="EAF0EE"/>
          </w:tcPr>
          <w:p>
            <w:pPr>
              <w:spacing w:after="20"/>
            </w:pPr>
            <w:r>
              <w:rPr>
                <w:b/>
                <w:color w:val="1C3A36"/>
                <w:sz w:val="17"/>
              </w:rPr>
              <w:t>Capital intensity</w:t>
            </w:r>
          </w:p>
        </w:tc>
        <w:tc>
          <w:tcPr>
            <w:tcW w:type="dxa" w:w="1224"/>
            <w:shd w:val="clear" w:color="auto" w:fill="EAF0EE"/>
          </w:tcPr>
          <w:p>
            <w:pPr>
              <w:spacing w:after="20"/>
            </w:pPr>
            <w:r>
              <w:rPr>
                <w:b/>
                <w:color w:val="1C3A36"/>
                <w:sz w:val="17"/>
              </w:rPr>
              <w:t>Swing role</w:t>
            </w:r>
          </w:p>
        </w:tc>
      </w:tr>
      <w:tr>
        <w:tc>
          <w:tcPr>
            <w:tcW w:type="dxa" w:w="2736"/>
          </w:tcPr>
          <w:p>
            <w:pPr>
              <w:spacing w:after="20"/>
            </w:pPr>
            <w:r>
              <w:rPr>
                <w:b/>
                <w:color w:val="1C3A36"/>
                <w:sz w:val="17"/>
              </w:rPr>
              <w:t>GB Auto — passenger cars</w:t>
            </w:r>
          </w:p>
        </w:tc>
        <w:tc>
          <w:tcPr>
            <w:tcW w:type="dxa" w:w="1728"/>
          </w:tcPr>
          <w:p>
            <w:pPr>
              <w:spacing w:after="20"/>
              <w:jc w:val="right"/>
            </w:pPr>
            <w:r>
              <w:rPr>
                <w:color w:val="1C3A36"/>
                <w:sz w:val="17"/>
              </w:rPr>
              <w:t>High (rates, currency, imports)</w:t>
            </w:r>
          </w:p>
        </w:tc>
        <w:tc>
          <w:tcPr>
            <w:tcW w:type="dxa" w:w="2736"/>
          </w:tcPr>
          <w:p>
            <w:pPr>
              <w:spacing w:after="20"/>
              <w:jc w:val="right"/>
            </w:pPr>
            <w:r>
              <w:rPr>
                <w:color w:val="1C3A36"/>
                <w:sz w:val="17"/>
              </w:rPr>
              <w:t>Auto gross margin 14.30% in the reviewed half; the forecast opens at 13.80%</w:t>
            </w:r>
          </w:p>
        </w:tc>
        <w:tc>
          <w:tcPr>
            <w:tcW w:type="dxa" w:w="1944"/>
          </w:tcPr>
          <w:p>
            <w:pPr>
              <w:spacing w:after="20"/>
              <w:jc w:val="right"/>
            </w:pPr>
            <w:r>
              <w:rPr>
                <w:color w:val="1C3A36"/>
                <w:sz w:val="17"/>
              </w:rPr>
              <w:t>Very high (working capital)</w:t>
            </w:r>
          </w:p>
        </w:tc>
        <w:tc>
          <w:tcPr>
            <w:tcW w:type="dxa" w:w="1224"/>
          </w:tcPr>
          <w:p>
            <w:pPr>
              <w:spacing w:after="20"/>
              <w:jc w:val="right"/>
            </w:pPr>
            <w:r>
              <w:rPr>
                <w:color w:val="1C3A36"/>
                <w:sz w:val="17"/>
              </w:rPr>
              <w:t>Dominant</w:t>
            </w:r>
          </w:p>
        </w:tc>
      </w:tr>
      <w:tr>
        <w:tc>
          <w:tcPr>
            <w:tcW w:type="dxa" w:w="2736"/>
          </w:tcPr>
          <w:p>
            <w:pPr>
              <w:spacing w:after="20"/>
            </w:pPr>
            <w:r>
              <w:rPr>
                <w:b/>
                <w:color w:val="1C3A36"/>
                <w:sz w:val="17"/>
              </w:rPr>
              <w:t>GB Auto — commercial vehicles, trading, mobility</w:t>
            </w:r>
          </w:p>
        </w:tc>
        <w:tc>
          <w:tcPr>
            <w:tcW w:type="dxa" w:w="1728"/>
          </w:tcPr>
          <w:p>
            <w:pPr>
              <w:spacing w:after="20"/>
              <w:jc w:val="right"/>
            </w:pPr>
            <w:r>
              <w:rPr>
                <w:color w:val="1C3A36"/>
                <w:sz w:val="17"/>
              </w:rPr>
              <w:t>Moderate</w:t>
            </w:r>
          </w:p>
        </w:tc>
        <w:tc>
          <w:tcPr>
            <w:tcW w:type="dxa" w:w="2736"/>
          </w:tcPr>
          <w:p>
            <w:pPr>
              <w:spacing w:after="20"/>
              <w:jc w:val="right"/>
            </w:pPr>
            <w:r>
              <w:rPr>
                <w:color w:val="1C3A36"/>
                <w:sz w:val="17"/>
              </w:rPr>
              <w:t>Bus exports scaling</w:t>
            </w:r>
          </w:p>
        </w:tc>
        <w:tc>
          <w:tcPr>
            <w:tcW w:type="dxa" w:w="1944"/>
          </w:tcPr>
          <w:p>
            <w:pPr>
              <w:spacing w:after="20"/>
              <w:jc w:val="right"/>
            </w:pPr>
            <w:r>
              <w:rPr>
                <w:color w:val="1C3A36"/>
                <w:sz w:val="17"/>
              </w:rPr>
              <w:t>Moderate</w:t>
            </w:r>
          </w:p>
        </w:tc>
        <w:tc>
          <w:tcPr>
            <w:tcW w:type="dxa" w:w="1224"/>
          </w:tcPr>
          <w:p>
            <w:pPr>
              <w:spacing w:after="20"/>
              <w:jc w:val="right"/>
            </w:pPr>
            <w:r>
              <w:rPr>
                <w:color w:val="1C3A36"/>
                <w:sz w:val="17"/>
              </w:rPr>
              <w:t>Diversifier</w:t>
            </w:r>
          </w:p>
        </w:tc>
      </w:tr>
      <w:tr>
        <w:tc>
          <w:tcPr>
            <w:tcW w:type="dxa" w:w="2736"/>
          </w:tcPr>
          <w:p>
            <w:pPr>
              <w:spacing w:after="20"/>
            </w:pPr>
            <w:r>
              <w:rPr>
                <w:b/>
                <w:color w:val="1C3A36"/>
                <w:sz w:val="17"/>
              </w:rPr>
              <w:t>GB Capital</w:t>
            </w:r>
          </w:p>
        </w:tc>
        <w:tc>
          <w:tcPr>
            <w:tcW w:type="dxa" w:w="1728"/>
          </w:tcPr>
          <w:p>
            <w:pPr>
              <w:spacing w:after="20"/>
              <w:jc w:val="right"/>
            </w:pPr>
            <w:r>
              <w:rPr>
                <w:color w:val="1C3A36"/>
                <w:sz w:val="17"/>
              </w:rPr>
              <w:t>Credit cycle</w:t>
            </w:r>
          </w:p>
        </w:tc>
        <w:tc>
          <w:tcPr>
            <w:tcW w:type="dxa" w:w="2736"/>
          </w:tcPr>
          <w:p>
            <w:pPr>
              <w:spacing w:after="20"/>
              <w:jc w:val="right"/>
            </w:pPr>
            <w:r>
              <w:rPr>
                <w:color w:val="1C3A36"/>
                <w:sz w:val="17"/>
              </w:rPr>
              <w:t>Adjusted return on equity in the mid teens</w:t>
            </w:r>
          </w:p>
        </w:tc>
        <w:tc>
          <w:tcPr>
            <w:tcW w:type="dxa" w:w="1944"/>
          </w:tcPr>
          <w:p>
            <w:pPr>
              <w:spacing w:after="20"/>
              <w:jc w:val="right"/>
            </w:pPr>
            <w:r>
              <w:rPr>
                <w:color w:val="1C3A36"/>
                <w:sz w:val="17"/>
              </w:rPr>
              <w:t>Leveraged by construction</w:t>
            </w:r>
          </w:p>
        </w:tc>
        <w:tc>
          <w:tcPr>
            <w:tcW w:type="dxa" w:w="1224"/>
          </w:tcPr>
          <w:p>
            <w:pPr>
              <w:spacing w:after="20"/>
              <w:jc w:val="right"/>
            </w:pPr>
            <w:r>
              <w:rPr>
                <w:color w:val="1C3A36"/>
                <w:sz w:val="17"/>
              </w:rPr>
              <w:t>Compounder</w:t>
            </w:r>
          </w:p>
        </w:tc>
      </w:tr>
      <w:tr>
        <w:tc>
          <w:tcPr>
            <w:tcW w:type="dxa" w:w="2736"/>
          </w:tcPr>
          <w:p>
            <w:pPr>
              <w:spacing w:after="20"/>
            </w:pPr>
            <w:r>
              <w:rPr>
                <w:b/>
                <w:color w:val="1C3A36"/>
                <w:sz w:val="17"/>
              </w:rPr>
              <w:t>Associates (MNT-Halan and others)</w:t>
            </w:r>
          </w:p>
        </w:tc>
        <w:tc>
          <w:tcPr>
            <w:tcW w:type="dxa" w:w="1728"/>
          </w:tcPr>
          <w:p>
            <w:pPr>
              <w:spacing w:after="20"/>
              <w:jc w:val="right"/>
            </w:pPr>
            <w:r>
              <w:rPr>
                <w:color w:val="1C3A36"/>
                <w:sz w:val="17"/>
              </w:rPr>
              <w:t>Venture-like</w:t>
            </w:r>
          </w:p>
        </w:tc>
        <w:tc>
          <w:tcPr>
            <w:tcW w:type="dxa" w:w="2736"/>
          </w:tcPr>
          <w:p>
            <w:pPr>
              <w:spacing w:after="20"/>
              <w:jc w:val="right"/>
            </w:pPr>
            <w:r>
              <w:rPr>
                <w:color w:val="1C3A36"/>
                <w:sz w:val="17"/>
              </w:rPr>
              <w:t>Private marks; no public price</w:t>
            </w:r>
          </w:p>
        </w:tc>
        <w:tc>
          <w:tcPr>
            <w:tcW w:type="dxa" w:w="1944"/>
          </w:tcPr>
          <w:p>
            <w:pPr>
              <w:spacing w:after="20"/>
              <w:jc w:val="right"/>
            </w:pPr>
            <w:r>
              <w:rPr>
                <w:color w:val="1C3A36"/>
                <w:sz w:val="17"/>
              </w:rPr>
              <w:t>Off balance sheet</w:t>
            </w:r>
          </w:p>
        </w:tc>
        <w:tc>
          <w:tcPr>
            <w:tcW w:type="dxa" w:w="1224"/>
          </w:tcPr>
          <w:p>
            <w:pPr>
              <w:spacing w:after="20"/>
              <w:jc w:val="right"/>
            </w:pPr>
            <w:r>
              <w:rPr>
                <w:color w:val="1C3A36"/>
                <w:sz w:val="17"/>
              </w:rPr>
              <w:t>The swing factor</w:t>
            </w:r>
          </w:p>
        </w:tc>
      </w:tr>
    </w:tbl>
    <w:p>
      <w:pPr>
        <w:spacing w:after="40"/>
      </w:pPr>
    </w:p>
    <w:p>
      <w:pPr>
        <w:spacing w:after="120" w:before="0"/>
      </w:pPr>
      <w:r>
        <w:rPr>
          <w:b w:val="0"/>
          <w:i w:val="0"/>
          <w:color w:val="1C3A36"/>
          <w:sz w:val="19"/>
        </w:rPr>
        <w:t>The bottom-up build. Every historical figure below is the company’s own disclosure; the forecast columns are the model’s own driver path: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3168"/>
            <w:shd w:val="clear" w:color="auto" w:fill="EAF0EE"/>
          </w:tcPr>
          <w:p>
            <w:pPr>
              <w:spacing w:after="20"/>
            </w:pPr>
            <w:r>
              <w:rPr>
                <w:b/>
                <w:color w:val="1C3A36"/>
                <w:sz w:val="17"/>
              </w:rPr>
              <w:t>Driver</w:t>
            </w:r>
          </w:p>
        </w:tc>
        <w:tc>
          <w:tcPr>
            <w:tcW w:type="dxa" w:w="1368"/>
            <w:shd w:val="clear" w:color="auto" w:fill="EAF0EE"/>
          </w:tcPr>
          <w:p>
            <w:pPr>
              <w:spacing w:after="20"/>
            </w:pPr>
            <w:r>
              <w:rPr>
                <w:b/>
                <w:color w:val="1C3A36"/>
                <w:sz w:val="17"/>
              </w:rPr>
              <w:t>FY2023</w:t>
            </w:r>
          </w:p>
        </w:tc>
        <w:tc>
          <w:tcPr>
            <w:tcW w:type="dxa" w:w="1368"/>
            <w:shd w:val="clear" w:color="auto" w:fill="EAF0EE"/>
          </w:tcPr>
          <w:p>
            <w:pPr>
              <w:spacing w:after="20"/>
            </w:pPr>
            <w:r>
              <w:rPr>
                <w:b/>
                <w:color w:val="1C3A36"/>
                <w:sz w:val="17"/>
              </w:rPr>
              <w:t>FY2024</w:t>
            </w:r>
          </w:p>
        </w:tc>
        <w:tc>
          <w:tcPr>
            <w:tcW w:type="dxa" w:w="1368"/>
            <w:shd w:val="clear" w:color="auto" w:fill="EAF0EE"/>
          </w:tcPr>
          <w:p>
            <w:pPr>
              <w:spacing w:after="20"/>
            </w:pPr>
            <w:r>
              <w:rPr>
                <w:b/>
                <w:color w:val="1C3A36"/>
                <w:sz w:val="17"/>
              </w:rPr>
              <w:t>FY2025</w:t>
            </w:r>
          </w:p>
        </w:tc>
        <w:tc>
          <w:tcPr>
            <w:tcW w:type="dxa" w:w="1440"/>
            <w:shd w:val="clear" w:color="auto" w:fill="EAF0EE"/>
          </w:tcPr>
          <w:p>
            <w:pPr>
              <w:spacing w:after="20"/>
            </w:pPr>
            <w:r>
              <w:rPr>
                <w:b/>
                <w:color w:val="1C3A36"/>
                <w:sz w:val="17"/>
              </w:rPr>
              <w:t>FY2026E</w:t>
            </w:r>
          </w:p>
        </w:tc>
        <w:tc>
          <w:tcPr>
            <w:tcW w:type="dxa" w:w="1440"/>
            <w:shd w:val="clear" w:color="auto" w:fill="EAF0EE"/>
          </w:tcPr>
          <w:p>
            <w:pPr>
              <w:spacing w:after="20"/>
            </w:pPr>
            <w:r>
              <w:rPr>
                <w:b/>
                <w:color w:val="1C3A36"/>
                <w:sz w:val="17"/>
              </w:rPr>
              <w:t>FY2030E</w:t>
            </w:r>
          </w:p>
        </w:tc>
      </w:tr>
      <w:tr>
        <w:tc>
          <w:tcPr>
            <w:tcW w:type="dxa" w:w="3168"/>
          </w:tcPr>
          <w:p>
            <w:pPr>
              <w:spacing w:after="20"/>
            </w:pPr>
            <w:r>
              <w:rPr>
                <w:b/>
                <w:color w:val="1C3A36"/>
                <w:sz w:val="17"/>
              </w:rPr>
              <w:t>Passenger-car volume (units)</w:t>
            </w:r>
          </w:p>
        </w:tc>
        <w:tc>
          <w:tcPr>
            <w:tcW w:type="dxa" w:w="1368"/>
          </w:tcPr>
          <w:p>
            <w:pPr>
              <w:spacing w:after="20"/>
              <w:jc w:val="right"/>
            </w:pPr>
            <w:r>
              <w:rPr>
                <w:color w:val="1C3A36"/>
                <w:sz w:val="17"/>
              </w:rPr>
              <w:t>26,994</w:t>
            </w:r>
          </w:p>
        </w:tc>
        <w:tc>
          <w:tcPr>
            <w:tcW w:type="dxa" w:w="1368"/>
          </w:tcPr>
          <w:p>
            <w:pPr>
              <w:spacing w:after="20"/>
              <w:jc w:val="right"/>
            </w:pPr>
            <w:r>
              <w:rPr>
                <w:color w:val="1C3A36"/>
                <w:sz w:val="17"/>
              </w:rPr>
              <w:t>42,043</w:t>
            </w:r>
          </w:p>
        </w:tc>
        <w:tc>
          <w:tcPr>
            <w:tcW w:type="dxa" w:w="1368"/>
          </w:tcPr>
          <w:p>
            <w:pPr>
              <w:spacing w:after="20"/>
              <w:jc w:val="right"/>
            </w:pPr>
            <w:r>
              <w:rPr>
                <w:color w:val="1C3A36"/>
                <w:sz w:val="17"/>
              </w:rPr>
              <w:t>56,548</w:t>
            </w:r>
          </w:p>
        </w:tc>
        <w:tc>
          <w:tcPr>
            <w:tcW w:type="dxa" w:w="1440"/>
          </w:tcPr>
          <w:p>
            <w:pPr>
              <w:spacing w:after="20"/>
              <w:jc w:val="right"/>
            </w:pPr>
            <w:r>
              <w:rPr>
                <w:color w:val="1C3A36"/>
                <w:sz w:val="17"/>
              </w:rPr>
              <w:t>63,334</w:t>
            </w:r>
          </w:p>
        </w:tc>
        <w:tc>
          <w:tcPr>
            <w:tcW w:type="dxa" w:w="1440"/>
          </w:tcPr>
          <w:p>
            <w:pPr>
              <w:spacing w:after="20"/>
              <w:jc w:val="right"/>
            </w:pPr>
            <w:r>
              <w:rPr>
                <w:color w:val="1C3A36"/>
                <w:sz w:val="17"/>
              </w:rPr>
              <w:t>90,921</w:t>
            </w:r>
          </w:p>
        </w:tc>
      </w:tr>
      <w:tr>
        <w:tc>
          <w:tcPr>
            <w:tcW w:type="dxa" w:w="3168"/>
          </w:tcPr>
          <w:p>
            <w:pPr>
              <w:spacing w:after="20"/>
            </w:pPr>
            <w:r>
              <w:rPr>
                <w:b/>
                <w:color w:val="1C3A36"/>
                <w:sz w:val="17"/>
              </w:rPr>
              <w:t>Passenger-car price (EGP mn/unit)</w:t>
            </w:r>
          </w:p>
        </w:tc>
        <w:tc>
          <w:tcPr>
            <w:tcW w:type="dxa" w:w="1368"/>
          </w:tcPr>
          <w:p>
            <w:pPr>
              <w:spacing w:after="20"/>
              <w:jc w:val="right"/>
            </w:pPr>
            <w:r>
              <w:rPr>
                <w:color w:val="1C3A36"/>
                <w:sz w:val="17"/>
              </w:rPr>
              <w:t>0.61</w:t>
            </w:r>
          </w:p>
        </w:tc>
        <w:tc>
          <w:tcPr>
            <w:tcW w:type="dxa" w:w="1368"/>
          </w:tcPr>
          <w:p>
            <w:pPr>
              <w:spacing w:after="20"/>
              <w:jc w:val="right"/>
            </w:pPr>
            <w:r>
              <w:rPr>
                <w:color w:val="1C3A36"/>
                <w:sz w:val="17"/>
              </w:rPr>
              <w:t>0.87</w:t>
            </w:r>
          </w:p>
        </w:tc>
        <w:tc>
          <w:tcPr>
            <w:tcW w:type="dxa" w:w="1368"/>
          </w:tcPr>
          <w:p>
            <w:pPr>
              <w:spacing w:after="20"/>
              <w:jc w:val="right"/>
            </w:pPr>
            <w:r>
              <w:rPr>
                <w:color w:val="1C3A36"/>
                <w:sz w:val="17"/>
              </w:rPr>
              <w:t>0.93</w:t>
            </w:r>
          </w:p>
        </w:tc>
        <w:tc>
          <w:tcPr>
            <w:tcW w:type="dxa" w:w="1440"/>
          </w:tcPr>
          <w:p>
            <w:pPr>
              <w:spacing w:after="20"/>
              <w:jc w:val="right"/>
            </w:pPr>
            <w:r>
              <w:rPr>
                <w:color w:val="1C3A36"/>
                <w:sz w:val="17"/>
              </w:rPr>
              <w:t>0.99</w:t>
            </w:r>
          </w:p>
        </w:tc>
        <w:tc>
          <w:tcPr>
            <w:tcW w:type="dxa" w:w="1440"/>
          </w:tcPr>
          <w:p>
            <w:pPr>
              <w:spacing w:after="20"/>
              <w:jc w:val="right"/>
            </w:pPr>
            <w:r>
              <w:rPr>
                <w:color w:val="1C3A36"/>
                <w:sz w:val="17"/>
              </w:rPr>
              <w:t>1.27</w:t>
            </w:r>
          </w:p>
        </w:tc>
      </w:tr>
      <w:tr>
        <w:tc>
          <w:tcPr>
            <w:tcW w:type="dxa" w:w="3168"/>
          </w:tcPr>
          <w:p>
            <w:pPr>
              <w:spacing w:after="20"/>
            </w:pPr>
            <w:r>
              <w:rPr>
                <w:b/>
                <w:color w:val="1C3A36"/>
                <w:sz w:val="17"/>
              </w:rPr>
              <w:t>Passenger-car revenue (EGP mn)</w:t>
            </w:r>
          </w:p>
        </w:tc>
        <w:tc>
          <w:tcPr>
            <w:tcW w:type="dxa" w:w="1368"/>
          </w:tcPr>
          <w:p>
            <w:pPr>
              <w:spacing w:after="20"/>
              <w:jc w:val="right"/>
            </w:pPr>
            <w:r>
              <w:rPr>
                <w:color w:val="1C3A36"/>
                <w:sz w:val="17"/>
              </w:rPr>
              <w:t>16,544</w:t>
            </w:r>
          </w:p>
        </w:tc>
        <w:tc>
          <w:tcPr>
            <w:tcW w:type="dxa" w:w="1368"/>
          </w:tcPr>
          <w:p>
            <w:pPr>
              <w:spacing w:after="20"/>
              <w:jc w:val="right"/>
            </w:pPr>
            <w:r>
              <w:rPr>
                <w:color w:val="1C3A36"/>
                <w:sz w:val="17"/>
              </w:rPr>
              <w:t>36,533</w:t>
            </w:r>
          </w:p>
        </w:tc>
        <w:tc>
          <w:tcPr>
            <w:tcW w:type="dxa" w:w="1368"/>
          </w:tcPr>
          <w:p>
            <w:pPr>
              <w:spacing w:after="20"/>
              <w:jc w:val="right"/>
            </w:pPr>
            <w:r>
              <w:rPr>
                <w:color w:val="1C3A36"/>
                <w:sz w:val="17"/>
              </w:rPr>
              <w:t>52,827</w:t>
            </w:r>
          </w:p>
        </w:tc>
        <w:tc>
          <w:tcPr>
            <w:tcW w:type="dxa" w:w="1440"/>
          </w:tcPr>
          <w:p>
            <w:pPr>
              <w:spacing w:after="20"/>
              <w:jc w:val="right"/>
            </w:pPr>
            <w:r>
              <w:rPr>
                <w:color w:val="1C3A36"/>
                <w:sz w:val="17"/>
              </w:rPr>
              <w:t>62,717</w:t>
            </w:r>
          </w:p>
        </w:tc>
        <w:tc>
          <w:tcPr>
            <w:tcW w:type="dxa" w:w="1440"/>
          </w:tcPr>
          <w:p>
            <w:pPr>
              <w:spacing w:after="20"/>
              <w:jc w:val="right"/>
            </w:pPr>
            <w:r>
              <w:rPr>
                <w:color w:val="1C3A36"/>
                <w:sz w:val="17"/>
              </w:rPr>
              <w:t>115,821</w:t>
            </w:r>
          </w:p>
        </w:tc>
      </w:tr>
      <w:tr>
        <w:tc>
          <w:tcPr>
            <w:tcW w:type="dxa" w:w="3168"/>
          </w:tcPr>
          <w:p>
            <w:pPr>
              <w:spacing w:after="20"/>
            </w:pPr>
            <w:r>
              <w:rPr>
                <w:b/>
                <w:color w:val="1C3A36"/>
                <w:sz w:val="17"/>
              </w:rPr>
              <w:t>Commercial vehicles &amp; equipment</w:t>
            </w:r>
          </w:p>
        </w:tc>
        <w:tc>
          <w:tcPr>
            <w:tcW w:type="dxa" w:w="1368"/>
          </w:tcPr>
          <w:p>
            <w:pPr>
              <w:spacing w:after="20"/>
              <w:jc w:val="right"/>
            </w:pPr>
            <w:r>
              <w:rPr>
                <w:color w:val="1C3A36"/>
                <w:sz w:val="17"/>
              </w:rPr>
              <w:t>—</w:t>
            </w:r>
          </w:p>
        </w:tc>
        <w:tc>
          <w:tcPr>
            <w:tcW w:type="dxa" w:w="1368"/>
          </w:tcPr>
          <w:p>
            <w:pPr>
              <w:spacing w:after="20"/>
              <w:jc w:val="right"/>
            </w:pPr>
            <w:r>
              <w:rPr>
                <w:color w:val="1C3A36"/>
                <w:sz w:val="17"/>
              </w:rPr>
              <w:t>—</w:t>
            </w:r>
          </w:p>
        </w:tc>
        <w:tc>
          <w:tcPr>
            <w:tcW w:type="dxa" w:w="1368"/>
          </w:tcPr>
          <w:p>
            <w:pPr>
              <w:spacing w:after="20"/>
              <w:jc w:val="right"/>
            </w:pPr>
            <w:r>
              <w:rPr>
                <w:color w:val="1C3A36"/>
                <w:sz w:val="17"/>
              </w:rPr>
              <w:t>5,957</w:t>
            </w:r>
          </w:p>
        </w:tc>
        <w:tc>
          <w:tcPr>
            <w:tcW w:type="dxa" w:w="1440"/>
          </w:tcPr>
          <w:p>
            <w:pPr>
              <w:spacing w:after="20"/>
              <w:jc w:val="right"/>
            </w:pPr>
            <w:r>
              <w:rPr>
                <w:color w:val="1C3A36"/>
                <w:sz w:val="17"/>
              </w:rPr>
              <w:t>7,818</w:t>
            </w:r>
          </w:p>
        </w:tc>
        <w:tc>
          <w:tcPr>
            <w:tcW w:type="dxa" w:w="1440"/>
          </w:tcPr>
          <w:p>
            <w:pPr>
              <w:spacing w:after="20"/>
              <w:jc w:val="right"/>
            </w:pPr>
            <w:r>
              <w:rPr>
                <w:color w:val="1C3A36"/>
                <w:sz w:val="17"/>
              </w:rPr>
              <w:t>14,921</w:t>
            </w:r>
          </w:p>
        </w:tc>
      </w:tr>
      <w:tr>
        <w:tc>
          <w:tcPr>
            <w:tcW w:type="dxa" w:w="3168"/>
          </w:tcPr>
          <w:p>
            <w:pPr>
              <w:spacing w:after="20"/>
            </w:pPr>
            <w:r>
              <w:rPr>
                <w:b/>
                <w:color w:val="1C3A36"/>
                <w:sz w:val="17"/>
              </w:rPr>
              <w:t>Light mobility</w:t>
            </w:r>
          </w:p>
        </w:tc>
        <w:tc>
          <w:tcPr>
            <w:tcW w:type="dxa" w:w="1368"/>
          </w:tcPr>
          <w:p>
            <w:pPr>
              <w:spacing w:after="20"/>
              <w:jc w:val="right"/>
            </w:pPr>
            <w:r>
              <w:rPr>
                <w:color w:val="1C3A36"/>
                <w:sz w:val="17"/>
              </w:rPr>
              <w:t>—</w:t>
            </w:r>
          </w:p>
        </w:tc>
        <w:tc>
          <w:tcPr>
            <w:tcW w:type="dxa" w:w="1368"/>
          </w:tcPr>
          <w:p>
            <w:pPr>
              <w:spacing w:after="20"/>
              <w:jc w:val="right"/>
            </w:pPr>
            <w:r>
              <w:rPr>
                <w:color w:val="1C3A36"/>
                <w:sz w:val="17"/>
              </w:rPr>
              <w:t>—</w:t>
            </w:r>
          </w:p>
        </w:tc>
        <w:tc>
          <w:tcPr>
            <w:tcW w:type="dxa" w:w="1368"/>
          </w:tcPr>
          <w:p>
            <w:pPr>
              <w:spacing w:after="20"/>
              <w:jc w:val="right"/>
            </w:pPr>
            <w:r>
              <w:rPr>
                <w:color w:val="1C3A36"/>
                <w:sz w:val="17"/>
              </w:rPr>
              <w:t>2,204</w:t>
            </w:r>
          </w:p>
        </w:tc>
        <w:tc>
          <w:tcPr>
            <w:tcW w:type="dxa" w:w="1440"/>
          </w:tcPr>
          <w:p>
            <w:pPr>
              <w:spacing w:after="20"/>
              <w:jc w:val="right"/>
            </w:pPr>
            <w:r>
              <w:rPr>
                <w:color w:val="1C3A36"/>
                <w:sz w:val="17"/>
              </w:rPr>
              <w:t>3,008</w:t>
            </w:r>
          </w:p>
        </w:tc>
        <w:tc>
          <w:tcPr>
            <w:tcW w:type="dxa" w:w="1440"/>
          </w:tcPr>
          <w:p>
            <w:pPr>
              <w:spacing w:after="20"/>
              <w:jc w:val="right"/>
            </w:pPr>
            <w:r>
              <w:rPr>
                <w:color w:val="1C3A36"/>
                <w:sz w:val="17"/>
              </w:rPr>
              <w:t>6,217</w:t>
            </w:r>
          </w:p>
        </w:tc>
      </w:tr>
      <w:tr>
        <w:tc>
          <w:tcPr>
            <w:tcW w:type="dxa" w:w="3168"/>
          </w:tcPr>
          <w:p>
            <w:pPr>
              <w:spacing w:after="20"/>
            </w:pPr>
            <w:r>
              <w:rPr>
                <w:b/>
                <w:color w:val="1C3A36"/>
                <w:sz w:val="17"/>
              </w:rPr>
              <w:t>Trading (tires and parts)</w:t>
            </w:r>
          </w:p>
        </w:tc>
        <w:tc>
          <w:tcPr>
            <w:tcW w:type="dxa" w:w="1368"/>
          </w:tcPr>
          <w:p>
            <w:pPr>
              <w:spacing w:after="20"/>
              <w:jc w:val="right"/>
            </w:pPr>
            <w:r>
              <w:rPr>
                <w:color w:val="1C3A36"/>
                <w:sz w:val="17"/>
              </w:rPr>
              <w:t>—</w:t>
            </w:r>
          </w:p>
        </w:tc>
        <w:tc>
          <w:tcPr>
            <w:tcW w:type="dxa" w:w="1368"/>
          </w:tcPr>
          <w:p>
            <w:pPr>
              <w:spacing w:after="20"/>
              <w:jc w:val="right"/>
            </w:pPr>
            <w:r>
              <w:rPr>
                <w:color w:val="1C3A36"/>
                <w:sz w:val="17"/>
              </w:rPr>
              <w:t>—</w:t>
            </w:r>
          </w:p>
        </w:tc>
        <w:tc>
          <w:tcPr>
            <w:tcW w:type="dxa" w:w="1368"/>
          </w:tcPr>
          <w:p>
            <w:pPr>
              <w:spacing w:after="20"/>
              <w:jc w:val="right"/>
            </w:pPr>
            <w:r>
              <w:rPr>
                <w:color w:val="1C3A36"/>
                <w:sz w:val="17"/>
              </w:rPr>
              <w:t>4,243</w:t>
            </w:r>
          </w:p>
        </w:tc>
        <w:tc>
          <w:tcPr>
            <w:tcW w:type="dxa" w:w="1440"/>
          </w:tcPr>
          <w:p>
            <w:pPr>
              <w:spacing w:after="20"/>
              <w:jc w:val="right"/>
            </w:pPr>
            <w:r>
              <w:rPr>
                <w:color w:val="1C3A36"/>
                <w:sz w:val="17"/>
              </w:rPr>
              <w:t>5,007</w:t>
            </w:r>
          </w:p>
        </w:tc>
        <w:tc>
          <w:tcPr>
            <w:tcW w:type="dxa" w:w="1440"/>
          </w:tcPr>
          <w:p>
            <w:pPr>
              <w:spacing w:after="20"/>
              <w:jc w:val="right"/>
            </w:pPr>
            <w:r>
              <w:rPr>
                <w:color w:val="1C3A36"/>
                <w:sz w:val="17"/>
              </w:rPr>
              <w:t>7,803</w:t>
            </w:r>
          </w:p>
        </w:tc>
      </w:tr>
      <w:tr>
        <w:tc>
          <w:tcPr>
            <w:tcW w:type="dxa" w:w="3168"/>
          </w:tcPr>
          <w:p>
            <w:pPr>
              <w:spacing w:after="20"/>
            </w:pPr>
            <w:r>
              <w:rPr>
                <w:b/>
                <w:color w:val="1C3A36"/>
                <w:sz w:val="17"/>
              </w:rPr>
              <w:t>GB Auto total revenue</w:t>
            </w:r>
          </w:p>
        </w:tc>
        <w:tc>
          <w:tcPr>
            <w:tcW w:type="dxa" w:w="1368"/>
          </w:tcPr>
          <w:p>
            <w:pPr>
              <w:spacing w:after="20"/>
              <w:jc w:val="right"/>
            </w:pPr>
            <w:r>
              <w:rPr>
                <w:color w:val="1C3A36"/>
                <w:sz w:val="17"/>
              </w:rPr>
              <w:t>—</w:t>
            </w:r>
          </w:p>
        </w:tc>
        <w:tc>
          <w:tcPr>
            <w:tcW w:type="dxa" w:w="1368"/>
          </w:tcPr>
          <w:p>
            <w:pPr>
              <w:spacing w:after="20"/>
              <w:jc w:val="right"/>
            </w:pPr>
            <w:r>
              <w:rPr>
                <w:color w:val="1C3A36"/>
                <w:sz w:val="17"/>
              </w:rPr>
              <w:t>—</w:t>
            </w:r>
          </w:p>
        </w:tc>
        <w:tc>
          <w:tcPr>
            <w:tcW w:type="dxa" w:w="1368"/>
          </w:tcPr>
          <w:p>
            <w:pPr>
              <w:spacing w:after="20"/>
              <w:jc w:val="right"/>
            </w:pPr>
            <w:r>
              <w:rPr>
                <w:color w:val="1C3A36"/>
                <w:sz w:val="17"/>
              </w:rPr>
              <w:t>66,358</w:t>
            </w:r>
          </w:p>
        </w:tc>
        <w:tc>
          <w:tcPr>
            <w:tcW w:type="dxa" w:w="1440"/>
          </w:tcPr>
          <w:p>
            <w:pPr>
              <w:spacing w:after="20"/>
              <w:jc w:val="right"/>
            </w:pPr>
            <w:r>
              <w:rPr>
                <w:color w:val="1C3A36"/>
                <w:sz w:val="17"/>
              </w:rPr>
              <w:t>78,550</w:t>
            </w:r>
          </w:p>
        </w:tc>
        <w:tc>
          <w:tcPr>
            <w:tcW w:type="dxa" w:w="1440"/>
          </w:tcPr>
          <w:p>
            <w:pPr>
              <w:spacing w:after="20"/>
              <w:jc w:val="right"/>
            </w:pPr>
            <w:r>
              <w:rPr>
                <w:color w:val="1C3A36"/>
                <w:sz w:val="17"/>
              </w:rPr>
              <w:t>144,761</w:t>
            </w:r>
          </w:p>
        </w:tc>
      </w:tr>
    </w:tbl>
    <w:p>
      <w:pPr>
        <w:spacing w:after="40"/>
      </w:pPr>
    </w:p>
    <w:p>
      <w:pPr>
        <w:spacing w:after="200" w:before="0"/>
      </w:pPr>
      <w:r>
        <w:rPr>
          <w:b w:val="0"/>
          <w:i/>
          <w:color w:val="6E7B77"/>
          <w:sz w:val="17"/>
        </w:rPr>
        <w:t>Sources: the company’s own FY2023, FY2024 and FY2025 earnings releases, segment volume and revenue tables. A dash marks a line the study’s committed record does not carry for that year rather than a nil figure — the segment split is disclosed for the base year and this study does not reconstruct the earlier years it did not source. The forecast columns are the model’s own driver path.</w:t>
      </w:r>
    </w:p>
    <w:p>
      <w:pPr>
        <w:spacing w:after="80" w:before="200"/>
      </w:pPr>
      <w:r>
        <w:rPr>
          <w:b/>
          <w:i w:val="0"/>
          <w:color w:val="1C3A36"/>
          <w:sz w:val="24"/>
        </w:rPr>
        <w:t>1.7  The crux: the mark and its discount, then cash conversion and the rate path</w:t>
      </w:r>
    </w:p>
    <w:p>
      <w:pPr>
        <w:spacing w:after="120" w:before="0"/>
      </w:pPr>
      <w:r>
        <w:rPr>
          <w:b w:val="0"/>
          <w:i w:val="0"/>
          <w:color w:val="1C3A36"/>
          <w:sz w:val="21"/>
        </w:rPr>
        <w:t>Three judgments drive this valuation, in order of size. First and by a wide margin: not what GB Corp’s MNT-Halan stake is — the company stated it — but what a private mark that large should be discounted by, given that taking it at face value makes the stake worth 79% of the entire market capitalisation. This study applies a 10% complexity discount uniformly across all three legs; a reader who believes the market applies a much steeper illiquidity and minority discount specifically to that mark should treat the bear case, not the base case, as the more realistic anchor. Second, where Auto working-capital intensity settles: it is modelled from 26.5% of revenue down to 21.5%, and each point of steady-state intensity moves the operating leg materially — §1.9 prices the whole grid rather than a single point estimate of that effect. Third, the Egyptian nominal-rate path: the schedule glides from 22.88% to 14.18% against terminal growth of 7.00%, a terminal real spread of 7.18%, and every 100 basis points the easing cycle takes out of that spread is worth what the §1.9 grid shows. A fourth exposure is regional: part of passenger-car revenue is Iraq and Jordan, where conflict has already cut volumes, and this study does not hold a sourced split of that revenue for the reviewed half, so it is named as an exposure and not priced.</w:t>
      </w:r>
    </w:p>
    <w:p>
      <w:pPr>
        <w:spacing w:after="80" w:before="200"/>
      </w:pPr>
      <w:r>
        <w:rPr>
          <w:b/>
          <w:i w:val="0"/>
          <w:color w:val="1C3A36"/>
          <w:sz w:val="24"/>
        </w:rPr>
        <w:t>1.8  Macro and country — rates, the pound, and the cost of capital</w:t>
      </w:r>
    </w:p>
    <w:p>
      <w:pPr>
        <w:spacing w:after="120" w:before="0"/>
      </w:pPr>
      <w:r>
        <w:rPr>
          <w:b w:val="0"/>
          <w:i w:val="0"/>
          <w:color w:val="1C3A36"/>
          <w:sz w:val="21"/>
        </w:rPr>
        <w:t>GB Corp is a leveraged play on Egyptian nominal normalisation. Every cut lowers GB Capital’s funding cost on a fixed-rate lending book, lowers the customer’s instalment, and compresses the discount rate this study applies. The pound sets assembly input costs and the pound value of the MNT-Halan mark; a step devaluation is the single nastiest macro scenario for both margin and multiple. The cost-of-capital build below is produced by the house module rather than assembled by hand, and the whole schedule is published — not one rate held for ever: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3744"/>
            <w:shd w:val="clear" w:color="auto" w:fill="EAF0EE"/>
          </w:tcPr>
          <w:p>
            <w:pPr>
              <w:spacing w:after="20"/>
            </w:pPr>
            <w:r>
              <w:rPr>
                <w:b/>
                <w:color w:val="1C3A36"/>
                <w:sz w:val="17"/>
              </w:rPr>
              <w:t>Cost-of-capital build</w:t>
            </w:r>
          </w:p>
        </w:tc>
        <w:tc>
          <w:tcPr>
            <w:tcW w:type="dxa" w:w="1872"/>
            <w:shd w:val="clear" w:color="auto" w:fill="EAF0EE"/>
          </w:tcPr>
          <w:p>
            <w:pPr>
              <w:spacing w:after="20"/>
            </w:pPr>
            <w:r>
              <w:rPr>
                <w:b/>
                <w:color w:val="1C3A36"/>
                <w:sz w:val="17"/>
              </w:rPr>
              <w:t>Value</w:t>
            </w:r>
          </w:p>
        </w:tc>
        <w:tc>
          <w:tcPr>
            <w:tcW w:type="dxa" w:w="4320"/>
            <w:shd w:val="clear" w:color="auto" w:fill="EAF0EE"/>
          </w:tcPr>
          <w:p>
            <w:pPr>
              <w:spacing w:after="20"/>
            </w:pPr>
            <w:r>
              <w:rPr>
                <w:b/>
                <w:color w:val="1C3A36"/>
                <w:sz w:val="17"/>
              </w:rPr>
              <w:t>Source</w:t>
            </w:r>
          </w:p>
        </w:tc>
      </w:tr>
      <w:tr>
        <w:tc>
          <w:tcPr>
            <w:tcW w:type="dxa" w:w="3744"/>
          </w:tcPr>
          <w:p>
            <w:pPr>
              <w:spacing w:after="20"/>
            </w:pPr>
            <w:r>
              <w:rPr>
                <w:b/>
                <w:color w:val="1C3A36"/>
                <w:sz w:val="17"/>
              </w:rPr>
              <w:t>Observed risk-free rate</w:t>
            </w:r>
          </w:p>
        </w:tc>
        <w:tc>
          <w:tcPr>
            <w:tcW w:type="dxa" w:w="1872"/>
          </w:tcPr>
          <w:p>
            <w:pPr>
              <w:spacing w:after="20"/>
              <w:jc w:val="right"/>
            </w:pPr>
            <w:r>
              <w:rPr>
                <w:color w:val="1C3A36"/>
                <w:sz w:val="17"/>
              </w:rPr>
              <w:t>23.00%</w:t>
            </w:r>
          </w:p>
        </w:tc>
        <w:tc>
          <w:tcPr>
            <w:tcW w:type="dxa" w:w="4320"/>
          </w:tcPr>
          <w:p>
            <w:pPr>
              <w:spacing w:after="20"/>
              <w:jc w:val="right"/>
            </w:pPr>
            <w:r>
              <w:rPr>
                <w:color w:val="1C3A36"/>
                <w:sz w:val="17"/>
              </w:rPr>
              <w:t>Egypt 10-year local-currency government bond yield, house macro path</w:t>
            </w:r>
          </w:p>
        </w:tc>
      </w:tr>
      <w:tr>
        <w:tc>
          <w:tcPr>
            <w:tcW w:type="dxa" w:w="3744"/>
          </w:tcPr>
          <w:p>
            <w:pPr>
              <w:spacing w:after="20"/>
            </w:pPr>
            <w:r>
              <w:rPr>
                <w:b/>
                <w:color w:val="1C3A36"/>
                <w:sz w:val="17"/>
              </w:rPr>
              <w:t>less: Egypt’s own sovereign default spread</w:t>
            </w:r>
          </w:p>
        </w:tc>
        <w:tc>
          <w:tcPr>
            <w:tcW w:type="dxa" w:w="1872"/>
          </w:tcPr>
          <w:p>
            <w:pPr>
              <w:spacing w:after="20"/>
              <w:jc w:val="right"/>
            </w:pPr>
            <w:r>
              <w:rPr>
                <w:color w:val="1C3A36"/>
                <w:sz w:val="17"/>
              </w:rPr>
              <w:t>3.41%</w:t>
            </w:r>
          </w:p>
        </w:tc>
        <w:tc>
          <w:tcPr>
            <w:tcW w:type="dxa" w:w="4320"/>
          </w:tcPr>
          <w:p>
            <w:pPr>
              <w:spacing w:after="20"/>
              <w:jc w:val="right"/>
            </w:pPr>
            <w:r>
              <w:rPr>
                <w:color w:val="1C3A36"/>
                <w:sz w:val="17"/>
              </w:rPr>
              <w:t>so country risk is counted exactly once, inside the premium below</w:t>
            </w:r>
          </w:p>
        </w:tc>
      </w:tr>
      <w:tr>
        <w:tc>
          <w:tcPr>
            <w:tcW w:type="dxa" w:w="3744"/>
          </w:tcPr>
          <w:p>
            <w:pPr>
              <w:spacing w:after="20"/>
            </w:pPr>
            <w:r>
              <w:rPr>
                <w:b/>
                <w:color w:val="1C3A36"/>
                <w:sz w:val="17"/>
              </w:rPr>
              <w:t>Normalised risk-free rate</w:t>
            </w:r>
          </w:p>
        </w:tc>
        <w:tc>
          <w:tcPr>
            <w:tcW w:type="dxa" w:w="1872"/>
          </w:tcPr>
          <w:p>
            <w:pPr>
              <w:spacing w:after="20"/>
              <w:jc w:val="right"/>
            </w:pPr>
            <w:r>
              <w:rPr>
                <w:color w:val="1C3A36"/>
                <w:sz w:val="17"/>
              </w:rPr>
              <w:t>19.59%</w:t>
            </w:r>
          </w:p>
        </w:tc>
        <w:tc>
          <w:tcPr>
            <w:tcW w:type="dxa" w:w="4320"/>
          </w:tcPr>
          <w:p>
            <w:pPr>
              <w:spacing w:after="20"/>
              <w:jc w:val="right"/>
            </w:pPr>
            <w:r>
              <w:rPr>
                <w:color w:val="1C3A36"/>
                <w:sz w:val="17"/>
              </w:rPr>
              <w:t>the difference of the two rows above</w:t>
            </w:r>
          </w:p>
        </w:tc>
      </w:tr>
      <w:tr>
        <w:tc>
          <w:tcPr>
            <w:tcW w:type="dxa" w:w="3744"/>
          </w:tcPr>
          <w:p>
            <w:pPr>
              <w:spacing w:after="20"/>
            </w:pPr>
            <w:r>
              <w:rPr>
                <w:b/>
                <w:color w:val="1C3A36"/>
                <w:sz w:val="17"/>
              </w:rPr>
              <w:t>Equity beta</w:t>
            </w:r>
          </w:p>
        </w:tc>
        <w:tc>
          <w:tcPr>
            <w:tcW w:type="dxa" w:w="1872"/>
          </w:tcPr>
          <w:p>
            <w:pPr>
              <w:spacing w:after="20"/>
              <w:jc w:val="right"/>
            </w:pPr>
            <w:r>
              <w:rPr>
                <w:color w:val="1C3A36"/>
                <w:sz w:val="17"/>
              </w:rPr>
              <w:t>0.8907</w:t>
            </w:r>
          </w:p>
        </w:tc>
        <w:tc>
          <w:tcPr>
            <w:tcW w:type="dxa" w:w="4320"/>
          </w:tcPr>
          <w:p>
            <w:pPr>
              <w:spacing w:after="20"/>
              <w:jc w:val="right"/>
            </w:pPr>
            <w:r>
              <w:rPr>
                <w:color w:val="1C3A36"/>
                <w:sz w:val="17"/>
              </w:rPr>
              <w:t>own-stock weekly regression against the published EGX30 index</w:t>
            </w:r>
          </w:p>
        </w:tc>
      </w:tr>
      <w:tr>
        <w:tc>
          <w:tcPr>
            <w:tcW w:type="dxa" w:w="3744"/>
          </w:tcPr>
          <w:p>
            <w:pPr>
              <w:spacing w:after="20"/>
            </w:pPr>
            <w:r>
              <w:rPr>
                <w:b/>
                <w:color w:val="1C3A36"/>
                <w:sz w:val="17"/>
              </w:rPr>
              <w:t>Equity risk premium (market basis, adopted)</w:t>
            </w:r>
          </w:p>
        </w:tc>
        <w:tc>
          <w:tcPr>
            <w:tcW w:type="dxa" w:w="1872"/>
          </w:tcPr>
          <w:p>
            <w:pPr>
              <w:spacing w:after="20"/>
              <w:jc w:val="right"/>
            </w:pPr>
            <w:r>
              <w:rPr>
                <w:color w:val="1C3A36"/>
                <w:sz w:val="17"/>
              </w:rPr>
              <w:t>9.41%</w:t>
            </w:r>
          </w:p>
        </w:tc>
        <w:tc>
          <w:tcPr>
            <w:tcW w:type="dxa" w:w="4320"/>
          </w:tcPr>
          <w:p>
            <w:pPr>
              <w:spacing w:after="20"/>
              <w:jc w:val="right"/>
            </w:pPr>
            <w:r>
              <w:rPr>
                <w:color w:val="1C3A36"/>
                <w:sz w:val="17"/>
              </w:rPr>
              <w:t>the sovereign’s own row, read for this country</w:t>
            </w:r>
          </w:p>
        </w:tc>
      </w:tr>
      <w:tr>
        <w:tc>
          <w:tcPr>
            <w:tcW w:type="dxa" w:w="3744"/>
          </w:tcPr>
          <w:p>
            <w:pPr>
              <w:spacing w:after="20"/>
            </w:pPr>
            <w:r>
              <w:rPr>
                <w:b/>
                <w:color w:val="1C3A36"/>
                <w:sz w:val="17"/>
              </w:rPr>
              <w:t>Equity risk premium (rating basis, alternative)</w:t>
            </w:r>
          </w:p>
        </w:tc>
        <w:tc>
          <w:tcPr>
            <w:tcW w:type="dxa" w:w="1872"/>
          </w:tcPr>
          <w:p>
            <w:pPr>
              <w:spacing w:after="20"/>
              <w:jc w:val="right"/>
            </w:pPr>
            <w:r>
              <w:rPr>
                <w:color w:val="1C3A36"/>
                <w:sz w:val="17"/>
              </w:rPr>
              <w:t>13.94%</w:t>
            </w:r>
          </w:p>
        </w:tc>
        <w:tc>
          <w:tcPr>
            <w:tcW w:type="dxa" w:w="4320"/>
          </w:tcPr>
          <w:p>
            <w:pPr>
              <w:spacing w:after="20"/>
              <w:jc w:val="right"/>
            </w:pPr>
            <w:r>
              <w:rPr>
                <w:color w:val="1C3A36"/>
                <w:sz w:val="17"/>
              </w:rPr>
              <w:t>same source, rating-based column; published beside the adopted basis</w:t>
            </w:r>
          </w:p>
        </w:tc>
      </w:tr>
      <w:tr>
        <w:tc>
          <w:tcPr>
            <w:tcW w:type="dxa" w:w="3744"/>
          </w:tcPr>
          <w:p>
            <w:pPr>
              <w:spacing w:after="20"/>
            </w:pPr>
            <w:r>
              <w:rPr>
                <w:b/>
                <w:color w:val="1C3A36"/>
                <w:sz w:val="17"/>
              </w:rPr>
              <w:t>Cost of equity, explicit window</w:t>
            </w:r>
          </w:p>
        </w:tc>
        <w:tc>
          <w:tcPr>
            <w:tcW w:type="dxa" w:w="1872"/>
          </w:tcPr>
          <w:p>
            <w:pPr>
              <w:spacing w:after="20"/>
              <w:jc w:val="right"/>
            </w:pPr>
            <w:r>
              <w:rPr>
                <w:color w:val="1C3A36"/>
                <w:sz w:val="17"/>
              </w:rPr>
              <w:t>27.97%</w:t>
            </w:r>
          </w:p>
        </w:tc>
        <w:tc>
          <w:tcPr>
            <w:tcW w:type="dxa" w:w="4320"/>
          </w:tcPr>
          <w:p>
            <w:pPr>
              <w:spacing w:after="20"/>
              <w:jc w:val="right"/>
            </w:pPr>
            <w:r>
              <w:rPr>
                <w:color w:val="1C3A36"/>
                <w:sz w:val="17"/>
              </w:rPr>
              <w:t>reproduces from the normalised rate plus beta times the premium; 29.05% on the rating basis</w:t>
            </w:r>
          </w:p>
        </w:tc>
      </w:tr>
      <w:tr>
        <w:tc>
          <w:tcPr>
            <w:tcW w:type="dxa" w:w="3744"/>
          </w:tcPr>
          <w:p>
            <w:pPr>
              <w:spacing w:after="20"/>
            </w:pPr>
            <w:r>
              <w:rPr>
                <w:b/>
                <w:color w:val="1C3A36"/>
                <w:sz w:val="17"/>
              </w:rPr>
              <w:t>Pre-tax cost of debt</w:t>
            </w:r>
          </w:p>
        </w:tc>
        <w:tc>
          <w:tcPr>
            <w:tcW w:type="dxa" w:w="1872"/>
          </w:tcPr>
          <w:p>
            <w:pPr>
              <w:spacing w:after="20"/>
              <w:jc w:val="right"/>
            </w:pPr>
            <w:r>
              <w:rPr>
                <w:color w:val="1C3A36"/>
                <w:sz w:val="17"/>
              </w:rPr>
              <w:t>26.53%</w:t>
            </w:r>
          </w:p>
        </w:tc>
        <w:tc>
          <w:tcPr>
            <w:tcW w:type="dxa" w:w="4320"/>
          </w:tcPr>
          <w:p>
            <w:pPr>
              <w:spacing w:after="20"/>
              <w:jc w:val="right"/>
            </w:pPr>
            <w:r>
              <w:rPr>
                <w:color w:val="1C3A36"/>
                <w:sz w:val="17"/>
              </w:rPr>
              <w:t>the company’s own effective borrowing rate, computed on the borrowings that actually bear the interest</w:t>
            </w:r>
          </w:p>
        </w:tc>
      </w:tr>
      <w:tr>
        <w:tc>
          <w:tcPr>
            <w:tcW w:type="dxa" w:w="3744"/>
          </w:tcPr>
          <w:p>
            <w:pPr>
              <w:spacing w:after="20"/>
            </w:pPr>
            <w:r>
              <w:rPr>
                <w:b/>
                <w:color w:val="1C3A36"/>
                <w:sz w:val="17"/>
              </w:rPr>
              <w:t>After-tax cost of debt</w:t>
            </w:r>
          </w:p>
        </w:tc>
        <w:tc>
          <w:tcPr>
            <w:tcW w:type="dxa" w:w="1872"/>
          </w:tcPr>
          <w:p>
            <w:pPr>
              <w:spacing w:after="20"/>
              <w:jc w:val="right"/>
            </w:pPr>
            <w:r>
              <w:rPr>
                <w:color w:val="1C3A36"/>
                <w:sz w:val="17"/>
              </w:rPr>
              <w:t>19.10%</w:t>
            </w:r>
          </w:p>
        </w:tc>
        <w:tc>
          <w:tcPr>
            <w:tcW w:type="dxa" w:w="4320"/>
          </w:tcPr>
          <w:p>
            <w:pPr>
              <w:spacing w:after="20"/>
              <w:jc w:val="right"/>
            </w:pPr>
            <w:r>
              <w:rPr>
                <w:color w:val="1C3A36"/>
                <w:sz w:val="17"/>
              </w:rPr>
              <w:t>debt is entirely local-currency on the disclosed facility note</w:t>
            </w:r>
          </w:p>
        </w:tc>
      </w:tr>
      <w:tr>
        <w:tc>
          <w:tcPr>
            <w:tcW w:type="dxa" w:w="3744"/>
          </w:tcPr>
          <w:p>
            <w:pPr>
              <w:spacing w:after="20"/>
            </w:pPr>
            <w:r>
              <w:rPr>
                <w:b/>
                <w:color w:val="1C3A36"/>
                <w:sz w:val="17"/>
              </w:rPr>
              <w:t>Weights (equity / debt)</w:t>
            </w:r>
          </w:p>
        </w:tc>
        <w:tc>
          <w:tcPr>
            <w:tcW w:type="dxa" w:w="1872"/>
          </w:tcPr>
          <w:p>
            <w:pPr>
              <w:spacing w:after="20"/>
              <w:jc w:val="right"/>
            </w:pPr>
            <w:r>
              <w:rPr>
                <w:color w:val="1C3A36"/>
                <w:sz w:val="17"/>
              </w:rPr>
              <w:t>42.5% / 57.5%</w:t>
            </w:r>
          </w:p>
        </w:tc>
        <w:tc>
          <w:tcPr>
            <w:tcW w:type="dxa" w:w="4320"/>
          </w:tcPr>
          <w:p>
            <w:pPr>
              <w:spacing w:after="20"/>
              <w:jc w:val="right"/>
            </w:pPr>
            <w:r>
              <w:rPr>
                <w:color w:val="1C3A36"/>
                <w:sz w:val="17"/>
              </w:rPr>
              <w:t>market capitalisation against disclosed borrowings</w:t>
            </w:r>
          </w:p>
        </w:tc>
      </w:tr>
      <w:tr>
        <w:tc>
          <w:tcPr>
            <w:tcW w:type="dxa" w:w="3744"/>
          </w:tcPr>
          <w:p>
            <w:pPr>
              <w:spacing w:after="20"/>
            </w:pPr>
            <w:r>
              <w:rPr>
                <w:b/>
                <w:color w:val="1C3A36"/>
                <w:sz w:val="17"/>
              </w:rPr>
              <w:t>Weighted cost of capital, first forecast year</w:t>
            </w:r>
          </w:p>
        </w:tc>
        <w:tc>
          <w:tcPr>
            <w:tcW w:type="dxa" w:w="1872"/>
          </w:tcPr>
          <w:p>
            <w:pPr>
              <w:spacing w:after="20"/>
              <w:jc w:val="right"/>
            </w:pPr>
            <w:r>
              <w:rPr>
                <w:color w:val="1C3A36"/>
                <w:sz w:val="17"/>
              </w:rPr>
              <w:t>22.88%</w:t>
            </w:r>
          </w:p>
        </w:tc>
        <w:tc>
          <w:tcPr>
            <w:tcW w:type="dxa" w:w="4320"/>
          </w:tcPr>
          <w:p>
            <w:pPr>
              <w:spacing w:after="20"/>
              <w:jc w:val="right"/>
            </w:pPr>
            <w:r>
              <w:rPr>
                <w:color w:val="1C3A36"/>
                <w:sz w:val="17"/>
              </w:rPr>
              <w:t>23.33% on the rating-based alternative</w:t>
            </w:r>
          </w:p>
        </w:tc>
      </w:tr>
      <w:tr>
        <w:tc>
          <w:tcPr>
            <w:tcW w:type="dxa" w:w="3744"/>
          </w:tcPr>
          <w:p>
            <w:pPr>
              <w:spacing w:after="20"/>
            </w:pPr>
            <w:r>
              <w:rPr>
                <w:b/>
                <w:color w:val="1C3A36"/>
                <w:sz w:val="17"/>
              </w:rPr>
              <w:t>Weighted cost of capital, terminal</w:t>
            </w:r>
          </w:p>
        </w:tc>
        <w:tc>
          <w:tcPr>
            <w:tcW w:type="dxa" w:w="1872"/>
          </w:tcPr>
          <w:p>
            <w:pPr>
              <w:spacing w:after="20"/>
              <w:jc w:val="right"/>
            </w:pPr>
            <w:r>
              <w:rPr>
                <w:color w:val="1C3A36"/>
                <w:sz w:val="17"/>
              </w:rPr>
              <w:t>14.18%</w:t>
            </w:r>
          </w:p>
        </w:tc>
        <w:tc>
          <w:tcPr>
            <w:tcW w:type="dxa" w:w="4320"/>
          </w:tcPr>
          <w:p>
            <w:pPr>
              <w:spacing w:after="20"/>
              <w:jc w:val="right"/>
            </w:pPr>
            <w:r>
              <w:rPr>
                <w:color w:val="1C3A36"/>
                <w:sz w:val="17"/>
              </w:rPr>
              <w:t>norm-built, reached by a glide inherited from the policy-rate path</w:t>
            </w:r>
          </w:p>
        </w:tc>
      </w:tr>
      <w:tr>
        <w:tc>
          <w:tcPr>
            <w:tcW w:type="dxa" w:w="3744"/>
          </w:tcPr>
          <w:p>
            <w:pPr>
              <w:spacing w:after="20"/>
            </w:pPr>
            <w:r>
              <w:rPr>
                <w:b/>
                <w:color w:val="1C3A36"/>
                <w:sz w:val="17"/>
              </w:rPr>
              <w:t>Terminal growth (real, then nominal)</w:t>
            </w:r>
          </w:p>
        </w:tc>
        <w:tc>
          <w:tcPr>
            <w:tcW w:type="dxa" w:w="1872"/>
          </w:tcPr>
          <w:p>
            <w:pPr>
              <w:spacing w:after="20"/>
              <w:jc w:val="right"/>
            </w:pPr>
            <w:r>
              <w:rPr>
                <w:color w:val="1C3A36"/>
                <w:sz w:val="17"/>
              </w:rPr>
              <w:t>0.0% → 7.00%</w:t>
            </w:r>
          </w:p>
        </w:tc>
        <w:tc>
          <w:tcPr>
            <w:tcW w:type="dxa" w:w="4320"/>
          </w:tcPr>
          <w:p>
            <w:pPr>
              <w:spacing w:after="20"/>
              <w:jc w:val="right"/>
            </w:pPr>
            <w:r>
              <w:rPr>
                <w:color w:val="1C3A36"/>
                <w:sz w:val="17"/>
              </w:rPr>
              <w:t>stored as a real rate on the house inflation path and recomputed; never typed as a nominal figure</w:t>
            </w:r>
          </w:p>
        </w:tc>
      </w:tr>
    </w:tbl>
    <w:p>
      <w:pPr>
        <w:spacing w:after="40"/>
      </w:pPr>
    </w:p>
    <w:p>
      <w:pPr>
        <w:spacing w:after="120" w:before="0"/>
      </w:pPr>
      <w:r>
        <w:rPr>
          <w:b w:val="0"/>
          <w:i w:val="0"/>
          <w:color w:val="1C3A36"/>
          <w:sz w:val="19"/>
        </w:rPr>
        <w:t>Three honesty notes on this build. First, the beta is the stock’s own regression against the published index of the exchange it is listed on — 0.8907, on weekly observations over nearly five years, passing the usability gate — and it replaces an assumed unit beta the superseded edition carried because an earlier attempt on five annual observations was unusable. Second, the country risk enters exactly once: the observed local yield is reduced by this sovereign’s own default spread and the premium added back carries the country risk, rather than the raw yield being combined with a country-loaded premium. Third, both premium bases are published and the market basis is named as the adopted one; the rating basis is shown beside it rather than averaged into it.</w:t>
      </w:r>
    </w:p>
    <w:p>
      <w:pPr>
        <w:spacing w:after="120" w:before="0"/>
      </w:pPr>
      <w:r>
        <w:rPr>
          <w:b w:val="0"/>
          <w:i/>
          <w:color w:val="6E7B77"/>
          <w:sz w:val="18"/>
        </w:rPr>
        <w:t>Disclosed staleness of the macro anchors: The house Egyptian path's sovereign quote and currency spot are both anchored 2026-08-06 and this study is struck against the latest known price, 2026-09-03 — 28 days later. Refreshing a house macro path is a house-level act rather than a step of one name's rebuild, so the staleness is DISCLOSED and deliberately accepted rather than switched off, exactly as this house already treats a deliberately-accepted stale sovereign quote.</w:t>
      </w:r>
    </w:p>
    <w:p>
      <w:pPr>
        <w:spacing w:after="80" w:before="200"/>
      </w:pPr>
      <w:r>
        <w:rPr>
          <w:b/>
          <w:i w:val="0"/>
          <w:color w:val="1C3A36"/>
          <w:sz w:val="24"/>
        </w:rPr>
        <w:t>1.9  Sensitivity — the margin, the discount, and the rate spread</w:t>
      </w:r>
    </w:p>
    <w:p>
      <w:pPr>
        <w:spacing w:after="120" w:before="0"/>
      </w:pPr>
      <w:r>
        <w:rPr>
          <w:b w:val="0"/>
          <w:i w:val="0"/>
          <w:color w:val="1C3A36"/>
          <w:sz w:val="21"/>
        </w:rPr>
        <w:t>Holding the lender and associate marks fixed, the first grid re-prices the sum-of-the-parts across the Auto gross-margin path and the complexity discount; the second across the cost of capital and terminal growth. The stake is not the open question in either — what matters is the discount applied to its mark, priced in the §1.1 table, which dominates both of these grids combined.</w:t>
      </w:r>
    </w:p>
    <w:p>
      <w:pPr>
        <w:spacing w:after="40"/>
        <w:jc w:val="center"/>
      </w:pPr>
      <w:r>
        <w:drawing>
          <wp:inline xmlns:a="http://schemas.openxmlformats.org/drawingml/2006/main" xmlns:pic="http://schemas.openxmlformats.org/drawingml/2006/picture">
            <wp:extent cx="5120640" cy="2492943"/>
            <wp:docPr id="2" name="Picture 2"/>
            <wp:cNvGraphicFramePr>
              <a:graphicFrameLocks noChangeAspect="1"/>
            </wp:cNvGraphicFramePr>
            <a:graphic>
              <a:graphicData uri="http://schemas.openxmlformats.org/drawingml/2006/picture">
                <pic:pic>
                  <pic:nvPicPr>
                    <pic:cNvPr id="0" name="fig2_sens.png"/>
                    <pic:cNvPicPr/>
                  </pic:nvPicPr>
                  <pic:blipFill>
                    <a:blip r:embed="rId10"/>
                    <a:stretch>
                      <a:fillRect/>
                    </a:stretch>
                  </pic:blipFill>
                  <pic:spPr>
                    <a:xfrm>
                      <a:off x="0" y="0"/>
                      <a:ext cx="5120640" cy="2492943"/>
                    </a:xfrm>
                    <a:prstGeom prst="rect"/>
                  </pic:spPr>
                </pic:pic>
              </a:graphicData>
            </a:graphic>
          </wp:inline>
        </w:drawing>
      </w:r>
    </w:p>
    <w:p>
      <w:pPr>
        <w:spacing w:after="200" w:before="0"/>
      </w:pPr>
      <w:r>
        <w:rPr>
          <w:b w:val="0"/>
          <w:i/>
          <w:color w:val="6E7B77"/>
          <w:sz w:val="17"/>
        </w:rPr>
        <w:t>Figure 2 — Sum-of-the-parts fair value (EGP/share) across the Auto gross-margin shift and the complexity discount. No cell in the grid reaches the EGP 28.98 price; the nearest is EGP 34.1.</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2736"/>
            <w:shd w:val="clear" w:color="auto" w:fill="EAF0EE"/>
          </w:tcPr>
          <w:p>
            <w:pPr>
              <w:spacing w:after="20"/>
            </w:pPr>
            <w:r>
              <w:rPr>
                <w:b/>
                <w:color w:val="1C3A36"/>
                <w:sz w:val="18"/>
              </w:rPr>
              <w:t>Cost of capital \ terminal growth</w:t>
            </w:r>
          </w:p>
        </w:tc>
        <w:tc>
          <w:tcPr>
            <w:tcW w:type="dxa" w:w="1368"/>
            <w:shd w:val="clear" w:color="auto" w:fill="EAF0EE"/>
          </w:tcPr>
          <w:p>
            <w:pPr>
              <w:spacing w:after="20"/>
            </w:pPr>
            <w:r>
              <w:rPr>
                <w:b/>
                <w:color w:val="1C3A36"/>
                <w:sz w:val="18"/>
              </w:rPr>
              <w:t>5.0%</w:t>
            </w:r>
          </w:p>
        </w:tc>
        <w:tc>
          <w:tcPr>
            <w:tcW w:type="dxa" w:w="1368"/>
            <w:shd w:val="clear" w:color="auto" w:fill="EAF0EE"/>
          </w:tcPr>
          <w:p>
            <w:pPr>
              <w:spacing w:after="20"/>
            </w:pPr>
            <w:r>
              <w:rPr>
                <w:b/>
                <w:color w:val="1C3A36"/>
                <w:sz w:val="18"/>
              </w:rPr>
              <w:t>6.0%</w:t>
            </w:r>
          </w:p>
        </w:tc>
        <w:tc>
          <w:tcPr>
            <w:tcW w:type="dxa" w:w="1368"/>
            <w:shd w:val="clear" w:color="auto" w:fill="EAF0EE"/>
          </w:tcPr>
          <w:p>
            <w:pPr>
              <w:spacing w:after="20"/>
            </w:pPr>
            <w:r>
              <w:rPr>
                <w:b/>
                <w:color w:val="1C3A36"/>
                <w:sz w:val="18"/>
              </w:rPr>
              <w:t>7.0%</w:t>
            </w:r>
          </w:p>
        </w:tc>
        <w:tc>
          <w:tcPr>
            <w:tcW w:type="dxa" w:w="1368"/>
            <w:shd w:val="clear" w:color="auto" w:fill="EAF0EE"/>
          </w:tcPr>
          <w:p>
            <w:pPr>
              <w:spacing w:after="20"/>
            </w:pPr>
            <w:r>
              <w:rPr>
                <w:b/>
                <w:color w:val="1C3A36"/>
                <w:sz w:val="18"/>
              </w:rPr>
              <w:t>8.0%</w:t>
            </w:r>
          </w:p>
        </w:tc>
        <w:tc>
          <w:tcPr>
            <w:tcW w:type="dxa" w:w="1368"/>
            <w:shd w:val="clear" w:color="auto" w:fill="EAF0EE"/>
          </w:tcPr>
          <w:p>
            <w:pPr>
              <w:spacing w:after="20"/>
            </w:pPr>
            <w:r>
              <w:rPr>
                <w:b/>
                <w:color w:val="1C3A36"/>
                <w:sz w:val="18"/>
              </w:rPr>
              <w:t>9.0%</w:t>
            </w:r>
          </w:p>
        </w:tc>
      </w:tr>
      <w:tr>
        <w:tc>
          <w:tcPr>
            <w:tcW w:type="dxa" w:w="2736"/>
          </w:tcPr>
          <w:p>
            <w:pPr>
              <w:spacing w:after="20"/>
            </w:pPr>
            <w:r>
              <w:rPr>
                <w:b/>
                <w:color w:val="1C3A36"/>
                <w:sz w:val="18"/>
              </w:rPr>
              <w:t>20.9%</w:t>
            </w:r>
          </w:p>
        </w:tc>
        <w:tc>
          <w:tcPr>
            <w:tcW w:type="dxa" w:w="1368"/>
          </w:tcPr>
          <w:p>
            <w:pPr>
              <w:spacing w:after="20"/>
              <w:jc w:val="right"/>
            </w:pPr>
            <w:r>
              <w:rPr>
                <w:color w:val="1C3A36"/>
                <w:sz w:val="18"/>
              </w:rPr>
              <w:t>55.9</w:t>
            </w:r>
          </w:p>
        </w:tc>
        <w:tc>
          <w:tcPr>
            <w:tcW w:type="dxa" w:w="1368"/>
          </w:tcPr>
          <w:p>
            <w:pPr>
              <w:spacing w:after="20"/>
              <w:jc w:val="right"/>
            </w:pPr>
            <w:r>
              <w:rPr>
                <w:color w:val="1C3A36"/>
                <w:sz w:val="18"/>
              </w:rPr>
              <w:t>61.3</w:t>
            </w:r>
          </w:p>
        </w:tc>
        <w:tc>
          <w:tcPr>
            <w:tcW w:type="dxa" w:w="1368"/>
          </w:tcPr>
          <w:p>
            <w:pPr>
              <w:spacing w:after="20"/>
              <w:jc w:val="right"/>
            </w:pPr>
            <w:r>
              <w:rPr>
                <w:color w:val="1C3A36"/>
                <w:sz w:val="18"/>
              </w:rPr>
              <w:t>68.8</w:t>
            </w:r>
          </w:p>
        </w:tc>
        <w:tc>
          <w:tcPr>
            <w:tcW w:type="dxa" w:w="1368"/>
          </w:tcPr>
          <w:p>
            <w:pPr>
              <w:spacing w:after="20"/>
              <w:jc w:val="right"/>
            </w:pPr>
            <w:r>
              <w:rPr>
                <w:color w:val="1C3A36"/>
                <w:sz w:val="18"/>
              </w:rPr>
              <w:t>n.m.</w:t>
            </w:r>
          </w:p>
        </w:tc>
        <w:tc>
          <w:tcPr>
            <w:tcW w:type="dxa" w:w="1368"/>
          </w:tcPr>
          <w:p>
            <w:pPr>
              <w:spacing w:after="20"/>
              <w:jc w:val="right"/>
            </w:pPr>
            <w:r>
              <w:rPr>
                <w:color w:val="1C3A36"/>
                <w:sz w:val="18"/>
              </w:rPr>
              <w:t>n.m.</w:t>
            </w:r>
          </w:p>
        </w:tc>
      </w:tr>
      <w:tr>
        <w:tc>
          <w:tcPr>
            <w:tcW w:type="dxa" w:w="2736"/>
          </w:tcPr>
          <w:p>
            <w:pPr>
              <w:spacing w:after="20"/>
            </w:pPr>
            <w:r>
              <w:rPr>
                <w:b/>
                <w:color w:val="1C3A36"/>
                <w:sz w:val="18"/>
              </w:rPr>
              <w:t>21.9%</w:t>
            </w:r>
          </w:p>
        </w:tc>
        <w:tc>
          <w:tcPr>
            <w:tcW w:type="dxa" w:w="1368"/>
          </w:tcPr>
          <w:p>
            <w:pPr>
              <w:spacing w:after="20"/>
              <w:jc w:val="right"/>
            </w:pPr>
            <w:r>
              <w:rPr>
                <w:color w:val="1C3A36"/>
                <w:sz w:val="18"/>
              </w:rPr>
              <w:t>50.8</w:t>
            </w:r>
          </w:p>
        </w:tc>
        <w:tc>
          <w:tcPr>
            <w:tcW w:type="dxa" w:w="1368"/>
          </w:tcPr>
          <w:p>
            <w:pPr>
              <w:spacing w:after="20"/>
              <w:jc w:val="right"/>
            </w:pPr>
            <w:r>
              <w:rPr>
                <w:color w:val="1C3A36"/>
                <w:sz w:val="18"/>
              </w:rPr>
              <w:t>54.7</w:t>
            </w:r>
          </w:p>
        </w:tc>
        <w:tc>
          <w:tcPr>
            <w:tcW w:type="dxa" w:w="1368"/>
          </w:tcPr>
          <w:p>
            <w:pPr>
              <w:spacing w:after="20"/>
              <w:jc w:val="right"/>
            </w:pPr>
            <w:r>
              <w:rPr>
                <w:color w:val="1C3A36"/>
                <w:sz w:val="18"/>
              </w:rPr>
              <w:t>59.9</w:t>
            </w:r>
          </w:p>
        </w:tc>
        <w:tc>
          <w:tcPr>
            <w:tcW w:type="dxa" w:w="1368"/>
          </w:tcPr>
          <w:p>
            <w:pPr>
              <w:spacing w:after="20"/>
              <w:jc w:val="right"/>
            </w:pPr>
            <w:r>
              <w:rPr>
                <w:color w:val="1C3A36"/>
                <w:sz w:val="18"/>
              </w:rPr>
              <w:t>67.2</w:t>
            </w:r>
          </w:p>
        </w:tc>
        <w:tc>
          <w:tcPr>
            <w:tcW w:type="dxa" w:w="1368"/>
          </w:tcPr>
          <w:p>
            <w:pPr>
              <w:spacing w:after="20"/>
              <w:jc w:val="right"/>
            </w:pPr>
            <w:r>
              <w:rPr>
                <w:color w:val="1C3A36"/>
                <w:sz w:val="18"/>
              </w:rPr>
              <w:t>n.m.</w:t>
            </w:r>
          </w:p>
        </w:tc>
      </w:tr>
      <w:tr>
        <w:tc>
          <w:tcPr>
            <w:tcW w:type="dxa" w:w="2736"/>
          </w:tcPr>
          <w:p>
            <w:pPr>
              <w:spacing w:after="20"/>
            </w:pPr>
            <w:r>
              <w:rPr>
                <w:b/>
                <w:color w:val="1C3A36"/>
                <w:sz w:val="18"/>
              </w:rPr>
              <w:t>22.9%</w:t>
            </w:r>
          </w:p>
        </w:tc>
        <w:tc>
          <w:tcPr>
            <w:tcW w:type="dxa" w:w="1368"/>
          </w:tcPr>
          <w:p>
            <w:pPr>
              <w:spacing w:after="20"/>
              <w:jc w:val="right"/>
            </w:pPr>
            <w:r>
              <w:rPr>
                <w:color w:val="1C3A36"/>
                <w:sz w:val="18"/>
              </w:rPr>
              <w:t>46.7</w:t>
            </w:r>
          </w:p>
        </w:tc>
        <w:tc>
          <w:tcPr>
            <w:tcW w:type="dxa" w:w="1368"/>
          </w:tcPr>
          <w:p>
            <w:pPr>
              <w:spacing w:after="20"/>
              <w:jc w:val="right"/>
            </w:pPr>
            <w:r>
              <w:rPr>
                <w:color w:val="1C3A36"/>
                <w:sz w:val="18"/>
              </w:rPr>
              <w:t>49.7</w:t>
            </w:r>
          </w:p>
        </w:tc>
        <w:tc>
          <w:tcPr>
            <w:tcW w:type="dxa" w:w="1368"/>
          </w:tcPr>
          <w:p>
            <w:pPr>
              <w:spacing w:after="20"/>
              <w:jc w:val="right"/>
            </w:pPr>
            <w:r>
              <w:rPr>
                <w:color w:val="1C3A36"/>
                <w:sz w:val="18"/>
              </w:rPr>
              <w:t>53.5</w:t>
            </w:r>
          </w:p>
        </w:tc>
        <w:tc>
          <w:tcPr>
            <w:tcW w:type="dxa" w:w="1368"/>
          </w:tcPr>
          <w:p>
            <w:pPr>
              <w:spacing w:after="20"/>
              <w:jc w:val="right"/>
            </w:pPr>
            <w:r>
              <w:rPr>
                <w:color w:val="1C3A36"/>
                <w:sz w:val="18"/>
              </w:rPr>
              <w:t>58.6</w:t>
            </w:r>
          </w:p>
        </w:tc>
        <w:tc>
          <w:tcPr>
            <w:tcW w:type="dxa" w:w="1368"/>
          </w:tcPr>
          <w:p>
            <w:pPr>
              <w:spacing w:after="20"/>
              <w:jc w:val="right"/>
            </w:pPr>
            <w:r>
              <w:rPr>
                <w:color w:val="1C3A36"/>
                <w:sz w:val="18"/>
              </w:rPr>
              <w:t>65.6</w:t>
            </w:r>
          </w:p>
        </w:tc>
      </w:tr>
      <w:tr>
        <w:tc>
          <w:tcPr>
            <w:tcW w:type="dxa" w:w="2736"/>
          </w:tcPr>
          <w:p>
            <w:pPr>
              <w:spacing w:after="20"/>
            </w:pPr>
            <w:r>
              <w:rPr>
                <w:b/>
                <w:color w:val="1C3A36"/>
                <w:sz w:val="18"/>
              </w:rPr>
              <w:t>23.9%</w:t>
            </w:r>
          </w:p>
        </w:tc>
        <w:tc>
          <w:tcPr>
            <w:tcW w:type="dxa" w:w="1368"/>
          </w:tcPr>
          <w:p>
            <w:pPr>
              <w:spacing w:after="20"/>
              <w:jc w:val="right"/>
            </w:pPr>
            <w:r>
              <w:rPr>
                <w:color w:val="1C3A36"/>
                <w:sz w:val="18"/>
              </w:rPr>
              <w:t>43.5</w:t>
            </w:r>
          </w:p>
        </w:tc>
        <w:tc>
          <w:tcPr>
            <w:tcW w:type="dxa" w:w="1368"/>
          </w:tcPr>
          <w:p>
            <w:pPr>
              <w:spacing w:after="20"/>
              <w:jc w:val="right"/>
            </w:pPr>
            <w:r>
              <w:rPr>
                <w:color w:val="1C3A36"/>
                <w:sz w:val="18"/>
              </w:rPr>
              <w:t>45.8</w:t>
            </w:r>
          </w:p>
        </w:tc>
        <w:tc>
          <w:tcPr>
            <w:tcW w:type="dxa" w:w="1368"/>
          </w:tcPr>
          <w:p>
            <w:pPr>
              <w:spacing w:after="20"/>
              <w:jc w:val="right"/>
            </w:pPr>
            <w:r>
              <w:rPr>
                <w:color w:val="1C3A36"/>
                <w:sz w:val="18"/>
              </w:rPr>
              <w:t>48.7</w:t>
            </w:r>
          </w:p>
        </w:tc>
        <w:tc>
          <w:tcPr>
            <w:tcW w:type="dxa" w:w="1368"/>
          </w:tcPr>
          <w:p>
            <w:pPr>
              <w:spacing w:after="20"/>
              <w:jc w:val="right"/>
            </w:pPr>
            <w:r>
              <w:rPr>
                <w:color w:val="1C3A36"/>
                <w:sz w:val="18"/>
              </w:rPr>
              <w:t>52.4</w:t>
            </w:r>
          </w:p>
        </w:tc>
        <w:tc>
          <w:tcPr>
            <w:tcW w:type="dxa" w:w="1368"/>
          </w:tcPr>
          <w:p>
            <w:pPr>
              <w:spacing w:after="20"/>
              <w:jc w:val="right"/>
            </w:pPr>
            <w:r>
              <w:rPr>
                <w:color w:val="1C3A36"/>
                <w:sz w:val="18"/>
              </w:rPr>
              <w:t>57.3</w:t>
            </w:r>
          </w:p>
        </w:tc>
      </w:tr>
      <w:tr>
        <w:tc>
          <w:tcPr>
            <w:tcW w:type="dxa" w:w="2736"/>
          </w:tcPr>
          <w:p>
            <w:pPr>
              <w:spacing w:after="20"/>
            </w:pPr>
            <w:r>
              <w:rPr>
                <w:b/>
                <w:color w:val="1C3A36"/>
                <w:sz w:val="18"/>
              </w:rPr>
              <w:t>24.9%</w:t>
            </w:r>
          </w:p>
        </w:tc>
        <w:tc>
          <w:tcPr>
            <w:tcW w:type="dxa" w:w="1368"/>
          </w:tcPr>
          <w:p>
            <w:pPr>
              <w:spacing w:after="20"/>
              <w:jc w:val="right"/>
            </w:pPr>
            <w:r>
              <w:rPr>
                <w:color w:val="1C3A36"/>
                <w:sz w:val="18"/>
              </w:rPr>
              <w:t>40.9</w:t>
            </w:r>
          </w:p>
        </w:tc>
        <w:tc>
          <w:tcPr>
            <w:tcW w:type="dxa" w:w="1368"/>
          </w:tcPr>
          <w:p>
            <w:pPr>
              <w:spacing w:after="20"/>
              <w:jc w:val="right"/>
            </w:pPr>
            <w:r>
              <w:rPr>
                <w:color w:val="1C3A36"/>
                <w:sz w:val="18"/>
              </w:rPr>
              <w:t>42.7</w:t>
            </w:r>
          </w:p>
        </w:tc>
        <w:tc>
          <w:tcPr>
            <w:tcW w:type="dxa" w:w="1368"/>
          </w:tcPr>
          <w:p>
            <w:pPr>
              <w:spacing w:after="20"/>
              <w:jc w:val="right"/>
            </w:pPr>
            <w:r>
              <w:rPr>
                <w:color w:val="1C3A36"/>
                <w:sz w:val="18"/>
              </w:rPr>
              <w:t>44.9</w:t>
            </w:r>
          </w:p>
        </w:tc>
        <w:tc>
          <w:tcPr>
            <w:tcW w:type="dxa" w:w="1368"/>
          </w:tcPr>
          <w:p>
            <w:pPr>
              <w:spacing w:after="20"/>
              <w:jc w:val="right"/>
            </w:pPr>
            <w:r>
              <w:rPr>
                <w:color w:val="1C3A36"/>
                <w:sz w:val="18"/>
              </w:rPr>
              <w:t>47.7</w:t>
            </w:r>
          </w:p>
        </w:tc>
        <w:tc>
          <w:tcPr>
            <w:tcW w:type="dxa" w:w="1368"/>
          </w:tcPr>
          <w:p>
            <w:pPr>
              <w:spacing w:after="20"/>
              <w:jc w:val="right"/>
            </w:pPr>
            <w:r>
              <w:rPr>
                <w:color w:val="1C3A36"/>
                <w:sz w:val="18"/>
              </w:rPr>
              <w:t>51.3</w:t>
            </w:r>
          </w:p>
        </w:tc>
      </w:tr>
    </w:tbl>
    <w:p>
      <w:pPr>
        <w:spacing w:after="40"/>
      </w:pPr>
    </w:p>
    <w:p>
      <w:pPr>
        <w:spacing w:after="200" w:before="0"/>
      </w:pPr>
      <w:r>
        <w:rPr>
          <w:b w:val="0"/>
          <w:i/>
          <w:color w:val="6E7B77"/>
          <w:sz w:val="17"/>
        </w:rPr>
        <w:t>Sum-of-the-parts fair value (EGP/share, after the complexity discount) across the cost of capital and terminal growth. The centre cell, 22.9% against 7.0%, is EGP 53.5. Both axes are centred on the model's own build rather than on round numbers: the rate axis shifts the WHOLE schedule, explicit years and terminal together, because moving one rate and not the others would price one date at two prices. This grid holds the MNT-Halan mark fixed and is not the dominant sensitivity in this study.</w:t>
      </w:r>
    </w:p>
    <w:p>
      <w:pPr>
        <w:spacing w:after="120" w:before="280"/>
      </w:pPr>
      <w:r>
        <w:rPr>
          <w:b/>
          <w:i w:val="0"/>
          <w:color w:val="1C3A36"/>
          <w:sz w:val="30"/>
        </w:rPr>
        <w:t>2  Technical and price structure</w:t>
      </w:r>
    </w:p>
    <w:p>
      <w:pPr>
        <w:spacing w:after="120" w:before="0"/>
      </w:pPr>
      <w:r>
        <w:rPr>
          <w:b w:val="0"/>
          <w:i w:val="0"/>
          <w:color w:val="1C3A36"/>
          <w:sz w:val="21"/>
        </w:rPr>
        <w:t>The technical read is computed on the exchange library’s own last session — EGP 29.51 on 23 August 2026 — which is a different and older clock than the price the valuation is struck on. On that session the price sat below the 20- and 50-day averages and above the 100- and 200-day averages: the long trend is intact and the short one has rolled over. The oscillator reads 40.2, below neutral and well above oversold; the convergence histogram is -0.27, so short-term momentum is negative. The 52-week range runs EGP 19.10 to 34.20, and the session sits 69% of the way up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2880"/>
            <w:shd w:val="clear" w:color="auto" w:fill="EAF0EE"/>
          </w:tcPr>
          <w:p>
            <w:pPr>
              <w:spacing w:after="20"/>
            </w:pPr>
            <w:r>
              <w:rPr>
                <w:b/>
                <w:color w:val="1C3A36"/>
                <w:sz w:val="18"/>
              </w:rPr>
              <w:t>Indicator</w:t>
            </w:r>
          </w:p>
        </w:tc>
        <w:tc>
          <w:tcPr>
            <w:tcW w:type="dxa" w:w="3744"/>
            <w:shd w:val="clear" w:color="auto" w:fill="EAF0EE"/>
          </w:tcPr>
          <w:p>
            <w:pPr>
              <w:spacing w:after="20"/>
            </w:pPr>
            <w:r>
              <w:rPr>
                <w:b/>
                <w:color w:val="1C3A36"/>
                <w:sz w:val="18"/>
              </w:rPr>
              <w:t>Reading</w:t>
            </w:r>
          </w:p>
        </w:tc>
        <w:tc>
          <w:tcPr>
            <w:tcW w:type="dxa" w:w="3600"/>
            <w:shd w:val="clear" w:color="auto" w:fill="EAF0EE"/>
          </w:tcPr>
          <w:p>
            <w:pPr>
              <w:spacing w:after="20"/>
            </w:pPr>
            <w:r>
              <w:rPr>
                <w:b/>
                <w:color w:val="1C3A36"/>
                <w:sz w:val="18"/>
              </w:rPr>
              <w:t>Signal</w:t>
            </w:r>
          </w:p>
        </w:tc>
      </w:tr>
      <w:tr>
        <w:tc>
          <w:tcPr>
            <w:tcW w:type="dxa" w:w="2880"/>
          </w:tcPr>
          <w:p>
            <w:pPr>
              <w:spacing w:after="20"/>
            </w:pPr>
            <w:r>
              <w:rPr>
                <w:b/>
                <w:color w:val="1C3A36"/>
                <w:sz w:val="18"/>
              </w:rPr>
              <w:t>Close the read is computed on</w:t>
            </w:r>
          </w:p>
        </w:tc>
        <w:tc>
          <w:tcPr>
            <w:tcW w:type="dxa" w:w="3744"/>
          </w:tcPr>
          <w:p>
            <w:pPr>
              <w:spacing w:after="20"/>
              <w:jc w:val="right"/>
            </w:pPr>
            <w:r>
              <w:rPr>
                <w:color w:val="1C3A36"/>
                <w:sz w:val="18"/>
              </w:rPr>
              <w:t>EGP 29.51 (23 August 2026)</w:t>
            </w:r>
          </w:p>
        </w:tc>
        <w:tc>
          <w:tcPr>
            <w:tcW w:type="dxa" w:w="3600"/>
          </w:tcPr>
          <w:p>
            <w:pPr>
              <w:spacing w:after="20"/>
              <w:jc w:val="right"/>
            </w:pPr>
            <w:r>
              <w:rPr>
                <w:color w:val="1C3A36"/>
                <w:sz w:val="18"/>
              </w:rPr>
              <w:t>—</w:t>
            </w:r>
          </w:p>
        </w:tc>
      </w:tr>
      <w:tr>
        <w:tc>
          <w:tcPr>
            <w:tcW w:type="dxa" w:w="2880"/>
          </w:tcPr>
          <w:p>
            <w:pPr>
              <w:spacing w:after="20"/>
            </w:pPr>
            <w:r>
              <w:rPr>
                <w:b/>
                <w:color w:val="1C3A36"/>
                <w:sz w:val="18"/>
              </w:rPr>
              <w:t>20-day / 50-day average</w:t>
            </w:r>
          </w:p>
        </w:tc>
        <w:tc>
          <w:tcPr>
            <w:tcW w:type="dxa" w:w="3744"/>
          </w:tcPr>
          <w:p>
            <w:pPr>
              <w:spacing w:after="20"/>
              <w:jc w:val="right"/>
            </w:pPr>
            <w:r>
              <w:rPr>
                <w:color w:val="1C3A36"/>
                <w:sz w:val="18"/>
              </w:rPr>
              <w:t>EGP 30.80 / 30.83</w:t>
            </w:r>
          </w:p>
        </w:tc>
        <w:tc>
          <w:tcPr>
            <w:tcW w:type="dxa" w:w="3600"/>
          </w:tcPr>
          <w:p>
            <w:pPr>
              <w:spacing w:after="20"/>
              <w:jc w:val="right"/>
            </w:pPr>
            <w:r>
              <w:rPr>
                <w:color w:val="1C3A36"/>
                <w:sz w:val="18"/>
              </w:rPr>
              <w:t>Price -4.2% / -4.3% — short-term down</w:t>
            </w:r>
          </w:p>
        </w:tc>
      </w:tr>
      <w:tr>
        <w:tc>
          <w:tcPr>
            <w:tcW w:type="dxa" w:w="2880"/>
          </w:tcPr>
          <w:p>
            <w:pPr>
              <w:spacing w:after="20"/>
            </w:pPr>
            <w:r>
              <w:rPr>
                <w:b/>
                <w:color w:val="1C3A36"/>
                <w:sz w:val="18"/>
              </w:rPr>
              <w:t>100-day / 200-day average</w:t>
            </w:r>
          </w:p>
        </w:tc>
        <w:tc>
          <w:tcPr>
            <w:tcW w:type="dxa" w:w="3744"/>
          </w:tcPr>
          <w:p>
            <w:pPr>
              <w:spacing w:after="20"/>
              <w:jc w:val="right"/>
            </w:pPr>
            <w:r>
              <w:rPr>
                <w:color w:val="1C3A36"/>
                <w:sz w:val="18"/>
              </w:rPr>
              <w:t>EGP 28.63 / 28.04</w:t>
            </w:r>
          </w:p>
        </w:tc>
        <w:tc>
          <w:tcPr>
            <w:tcW w:type="dxa" w:w="3600"/>
          </w:tcPr>
          <w:p>
            <w:pPr>
              <w:spacing w:after="20"/>
              <w:jc w:val="right"/>
            </w:pPr>
            <w:r>
              <w:rPr>
                <w:color w:val="1C3A36"/>
                <w:sz w:val="18"/>
              </w:rPr>
              <w:t>Price +3.1% / +5.2% — long trend intact</w:t>
            </w:r>
          </w:p>
        </w:tc>
      </w:tr>
      <w:tr>
        <w:tc>
          <w:tcPr>
            <w:tcW w:type="dxa" w:w="2880"/>
          </w:tcPr>
          <w:p>
            <w:pPr>
              <w:spacing w:after="20"/>
            </w:pPr>
            <w:r>
              <w:rPr>
                <w:b/>
                <w:color w:val="1C3A36"/>
                <w:sz w:val="18"/>
              </w:rPr>
              <w:t>Relative strength (14)</w:t>
            </w:r>
          </w:p>
        </w:tc>
        <w:tc>
          <w:tcPr>
            <w:tcW w:type="dxa" w:w="3744"/>
          </w:tcPr>
          <w:p>
            <w:pPr>
              <w:spacing w:after="20"/>
              <w:jc w:val="right"/>
            </w:pPr>
            <w:r>
              <w:rPr>
                <w:color w:val="1C3A36"/>
                <w:sz w:val="18"/>
              </w:rPr>
              <w:t>40.2</w:t>
            </w:r>
          </w:p>
        </w:tc>
        <w:tc>
          <w:tcPr>
            <w:tcW w:type="dxa" w:w="3600"/>
          </w:tcPr>
          <w:p>
            <w:pPr>
              <w:spacing w:after="20"/>
              <w:jc w:val="right"/>
            </w:pPr>
            <w:r>
              <w:rPr>
                <w:color w:val="1C3A36"/>
                <w:sz w:val="18"/>
              </w:rPr>
              <w:t>Below neutral, above oversold</w:t>
            </w:r>
          </w:p>
        </w:tc>
      </w:tr>
      <w:tr>
        <w:tc>
          <w:tcPr>
            <w:tcW w:type="dxa" w:w="2880"/>
          </w:tcPr>
          <w:p>
            <w:pPr>
              <w:spacing w:after="20"/>
            </w:pPr>
            <w:r>
              <w:rPr>
                <w:b/>
                <w:color w:val="1C3A36"/>
                <w:sz w:val="18"/>
              </w:rPr>
              <w:t>Convergence (12,26,9)</w:t>
            </w:r>
          </w:p>
        </w:tc>
        <w:tc>
          <w:tcPr>
            <w:tcW w:type="dxa" w:w="3744"/>
          </w:tcPr>
          <w:p>
            <w:pPr>
              <w:spacing w:after="20"/>
              <w:jc w:val="right"/>
            </w:pPr>
            <w:r>
              <w:rPr>
                <w:color w:val="1C3A36"/>
                <w:sz w:val="18"/>
              </w:rPr>
              <w:t>line -0.24 / signal +0.03 / histogram -0.27</w:t>
            </w:r>
          </w:p>
        </w:tc>
        <w:tc>
          <w:tcPr>
            <w:tcW w:type="dxa" w:w="3600"/>
          </w:tcPr>
          <w:p>
            <w:pPr>
              <w:spacing w:after="20"/>
              <w:jc w:val="right"/>
            </w:pPr>
            <w:r>
              <w:rPr>
                <w:color w:val="1C3A36"/>
                <w:sz w:val="18"/>
              </w:rPr>
              <w:t>Negative — momentum has rolled</w:t>
            </w:r>
          </w:p>
        </w:tc>
      </w:tr>
      <w:tr>
        <w:tc>
          <w:tcPr>
            <w:tcW w:type="dxa" w:w="2880"/>
          </w:tcPr>
          <w:p>
            <w:pPr>
              <w:spacing w:after="20"/>
            </w:pPr>
            <w:r>
              <w:rPr>
                <w:b/>
                <w:color w:val="1C3A36"/>
                <w:sz w:val="18"/>
              </w:rPr>
              <w:t>52-week range</w:t>
            </w:r>
          </w:p>
        </w:tc>
        <w:tc>
          <w:tcPr>
            <w:tcW w:type="dxa" w:w="3744"/>
          </w:tcPr>
          <w:p>
            <w:pPr>
              <w:spacing w:after="20"/>
              <w:jc w:val="right"/>
            </w:pPr>
            <w:r>
              <w:rPr>
                <w:color w:val="1C3A36"/>
                <w:sz w:val="18"/>
              </w:rPr>
              <w:t>EGP 19.10 – 34.20</w:t>
            </w:r>
          </w:p>
        </w:tc>
        <w:tc>
          <w:tcPr>
            <w:tcW w:type="dxa" w:w="3600"/>
          </w:tcPr>
          <w:p>
            <w:pPr>
              <w:spacing w:after="20"/>
              <w:jc w:val="right"/>
            </w:pPr>
            <w:r>
              <w:rPr>
                <w:color w:val="1C3A36"/>
                <w:sz w:val="18"/>
              </w:rPr>
              <w:t>69% of the way up the range</w:t>
            </w:r>
          </w:p>
        </w:tc>
      </w:tr>
      <w:tr>
        <w:tc>
          <w:tcPr>
            <w:tcW w:type="dxa" w:w="2880"/>
          </w:tcPr>
          <w:p>
            <w:pPr>
              <w:spacing w:after="20"/>
            </w:pPr>
            <w:r>
              <w:rPr>
                <w:b/>
                <w:color w:val="1C3A36"/>
                <w:sz w:val="18"/>
              </w:rPr>
              <w:t>Realised volatility (252 sessions)</w:t>
            </w:r>
          </w:p>
        </w:tc>
        <w:tc>
          <w:tcPr>
            <w:tcW w:type="dxa" w:w="3744"/>
          </w:tcPr>
          <w:p>
            <w:pPr>
              <w:spacing w:after="20"/>
              <w:jc w:val="right"/>
            </w:pPr>
            <w:r>
              <w:rPr>
                <w:color w:val="1C3A36"/>
                <w:sz w:val="18"/>
              </w:rPr>
              <w:t>35.1%</w:t>
            </w:r>
          </w:p>
        </w:tc>
        <w:tc>
          <w:tcPr>
            <w:tcW w:type="dxa" w:w="3600"/>
          </w:tcPr>
          <w:p>
            <w:pPr>
              <w:spacing w:after="20"/>
              <w:jc w:val="right"/>
            </w:pPr>
            <w:r>
              <w:rPr>
                <w:color w:val="1C3A36"/>
                <w:sz w:val="18"/>
              </w:rPr>
              <w:t>Elevated but off crisis highs</w:t>
            </w:r>
          </w:p>
        </w:tc>
      </w:tr>
    </w:tbl>
    <w:p>
      <w:pPr>
        <w:spacing w:after="40"/>
      </w:pPr>
    </w:p>
    <w:p>
      <w:pPr>
        <w:spacing w:after="40"/>
        <w:jc w:val="center"/>
      </w:pPr>
      <w:r>
        <w:drawing>
          <wp:inline xmlns:a="http://schemas.openxmlformats.org/drawingml/2006/main" xmlns:pic="http://schemas.openxmlformats.org/drawingml/2006/picture">
            <wp:extent cx="5852160" cy="2285129"/>
            <wp:docPr id="3" name="Picture 3"/>
            <wp:cNvGraphicFramePr>
              <a:graphicFrameLocks noChangeAspect="1"/>
            </wp:cNvGraphicFramePr>
            <a:graphic>
              <a:graphicData uri="http://schemas.openxmlformats.org/drawingml/2006/picture">
                <pic:pic>
                  <pic:nvPicPr>
                    <pic:cNvPr id="0" name="fig3_ma.png"/>
                    <pic:cNvPicPr/>
                  </pic:nvPicPr>
                  <pic:blipFill>
                    <a:blip r:embed="rId11"/>
                    <a:stretch>
                      <a:fillRect/>
                    </a:stretch>
                  </pic:blipFill>
                  <pic:spPr>
                    <a:xfrm>
                      <a:off x="0" y="0"/>
                      <a:ext cx="5852160" cy="2285129"/>
                    </a:xfrm>
                    <a:prstGeom prst="rect"/>
                  </pic:spPr>
                </pic:pic>
              </a:graphicData>
            </a:graphic>
          </wp:inline>
        </w:drawing>
      </w:r>
    </w:p>
    <w:p>
      <w:pPr>
        <w:spacing w:after="200" w:before="0"/>
      </w:pPr>
      <w:r>
        <w:rPr>
          <w:b w:val="0"/>
          <w:i/>
          <w:color w:val="6E7B77"/>
          <w:sz w:val="17"/>
        </w:rPr>
        <w:t>Figure 3 — Price versus the moving-average stack, last 260 sessions of the exchange library.</w:t>
      </w:r>
    </w:p>
    <w:p>
      <w:pPr>
        <w:spacing w:after="120" w:before="0"/>
      </w:pPr>
      <w:r>
        <w:rPr>
          <w:b w:val="0"/>
          <w:i w:val="0"/>
          <w:color w:val="1C3A36"/>
          <w:sz w:val="21"/>
        </w:rPr>
        <w:t>For the probabilistic work this matters in one way, and it is the opposite of what the superseded edition said. A tape that has come off its short averages with negative momentum thins the near-term upside tail rather than thickening it. The technical and fundamental pictures still disagree — the fundamental work says value has been reached and the tape says the market is not yet interested — and §6 reads the resulting probability zones without forcing a reconciliation between them.</w:t>
      </w:r>
    </w:p>
    <w:p>
      <w:pPr>
        <w:spacing w:after="120" w:before="280"/>
      </w:pPr>
      <w:r>
        <w:rPr>
          <w:b/>
          <w:i w:val="0"/>
          <w:color w:val="1C3A36"/>
          <w:sz w:val="30"/>
        </w:rPr>
        <w:t>3  A probabilistic price map</w:t>
      </w:r>
    </w:p>
    <w:p>
      <w:pPr>
        <w:spacing w:after="80" w:before="0"/>
      </w:pPr>
      <w:r>
        <w:rPr>
          <w:b w:val="0"/>
          <w:i w:val="0"/>
          <w:color w:val="1C3A36"/>
          <w:sz w:val="19"/>
        </w:rPr>
        <w:t>The probability read below opens the section: computed from the same 50,000 paths as everything that follows, it is a summary of the distribution rather than an input to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4752"/>
            <w:shd w:val="clear" w:color="auto" w:fill="F6F1E6"/>
          </w:tcPr>
          <w:p>
            <w:pPr>
              <w:spacing w:after="20"/>
            </w:pPr>
            <w:r>
              <w:rPr>
                <w:b/>
                <w:color w:val="1C3A36"/>
                <w:sz w:val="18"/>
              </w:rPr>
              <w:t>The probability read (3 months)</w:t>
            </w:r>
          </w:p>
        </w:tc>
        <w:tc>
          <w:tcPr>
            <w:tcW w:type="dxa" w:w="4752"/>
            <w:shd w:val="clear" w:color="auto" w:fill="F6F1E6"/>
          </w:tcPr>
          <w:p>
            <w:pPr>
              <w:spacing w:after="20"/>
            </w:pPr>
            <w:r>
              <w:rPr>
                <w:b/>
                <w:color w:val="1C3A36"/>
                <w:sz w:val="18"/>
              </w:rPr>
            </w:r>
          </w:p>
        </w:tc>
      </w:tr>
      <w:tr>
        <w:tc>
          <w:tcPr>
            <w:tcW w:type="dxa" w:w="4752"/>
          </w:tcPr>
          <w:p>
            <w:pPr>
              <w:spacing w:after="20"/>
            </w:pPr>
            <w:r>
              <w:rPr>
                <w:b/>
                <w:color w:val="1C3A36"/>
                <w:sz w:val="18"/>
              </w:rPr>
              <w:t>Probability the price finishes above the anchor</w:t>
            </w:r>
          </w:p>
        </w:tc>
        <w:tc>
          <w:tcPr>
            <w:tcW w:type="dxa" w:w="4752"/>
          </w:tcPr>
          <w:p>
            <w:pPr>
              <w:spacing w:after="20"/>
              <w:jc w:val="right"/>
            </w:pPr>
            <w:r>
              <w:rPr>
                <w:color w:val="1C3A36"/>
                <w:sz w:val="18"/>
              </w:rPr>
              <w:t>58%</w:t>
            </w:r>
          </w:p>
        </w:tc>
      </w:tr>
      <w:tr>
        <w:tc>
          <w:tcPr>
            <w:tcW w:type="dxa" w:w="4752"/>
          </w:tcPr>
          <w:p>
            <w:pPr>
              <w:spacing w:after="20"/>
            </w:pPr>
            <w:r>
              <w:rPr>
                <w:b/>
                <w:color w:val="1C3A36"/>
                <w:sz w:val="18"/>
              </w:rPr>
              <w:t>Probability of +10% against −10% — the odds</w:t>
            </w:r>
          </w:p>
        </w:tc>
        <w:tc>
          <w:tcPr>
            <w:tcW w:type="dxa" w:w="4752"/>
          </w:tcPr>
          <w:p>
            <w:pPr>
              <w:spacing w:after="20"/>
              <w:jc w:val="right"/>
            </w:pPr>
            <w:r>
              <w:rPr>
                <w:color w:val="1C3A36"/>
                <w:sz w:val="18"/>
              </w:rPr>
              <w:t>39% against 24%  ·  1.66 : 1</w:t>
            </w:r>
          </w:p>
        </w:tc>
      </w:tr>
      <w:tr>
        <w:tc>
          <w:tcPr>
            <w:tcW w:type="dxa" w:w="4752"/>
          </w:tcPr>
          <w:p>
            <w:pPr>
              <w:spacing w:after="20"/>
            </w:pPr>
            <w:r>
              <w:rPr>
                <w:b/>
                <w:color w:val="1C3A36"/>
                <w:sz w:val="18"/>
              </w:rPr>
              <w:t>Median level, and its move</w:t>
            </w:r>
          </w:p>
        </w:tc>
        <w:tc>
          <w:tcPr>
            <w:tcW w:type="dxa" w:w="4752"/>
          </w:tcPr>
          <w:p>
            <w:pPr>
              <w:spacing w:after="20"/>
              <w:jc w:val="right"/>
            </w:pPr>
            <w:r>
              <w:rPr>
                <w:color w:val="1C3A36"/>
                <w:sz w:val="18"/>
              </w:rPr>
              <w:t>EGP 30.14  (+4.0%)</w:t>
            </w:r>
          </w:p>
        </w:tc>
      </w:tr>
      <w:tr>
        <w:tc>
          <w:tcPr>
            <w:tcW w:type="dxa" w:w="4752"/>
          </w:tcPr>
          <w:p>
            <w:pPr>
              <w:spacing w:after="20"/>
            </w:pPr>
            <w:r>
              <w:rPr>
                <w:b/>
                <w:color w:val="1C3A36"/>
                <w:sz w:val="18"/>
              </w:rPr>
              <w:t>The 50% band (25th–75th percentile)</w:t>
            </w:r>
          </w:p>
        </w:tc>
        <w:tc>
          <w:tcPr>
            <w:tcW w:type="dxa" w:w="4752"/>
          </w:tcPr>
          <w:p>
            <w:pPr>
              <w:spacing w:after="20"/>
              <w:jc w:val="right"/>
            </w:pPr>
            <w:r>
              <w:rPr>
                <w:color w:val="1C3A36"/>
                <w:sz w:val="18"/>
              </w:rPr>
              <w:t>EGP 26.32 – 34.55   (-9% / +19% of the anchor)</w:t>
            </w:r>
          </w:p>
        </w:tc>
      </w:tr>
      <w:tr>
        <w:tc>
          <w:tcPr>
            <w:tcW w:type="dxa" w:w="4752"/>
          </w:tcPr>
          <w:p>
            <w:pPr>
              <w:spacing w:after="20"/>
            </w:pPr>
            <w:r>
              <w:rPr>
                <w:b/>
                <w:color w:val="1C3A36"/>
                <w:sz w:val="18"/>
              </w:rPr>
              <w:t>Probability of touching +10% / −10% at any point</w:t>
            </w:r>
          </w:p>
        </w:tc>
        <w:tc>
          <w:tcPr>
            <w:tcW w:type="dxa" w:w="4752"/>
          </w:tcPr>
          <w:p>
            <w:pPr>
              <w:spacing w:after="20"/>
              <w:jc w:val="right"/>
            </w:pPr>
            <w:r>
              <w:rPr>
                <w:color w:val="1C3A36"/>
                <w:sz w:val="18"/>
              </w:rPr>
              <w:t>65%  /  49%</w:t>
            </w:r>
          </w:p>
        </w:tc>
      </w:tr>
    </w:tbl>
    <w:p>
      <w:pPr>
        <w:spacing w:after="40"/>
      </w:pPr>
    </w:p>
    <w:p>
      <w:pPr>
        <w:spacing w:after="120" w:before="0"/>
      </w:pPr>
      <w:r>
        <w:rPr>
          <w:b w:val="0"/>
          <w:i w:val="0"/>
          <w:color w:val="1C3A36"/>
          <w:sz w:val="21"/>
        </w:rPr>
        <w:t>We simulate 50,000 three-month price paths from the exchange library’s last session, EGP 29.51 on 23 August 2026. Width comes from a pooled cascade on a gap-aware variance proxy, projecting the average daily variance over the window — 49.7% annualised at this origin, regime-conditional by construction and with no calibration multiplier bolted on. Shape comes from unit-variance fat-tailed innovations through a per-path mixture: a tighter interquartile body and honest tails. Drift is the expanding-window secular term measured on this stock’s own history (+2.5% per quarter), which is the configuration that passed the calibration test in Appendix B where zero drift did not. A sixteen-factor stack layers on top — seven continuous drivers and nine discrete events, each firing with a probability and an impact — together adding +1.46% over the quarter.</w:t>
      </w:r>
    </w:p>
    <w:p>
      <w:pPr>
        <w:spacing w:after="120" w:before="0"/>
      </w:pPr>
      <w:r>
        <w:rPr>
          <w:b/>
          <w:i w:val="0"/>
          <w:color w:val="1C3A36"/>
          <w:sz w:val="21"/>
        </w:rPr>
        <w:t xml:space="preserve">By design the paths diffuse from the anchor as near-term price and deliberately do not embed the fundamental value. </w:t>
      </w:r>
      <w:r>
        <w:rPr>
          <w:b w:val="0"/>
          <w:i w:val="0"/>
          <w:color w:val="1C3A36"/>
          <w:sz w:val="21"/>
        </w:rPr>
        <w:t>The value gap of §1 is kept out of the drift. §3 maps where price could go from here, not where value sits. The upward median is this stock’s own measured behaviour surviving a calibration test — never a target, and never the §1 value gap smuggled in through a side door.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016"/>
        <w:gridCol w:w="2016"/>
        <w:gridCol w:w="2016"/>
        <w:gridCol w:w="2016"/>
        <w:gridCol w:w="2016"/>
      </w:tblGrid>
      <w:tr>
        <w:tc>
          <w:tcPr>
            <w:tcW w:type="dxa" w:w="3096"/>
            <w:shd w:val="clear" w:color="auto" w:fill="EAF0EE"/>
          </w:tcPr>
          <w:p>
            <w:pPr>
              <w:spacing w:after="20"/>
            </w:pPr>
            <w:r>
              <w:rPr>
                <w:b/>
                <w:color w:val="1C3A36"/>
                <w:sz w:val="17"/>
              </w:rPr>
              <w:t>Continuous factor (7)</w:t>
            </w:r>
          </w:p>
        </w:tc>
        <w:tc>
          <w:tcPr>
            <w:tcW w:type="dxa" w:w="864"/>
            <w:shd w:val="clear" w:color="auto" w:fill="EAF0EE"/>
          </w:tcPr>
          <w:p>
            <w:pPr>
              <w:spacing w:after="20"/>
            </w:pPr>
            <w:r>
              <w:rPr>
                <w:b/>
                <w:color w:val="1C3A36"/>
                <w:sz w:val="17"/>
              </w:rPr>
              <w:t>Direction</w:t>
            </w:r>
          </w:p>
        </w:tc>
        <w:tc>
          <w:tcPr>
            <w:tcW w:type="dxa" w:w="3168"/>
            <w:shd w:val="clear" w:color="auto" w:fill="EAF0EE"/>
          </w:tcPr>
          <w:p>
            <w:pPr>
              <w:spacing w:after="20"/>
            </w:pPr>
            <w:r>
              <w:rPr>
                <w:b/>
                <w:color w:val="1C3A36"/>
                <w:sz w:val="17"/>
              </w:rPr>
              <w:t>Discrete event (9)</w:t>
            </w:r>
          </w:p>
        </w:tc>
        <w:tc>
          <w:tcPr>
            <w:tcW w:type="dxa" w:w="1152"/>
            <w:shd w:val="clear" w:color="auto" w:fill="EAF0EE"/>
          </w:tcPr>
          <w:p>
            <w:pPr>
              <w:spacing w:after="20"/>
            </w:pPr>
            <w:r>
              <w:rPr>
                <w:b/>
                <w:color w:val="1C3A36"/>
                <w:sz w:val="17"/>
              </w:rPr>
              <w:t>Probability</w:t>
            </w:r>
          </w:p>
        </w:tc>
        <w:tc>
          <w:tcPr>
            <w:tcW w:type="dxa" w:w="1224"/>
            <w:shd w:val="clear" w:color="auto" w:fill="EAF0EE"/>
          </w:tcPr>
          <w:p>
            <w:pPr>
              <w:spacing w:after="20"/>
            </w:pPr>
            <w:r>
              <w:rPr>
                <w:b/>
                <w:color w:val="1C3A36"/>
                <w:sz w:val="17"/>
              </w:rPr>
              <w:t>Mean impact</w:t>
            </w:r>
          </w:p>
        </w:tc>
      </w:tr>
      <w:tr>
        <w:tc>
          <w:tcPr>
            <w:tcW w:type="dxa" w:w="3096"/>
          </w:tcPr>
          <w:p>
            <w:pPr>
              <w:spacing w:after="20"/>
            </w:pPr>
            <w:r>
              <w:rPr>
                <w:color w:val="1C3A36"/>
                <w:sz w:val="17"/>
              </w:rPr>
              <w:t>Egyptian passenger-car demand and the rate-cut cycle</w:t>
            </w:r>
          </w:p>
        </w:tc>
        <w:tc>
          <w:tcPr>
            <w:tcW w:type="dxa" w:w="864"/>
          </w:tcPr>
          <w:p>
            <w:pPr>
              <w:spacing w:after="20"/>
              <w:jc w:val="right"/>
            </w:pPr>
            <w:r>
              <w:rPr>
                <w:color w:val="1C3A36"/>
                <w:sz w:val="17"/>
              </w:rPr>
              <w:t>+</w:t>
            </w:r>
          </w:p>
        </w:tc>
        <w:tc>
          <w:tcPr>
            <w:tcW w:type="dxa" w:w="3168"/>
          </w:tcPr>
          <w:p>
            <w:pPr>
              <w:spacing w:after="20"/>
              <w:jc w:val="right"/>
            </w:pPr>
            <w:r>
              <w:rPr>
                <w:color w:val="1C3A36"/>
                <w:sz w:val="17"/>
              </w:rPr>
              <w:t>A results release inside the window</w:t>
            </w:r>
          </w:p>
        </w:tc>
        <w:tc>
          <w:tcPr>
            <w:tcW w:type="dxa" w:w="1152"/>
          </w:tcPr>
          <w:p>
            <w:pPr>
              <w:spacing w:after="20"/>
              <w:jc w:val="right"/>
            </w:pPr>
            <w:r>
              <w:rPr>
                <w:color w:val="1C3A36"/>
                <w:sz w:val="17"/>
              </w:rPr>
              <w:t>90%</w:t>
            </w:r>
          </w:p>
        </w:tc>
        <w:tc>
          <w:tcPr>
            <w:tcW w:type="dxa" w:w="1224"/>
          </w:tcPr>
          <w:p>
            <w:pPr>
              <w:spacing w:after="20"/>
              <w:jc w:val="right"/>
            </w:pPr>
            <w:r>
              <w:rPr>
                <w:color w:val="1C3A36"/>
                <w:sz w:val="17"/>
              </w:rPr>
              <w:t>+0.5%</w:t>
            </w:r>
          </w:p>
        </w:tc>
      </w:tr>
      <w:tr>
        <w:tc>
          <w:tcPr>
            <w:tcW w:type="dxa" w:w="3096"/>
          </w:tcPr>
          <w:p>
            <w:pPr>
              <w:spacing w:after="20"/>
            </w:pPr>
            <w:r>
              <w:rPr>
                <w:color w:val="1C3A36"/>
                <w:sz w:val="17"/>
              </w:rPr>
              <w:t>Currency drift through imported assembly content</w:t>
            </w:r>
          </w:p>
        </w:tc>
        <w:tc>
          <w:tcPr>
            <w:tcW w:type="dxa" w:w="864"/>
          </w:tcPr>
          <w:p>
            <w:pPr>
              <w:spacing w:after="20"/>
              <w:jc w:val="right"/>
            </w:pPr>
            <w:r>
              <w:rPr>
                <w:color w:val="1C3A36"/>
                <w:sz w:val="17"/>
              </w:rPr>
              <w:t>±</w:t>
            </w:r>
          </w:p>
        </w:tc>
        <w:tc>
          <w:tcPr>
            <w:tcW w:type="dxa" w:w="3168"/>
          </w:tcPr>
          <w:p>
            <w:pPr>
              <w:spacing w:after="20"/>
              <w:jc w:val="right"/>
            </w:pPr>
            <w:r>
              <w:rPr>
                <w:color w:val="1C3A36"/>
                <w:sz w:val="17"/>
              </w:rPr>
              <w:t>MNT-Halan second closing at or above the round</w:t>
            </w:r>
          </w:p>
        </w:tc>
        <w:tc>
          <w:tcPr>
            <w:tcW w:type="dxa" w:w="1152"/>
          </w:tcPr>
          <w:p>
            <w:pPr>
              <w:spacing w:after="20"/>
              <w:jc w:val="right"/>
            </w:pPr>
            <w:r>
              <w:rPr>
                <w:color w:val="1C3A36"/>
                <w:sz w:val="17"/>
              </w:rPr>
              <w:t>45%</w:t>
            </w:r>
          </w:p>
        </w:tc>
        <w:tc>
          <w:tcPr>
            <w:tcW w:type="dxa" w:w="1224"/>
          </w:tcPr>
          <w:p>
            <w:pPr>
              <w:spacing w:after="20"/>
              <w:jc w:val="right"/>
            </w:pPr>
            <w:r>
              <w:rPr>
                <w:color w:val="1C3A36"/>
                <w:sz w:val="17"/>
              </w:rPr>
              <w:t>+1.5%</w:t>
            </w:r>
          </w:p>
        </w:tc>
      </w:tr>
      <w:tr>
        <w:tc>
          <w:tcPr>
            <w:tcW w:type="dxa" w:w="3096"/>
          </w:tcPr>
          <w:p>
            <w:pPr>
              <w:spacing w:after="20"/>
            </w:pPr>
            <w:r>
              <w:rPr>
                <w:color w:val="1C3A36"/>
                <w:sz w:val="17"/>
              </w:rPr>
              <w:t>Policy easing — affordability and lender margin</w:t>
            </w:r>
          </w:p>
        </w:tc>
        <w:tc>
          <w:tcPr>
            <w:tcW w:type="dxa" w:w="864"/>
          </w:tcPr>
          <w:p>
            <w:pPr>
              <w:spacing w:after="20"/>
              <w:jc w:val="right"/>
            </w:pPr>
            <w:r>
              <w:rPr>
                <w:color w:val="1C3A36"/>
                <w:sz w:val="17"/>
              </w:rPr>
              <w:t>+</w:t>
            </w:r>
          </w:p>
        </w:tc>
        <w:tc>
          <w:tcPr>
            <w:tcW w:type="dxa" w:w="3168"/>
          </w:tcPr>
          <w:p>
            <w:pPr>
              <w:spacing w:after="20"/>
              <w:jc w:val="right"/>
            </w:pPr>
            <w:r>
              <w:rPr>
                <w:color w:val="1C3A36"/>
                <w:sz w:val="17"/>
              </w:rPr>
              <w:t>A policy cut of 100 basis points or more</w:t>
            </w:r>
          </w:p>
        </w:tc>
        <w:tc>
          <w:tcPr>
            <w:tcW w:type="dxa" w:w="1152"/>
          </w:tcPr>
          <w:p>
            <w:pPr>
              <w:spacing w:after="20"/>
              <w:jc w:val="right"/>
            </w:pPr>
            <w:r>
              <w:rPr>
                <w:color w:val="1C3A36"/>
                <w:sz w:val="17"/>
              </w:rPr>
              <w:t>50%</w:t>
            </w:r>
          </w:p>
        </w:tc>
        <w:tc>
          <w:tcPr>
            <w:tcW w:type="dxa" w:w="1224"/>
          </w:tcPr>
          <w:p>
            <w:pPr>
              <w:spacing w:after="20"/>
              <w:jc w:val="right"/>
            </w:pPr>
            <w:r>
              <w:rPr>
                <w:color w:val="1C3A36"/>
                <w:sz w:val="17"/>
              </w:rPr>
              <w:t>+1.0%</w:t>
            </w:r>
          </w:p>
        </w:tc>
      </w:tr>
      <w:tr>
        <w:tc>
          <w:tcPr>
            <w:tcW w:type="dxa" w:w="3096"/>
          </w:tcPr>
          <w:p>
            <w:pPr>
              <w:spacing w:after="20"/>
            </w:pPr>
            <w:r>
              <w:rPr>
                <w:color w:val="1C3A36"/>
                <w:sz w:val="17"/>
              </w:rPr>
              <w:t>Regional conflict drag on Iraq and Jordan</w:t>
            </w:r>
          </w:p>
        </w:tc>
        <w:tc>
          <w:tcPr>
            <w:tcW w:type="dxa" w:w="864"/>
          </w:tcPr>
          <w:p>
            <w:pPr>
              <w:spacing w:after="20"/>
              <w:jc w:val="right"/>
            </w:pPr>
            <w:r>
              <w:rPr>
                <w:color w:val="1C3A36"/>
                <w:sz w:val="17"/>
              </w:rPr>
              <w:t>−</w:t>
            </w:r>
          </w:p>
        </w:tc>
        <w:tc>
          <w:tcPr>
            <w:tcW w:type="dxa" w:w="3168"/>
          </w:tcPr>
          <w:p>
            <w:pPr>
              <w:spacing w:after="20"/>
              <w:jc w:val="right"/>
            </w:pPr>
            <w:r>
              <w:rPr>
                <w:color w:val="1C3A36"/>
                <w:sz w:val="17"/>
              </w:rPr>
              <w:t>Regional escalation spillover</w:t>
            </w:r>
          </w:p>
        </w:tc>
        <w:tc>
          <w:tcPr>
            <w:tcW w:type="dxa" w:w="1152"/>
          </w:tcPr>
          <w:p>
            <w:pPr>
              <w:spacing w:after="20"/>
              <w:jc w:val="right"/>
            </w:pPr>
            <w:r>
              <w:rPr>
                <w:color w:val="1C3A36"/>
                <w:sz w:val="17"/>
              </w:rPr>
              <w:t>25%</w:t>
            </w:r>
          </w:p>
        </w:tc>
        <w:tc>
          <w:tcPr>
            <w:tcW w:type="dxa" w:w="1224"/>
          </w:tcPr>
          <w:p>
            <w:pPr>
              <w:spacing w:after="20"/>
              <w:jc w:val="right"/>
            </w:pPr>
            <w:r>
              <w:rPr>
                <w:color w:val="1C3A36"/>
                <w:sz w:val="17"/>
              </w:rPr>
              <w:t>−2.5%</w:t>
            </w:r>
          </w:p>
        </w:tc>
      </w:tr>
      <w:tr>
        <w:tc>
          <w:tcPr>
            <w:tcW w:type="dxa" w:w="3096"/>
          </w:tcPr>
          <w:p>
            <w:pPr>
              <w:spacing w:after="20"/>
            </w:pPr>
            <w:r>
              <w:rPr>
                <w:color w:val="1C3A36"/>
                <w:sz w:val="17"/>
              </w:rPr>
              <w:t>Chinese grey-import competition</w:t>
            </w:r>
          </w:p>
        </w:tc>
        <w:tc>
          <w:tcPr>
            <w:tcW w:type="dxa" w:w="864"/>
          </w:tcPr>
          <w:p>
            <w:pPr>
              <w:spacing w:after="20"/>
              <w:jc w:val="right"/>
            </w:pPr>
            <w:r>
              <w:rPr>
                <w:color w:val="1C3A36"/>
                <w:sz w:val="17"/>
              </w:rPr>
              <w:t>−</w:t>
            </w:r>
          </w:p>
        </w:tc>
        <w:tc>
          <w:tcPr>
            <w:tcW w:type="dxa" w:w="3168"/>
          </w:tcPr>
          <w:p>
            <w:pPr>
              <w:spacing w:after="20"/>
              <w:jc w:val="right"/>
            </w:pPr>
            <w:r>
              <w:rPr>
                <w:color w:val="1C3A36"/>
                <w:sz w:val="17"/>
              </w:rPr>
              <w:t>A new entrant resetting price points</w:t>
            </w:r>
          </w:p>
        </w:tc>
        <w:tc>
          <w:tcPr>
            <w:tcW w:type="dxa" w:w="1152"/>
          </w:tcPr>
          <w:p>
            <w:pPr>
              <w:spacing w:after="20"/>
              <w:jc w:val="right"/>
            </w:pPr>
            <w:r>
              <w:rPr>
                <w:color w:val="1C3A36"/>
                <w:sz w:val="17"/>
              </w:rPr>
              <w:t>35%</w:t>
            </w:r>
          </w:p>
        </w:tc>
        <w:tc>
          <w:tcPr>
            <w:tcW w:type="dxa" w:w="1224"/>
          </w:tcPr>
          <w:p>
            <w:pPr>
              <w:spacing w:after="20"/>
              <w:jc w:val="right"/>
            </w:pPr>
            <w:r>
              <w:rPr>
                <w:color w:val="1C3A36"/>
                <w:sz w:val="17"/>
              </w:rPr>
              <w:t>−1.0%</w:t>
            </w:r>
          </w:p>
        </w:tc>
      </w:tr>
      <w:tr>
        <w:tc>
          <w:tcPr>
            <w:tcW w:type="dxa" w:w="3096"/>
          </w:tcPr>
          <w:p>
            <w:pPr>
              <w:spacing w:after="20"/>
            </w:pPr>
            <w:r>
              <w:rPr>
                <w:color w:val="1C3A36"/>
                <w:sz w:val="17"/>
              </w:rPr>
              <w:t>Localisation and the assembly-plant ramp</w:t>
            </w:r>
          </w:p>
        </w:tc>
        <w:tc>
          <w:tcPr>
            <w:tcW w:type="dxa" w:w="864"/>
          </w:tcPr>
          <w:p>
            <w:pPr>
              <w:spacing w:after="20"/>
              <w:jc w:val="right"/>
            </w:pPr>
            <w:r>
              <w:rPr>
                <w:color w:val="1C3A36"/>
                <w:sz w:val="17"/>
              </w:rPr>
              <w:t>+</w:t>
            </w:r>
          </w:p>
        </w:tc>
        <w:tc>
          <w:tcPr>
            <w:tcW w:type="dxa" w:w="3168"/>
          </w:tcPr>
          <w:p>
            <w:pPr>
              <w:spacing w:after="20"/>
              <w:jc w:val="right"/>
            </w:pPr>
            <w:r>
              <w:rPr>
                <w:color w:val="1C3A36"/>
                <w:sz w:val="17"/>
              </w:rPr>
              <w:t>Plant ramp or a new assembled model</w:t>
            </w:r>
          </w:p>
        </w:tc>
        <w:tc>
          <w:tcPr>
            <w:tcW w:type="dxa" w:w="1152"/>
          </w:tcPr>
          <w:p>
            <w:pPr>
              <w:spacing w:after="20"/>
              <w:jc w:val="right"/>
            </w:pPr>
            <w:r>
              <w:rPr>
                <w:color w:val="1C3A36"/>
                <w:sz w:val="17"/>
              </w:rPr>
              <w:t>55%</w:t>
            </w:r>
          </w:p>
        </w:tc>
        <w:tc>
          <w:tcPr>
            <w:tcW w:type="dxa" w:w="1224"/>
          </w:tcPr>
          <w:p>
            <w:pPr>
              <w:spacing w:after="20"/>
              <w:jc w:val="right"/>
            </w:pPr>
            <w:r>
              <w:rPr>
                <w:color w:val="1C3A36"/>
                <w:sz w:val="17"/>
              </w:rPr>
              <w:t>+0.6%</w:t>
            </w:r>
          </w:p>
        </w:tc>
      </w:tr>
      <w:tr>
        <w:tc>
          <w:tcPr>
            <w:tcW w:type="dxa" w:w="3096"/>
          </w:tcPr>
          <w:p>
            <w:pPr>
              <w:spacing w:after="20"/>
            </w:pPr>
            <w:r>
              <w:rPr>
                <w:color w:val="1C3A36"/>
                <w:sz w:val="17"/>
              </w:rPr>
              <w:t>Funding cost and the provisioning cycle</w:t>
            </w:r>
          </w:p>
        </w:tc>
        <w:tc>
          <w:tcPr>
            <w:tcW w:type="dxa" w:w="864"/>
          </w:tcPr>
          <w:p>
            <w:pPr>
              <w:spacing w:after="20"/>
              <w:jc w:val="right"/>
            </w:pPr>
            <w:r>
              <w:rPr>
                <w:color w:val="1C3A36"/>
                <w:sz w:val="17"/>
              </w:rPr>
              <w:t>−</w:t>
            </w:r>
          </w:p>
        </w:tc>
        <w:tc>
          <w:tcPr>
            <w:tcW w:type="dxa" w:w="3168"/>
          </w:tcPr>
          <w:p>
            <w:pPr>
              <w:spacing w:after="20"/>
              <w:jc w:val="right"/>
            </w:pPr>
            <w:r>
              <w:rPr>
                <w:color w:val="1C3A36"/>
                <w:sz w:val="17"/>
              </w:rPr>
              <w:t>Dividend or capital-return surprise</w:t>
            </w:r>
          </w:p>
        </w:tc>
        <w:tc>
          <w:tcPr>
            <w:tcW w:type="dxa" w:w="1152"/>
          </w:tcPr>
          <w:p>
            <w:pPr>
              <w:spacing w:after="20"/>
              <w:jc w:val="right"/>
            </w:pPr>
            <w:r>
              <w:rPr>
                <w:color w:val="1C3A36"/>
                <w:sz w:val="17"/>
              </w:rPr>
              <w:t>15%</w:t>
            </w:r>
          </w:p>
        </w:tc>
        <w:tc>
          <w:tcPr>
            <w:tcW w:type="dxa" w:w="1224"/>
          </w:tcPr>
          <w:p>
            <w:pPr>
              <w:spacing w:after="20"/>
              <w:jc w:val="right"/>
            </w:pPr>
            <w:r>
              <w:rPr>
                <w:color w:val="1C3A36"/>
                <w:sz w:val="17"/>
              </w:rPr>
              <w:t>+0.8%</w:t>
            </w:r>
          </w:p>
        </w:tc>
      </w:tr>
      <w:tr>
        <w:tc>
          <w:tcPr>
            <w:tcW w:type="dxa" w:w="3096"/>
          </w:tcPr>
          <w:p>
            <w:pPr>
              <w:spacing w:after="20"/>
            </w:pPr>
            <w:r>
              <w:rPr>
                <w:color w:val="1C3A36"/>
                <w:sz w:val="17"/>
              </w:rPr>
            </w:r>
          </w:p>
        </w:tc>
        <w:tc>
          <w:tcPr>
            <w:tcW w:type="dxa" w:w="864"/>
          </w:tcPr>
          <w:p>
            <w:pPr>
              <w:spacing w:after="20"/>
              <w:jc w:val="right"/>
            </w:pPr>
            <w:r>
              <w:rPr>
                <w:color w:val="1C3A36"/>
                <w:sz w:val="17"/>
              </w:rPr>
            </w:r>
          </w:p>
        </w:tc>
        <w:tc>
          <w:tcPr>
            <w:tcW w:type="dxa" w:w="3168"/>
          </w:tcPr>
          <w:p>
            <w:pPr>
              <w:spacing w:after="20"/>
              <w:jc w:val="right"/>
            </w:pPr>
            <w:r>
              <w:rPr>
                <w:color w:val="1C3A36"/>
                <w:sz w:val="17"/>
              </w:rPr>
              <w:t>A step devaluation of the pound</w:t>
            </w:r>
          </w:p>
        </w:tc>
        <w:tc>
          <w:tcPr>
            <w:tcW w:type="dxa" w:w="1152"/>
          </w:tcPr>
          <w:p>
            <w:pPr>
              <w:spacing w:after="20"/>
              <w:jc w:val="right"/>
            </w:pPr>
            <w:r>
              <w:rPr>
                <w:color w:val="1C3A36"/>
                <w:sz w:val="17"/>
              </w:rPr>
              <w:t>12%</w:t>
            </w:r>
          </w:p>
        </w:tc>
        <w:tc>
          <w:tcPr>
            <w:tcW w:type="dxa" w:w="1224"/>
          </w:tcPr>
          <w:p>
            <w:pPr>
              <w:spacing w:after="20"/>
              <w:jc w:val="right"/>
            </w:pPr>
            <w:r>
              <w:rPr>
                <w:color w:val="1C3A36"/>
                <w:sz w:val="17"/>
              </w:rPr>
              <w:t>−2.0%</w:t>
            </w:r>
          </w:p>
        </w:tc>
      </w:tr>
      <w:tr>
        <w:tc>
          <w:tcPr>
            <w:tcW w:type="dxa" w:w="3096"/>
          </w:tcPr>
          <w:p>
            <w:pPr>
              <w:spacing w:after="20"/>
            </w:pPr>
            <w:r>
              <w:rPr>
                <w:color w:val="1C3A36"/>
                <w:sz w:val="17"/>
              </w:rPr>
            </w:r>
          </w:p>
        </w:tc>
        <w:tc>
          <w:tcPr>
            <w:tcW w:type="dxa" w:w="864"/>
          </w:tcPr>
          <w:p>
            <w:pPr>
              <w:spacing w:after="20"/>
              <w:jc w:val="right"/>
            </w:pPr>
            <w:r>
              <w:rPr>
                <w:color w:val="1C3A36"/>
                <w:sz w:val="17"/>
              </w:rPr>
            </w:r>
          </w:p>
        </w:tc>
        <w:tc>
          <w:tcPr>
            <w:tcW w:type="dxa" w:w="3168"/>
          </w:tcPr>
          <w:p>
            <w:pPr>
              <w:spacing w:after="20"/>
              <w:jc w:val="right"/>
            </w:pPr>
            <w:r>
              <w:rPr>
                <w:color w:val="1C3A36"/>
                <w:sz w:val="17"/>
              </w:rPr>
              <w:t>Index flows or an index event</w:t>
            </w:r>
          </w:p>
        </w:tc>
        <w:tc>
          <w:tcPr>
            <w:tcW w:type="dxa" w:w="1152"/>
          </w:tcPr>
          <w:p>
            <w:pPr>
              <w:spacing w:after="20"/>
              <w:jc w:val="right"/>
            </w:pPr>
            <w:r>
              <w:rPr>
                <w:color w:val="1C3A36"/>
                <w:sz w:val="17"/>
              </w:rPr>
              <w:t>25%</w:t>
            </w:r>
          </w:p>
        </w:tc>
        <w:tc>
          <w:tcPr>
            <w:tcW w:type="dxa" w:w="1224"/>
          </w:tcPr>
          <w:p>
            <w:pPr>
              <w:spacing w:after="20"/>
              <w:jc w:val="right"/>
            </w:pPr>
            <w:r>
              <w:rPr>
                <w:color w:val="1C3A36"/>
                <w:sz w:val="17"/>
              </w:rPr>
              <w:t>+0.8%</w:t>
            </w:r>
          </w:p>
        </w:tc>
      </w:tr>
    </w:tbl>
    <w:p>
      <w:pPr>
        <w:spacing w:after="40"/>
      </w:pPr>
    </w:p>
    <w:p>
      <w:pPr>
        <w:spacing w:after="200" w:before="0"/>
      </w:pPr>
      <w:r>
        <w:rPr>
          <w:b w:val="0"/>
          <w:i/>
          <w:color w:val="6E7B77"/>
          <w:sz w:val="17"/>
        </w:rPr>
        <w:t>The factor stack is the preparer’s own judgment, stated so a reader can disagree with each line. It is deliberately modest in aggregate: the whole stack moves the quarter by less than two per cent.</w:t>
      </w:r>
    </w:p>
    <w:p>
      <w:pPr>
        <w:spacing w:after="80" w:before="200"/>
      </w:pPr>
      <w:r>
        <w:rPr>
          <w:b/>
          <w:i w:val="0"/>
          <w:color w:val="1C3A36"/>
          <w:sz w:val="24"/>
        </w:rPr>
        <w:t>Percentile map (EGP per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2736"/>
            <w:shd w:val="clear" w:color="auto" w:fill="EAF0EE"/>
          </w:tcPr>
          <w:p>
            <w:pPr>
              <w:spacing w:after="20"/>
            </w:pPr>
            <w:r>
              <w:rPr>
                <w:b/>
                <w:color w:val="1C3A36"/>
                <w:sz w:val="18"/>
              </w:rPr>
              <w:t>Horizon</w:t>
            </w:r>
          </w:p>
        </w:tc>
        <w:tc>
          <w:tcPr>
            <w:tcW w:type="dxa" w:w="1440"/>
            <w:shd w:val="clear" w:color="auto" w:fill="EAF0EE"/>
          </w:tcPr>
          <w:p>
            <w:pPr>
              <w:spacing w:after="20"/>
            </w:pPr>
            <w:r>
              <w:rPr>
                <w:b/>
                <w:color w:val="1C3A36"/>
                <w:sz w:val="18"/>
              </w:rPr>
              <w:t>p5</w:t>
            </w:r>
          </w:p>
        </w:tc>
        <w:tc>
          <w:tcPr>
            <w:tcW w:type="dxa" w:w="1440"/>
            <w:shd w:val="clear" w:color="auto" w:fill="EAF0EE"/>
          </w:tcPr>
          <w:p>
            <w:pPr>
              <w:spacing w:after="20"/>
            </w:pPr>
            <w:r>
              <w:rPr>
                <w:b/>
                <w:color w:val="1C3A36"/>
                <w:sz w:val="18"/>
              </w:rPr>
              <w:t>p25</w:t>
            </w:r>
          </w:p>
        </w:tc>
        <w:tc>
          <w:tcPr>
            <w:tcW w:type="dxa" w:w="1440"/>
            <w:shd w:val="clear" w:color="auto" w:fill="EAF0EE"/>
          </w:tcPr>
          <w:p>
            <w:pPr>
              <w:spacing w:after="20"/>
            </w:pPr>
            <w:r>
              <w:rPr>
                <w:b/>
                <w:color w:val="1C3A36"/>
                <w:sz w:val="18"/>
              </w:rPr>
              <w:t>p50</w:t>
            </w:r>
          </w:p>
        </w:tc>
        <w:tc>
          <w:tcPr>
            <w:tcW w:type="dxa" w:w="1440"/>
            <w:shd w:val="clear" w:color="auto" w:fill="EAF0EE"/>
          </w:tcPr>
          <w:p>
            <w:pPr>
              <w:spacing w:after="20"/>
            </w:pPr>
            <w:r>
              <w:rPr>
                <w:b/>
                <w:color w:val="1C3A36"/>
                <w:sz w:val="18"/>
              </w:rPr>
              <w:t>p75</w:t>
            </w:r>
          </w:p>
        </w:tc>
        <w:tc>
          <w:tcPr>
            <w:tcW w:type="dxa" w:w="1440"/>
            <w:shd w:val="clear" w:color="auto" w:fill="EAF0EE"/>
          </w:tcPr>
          <w:p>
            <w:pPr>
              <w:spacing w:after="20"/>
            </w:pPr>
            <w:r>
              <w:rPr>
                <w:b/>
                <w:color w:val="1C3A36"/>
                <w:sz w:val="18"/>
              </w:rPr>
              <w:t>p95</w:t>
            </w:r>
          </w:p>
        </w:tc>
      </w:tr>
      <w:tr>
        <w:tc>
          <w:tcPr>
            <w:tcW w:type="dxa" w:w="2736"/>
          </w:tcPr>
          <w:p>
            <w:pPr>
              <w:spacing w:after="20"/>
            </w:pPr>
            <w:r>
              <w:rPr>
                <w:b/>
                <w:color w:val="1C3A36"/>
                <w:sz w:val="18"/>
              </w:rPr>
              <w:t>1 month</w:t>
            </w:r>
          </w:p>
        </w:tc>
        <w:tc>
          <w:tcPr>
            <w:tcW w:type="dxa" w:w="1440"/>
          </w:tcPr>
          <w:p>
            <w:pPr>
              <w:spacing w:after="20"/>
              <w:jc w:val="right"/>
            </w:pPr>
            <w:r>
              <w:rPr>
                <w:color w:val="1C3A36"/>
                <w:sz w:val="18"/>
              </w:rPr>
              <w:t>23.60</w:t>
            </w:r>
          </w:p>
        </w:tc>
        <w:tc>
          <w:tcPr>
            <w:tcW w:type="dxa" w:w="1440"/>
          </w:tcPr>
          <w:p>
            <w:pPr>
              <w:spacing w:after="20"/>
              <w:jc w:val="right"/>
            </w:pPr>
            <w:r>
              <w:rPr>
                <w:color w:val="1C3A36"/>
                <w:sz w:val="18"/>
              </w:rPr>
              <w:t>27.14</w:t>
            </w:r>
          </w:p>
        </w:tc>
        <w:tc>
          <w:tcPr>
            <w:tcW w:type="dxa" w:w="1440"/>
          </w:tcPr>
          <w:p>
            <w:pPr>
              <w:spacing w:after="20"/>
              <w:jc w:val="right"/>
            </w:pPr>
            <w:r>
              <w:rPr>
                <w:color w:val="1C3A36"/>
                <w:sz w:val="18"/>
              </w:rPr>
              <w:t>29.37</w:t>
            </w:r>
          </w:p>
        </w:tc>
        <w:tc>
          <w:tcPr>
            <w:tcW w:type="dxa" w:w="1440"/>
          </w:tcPr>
          <w:p>
            <w:pPr>
              <w:spacing w:after="20"/>
              <w:jc w:val="right"/>
            </w:pPr>
            <w:r>
              <w:rPr>
                <w:color w:val="1C3A36"/>
                <w:sz w:val="18"/>
              </w:rPr>
              <w:t>31.79</w:t>
            </w:r>
          </w:p>
        </w:tc>
        <w:tc>
          <w:tcPr>
            <w:tcW w:type="dxa" w:w="1440"/>
          </w:tcPr>
          <w:p>
            <w:pPr>
              <w:spacing w:after="20"/>
              <w:jc w:val="right"/>
            </w:pPr>
            <w:r>
              <w:rPr>
                <w:color w:val="1C3A36"/>
                <w:sz w:val="18"/>
              </w:rPr>
              <w:t>36.64</w:t>
            </w:r>
          </w:p>
        </w:tc>
      </w:tr>
      <w:tr>
        <w:tc>
          <w:tcPr>
            <w:tcW w:type="dxa" w:w="2736"/>
          </w:tcPr>
          <w:p>
            <w:pPr>
              <w:spacing w:after="20"/>
            </w:pPr>
            <w:r>
              <w:rPr>
                <w:b/>
                <w:color w:val="1C3A36"/>
                <w:sz w:val="18"/>
              </w:rPr>
              <w:t>3 months</w:t>
            </w:r>
          </w:p>
        </w:tc>
        <w:tc>
          <w:tcPr>
            <w:tcW w:type="dxa" w:w="1440"/>
          </w:tcPr>
          <w:p>
            <w:pPr>
              <w:spacing w:after="20"/>
              <w:jc w:val="right"/>
            </w:pPr>
            <w:r>
              <w:rPr>
                <w:color w:val="1C3A36"/>
                <w:sz w:val="18"/>
              </w:rPr>
              <w:t>20.63</w:t>
            </w:r>
          </w:p>
        </w:tc>
        <w:tc>
          <w:tcPr>
            <w:tcW w:type="dxa" w:w="1440"/>
          </w:tcPr>
          <w:p>
            <w:pPr>
              <w:spacing w:after="20"/>
              <w:jc w:val="right"/>
            </w:pPr>
            <w:r>
              <w:rPr>
                <w:color w:val="1C3A36"/>
                <w:sz w:val="18"/>
              </w:rPr>
              <w:t>26.32</w:t>
            </w:r>
          </w:p>
        </w:tc>
        <w:tc>
          <w:tcPr>
            <w:tcW w:type="dxa" w:w="1440"/>
          </w:tcPr>
          <w:p>
            <w:pPr>
              <w:spacing w:after="20"/>
              <w:jc w:val="right"/>
            </w:pPr>
            <w:r>
              <w:rPr>
                <w:color w:val="1C3A36"/>
                <w:sz w:val="18"/>
              </w:rPr>
              <w:t>30.14</w:t>
            </w:r>
          </w:p>
        </w:tc>
        <w:tc>
          <w:tcPr>
            <w:tcW w:type="dxa" w:w="1440"/>
          </w:tcPr>
          <w:p>
            <w:pPr>
              <w:spacing w:after="20"/>
              <w:jc w:val="right"/>
            </w:pPr>
            <w:r>
              <w:rPr>
                <w:color w:val="1C3A36"/>
                <w:sz w:val="18"/>
              </w:rPr>
              <w:t>34.55</w:t>
            </w:r>
          </w:p>
        </w:tc>
        <w:tc>
          <w:tcPr>
            <w:tcW w:type="dxa" w:w="1440"/>
          </w:tcPr>
          <w:p>
            <w:pPr>
              <w:spacing w:after="20"/>
              <w:jc w:val="right"/>
            </w:pPr>
            <w:r>
              <w:rPr>
                <w:color w:val="1C3A36"/>
                <w:sz w:val="18"/>
              </w:rPr>
              <w:t>44.08</w:t>
            </w:r>
          </w:p>
        </w:tc>
      </w:tr>
    </w:tbl>
    <w:p>
      <w:pPr>
        <w:spacing w:after="40"/>
      </w:pPr>
    </w:p>
    <w:p>
      <w:pPr>
        <w:spacing w:after="120" w:before="0"/>
      </w:pPr>
      <w:r>
        <w:rPr>
          <w:b w:val="0"/>
          <w:i w:val="0"/>
          <w:color w:val="1C3A36"/>
          <w:sz w:val="19"/>
        </w:rPr>
        <w:t>Lead with the 50% band rather than the tails: a quarter ahead, half of all paths finish between EGP 26.32 and 34.55; at one month the band is EGP 27.14–31.79. The 5th-to-95th cone is context, not a forecast.</w:t>
      </w:r>
    </w:p>
    <w:p>
      <w:pPr>
        <w:spacing w:after="40"/>
        <w:jc w:val="center"/>
      </w:pPr>
      <w:r>
        <w:drawing>
          <wp:inline xmlns:a="http://schemas.openxmlformats.org/drawingml/2006/main" xmlns:pic="http://schemas.openxmlformats.org/drawingml/2006/picture">
            <wp:extent cx="5852160" cy="2508069"/>
            <wp:docPr id="4" name="Picture 4"/>
            <wp:cNvGraphicFramePr>
              <a:graphicFrameLocks noChangeAspect="1"/>
            </wp:cNvGraphicFramePr>
            <a:graphic>
              <a:graphicData uri="http://schemas.openxmlformats.org/drawingml/2006/picture">
                <pic:pic>
                  <pic:nvPicPr>
                    <pic:cNvPr id="0" name="fig4_fan.png"/>
                    <pic:cNvPicPr/>
                  </pic:nvPicPr>
                  <pic:blipFill>
                    <a:blip r:embed="rId12"/>
                    <a:stretch>
                      <a:fillRect/>
                    </a:stretch>
                  </pic:blipFill>
                  <pic:spPr>
                    <a:xfrm>
                      <a:off x="0" y="0"/>
                      <a:ext cx="5852160" cy="2508069"/>
                    </a:xfrm>
                    <a:prstGeom prst="rect"/>
                  </pic:spPr>
                </pic:pic>
              </a:graphicData>
            </a:graphic>
          </wp:inline>
        </w:drawing>
      </w:r>
    </w:p>
    <w:p>
      <w:pPr>
        <w:spacing w:after="200" w:before="0"/>
      </w:pPr>
      <w:r>
        <w:rPr>
          <w:b w:val="0"/>
          <w:i/>
          <w:color w:val="6E7B77"/>
          <w:sz w:val="17"/>
        </w:rPr>
        <w:t>Figure 4 — Forward price cone to three months. The median drifts up with the calibrated secular term; the brass dashed line marks the fundamental central, which sits above the whole cone.</w:t>
      </w:r>
    </w:p>
    <w:p>
      <w:pPr>
        <w:spacing w:after="40"/>
        <w:jc w:val="center"/>
      </w:pPr>
      <w:r>
        <w:drawing>
          <wp:inline xmlns:a="http://schemas.openxmlformats.org/drawingml/2006/main" xmlns:pic="http://schemas.openxmlformats.org/drawingml/2006/picture">
            <wp:extent cx="4754880" cy="2377440"/>
            <wp:docPr id="5" name="Picture 5"/>
            <wp:cNvGraphicFramePr>
              <a:graphicFrameLocks noChangeAspect="1"/>
            </wp:cNvGraphicFramePr>
            <a:graphic>
              <a:graphicData uri="http://schemas.openxmlformats.org/drawingml/2006/picture">
                <pic:pic>
                  <pic:nvPicPr>
                    <pic:cNvPr id="0" name="fig5_dist.png"/>
                    <pic:cNvPicPr/>
                  </pic:nvPicPr>
                  <pic:blipFill>
                    <a:blip r:embed="rId13"/>
                    <a:stretch>
                      <a:fillRect/>
                    </a:stretch>
                  </pic:blipFill>
                  <pic:spPr>
                    <a:xfrm>
                      <a:off x="0" y="0"/>
                      <a:ext cx="4754880" cy="2377440"/>
                    </a:xfrm>
                    <a:prstGeom prst="rect"/>
                  </pic:spPr>
                </pic:pic>
              </a:graphicData>
            </a:graphic>
          </wp:inline>
        </w:drawing>
      </w:r>
    </w:p>
    <w:p>
      <w:pPr>
        <w:spacing w:after="200" w:before="0"/>
      </w:pPr>
      <w:r>
        <w:rPr>
          <w:b w:val="0"/>
          <w:i/>
          <w:color w:val="6E7B77"/>
          <w:sz w:val="17"/>
        </w:rPr>
        <w:t>Figure 5 — Price distribution at one month.</w:t>
      </w:r>
    </w:p>
    <w:p>
      <w:pPr>
        <w:spacing w:after="40"/>
        <w:jc w:val="center"/>
      </w:pPr>
      <w:r>
        <w:drawing>
          <wp:inline xmlns:a="http://schemas.openxmlformats.org/drawingml/2006/main" xmlns:pic="http://schemas.openxmlformats.org/drawingml/2006/picture">
            <wp:extent cx="4754880" cy="2377440"/>
            <wp:docPr id="6" name="Picture 6"/>
            <wp:cNvGraphicFramePr>
              <a:graphicFrameLocks noChangeAspect="1"/>
            </wp:cNvGraphicFramePr>
            <a:graphic>
              <a:graphicData uri="http://schemas.openxmlformats.org/drawingml/2006/picture">
                <pic:pic>
                  <pic:nvPicPr>
                    <pic:cNvPr id="0" name="fig6_dist.png"/>
                    <pic:cNvPicPr/>
                  </pic:nvPicPr>
                  <pic:blipFill>
                    <a:blip r:embed="rId14"/>
                    <a:stretch>
                      <a:fillRect/>
                    </a:stretch>
                  </pic:blipFill>
                  <pic:spPr>
                    <a:xfrm>
                      <a:off x="0" y="0"/>
                      <a:ext cx="4754880" cy="2377440"/>
                    </a:xfrm>
                    <a:prstGeom prst="rect"/>
                  </pic:spPr>
                </pic:pic>
              </a:graphicData>
            </a:graphic>
          </wp:inline>
        </w:drawing>
      </w:r>
    </w:p>
    <w:p>
      <w:pPr>
        <w:spacing w:after="200" w:before="0"/>
      </w:pPr>
      <w:r>
        <w:rPr>
          <w:b w:val="0"/>
          <w:i/>
          <w:color w:val="6E7B77"/>
          <w:sz w:val="17"/>
        </w:rPr>
        <w:t>Figure 6 — Price distribution at three months.</w:t>
      </w:r>
    </w:p>
    <w:p>
      <w:pPr>
        <w:spacing w:after="80" w:before="200"/>
      </w:pPr>
      <w:r>
        <w:rPr>
          <w:b/>
          <w:i w:val="0"/>
          <w:color w:val="1C3A36"/>
          <w:sz w:val="24"/>
        </w:rPr>
        <w:t>Level-touch ladder</w:t>
      </w:r>
    </w:p>
    <w:p>
      <w:pPr>
        <w:spacing w:after="120" w:before="0"/>
      </w:pPr>
      <w:r>
        <w:rPr>
          <w:b w:val="0"/>
          <w:i w:val="0"/>
          <w:color w:val="1C3A36"/>
          <w:sz w:val="19"/>
        </w:rPr>
        <w:t>The probability that price touches a level at any point by the horizon — the running maximum for levels above the anchor, the running minimum for levels below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1728"/>
            <w:shd w:val="clear" w:color="auto" w:fill="EAF0EE"/>
          </w:tcPr>
          <w:p>
            <w:pPr>
              <w:spacing w:after="20"/>
            </w:pPr>
            <w:r>
              <w:rPr>
                <w:b/>
                <w:color w:val="1C3A36"/>
                <w:sz w:val="18"/>
              </w:rPr>
              <w:t>Level (EGP)</w:t>
            </w:r>
          </w:p>
        </w:tc>
        <w:tc>
          <w:tcPr>
            <w:tcW w:type="dxa" w:w="2016"/>
            <w:shd w:val="clear" w:color="auto" w:fill="EAF0EE"/>
          </w:tcPr>
          <w:p>
            <w:pPr>
              <w:spacing w:after="20"/>
            </w:pPr>
            <w:r>
              <w:rPr>
                <w:b/>
                <w:color w:val="1C3A36"/>
                <w:sz w:val="18"/>
              </w:rPr>
              <w:t>1-month touch</w:t>
            </w:r>
          </w:p>
        </w:tc>
        <w:tc>
          <w:tcPr>
            <w:tcW w:type="dxa" w:w="2016"/>
            <w:shd w:val="clear" w:color="auto" w:fill="EAF0EE"/>
          </w:tcPr>
          <w:p>
            <w:pPr>
              <w:spacing w:after="20"/>
            </w:pPr>
            <w:r>
              <w:rPr>
                <w:b/>
                <w:color w:val="1C3A36"/>
                <w:sz w:val="18"/>
              </w:rPr>
              <w:t>3-month touch</w:t>
            </w:r>
          </w:p>
        </w:tc>
        <w:tc>
          <w:tcPr>
            <w:tcW w:type="dxa" w:w="3744"/>
            <w:shd w:val="clear" w:color="auto" w:fill="EAF0EE"/>
          </w:tcPr>
          <w:p>
            <w:pPr>
              <w:spacing w:after="20"/>
            </w:pPr>
            <w:r>
              <w:rPr>
                <w:b/>
                <w:color w:val="1C3A36"/>
                <w:sz w:val="18"/>
              </w:rPr>
              <w:t>Against the anchor</w:t>
            </w:r>
          </w:p>
        </w:tc>
      </w:tr>
      <w:tr>
        <w:tc>
          <w:tcPr>
            <w:tcW w:type="dxa" w:w="1728"/>
          </w:tcPr>
          <w:p>
            <w:pPr>
              <w:spacing w:after="20"/>
            </w:pPr>
            <w:r>
              <w:rPr>
                <w:b/>
                <w:color w:val="1C3A36"/>
                <w:sz w:val="18"/>
              </w:rPr>
              <w:t>40</w:t>
            </w:r>
          </w:p>
        </w:tc>
        <w:tc>
          <w:tcPr>
            <w:tcW w:type="dxa" w:w="2016"/>
          </w:tcPr>
          <w:p>
            <w:pPr>
              <w:spacing w:after="20"/>
              <w:jc w:val="right"/>
            </w:pPr>
            <w:r>
              <w:rPr>
                <w:color w:val="1C3A36"/>
                <w:sz w:val="18"/>
              </w:rPr>
              <w:t>3%</w:t>
            </w:r>
          </w:p>
        </w:tc>
        <w:tc>
          <w:tcPr>
            <w:tcW w:type="dxa" w:w="2016"/>
          </w:tcPr>
          <w:p>
            <w:pPr>
              <w:spacing w:after="20"/>
              <w:jc w:val="right"/>
            </w:pPr>
            <w:r>
              <w:rPr>
                <w:color w:val="1C3A36"/>
                <w:sz w:val="18"/>
              </w:rPr>
              <w:t>16%</w:t>
            </w:r>
          </w:p>
        </w:tc>
        <w:tc>
          <w:tcPr>
            <w:tcW w:type="dxa" w:w="3744"/>
          </w:tcPr>
          <w:p>
            <w:pPr>
              <w:spacing w:after="20"/>
              <w:jc w:val="right"/>
            </w:pPr>
            <w:r>
              <w:rPr>
                <w:color w:val="1C3A36"/>
                <w:sz w:val="18"/>
              </w:rPr>
              <w:t>+35.5%</w:t>
            </w:r>
          </w:p>
        </w:tc>
      </w:tr>
      <w:tr>
        <w:tc>
          <w:tcPr>
            <w:tcW w:type="dxa" w:w="1728"/>
          </w:tcPr>
          <w:p>
            <w:pPr>
              <w:spacing w:after="20"/>
            </w:pPr>
            <w:r>
              <w:rPr>
                <w:b/>
                <w:color w:val="1C3A36"/>
                <w:sz w:val="18"/>
              </w:rPr>
              <w:t>38</w:t>
            </w:r>
          </w:p>
        </w:tc>
        <w:tc>
          <w:tcPr>
            <w:tcW w:type="dxa" w:w="2016"/>
          </w:tcPr>
          <w:p>
            <w:pPr>
              <w:spacing w:after="20"/>
              <w:jc w:val="right"/>
            </w:pPr>
            <w:r>
              <w:rPr>
                <w:color w:val="1C3A36"/>
                <w:sz w:val="18"/>
              </w:rPr>
              <w:t>5%</w:t>
            </w:r>
          </w:p>
        </w:tc>
        <w:tc>
          <w:tcPr>
            <w:tcW w:type="dxa" w:w="2016"/>
          </w:tcPr>
          <w:p>
            <w:pPr>
              <w:spacing w:after="20"/>
              <w:jc w:val="right"/>
            </w:pPr>
            <w:r>
              <w:rPr>
                <w:color w:val="1C3A36"/>
                <w:sz w:val="18"/>
              </w:rPr>
              <w:t>23%</w:t>
            </w:r>
          </w:p>
        </w:tc>
        <w:tc>
          <w:tcPr>
            <w:tcW w:type="dxa" w:w="3744"/>
          </w:tcPr>
          <w:p>
            <w:pPr>
              <w:spacing w:after="20"/>
              <w:jc w:val="right"/>
            </w:pPr>
            <w:r>
              <w:rPr>
                <w:color w:val="1C3A36"/>
                <w:sz w:val="18"/>
              </w:rPr>
              <w:t>+28.8%</w:t>
            </w:r>
          </w:p>
        </w:tc>
      </w:tr>
      <w:tr>
        <w:tc>
          <w:tcPr>
            <w:tcW w:type="dxa" w:w="1728"/>
          </w:tcPr>
          <w:p>
            <w:pPr>
              <w:spacing w:after="20"/>
            </w:pPr>
            <w:r>
              <w:rPr>
                <w:b/>
                <w:color w:val="1C3A36"/>
                <w:sz w:val="18"/>
              </w:rPr>
              <w:t>36</w:t>
            </w:r>
          </w:p>
        </w:tc>
        <w:tc>
          <w:tcPr>
            <w:tcW w:type="dxa" w:w="2016"/>
          </w:tcPr>
          <w:p>
            <w:pPr>
              <w:spacing w:after="20"/>
              <w:jc w:val="right"/>
            </w:pPr>
            <w:r>
              <w:rPr>
                <w:color w:val="1C3A36"/>
                <w:sz w:val="18"/>
              </w:rPr>
              <w:t>9%</w:t>
            </w:r>
          </w:p>
        </w:tc>
        <w:tc>
          <w:tcPr>
            <w:tcW w:type="dxa" w:w="2016"/>
          </w:tcPr>
          <w:p>
            <w:pPr>
              <w:spacing w:after="20"/>
              <w:jc w:val="right"/>
            </w:pPr>
            <w:r>
              <w:rPr>
                <w:color w:val="1C3A36"/>
                <w:sz w:val="18"/>
              </w:rPr>
              <w:t>32%</w:t>
            </w:r>
          </w:p>
        </w:tc>
        <w:tc>
          <w:tcPr>
            <w:tcW w:type="dxa" w:w="3744"/>
          </w:tcPr>
          <w:p>
            <w:pPr>
              <w:spacing w:after="20"/>
              <w:jc w:val="right"/>
            </w:pPr>
            <w:r>
              <w:rPr>
                <w:color w:val="1C3A36"/>
                <w:sz w:val="18"/>
              </w:rPr>
              <w:t>+22.0%</w:t>
            </w:r>
          </w:p>
        </w:tc>
      </w:tr>
      <w:tr>
        <w:tc>
          <w:tcPr>
            <w:tcW w:type="dxa" w:w="1728"/>
          </w:tcPr>
          <w:p>
            <w:pPr>
              <w:spacing w:after="20"/>
            </w:pPr>
            <w:r>
              <w:rPr>
                <w:b/>
                <w:color w:val="1C3A36"/>
                <w:sz w:val="18"/>
              </w:rPr>
              <w:t>34</w:t>
            </w:r>
          </w:p>
        </w:tc>
        <w:tc>
          <w:tcPr>
            <w:tcW w:type="dxa" w:w="2016"/>
          </w:tcPr>
          <w:p>
            <w:pPr>
              <w:spacing w:after="20"/>
              <w:jc w:val="right"/>
            </w:pPr>
            <w:r>
              <w:rPr>
                <w:color w:val="1C3A36"/>
                <w:sz w:val="18"/>
              </w:rPr>
              <w:t>19%</w:t>
            </w:r>
          </w:p>
        </w:tc>
        <w:tc>
          <w:tcPr>
            <w:tcW w:type="dxa" w:w="2016"/>
          </w:tcPr>
          <w:p>
            <w:pPr>
              <w:spacing w:after="20"/>
              <w:jc w:val="right"/>
            </w:pPr>
            <w:r>
              <w:rPr>
                <w:color w:val="1C3A36"/>
                <w:sz w:val="18"/>
              </w:rPr>
              <w:t>46%</w:t>
            </w:r>
          </w:p>
        </w:tc>
        <w:tc>
          <w:tcPr>
            <w:tcW w:type="dxa" w:w="3744"/>
          </w:tcPr>
          <w:p>
            <w:pPr>
              <w:spacing w:after="20"/>
              <w:jc w:val="right"/>
            </w:pPr>
            <w:r>
              <w:rPr>
                <w:color w:val="1C3A36"/>
                <w:sz w:val="18"/>
              </w:rPr>
              <w:t>+15.2%</w:t>
            </w:r>
          </w:p>
        </w:tc>
      </w:tr>
      <w:tr>
        <w:tc>
          <w:tcPr>
            <w:tcW w:type="dxa" w:w="1728"/>
          </w:tcPr>
          <w:p>
            <w:pPr>
              <w:spacing w:after="20"/>
            </w:pPr>
            <w:r>
              <w:rPr>
                <w:b/>
                <w:color w:val="1C3A36"/>
                <w:sz w:val="18"/>
              </w:rPr>
              <w:t>32</w:t>
            </w:r>
          </w:p>
        </w:tc>
        <w:tc>
          <w:tcPr>
            <w:tcW w:type="dxa" w:w="2016"/>
          </w:tcPr>
          <w:p>
            <w:pPr>
              <w:spacing w:after="20"/>
              <w:jc w:val="right"/>
            </w:pPr>
            <w:r>
              <w:rPr>
                <w:color w:val="1C3A36"/>
                <w:sz w:val="18"/>
              </w:rPr>
              <w:t>38%</w:t>
            </w:r>
          </w:p>
        </w:tc>
        <w:tc>
          <w:tcPr>
            <w:tcW w:type="dxa" w:w="2016"/>
          </w:tcPr>
          <w:p>
            <w:pPr>
              <w:spacing w:after="20"/>
              <w:jc w:val="right"/>
            </w:pPr>
            <w:r>
              <w:rPr>
                <w:color w:val="1C3A36"/>
                <w:sz w:val="18"/>
              </w:rPr>
              <w:t>64%</w:t>
            </w:r>
          </w:p>
        </w:tc>
        <w:tc>
          <w:tcPr>
            <w:tcW w:type="dxa" w:w="3744"/>
          </w:tcPr>
          <w:p>
            <w:pPr>
              <w:spacing w:after="20"/>
              <w:jc w:val="right"/>
            </w:pPr>
            <w:r>
              <w:rPr>
                <w:color w:val="1C3A36"/>
                <w:sz w:val="18"/>
              </w:rPr>
              <w:t>+8.4%</w:t>
            </w:r>
          </w:p>
        </w:tc>
      </w:tr>
      <w:tr>
        <w:tc>
          <w:tcPr>
            <w:tcW w:type="dxa" w:w="1728"/>
          </w:tcPr>
          <w:p>
            <w:pPr>
              <w:spacing w:after="20"/>
            </w:pPr>
            <w:r>
              <w:rPr>
                <w:b/>
                <w:color w:val="1C3A36"/>
                <w:sz w:val="18"/>
              </w:rPr>
              <w:t>30</w:t>
            </w:r>
          </w:p>
        </w:tc>
        <w:tc>
          <w:tcPr>
            <w:tcW w:type="dxa" w:w="2016"/>
          </w:tcPr>
          <w:p>
            <w:pPr>
              <w:spacing w:after="20"/>
              <w:jc w:val="right"/>
            </w:pPr>
            <w:r>
              <w:rPr>
                <w:color w:val="1C3A36"/>
                <w:sz w:val="18"/>
              </w:rPr>
              <w:t>70%</w:t>
            </w:r>
          </w:p>
        </w:tc>
        <w:tc>
          <w:tcPr>
            <w:tcW w:type="dxa" w:w="2016"/>
          </w:tcPr>
          <w:p>
            <w:pPr>
              <w:spacing w:after="20"/>
              <w:jc w:val="right"/>
            </w:pPr>
            <w:r>
              <w:rPr>
                <w:color w:val="1C3A36"/>
                <w:sz w:val="18"/>
              </w:rPr>
              <w:t>85%</w:t>
            </w:r>
          </w:p>
        </w:tc>
        <w:tc>
          <w:tcPr>
            <w:tcW w:type="dxa" w:w="3744"/>
          </w:tcPr>
          <w:p>
            <w:pPr>
              <w:spacing w:after="20"/>
              <w:jc w:val="right"/>
            </w:pPr>
            <w:r>
              <w:rPr>
                <w:color w:val="1C3A36"/>
                <w:sz w:val="18"/>
              </w:rPr>
              <w:t>+1.7%</w:t>
            </w:r>
          </w:p>
        </w:tc>
      </w:tr>
      <w:tr>
        <w:tc>
          <w:tcPr>
            <w:tcW w:type="dxa" w:w="1728"/>
          </w:tcPr>
          <w:p>
            <w:pPr>
              <w:spacing w:after="20"/>
            </w:pPr>
            <w:r>
              <w:rPr>
                <w:b/>
                <w:color w:val="1C3A36"/>
                <w:sz w:val="18"/>
              </w:rPr>
              <w:t>28</w:t>
            </w:r>
          </w:p>
        </w:tc>
        <w:tc>
          <w:tcPr>
            <w:tcW w:type="dxa" w:w="2016"/>
          </w:tcPr>
          <w:p>
            <w:pPr>
              <w:spacing w:after="20"/>
              <w:jc w:val="right"/>
            </w:pPr>
            <w:r>
              <w:rPr>
                <w:color w:val="1C3A36"/>
                <w:sz w:val="18"/>
              </w:rPr>
              <w:t>63%</w:t>
            </w:r>
          </w:p>
        </w:tc>
        <w:tc>
          <w:tcPr>
            <w:tcW w:type="dxa" w:w="2016"/>
          </w:tcPr>
          <w:p>
            <w:pPr>
              <w:spacing w:after="20"/>
              <w:jc w:val="right"/>
            </w:pPr>
            <w:r>
              <w:rPr>
                <w:color w:val="1C3A36"/>
                <w:sz w:val="18"/>
              </w:rPr>
              <w:t>76%</w:t>
            </w:r>
          </w:p>
        </w:tc>
        <w:tc>
          <w:tcPr>
            <w:tcW w:type="dxa" w:w="3744"/>
          </w:tcPr>
          <w:p>
            <w:pPr>
              <w:spacing w:after="20"/>
              <w:jc w:val="right"/>
            </w:pPr>
            <w:r>
              <w:rPr>
                <w:color w:val="1C3A36"/>
                <w:sz w:val="18"/>
              </w:rPr>
              <w:t>-5.1%</w:t>
            </w:r>
          </w:p>
        </w:tc>
      </w:tr>
      <w:tr>
        <w:tc>
          <w:tcPr>
            <w:tcW w:type="dxa" w:w="1728"/>
          </w:tcPr>
          <w:p>
            <w:pPr>
              <w:spacing w:after="20"/>
            </w:pPr>
            <w:r>
              <w:rPr>
                <w:b/>
                <w:color w:val="1C3A36"/>
                <w:sz w:val="18"/>
              </w:rPr>
              <w:t>26</w:t>
            </w:r>
          </w:p>
        </w:tc>
        <w:tc>
          <w:tcPr>
            <w:tcW w:type="dxa" w:w="2016"/>
          </w:tcPr>
          <w:p>
            <w:pPr>
              <w:spacing w:after="20"/>
              <w:jc w:val="right"/>
            </w:pPr>
            <w:r>
              <w:rPr>
                <w:color w:val="1C3A36"/>
                <w:sz w:val="18"/>
              </w:rPr>
              <w:t>28%</w:t>
            </w:r>
          </w:p>
        </w:tc>
        <w:tc>
          <w:tcPr>
            <w:tcW w:type="dxa" w:w="2016"/>
          </w:tcPr>
          <w:p>
            <w:pPr>
              <w:spacing w:after="20"/>
              <w:jc w:val="right"/>
            </w:pPr>
            <w:r>
              <w:rPr>
                <w:color w:val="1C3A36"/>
                <w:sz w:val="18"/>
              </w:rPr>
              <w:t>48%</w:t>
            </w:r>
          </w:p>
        </w:tc>
        <w:tc>
          <w:tcPr>
            <w:tcW w:type="dxa" w:w="3744"/>
          </w:tcPr>
          <w:p>
            <w:pPr>
              <w:spacing w:after="20"/>
              <w:jc w:val="right"/>
            </w:pPr>
            <w:r>
              <w:rPr>
                <w:color w:val="1C3A36"/>
                <w:sz w:val="18"/>
              </w:rPr>
              <w:t>-11.9%</w:t>
            </w:r>
          </w:p>
        </w:tc>
      </w:tr>
    </w:tbl>
    <w:p>
      <w:pPr>
        <w:spacing w:after="40"/>
      </w:pPr>
    </w:p>
    <w:p>
      <w:pPr>
        <w:spacing w:after="200" w:before="0"/>
      </w:pPr>
      <w:r>
        <w:rPr>
          <w:b w:val="0"/>
          <w:i/>
          <w:color w:val="6E7B77"/>
          <w:sz w:val="17"/>
        </w:rPr>
        <w:t>Every rung and every probability in this ladder is computed from the same 50,000 paths; the distance column is measured against the session the cone was struck on, not against the later price the valuation uses.</w:t>
      </w:r>
    </w:p>
    <w:p>
      <w:pPr>
        <w:spacing w:after="120" w:before="280"/>
      </w:pPr>
      <w:r>
        <w:rPr>
          <w:b/>
          <w:i w:val="0"/>
          <w:color w:val="1C3A36"/>
          <w:sz w:val="30"/>
        </w:rPr>
        <w:t>4  Comparison of the lenses</w:t>
      </w:r>
    </w:p>
    <w:p>
      <w:pPr>
        <w:spacing w:after="120" w:before="0"/>
      </w:pPr>
      <w:r>
        <w:rPr>
          <w:b w:val="0"/>
          <w:i w:val="0"/>
          <w:color w:val="1C3A36"/>
          <w:sz w:val="21"/>
        </w:rPr>
        <w:t>Three readings sit side by side and they genuinely disagree. The fundamental reads spread EGP 28.88 to 53.53 with a central of 44.33, +53% against the price — and that spread is dominated by one line, the MNT-Halan mark, whose value rather than whose existence is the open question. The technical picture has turned: the price came off its short averages with negative momentum and sits in the middle of its own 52-week range. The probabilistic map is the one piece untouched by any of this: its median (30.14) sits above the anchor because the repricing that carried this stock over the sample period has not yet statistically died. That is a description of measured price behaviour, not a claim about value, and it does not know what an associate stake is worth.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2736"/>
            <w:shd w:val="clear" w:color="auto" w:fill="EAF0EE"/>
          </w:tcPr>
          <w:p>
            <w:pPr>
              <w:spacing w:after="20"/>
            </w:pPr>
            <w:r>
              <w:rPr>
                <w:b/>
                <w:color w:val="1C3A36"/>
                <w:sz w:val="18"/>
              </w:rPr>
              <w:t>Lens</w:t>
            </w:r>
          </w:p>
        </w:tc>
        <w:tc>
          <w:tcPr>
            <w:tcW w:type="dxa" w:w="2736"/>
            <w:shd w:val="clear" w:color="auto" w:fill="EAF0EE"/>
          </w:tcPr>
          <w:p>
            <w:pPr>
              <w:spacing w:after="20"/>
            </w:pPr>
            <w:r>
              <w:rPr>
                <w:b/>
                <w:color w:val="1C3A36"/>
                <w:sz w:val="18"/>
              </w:rPr>
              <w:t>What it reads</w:t>
            </w:r>
          </w:p>
        </w:tc>
        <w:tc>
          <w:tcPr>
            <w:tcW w:type="dxa" w:w="4464"/>
            <w:shd w:val="clear" w:color="auto" w:fill="EAF0EE"/>
          </w:tcPr>
          <w:p>
            <w:pPr>
              <w:spacing w:after="20"/>
            </w:pPr>
            <w:r>
              <w:rPr>
                <w:b/>
                <w:color w:val="1C3A36"/>
                <w:sz w:val="18"/>
              </w:rPr>
              <w:t>Central / implication</w:t>
            </w:r>
          </w:p>
        </w:tc>
      </w:tr>
      <w:tr>
        <w:tc>
          <w:tcPr>
            <w:tcW w:type="dxa" w:w="2736"/>
          </w:tcPr>
          <w:p>
            <w:pPr>
              <w:spacing w:after="20"/>
            </w:pPr>
            <w:r>
              <w:rPr>
                <w:b/>
                <w:color w:val="1C3A36"/>
                <w:sz w:val="18"/>
              </w:rPr>
              <w:t>Fundamental (four reads)</w:t>
            </w:r>
          </w:p>
        </w:tc>
        <w:tc>
          <w:tcPr>
            <w:tcW w:type="dxa" w:w="2736"/>
          </w:tcPr>
          <w:p>
            <w:pPr>
              <w:spacing w:after="20"/>
              <w:jc w:val="right"/>
            </w:pPr>
            <w:r>
              <w:rPr>
                <w:color w:val="1C3A36"/>
                <w:sz w:val="18"/>
              </w:rPr>
              <w:t>Below the central — if the mark holds</w:t>
            </w:r>
          </w:p>
        </w:tc>
        <w:tc>
          <w:tcPr>
            <w:tcW w:type="dxa" w:w="4464"/>
          </w:tcPr>
          <w:p>
            <w:pPr>
              <w:spacing w:after="20"/>
              <w:jc w:val="right"/>
            </w:pPr>
            <w:r>
              <w:rPr>
                <w:color w:val="1C3A36"/>
                <w:sz w:val="18"/>
              </w:rPr>
              <w:t>EGP 44.33 (+53%)</w:t>
            </w:r>
          </w:p>
        </w:tc>
      </w:tr>
      <w:tr>
        <w:tc>
          <w:tcPr>
            <w:tcW w:type="dxa" w:w="2736"/>
          </w:tcPr>
          <w:p>
            <w:pPr>
              <w:spacing w:after="20"/>
            </w:pPr>
            <w:r>
              <w:rPr>
                <w:b/>
                <w:color w:val="1C3A36"/>
                <w:sz w:val="18"/>
              </w:rPr>
              <w:t>Fundamental (primary read alone)</w:t>
            </w:r>
          </w:p>
        </w:tc>
        <w:tc>
          <w:tcPr>
            <w:tcW w:type="dxa" w:w="2736"/>
          </w:tcPr>
          <w:p>
            <w:pPr>
              <w:spacing w:after="20"/>
              <w:jc w:val="right"/>
            </w:pPr>
            <w:r>
              <w:rPr>
                <w:color w:val="1C3A36"/>
                <w:sz w:val="18"/>
              </w:rPr>
              <w:t>The sum-of-the-parts on its own</w:t>
            </w:r>
          </w:p>
        </w:tc>
        <w:tc>
          <w:tcPr>
            <w:tcW w:type="dxa" w:w="4464"/>
          </w:tcPr>
          <w:p>
            <w:pPr>
              <w:spacing w:after="20"/>
              <w:jc w:val="right"/>
            </w:pPr>
            <w:r>
              <w:rPr>
                <w:color w:val="1C3A36"/>
                <w:sz w:val="18"/>
              </w:rPr>
              <w:t>EGP 53.53 (+85%)</w:t>
            </w:r>
          </w:p>
        </w:tc>
      </w:tr>
      <w:tr>
        <w:tc>
          <w:tcPr>
            <w:tcW w:type="dxa" w:w="2736"/>
          </w:tcPr>
          <w:p>
            <w:pPr>
              <w:spacing w:after="20"/>
            </w:pPr>
            <w:r>
              <w:rPr>
                <w:b/>
                <w:color w:val="1C3A36"/>
                <w:sz w:val="18"/>
              </w:rPr>
              <w:t>Technical</w:t>
            </w:r>
          </w:p>
        </w:tc>
        <w:tc>
          <w:tcPr>
            <w:tcW w:type="dxa" w:w="2736"/>
          </w:tcPr>
          <w:p>
            <w:pPr>
              <w:spacing w:after="20"/>
              <w:jc w:val="right"/>
            </w:pPr>
            <w:r>
              <w:rPr>
                <w:color w:val="1C3A36"/>
                <w:sz w:val="18"/>
              </w:rPr>
              <w:t>Momentum lost, long trend intact</w:t>
            </w:r>
          </w:p>
        </w:tc>
        <w:tc>
          <w:tcPr>
            <w:tcW w:type="dxa" w:w="4464"/>
          </w:tcPr>
          <w:p>
            <w:pPr>
              <w:spacing w:after="20"/>
              <w:jc w:val="right"/>
            </w:pPr>
            <w:r>
              <w:rPr>
                <w:color w:val="1C3A36"/>
                <w:sz w:val="18"/>
              </w:rPr>
              <w:t>Below the 20- and 50-day averages; above the 100- and 200-day</w:t>
            </w:r>
          </w:p>
        </w:tc>
      </w:tr>
      <w:tr>
        <w:tc>
          <w:tcPr>
            <w:tcW w:type="dxa" w:w="2736"/>
          </w:tcPr>
          <w:p>
            <w:pPr>
              <w:spacing w:after="20"/>
            </w:pPr>
            <w:r>
              <w:rPr>
                <w:b/>
                <w:color w:val="1C3A36"/>
                <w:sz w:val="18"/>
              </w:rPr>
              <w:t>Simulation (three months)</w:t>
            </w:r>
          </w:p>
        </w:tc>
        <w:tc>
          <w:tcPr>
            <w:tcW w:type="dxa" w:w="2736"/>
          </w:tcPr>
          <w:p>
            <w:pPr>
              <w:spacing w:after="20"/>
              <w:jc w:val="right"/>
            </w:pPr>
            <w:r>
              <w:rPr>
                <w:color w:val="1C3A36"/>
                <w:sz w:val="18"/>
              </w:rPr>
              <w:t>Drift up, right-skewed</w:t>
            </w:r>
          </w:p>
        </w:tc>
        <w:tc>
          <w:tcPr>
            <w:tcW w:type="dxa" w:w="4464"/>
          </w:tcPr>
          <w:p>
            <w:pPr>
              <w:spacing w:after="20"/>
              <w:jc w:val="right"/>
            </w:pPr>
            <w:r>
              <w:rPr>
                <w:color w:val="1C3A36"/>
                <w:sz w:val="18"/>
              </w:rPr>
              <w:t>Median 30.14; p5–p95 20.63–44.08</w:t>
            </w:r>
          </w:p>
        </w:tc>
      </w:tr>
    </w:tbl>
    <w:p>
      <w:pPr>
        <w:spacing w:after="40"/>
      </w:pPr>
    </w:p>
    <w:p>
      <w:pPr>
        <w:spacing w:after="120" w:before="0"/>
      </w:pPr>
      <w:r>
        <w:rPr>
          <w:b/>
          <w:i w:val="0"/>
          <w:color w:val="1C3A36"/>
          <w:sz w:val="21"/>
        </w:rPr>
        <w:t xml:space="preserve">A fair-value read, not a recommendation. </w:t>
      </w:r>
      <w:r>
        <w:rPr>
          <w:b w:val="0"/>
          <w:i w:val="0"/>
          <w:color w:val="1C3A36"/>
          <w:sz w:val="21"/>
        </w:rPr>
        <w:t>GB Corp reads below its central estimate on fundamentals (+53%), and that reading rests on a number the company itself stated: a 41.61% holding in MNT-Halan. What is not stated anywhere is what that stake is worth to the market. Taking the round's valuation at face value makes the stake alone 79% of GB Corp's market capitalisation, which the market plainly does not credit. Strip the associate leg out and what remains — the auto business and the lender — reads within 13% of the traded price, in line with what the tape and the distribution already show. The honest summary is that the operating business is priced about right, and whether the shares are cheap depends on how much of a discount the market is entitled to apply to an unlisted minority financial-services stake. That is a legitimate valuation question this study raises rather than settles. The bear-to-bull span, EGP 27.40 to 67.65, is wide enough on its own to demand real humility. We publish the distribution, not a target.</w:t>
      </w:r>
    </w:p>
    <w:p>
      <w:pPr>
        <w:spacing w:after="120" w:before="280"/>
      </w:pPr>
      <w:r>
        <w:rPr>
          <w:b/>
          <w:i w:val="0"/>
          <w:color w:val="1C3A36"/>
          <w:sz w:val="30"/>
        </w:rPr>
        <w:t>5  Catalysts to watch</w:t>
      </w:r>
    </w:p>
    <w:p>
      <w:pPr>
        <w:pStyle w:val="ListBullet"/>
        <w:spacing w:after="60"/>
      </w:pPr>
      <w:r>
        <w:rPr>
          <w:b/>
          <w:color w:val="1C3A36"/>
          <w:sz w:val="21"/>
        </w:rPr>
        <w:t xml:space="preserve">The next results release. </w:t>
      </w:r>
      <w:r>
        <w:rPr>
          <w:color w:val="1C3A36"/>
          <w:sz w:val="21"/>
        </w:rPr>
        <w:t>The reviewed half to 30 June 2026 is the anchor this forecast is struck on; the next print is the first test of whether the auto gross margin holds where that half left it, and of whether the finance-cost line responds as policy eases.</w:t>
      </w:r>
    </w:p>
    <w:p>
      <w:pPr>
        <w:pStyle w:val="ListBullet"/>
        <w:spacing w:after="60"/>
      </w:pPr>
      <w:r>
        <w:rPr>
          <w:b/>
          <w:color w:val="1C3A36"/>
          <w:sz w:val="21"/>
        </w:rPr>
        <w:t xml:space="preserve">Policy meetings. </w:t>
      </w:r>
      <w:r>
        <w:rPr>
          <w:color w:val="1C3A36"/>
          <w:sz w:val="21"/>
        </w:rPr>
        <w:t>Each cut lowers GB Capital’s funding cost, the customer’s instalment and this study’s discount rate at once — the single most mechanical catalyst on the list.</w:t>
      </w:r>
    </w:p>
    <w:p>
      <w:pPr>
        <w:pStyle w:val="ListBullet"/>
        <w:spacing w:after="60"/>
      </w:pPr>
      <w:r>
        <w:rPr>
          <w:b/>
          <w:color w:val="1C3A36"/>
          <w:sz w:val="21"/>
        </w:rPr>
        <w:t xml:space="preserve">The MNT-Halan mark, not the stake. </w:t>
      </w:r>
      <w:r>
        <w:rPr>
          <w:color w:val="1C3A36"/>
          <w:sz w:val="21"/>
        </w:rPr>
        <w:t>The company has stated its holding. What is open is whether the market accepts the round’s valuation at face value or applies a steeper illiquidity and minority discount. Any secondary transaction, or any further disclosure bearing on how an unlisted minority stake of this size should be marked, is the most value-relevant event available.</w:t>
      </w:r>
    </w:p>
    <w:p>
      <w:pPr>
        <w:pStyle w:val="ListBullet"/>
        <w:spacing w:after="60"/>
      </w:pPr>
      <w:r>
        <w:rPr>
          <w:b/>
          <w:color w:val="1C3A36"/>
          <w:sz w:val="21"/>
        </w:rPr>
        <w:t xml:space="preserve">The second closing of that round. </w:t>
      </w:r>
      <w:r>
        <w:rPr>
          <w:color w:val="1C3A36"/>
          <w:sz w:val="21"/>
        </w:rPr>
        <w:t>It would test whether the round’s valuation holds or moves; it does not change the ownership percentage, which the company has already stated.</w:t>
      </w:r>
    </w:p>
    <w:p>
      <w:pPr>
        <w:pStyle w:val="ListBullet"/>
        <w:spacing w:after="60"/>
      </w:pPr>
      <w:r>
        <w:rPr>
          <w:b/>
          <w:color w:val="1C3A36"/>
          <w:sz w:val="21"/>
        </w:rPr>
        <w:t xml:space="preserve">The assembly-plant ramp and new models. </w:t>
      </w:r>
      <w:r>
        <w:rPr>
          <w:color w:val="1C3A36"/>
          <w:sz w:val="21"/>
        </w:rPr>
        <w:t>Added capacity and local content, and the inventory unwind behind them, are the visible working-capital catalysts.</w:t>
      </w:r>
    </w:p>
    <w:p>
      <w:pPr>
        <w:pStyle w:val="ListBullet"/>
        <w:spacing w:after="60"/>
      </w:pPr>
      <w:r>
        <w:rPr>
          <w:b/>
          <w:color w:val="1C3A36"/>
          <w:sz w:val="21"/>
        </w:rPr>
        <w:t xml:space="preserve">Competitive pricing from new entrants. </w:t>
      </w:r>
      <w:r>
        <w:rPr>
          <w:color w:val="1C3A36"/>
          <w:sz w:val="21"/>
        </w:rPr>
        <w:t>The clearest threat to passenger-car prices and share in a recovering market.</w:t>
      </w:r>
    </w:p>
    <w:p>
      <w:pPr>
        <w:pStyle w:val="ListBullet"/>
        <w:spacing w:after="60"/>
      </w:pPr>
      <w:r>
        <w:rPr>
          <w:b/>
          <w:color w:val="1C3A36"/>
          <w:sz w:val="21"/>
        </w:rPr>
        <w:t xml:space="preserve">Regional normalisation. </w:t>
      </w:r>
      <w:r>
        <w:rPr>
          <w:color w:val="1C3A36"/>
          <w:sz w:val="21"/>
        </w:rPr>
        <w:t>Part of passenger-car revenue is Iraq and Jordan. This study does not hold a sourced split of that revenue for the reviewed half, so the exposure is named and not priced; any de-escalation restores the fastest-margin sales in the mix.</w:t>
      </w:r>
    </w:p>
    <w:p>
      <w:pPr>
        <w:pStyle w:val="ListBullet"/>
        <w:spacing w:after="60"/>
      </w:pPr>
      <w:r>
        <w:rPr>
          <w:b/>
          <w:color w:val="1C3A36"/>
          <w:sz w:val="21"/>
        </w:rPr>
        <w:t xml:space="preserve">The pound. </w:t>
      </w:r>
      <w:r>
        <w:rPr>
          <w:color w:val="1C3A36"/>
          <w:sz w:val="21"/>
        </w:rPr>
        <w:t>A step devaluation is the compound risk — assembly costs, rates, and the pound value of every mark at once; continued stability is the quiet tailwind.</w:t>
      </w:r>
    </w:p>
    <w:p>
      <w:pPr>
        <w:pStyle w:val="ListBullet"/>
        <w:spacing w:after="60"/>
      </w:pPr>
      <w:r>
        <w:rPr>
          <w:b/>
          <w:color w:val="1C3A36"/>
          <w:sz w:val="21"/>
        </w:rPr>
        <w:t xml:space="preserve">The dividend decision. </w:t>
      </w:r>
      <w:r>
        <w:rPr>
          <w:color w:val="1C3A36"/>
          <w:sz w:val="21"/>
        </w:rPr>
        <w:t>A payout step-up would mark the cash-conversion inflection this study is waiting for. The model’s own forecast cash flows carry the constraint: the first forecast year converts EGP 151 mn of free cash flow against EGP 5,384 mn in the last.</w:t>
      </w:r>
    </w:p>
    <w:p>
      <w:pPr>
        <w:spacing w:after="120" w:before="280"/>
      </w:pPr>
      <w:r>
        <w:rPr>
          <w:b/>
          <w:i w:val="0"/>
          <w:color w:val="1C3A36"/>
          <w:sz w:val="30"/>
        </w:rPr>
        <w:t>6  Reading the probability zones</w:t>
      </w:r>
    </w:p>
    <w:p>
      <w:pPr>
        <w:spacing w:after="120" w:before="0"/>
      </w:pPr>
      <w:r>
        <w:rPr>
          <w:b w:val="0"/>
          <w:i w:val="0"/>
          <w:color w:val="1C3A36"/>
          <w:sz w:val="21"/>
        </w:rPr>
        <w:t>Translating the three-month distribution into plain zones, anchored on the EGP 29.51 session the cone was struck from and on the fair-value cluster of §1:</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2160"/>
            <w:shd w:val="clear" w:color="auto" w:fill="EAF0EE"/>
          </w:tcPr>
          <w:p>
            <w:pPr>
              <w:spacing w:after="20"/>
            </w:pPr>
            <w:r>
              <w:rPr>
                <w:b/>
                <w:color w:val="1C3A36"/>
                <w:sz w:val="18"/>
              </w:rPr>
              <w:t>Zone (3 months)</w:t>
            </w:r>
          </w:p>
        </w:tc>
        <w:tc>
          <w:tcPr>
            <w:tcW w:type="dxa" w:w="1872"/>
            <w:shd w:val="clear" w:color="auto" w:fill="EAF0EE"/>
          </w:tcPr>
          <w:p>
            <w:pPr>
              <w:spacing w:after="20"/>
            </w:pPr>
            <w:r>
              <w:rPr>
                <w:b/>
                <w:color w:val="1C3A36"/>
                <w:sz w:val="18"/>
              </w:rPr>
              <w:t>Range</w:t>
            </w:r>
          </w:p>
        </w:tc>
        <w:tc>
          <w:tcPr>
            <w:tcW w:type="dxa" w:w="1728"/>
            <w:shd w:val="clear" w:color="auto" w:fill="EAF0EE"/>
          </w:tcPr>
          <w:p>
            <w:pPr>
              <w:spacing w:after="20"/>
            </w:pPr>
            <w:r>
              <w:rPr>
                <w:b/>
                <w:color w:val="1C3A36"/>
                <w:sz w:val="18"/>
              </w:rPr>
              <w:t>Probability</w:t>
            </w:r>
          </w:p>
        </w:tc>
        <w:tc>
          <w:tcPr>
            <w:tcW w:type="dxa" w:w="4176"/>
            <w:shd w:val="clear" w:color="auto" w:fill="EAF0EE"/>
          </w:tcPr>
          <w:p>
            <w:pPr>
              <w:spacing w:after="20"/>
            </w:pPr>
            <w:r>
              <w:rPr>
                <w:b/>
                <w:color w:val="1C3A36"/>
                <w:sz w:val="18"/>
              </w:rPr>
              <w:t>What it would mean</w:t>
            </w:r>
          </w:p>
        </w:tc>
      </w:tr>
      <w:tr>
        <w:tc>
          <w:tcPr>
            <w:tcW w:type="dxa" w:w="2160"/>
          </w:tcPr>
          <w:p>
            <w:pPr>
              <w:spacing w:after="20"/>
            </w:pPr>
            <w:r>
              <w:rPr>
                <w:b/>
                <w:color w:val="1C3A36"/>
                <w:sz w:val="18"/>
              </w:rPr>
              <w:t>Deep downside</w:t>
            </w:r>
          </w:p>
        </w:tc>
        <w:tc>
          <w:tcPr>
            <w:tcW w:type="dxa" w:w="1872"/>
          </w:tcPr>
          <w:p>
            <w:pPr>
              <w:spacing w:after="20"/>
              <w:jc w:val="right"/>
            </w:pPr>
            <w:r>
              <w:rPr>
                <w:color w:val="1C3A36"/>
                <w:sz w:val="18"/>
              </w:rPr>
              <w:t>below EGP 26</w:t>
            </w:r>
          </w:p>
        </w:tc>
        <w:tc>
          <w:tcPr>
            <w:tcW w:type="dxa" w:w="1728"/>
          </w:tcPr>
          <w:p>
            <w:pPr>
              <w:spacing w:after="20"/>
              <w:jc w:val="right"/>
            </w:pPr>
            <w:r>
              <w:rPr>
                <w:color w:val="1C3A36"/>
                <w:sz w:val="18"/>
              </w:rPr>
              <w:t>23%</w:t>
            </w:r>
          </w:p>
        </w:tc>
        <w:tc>
          <w:tcPr>
            <w:tcW w:type="dxa" w:w="4176"/>
          </w:tcPr>
          <w:p>
            <w:pPr>
              <w:spacing w:after="20"/>
              <w:jc w:val="right"/>
            </w:pPr>
            <w:r>
              <w:rPr>
                <w:color w:val="1C3A36"/>
                <w:sz w:val="18"/>
              </w:rPr>
              <w:t>Regional escalation or a devaluation; tests the lower shelf</w:t>
            </w:r>
          </w:p>
        </w:tc>
      </w:tr>
      <w:tr>
        <w:tc>
          <w:tcPr>
            <w:tcW w:type="dxa" w:w="2160"/>
          </w:tcPr>
          <w:p>
            <w:pPr>
              <w:spacing w:after="20"/>
            </w:pPr>
            <w:r>
              <w:rPr>
                <w:b/>
                <w:color w:val="1C3A36"/>
                <w:sz w:val="18"/>
              </w:rPr>
              <w:t>Lower band</w:t>
            </w:r>
          </w:p>
        </w:tc>
        <w:tc>
          <w:tcPr>
            <w:tcW w:type="dxa" w:w="1872"/>
          </w:tcPr>
          <w:p>
            <w:pPr>
              <w:spacing w:after="20"/>
              <w:jc w:val="right"/>
            </w:pPr>
            <w:r>
              <w:rPr>
                <w:color w:val="1C3A36"/>
                <w:sz w:val="18"/>
              </w:rPr>
              <w:t>EGP 26–30</w:t>
            </w:r>
          </w:p>
        </w:tc>
        <w:tc>
          <w:tcPr>
            <w:tcW w:type="dxa" w:w="1728"/>
          </w:tcPr>
          <w:p>
            <w:pPr>
              <w:spacing w:after="20"/>
              <w:jc w:val="right"/>
            </w:pPr>
            <w:r>
              <w:rPr>
                <w:color w:val="1C3A36"/>
                <w:sz w:val="18"/>
              </w:rPr>
              <w:t>26%</w:t>
            </w:r>
          </w:p>
        </w:tc>
        <w:tc>
          <w:tcPr>
            <w:tcW w:type="dxa" w:w="4176"/>
          </w:tcPr>
          <w:p>
            <w:pPr>
              <w:spacing w:after="20"/>
              <w:jc w:val="right"/>
            </w:pPr>
            <w:r>
              <w:rPr>
                <w:color w:val="1C3A36"/>
                <w:sz w:val="18"/>
              </w:rPr>
              <w:t>Margin proof delayed; the relative read dominates</w:t>
            </w:r>
          </w:p>
        </w:tc>
      </w:tr>
      <w:tr>
        <w:tc>
          <w:tcPr>
            <w:tcW w:type="dxa" w:w="2160"/>
          </w:tcPr>
          <w:p>
            <w:pPr>
              <w:spacing w:after="20"/>
            </w:pPr>
            <w:r>
              <w:rPr>
                <w:b/>
                <w:color w:val="1C3A36"/>
                <w:sz w:val="18"/>
              </w:rPr>
              <w:t>Around the anchor</w:t>
            </w:r>
          </w:p>
        </w:tc>
        <w:tc>
          <w:tcPr>
            <w:tcW w:type="dxa" w:w="1872"/>
          </w:tcPr>
          <w:p>
            <w:pPr>
              <w:spacing w:after="20"/>
              <w:jc w:val="right"/>
            </w:pPr>
            <w:r>
              <w:rPr>
                <w:color w:val="1C3A36"/>
                <w:sz w:val="18"/>
              </w:rPr>
              <w:t>EGP 30–34</w:t>
            </w:r>
          </w:p>
        </w:tc>
        <w:tc>
          <w:tcPr>
            <w:tcW w:type="dxa" w:w="1728"/>
          </w:tcPr>
          <w:p>
            <w:pPr>
              <w:spacing w:after="20"/>
              <w:jc w:val="right"/>
            </w:pPr>
            <w:r>
              <w:rPr>
                <w:color w:val="1C3A36"/>
                <w:sz w:val="18"/>
              </w:rPr>
              <w:t>24%</w:t>
            </w:r>
          </w:p>
        </w:tc>
        <w:tc>
          <w:tcPr>
            <w:tcW w:type="dxa" w:w="4176"/>
          </w:tcPr>
          <w:p>
            <w:pPr>
              <w:spacing w:after="20"/>
              <w:jc w:val="right"/>
            </w:pPr>
            <w:r>
              <w:rPr>
                <w:color w:val="1C3A36"/>
                <w:sz w:val="18"/>
              </w:rPr>
              <w:t>Status quo; fair value and price coexist</w:t>
            </w:r>
          </w:p>
        </w:tc>
      </w:tr>
      <w:tr>
        <w:tc>
          <w:tcPr>
            <w:tcW w:type="dxa" w:w="2160"/>
          </w:tcPr>
          <w:p>
            <w:pPr>
              <w:spacing w:after="20"/>
            </w:pPr>
            <w:r>
              <w:rPr>
                <w:b/>
                <w:color w:val="1C3A36"/>
                <w:sz w:val="18"/>
              </w:rPr>
              <w:t>Upper band</w:t>
            </w:r>
          </w:p>
        </w:tc>
        <w:tc>
          <w:tcPr>
            <w:tcW w:type="dxa" w:w="1872"/>
          </w:tcPr>
          <w:p>
            <w:pPr>
              <w:spacing w:after="20"/>
              <w:jc w:val="right"/>
            </w:pPr>
            <w:r>
              <w:rPr>
                <w:color w:val="1C3A36"/>
                <w:sz w:val="18"/>
              </w:rPr>
              <w:t>EGP 34–38</w:t>
            </w:r>
          </w:p>
        </w:tc>
        <w:tc>
          <w:tcPr>
            <w:tcW w:type="dxa" w:w="1728"/>
          </w:tcPr>
          <w:p>
            <w:pPr>
              <w:spacing w:after="20"/>
              <w:jc w:val="right"/>
            </w:pPr>
            <w:r>
              <w:rPr>
                <w:color w:val="1C3A36"/>
                <w:sz w:val="18"/>
              </w:rPr>
              <w:t>14%</w:t>
            </w:r>
          </w:p>
        </w:tc>
        <w:tc>
          <w:tcPr>
            <w:tcW w:type="dxa" w:w="4176"/>
          </w:tcPr>
          <w:p>
            <w:pPr>
              <w:spacing w:after="20"/>
              <w:jc w:val="right"/>
            </w:pPr>
            <w:r>
              <w:rPr>
                <w:color w:val="1C3A36"/>
                <w:sz w:val="18"/>
              </w:rPr>
              <w:t>Cuts and the working-capital release credited</w:t>
            </w:r>
          </w:p>
        </w:tc>
      </w:tr>
      <w:tr>
        <w:tc>
          <w:tcPr>
            <w:tcW w:type="dxa" w:w="2160"/>
          </w:tcPr>
          <w:p>
            <w:pPr>
              <w:spacing w:after="20"/>
            </w:pPr>
            <w:r>
              <w:rPr>
                <w:b/>
                <w:color w:val="1C3A36"/>
                <w:sz w:val="18"/>
              </w:rPr>
              <w:t>Strong upside</w:t>
            </w:r>
          </w:p>
        </w:tc>
        <w:tc>
          <w:tcPr>
            <w:tcW w:type="dxa" w:w="1872"/>
          </w:tcPr>
          <w:p>
            <w:pPr>
              <w:spacing w:after="20"/>
              <w:jc w:val="right"/>
            </w:pPr>
            <w:r>
              <w:rPr>
                <w:color w:val="1C3A36"/>
                <w:sz w:val="18"/>
              </w:rPr>
              <w:t>above EGP 38</w:t>
            </w:r>
          </w:p>
        </w:tc>
        <w:tc>
          <w:tcPr>
            <w:tcW w:type="dxa" w:w="1728"/>
          </w:tcPr>
          <w:p>
            <w:pPr>
              <w:spacing w:after="20"/>
              <w:jc w:val="right"/>
            </w:pPr>
            <w:r>
              <w:rPr>
                <w:color w:val="1C3A36"/>
                <w:sz w:val="18"/>
              </w:rPr>
              <w:t>14%</w:t>
            </w:r>
          </w:p>
        </w:tc>
        <w:tc>
          <w:tcPr>
            <w:tcW w:type="dxa" w:w="4176"/>
          </w:tcPr>
          <w:p>
            <w:pPr>
              <w:spacing w:after="20"/>
              <w:jc w:val="right"/>
            </w:pPr>
            <w:r>
              <w:rPr>
                <w:color w:val="1C3A36"/>
                <w:sz w:val="18"/>
              </w:rPr>
              <w:t>Repricing continues; the discount narrows toward net asset value</w:t>
            </w:r>
          </w:p>
        </w:tc>
      </w:tr>
    </w:tbl>
    <w:p>
      <w:pPr>
        <w:spacing w:after="40"/>
      </w:pPr>
    </w:p>
    <w:p>
      <w:pPr>
        <w:spacing w:after="120" w:before="0"/>
      </w:pPr>
      <w:r>
        <w:rPr>
          <w:b w:val="0"/>
          <w:i w:val="0"/>
          <w:color w:val="1C3A36"/>
          <w:sz w:val="21"/>
        </w:rPr>
        <w:t>The distribution is right-skewed by construction: the calibrated secular drift plus fat-tailed innovations put 14% of terminal mass above EGP 38. Read that with Appendix B open. The drift term is what the calibration test accepted, and that appendix states the margin rather than flattering it. This is the spread of outcomes consistent with the stock’s own measured behaviour and the factor stack; it is not a forecast.</w:t>
      </w:r>
    </w:p>
    <w:p>
      <w:pPr>
        <w:spacing w:after="120" w:before="280"/>
      </w:pPr>
      <w:r>
        <w:rPr>
          <w:b/>
          <w:i w:val="0"/>
          <w:color w:val="1C3A36"/>
          <w:sz w:val="30"/>
        </w:rPr>
        <w:t>7  Caveats and what would change our mind</w:t>
      </w:r>
    </w:p>
    <w:p>
      <w:pPr>
        <w:pStyle w:val="ListBullet"/>
        <w:spacing w:after="60"/>
      </w:pPr>
      <w:r>
        <w:rPr>
          <w:b/>
          <w:color w:val="1C3A36"/>
          <w:sz w:val="21"/>
        </w:rPr>
        <w:t xml:space="preserve">The stake is stated; what it is worth is not. </w:t>
      </w:r>
      <w:r>
        <w:rPr>
          <w:color w:val="1C3A36"/>
          <w:sz w:val="21"/>
        </w:rPr>
        <w:t>GB Corp’s own 9 June 2026 press release states its holding at 41.61%, against 42.58% before that transaction. That removes the sourcing uncertainty. What remains open is the mark: taking the round’s valuation at face value makes the stake worth EGP 27.7 bn, or 79% of the entire market capitalisation. If the market is right to discount that mark far more heavily than this study’s uniform 10%, the sum-of-the-parts compresses toward the relative and normalised reads — that is, toward the price, not away from it.</w:t>
      </w:r>
    </w:p>
    <w:p>
      <w:pPr>
        <w:pStyle w:val="ListBullet"/>
        <w:spacing w:after="60"/>
      </w:pPr>
      <w:r>
        <w:rPr>
          <w:b/>
          <w:color w:val="1C3A36"/>
          <w:sz w:val="21"/>
        </w:rPr>
        <w:t xml:space="preserve">The construction of the central is itself a judgment, and it is recorded as one. </w:t>
      </w:r>
      <w:r>
        <w:rPr>
          <w:color w:val="1C3A36"/>
          <w:sz w:val="21"/>
        </w:rPr>
        <w:t>The published central is a weighted blend of four reads at weights that were chosen and written down and have never been tested out of sample. The primary read alone is EGP 53.53, 20.7% above the blend. The blend is the lower number and it is what this edition publishes; a reader who prefers the primary read should use it and can, because both are printed.</w:t>
      </w:r>
    </w:p>
    <w:p>
      <w:pPr>
        <w:pStyle w:val="ListBullet"/>
        <w:spacing w:after="60"/>
      </w:pPr>
      <w:r>
        <w:rPr>
          <w:b/>
          <w:color w:val="1C3A36"/>
          <w:sz w:val="21"/>
        </w:rPr>
        <w:t xml:space="preserve">Working capital is the second-order model. </w:t>
      </w:r>
      <w:r>
        <w:rPr>
          <w:color w:val="1C3A36"/>
          <w:sz w:val="21"/>
        </w:rPr>
        <w:t>The operating leg’s value lives in the glide of working-capital intensity from 26.5% of revenue to 21.5%. If the higher figure is the new structural cost of holding share — import finance and assembly stock — the auto leg is worth materially less, and the §1.9 grid rather than a single sentence is where that is priced.</w:t>
      </w:r>
    </w:p>
    <w:p>
      <w:pPr>
        <w:pStyle w:val="ListBullet"/>
        <w:spacing w:after="60"/>
      </w:pPr>
      <w:r>
        <w:rPr>
          <w:b/>
          <w:color w:val="1C3A36"/>
          <w:sz w:val="21"/>
        </w:rPr>
        <w:t xml:space="preserve">Terminal-value dependency, and a life that could not be sourced. </w:t>
      </w:r>
      <w:r>
        <w:rPr>
          <w:color w:val="1C3A36"/>
          <w:sz w:val="21"/>
        </w:rPr>
        <w:t>84% of the auto leg’s enterprise value is terminal value, at a terminal spread of 7.18% between the cost of capital and growth. Worse, the house standard is that a terminal rests on a disclosed asset life, and none could be sourced here: the policy note gives rate ranges rather than a scalar, and the identity route depends on an undisclosed land split. The refusal is recorded in §1.2 rather than resolved by choosing a life, and it is the largest single piece of unfinished business in this study.</w:t>
      </w:r>
    </w:p>
    <w:p>
      <w:pPr>
        <w:pStyle w:val="ListBullet"/>
        <w:spacing w:after="60"/>
      </w:pPr>
      <w:r>
        <w:rPr>
          <w:b/>
          <w:color w:val="1C3A36"/>
          <w:sz w:val="21"/>
        </w:rPr>
        <w:t xml:space="preserve">The drift is empirical, and it is thin. </w:t>
      </w:r>
      <w:r>
        <w:rPr>
          <w:color w:val="1C3A36"/>
          <w:sz w:val="21"/>
        </w:rPr>
        <w:t>The secular drift is what the calibration test accepted where zero drift did not, but Appendix B publishes the margin: on 56 non-overlapping windows the coverage of the 90% band is 93% against a 90% target, and the proper score against the naive benchmark is -1.8%. A regime turn would flip the median read; the drift is re-tested at every roll-forward and cut the moment it fails.</w:t>
      </w:r>
    </w:p>
    <w:p>
      <w:pPr>
        <w:pStyle w:val="ListBullet"/>
        <w:spacing w:after="60"/>
      </w:pPr>
      <w:r>
        <w:rPr>
          <w:b/>
          <w:color w:val="1C3A36"/>
          <w:sz w:val="21"/>
        </w:rPr>
        <w:t xml:space="preserve">The associate mark is real but private. </w:t>
      </w:r>
      <w:r>
        <w:rPr>
          <w:color w:val="1C3A36"/>
          <w:sz w:val="21"/>
        </w:rPr>
        <w:t>The round is a genuine transaction price — cash changed hands — but for an unlisted company, and on public reporting only an initial tranche of an ongoing round. The stake applied to it is stated and current; the bear case applies a much heavier discount to the mark itself, which is why its floor sits far below the base case.</w:t>
      </w:r>
    </w:p>
    <w:p>
      <w:pPr>
        <w:pStyle w:val="ListBullet"/>
        <w:spacing w:after="60"/>
      </w:pPr>
      <w:r>
        <w:rPr>
          <w:b/>
          <w:color w:val="1C3A36"/>
          <w:sz w:val="21"/>
        </w:rPr>
        <w:t xml:space="preserve">The lender is a credit cycle. </w:t>
      </w:r>
      <w:r>
        <w:rPr>
          <w:color w:val="1C3A36"/>
          <w:sz w:val="21"/>
        </w:rPr>
        <w:t>GB Capital’s adjusted return and its loss rates are cycle-friendly numbers struck in an easing cycle; a funding-market seizure or a deterioration in credit would break the one-times-book mark.</w:t>
      </w:r>
    </w:p>
    <w:p>
      <w:pPr>
        <w:pStyle w:val="ListBullet"/>
        <w:spacing w:after="60"/>
      </w:pPr>
      <w:r>
        <w:rPr>
          <w:b/>
          <w:color w:val="1C3A36"/>
          <w:sz w:val="21"/>
        </w:rPr>
        <w:t xml:space="preserve">Consolidation approximations. </w:t>
      </w:r>
      <w:r>
        <w:rPr>
          <w:color w:val="1C3A36"/>
          <w:sz w:val="21"/>
        </w:rPr>
        <w:t>The consolidated forecast maps eliminations, minority interests and the grouped balance-sheet layout with stated simplifications. Segment disclosure, not audited consolidation schedules, is the source for the split of the group into legs.</w:t>
      </w:r>
    </w:p>
    <w:p>
      <w:pPr>
        <w:pStyle w:val="ListBullet"/>
        <w:spacing w:after="60"/>
      </w:pPr>
      <w:r>
        <w:rPr>
          <w:b/>
          <w:color w:val="1C3A36"/>
          <w:sz w:val="21"/>
        </w:rPr>
        <w:t xml:space="preserve">The far forecast years are ranges, and thin ones. </w:t>
      </w:r>
      <w:r>
        <w:rPr>
          <w:color w:val="1C3A36"/>
          <w:sz w:val="21"/>
        </w:rPr>
        <w:t>Appendix A publishes the third, fourth and fifth forecast years as ranges taken from how wrong this method has been on this company’s own history. Those ranges rest on a handful of observations each — the table prints the count beside every one — and the count is what tells a reader what the range can and cannot promise.</w:t>
      </w:r>
    </w:p>
    <w:p>
      <w:pPr>
        <w:pStyle w:val="ListBullet"/>
        <w:spacing w:after="60"/>
      </w:pPr>
      <w:r>
        <w:rPr>
          <w:b/>
          <w:color w:val="1C3A36"/>
          <w:sz w:val="21"/>
        </w:rPr>
        <w:t xml:space="preserve">Technical reminder. </w:t>
      </w:r>
      <w:r>
        <w:rPr>
          <w:color w:val="1C3A36"/>
          <w:sz w:val="21"/>
        </w:rPr>
        <w:t>The technical read is context, not a trigger, and it is computed on an older session than the price the valuation is struck on. Both dates are printed wherever either figure is quoted.</w:t>
      </w:r>
    </w:p>
    <w:p>
      <w:pPr>
        <w:spacing w:after="120" w:before="280"/>
      </w:pPr>
      <w:r>
        <w:rPr>
          <w:b/>
          <w:i w:val="0"/>
          <w:color w:val="1C3A36"/>
          <w:sz w:val="30"/>
        </w:rPr>
        <w:t>Appendix A  Financial statements</w:t>
      </w:r>
    </w:p>
    <w:p>
      <w:pPr>
        <w:spacing w:after="120" w:before="0"/>
      </w:pPr>
      <w:r>
        <w:rPr>
          <w:b w:val="0"/>
          <w:i w:val="0"/>
          <w:color w:val="1C3A36"/>
          <w:sz w:val="21"/>
        </w:rPr>
        <w:t>The historical columns are the company’s own consolidated income statement as originally reported, taken from the earnings release named against each year; every year is asserted to foot against its own arithmetic before it enters this study. The forecast columns are the model’s own build and reprice from the drivers in the companion workbook.</w:t>
      </w:r>
    </w:p>
    <w:p>
      <w:pPr>
        <w:spacing w:after="80" w:before="200"/>
      </w:pPr>
      <w:r>
        <w:rPr>
          <w:b/>
          <w:i w:val="0"/>
          <w:color w:val="1C3A36"/>
          <w:sz w:val="24"/>
        </w:rPr>
        <w:t>A.1  The far forecast years, published as ranges</w:t>
      </w:r>
    </w:p>
    <w:p>
      <w:pPr>
        <w:spacing w:after="120" w:before="0"/>
      </w:pPr>
      <w:r>
        <w:rPr>
          <w:b w:val="0"/>
          <w:i w:val="0"/>
          <w:color w:val="1C3A36"/>
          <w:sz w:val="19"/>
        </w:rPr>
        <w:t>The method behind this forecast was tested on GB Corp’s own history before it was trusted on its future: the driver model was rebuilt as it stood at a series of past origins, projected forward, and every driver scored against what the company actually went on to report. The table below carries what that record supports for the third, fourth and fifth forecast years — a RANGE rather than a point. Read the basis column: these bounds are the SPAN OF THE OBSERVED OUTCOMES, not percentiles. With the counts shown, a percentile would be a statistic invented for the occasion, and this study does not invent one.</w:t>
      </w:r>
    </w:p>
    <w:p>
      <w:pPr>
        <w:spacing w:after="120" w:before="0"/>
      </w:pPr>
      <w:r>
        <w:rPr>
          <w:b w:val="0"/>
          <w:i w:val="0"/>
          <w:color w:val="1C3A36"/>
          <w:sz w:val="19"/>
        </w:rPr>
        <w:t>The bands are stated as the ratio of what the company REPORTED to what the method FORECAST, so a figure above one is a year the method came in low. They are applied by multiplying the point projection.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440"/>
        <w:gridCol w:w="1440"/>
        <w:gridCol w:w="1440"/>
        <w:gridCol w:w="1440"/>
        <w:gridCol w:w="1440"/>
        <w:gridCol w:w="1440"/>
        <w:gridCol w:w="1440"/>
      </w:tblGrid>
      <w:tr>
        <w:tc>
          <w:tcPr>
            <w:tcW w:type="dxa" w:w="2088"/>
            <w:shd w:val="clear" w:color="auto" w:fill="EAF0EE"/>
          </w:tcPr>
          <w:p>
            <w:pPr>
              <w:spacing w:after="20"/>
            </w:pPr>
            <w:r>
              <w:rPr>
                <w:b/>
                <w:color w:val="1C3A36"/>
                <w:sz w:val="16"/>
              </w:rPr>
              <w:t>Forecast year</w:t>
            </w:r>
          </w:p>
        </w:tc>
        <w:tc>
          <w:tcPr>
            <w:tcW w:type="dxa" w:w="1368"/>
            <w:shd w:val="clear" w:color="auto" w:fill="EAF0EE"/>
          </w:tcPr>
          <w:p>
            <w:pPr>
              <w:spacing w:after="20"/>
            </w:pPr>
            <w:r>
              <w:rPr>
                <w:b/>
                <w:color w:val="1C3A36"/>
                <w:sz w:val="16"/>
              </w:rPr>
              <w:t>Low</w:t>
            </w:r>
          </w:p>
        </w:tc>
        <w:tc>
          <w:tcPr>
            <w:tcW w:type="dxa" w:w="1368"/>
            <w:shd w:val="clear" w:color="auto" w:fill="EAF0EE"/>
          </w:tcPr>
          <w:p>
            <w:pPr>
              <w:spacing w:after="20"/>
            </w:pPr>
            <w:r>
              <w:rPr>
                <w:b/>
                <w:color w:val="1C3A36"/>
                <w:sz w:val="16"/>
              </w:rPr>
              <w:t>Point</w:t>
            </w:r>
          </w:p>
        </w:tc>
        <w:tc>
          <w:tcPr>
            <w:tcW w:type="dxa" w:w="1368"/>
            <w:shd w:val="clear" w:color="auto" w:fill="EAF0EE"/>
          </w:tcPr>
          <w:p>
            <w:pPr>
              <w:spacing w:after="20"/>
            </w:pPr>
            <w:r>
              <w:rPr>
                <w:b/>
                <w:color w:val="1C3A36"/>
                <w:sz w:val="16"/>
              </w:rPr>
              <w:t>High</w:t>
            </w:r>
          </w:p>
        </w:tc>
        <w:tc>
          <w:tcPr>
            <w:tcW w:type="dxa" w:w="1512"/>
            <w:shd w:val="clear" w:color="auto" w:fill="EAF0EE"/>
          </w:tcPr>
          <w:p>
            <w:pPr>
              <w:spacing w:after="20"/>
            </w:pPr>
            <w:r>
              <w:rPr>
                <w:b/>
                <w:color w:val="1C3A36"/>
                <w:sz w:val="16"/>
              </w:rPr>
              <w:t>Band applied</w:t>
            </w:r>
          </w:p>
        </w:tc>
        <w:tc>
          <w:tcPr>
            <w:tcW w:type="dxa" w:w="1080"/>
            <w:shd w:val="clear" w:color="auto" w:fill="EAF0EE"/>
          </w:tcPr>
          <w:p>
            <w:pPr>
              <w:spacing w:after="20"/>
            </w:pPr>
            <w:r>
              <w:rPr>
                <w:b/>
                <w:color w:val="1C3A36"/>
                <w:sz w:val="16"/>
              </w:rPr>
              <w:t>Basis</w:t>
            </w:r>
          </w:p>
        </w:tc>
        <w:tc>
          <w:tcPr>
            <w:tcW w:type="dxa" w:w="1368"/>
            <w:shd w:val="clear" w:color="auto" w:fill="EAF0EE"/>
          </w:tcPr>
          <w:p>
            <w:pPr>
              <w:spacing w:after="20"/>
            </w:pPr>
            <w:r>
              <w:rPr>
                <w:b/>
                <w:color w:val="1C3A36"/>
                <w:sz w:val="16"/>
              </w:rPr>
              <w:t>Observations</w:t>
            </w:r>
          </w:p>
        </w:tc>
      </w:tr>
      <w:tr>
        <w:tc>
          <w:tcPr>
            <w:tcW w:type="dxa" w:w="2088"/>
            <w:shd w:val="clear" w:color="auto" w:fill="F6F1E6"/>
          </w:tcPr>
          <w:p>
            <w:pPr>
              <w:spacing w:after="20"/>
            </w:pPr>
            <w:r>
              <w:rPr>
                <w:b/>
                <w:color w:val="1C3A36"/>
                <w:sz w:val="16"/>
              </w:rPr>
              <w:t>Group revenue (EGP mn)</w:t>
            </w:r>
          </w:p>
        </w:tc>
        <w:tc>
          <w:tcPr>
            <w:tcW w:type="dxa" w:w="1368"/>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c>
          <w:tcPr>
            <w:tcW w:type="dxa" w:w="1512"/>
            <w:shd w:val="clear" w:color="auto" w:fill="F6F1E6"/>
          </w:tcPr>
          <w:p>
            <w:pPr>
              <w:spacing w:after="20"/>
              <w:jc w:val="right"/>
            </w:pPr>
            <w:r>
              <w:rPr>
                <w:b/>
                <w:color w:val="1C3A36"/>
                <w:sz w:val="16"/>
              </w:rPr>
            </w:r>
          </w:p>
        </w:tc>
        <w:tc>
          <w:tcPr>
            <w:tcW w:type="dxa" w:w="1080"/>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r>
      <w:tr>
        <w:tc>
          <w:tcPr>
            <w:tcW w:type="dxa" w:w="2088"/>
          </w:tcPr>
          <w:p>
            <w:pPr>
              <w:spacing w:after="20"/>
            </w:pPr>
            <w:r>
              <w:rPr>
                <w:color w:val="1C3A36"/>
                <w:sz w:val="16"/>
              </w:rPr>
              <w:t>FY2028</w:t>
            </w:r>
          </w:p>
        </w:tc>
        <w:tc>
          <w:tcPr>
            <w:tcW w:type="dxa" w:w="1368"/>
          </w:tcPr>
          <w:p>
            <w:pPr>
              <w:spacing w:after="20"/>
              <w:jc w:val="right"/>
            </w:pPr>
            <w:r>
              <w:rPr>
                <w:color w:val="1C3A36"/>
                <w:sz w:val="16"/>
              </w:rPr>
              <w:t>86,139</w:t>
            </w:r>
          </w:p>
        </w:tc>
        <w:tc>
          <w:tcPr>
            <w:tcW w:type="dxa" w:w="1368"/>
          </w:tcPr>
          <w:p>
            <w:pPr>
              <w:spacing w:after="20"/>
              <w:jc w:val="right"/>
            </w:pPr>
            <w:r>
              <w:rPr>
                <w:color w:val="1C3A36"/>
                <w:sz w:val="16"/>
              </w:rPr>
              <w:t>145,578</w:t>
            </w:r>
          </w:p>
        </w:tc>
        <w:tc>
          <w:tcPr>
            <w:tcW w:type="dxa" w:w="1368"/>
          </w:tcPr>
          <w:p>
            <w:pPr>
              <w:spacing w:after="20"/>
              <w:jc w:val="right"/>
            </w:pPr>
            <w:r>
              <w:rPr>
                <w:color w:val="1C3A36"/>
                <w:sz w:val="16"/>
              </w:rPr>
              <w:t>324,625</w:t>
            </w:r>
          </w:p>
        </w:tc>
        <w:tc>
          <w:tcPr>
            <w:tcW w:type="dxa" w:w="1512"/>
          </w:tcPr>
          <w:p>
            <w:pPr>
              <w:spacing w:after="20"/>
              <w:jc w:val="right"/>
            </w:pPr>
            <w:r>
              <w:rPr>
                <w:color w:val="1C3A36"/>
                <w:sz w:val="16"/>
              </w:rPr>
              <w:t>0.59–2.23×</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7</w:t>
            </w:r>
          </w:p>
        </w:tc>
      </w:tr>
      <w:tr>
        <w:tc>
          <w:tcPr>
            <w:tcW w:type="dxa" w:w="2088"/>
          </w:tcPr>
          <w:p>
            <w:pPr>
              <w:spacing w:after="20"/>
            </w:pPr>
            <w:r>
              <w:rPr>
                <w:color w:val="1C3A36"/>
                <w:sz w:val="16"/>
              </w:rPr>
              <w:t>FY2029</w:t>
            </w:r>
          </w:p>
        </w:tc>
        <w:tc>
          <w:tcPr>
            <w:tcW w:type="dxa" w:w="1368"/>
          </w:tcPr>
          <w:p>
            <w:pPr>
              <w:spacing w:after="20"/>
              <w:jc w:val="right"/>
            </w:pPr>
            <w:r>
              <w:rPr>
                <w:color w:val="1C3A36"/>
                <w:sz w:val="16"/>
              </w:rPr>
              <w:t>75,162</w:t>
            </w:r>
          </w:p>
        </w:tc>
        <w:tc>
          <w:tcPr>
            <w:tcW w:type="dxa" w:w="1368"/>
          </w:tcPr>
          <w:p>
            <w:pPr>
              <w:spacing w:after="20"/>
              <w:jc w:val="right"/>
            </w:pPr>
            <w:r>
              <w:rPr>
                <w:color w:val="1C3A36"/>
                <w:sz w:val="16"/>
              </w:rPr>
              <w:t>168,525</w:t>
            </w:r>
          </w:p>
        </w:tc>
        <w:tc>
          <w:tcPr>
            <w:tcW w:type="dxa" w:w="1368"/>
          </w:tcPr>
          <w:p>
            <w:pPr>
              <w:spacing w:after="20"/>
              <w:jc w:val="right"/>
            </w:pPr>
            <w:r>
              <w:rPr>
                <w:color w:val="1C3A36"/>
                <w:sz w:val="16"/>
              </w:rPr>
              <w:t>303,952</w:t>
            </w:r>
          </w:p>
        </w:tc>
        <w:tc>
          <w:tcPr>
            <w:tcW w:type="dxa" w:w="1512"/>
          </w:tcPr>
          <w:p>
            <w:pPr>
              <w:spacing w:after="20"/>
              <w:jc w:val="right"/>
            </w:pPr>
            <w:r>
              <w:rPr>
                <w:color w:val="1C3A36"/>
                <w:sz w:val="16"/>
              </w:rPr>
              <w:t>0.45–1.80×</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6</w:t>
            </w:r>
          </w:p>
        </w:tc>
      </w:tr>
      <w:tr>
        <w:tc>
          <w:tcPr>
            <w:tcW w:type="dxa" w:w="2088"/>
          </w:tcPr>
          <w:p>
            <w:pPr>
              <w:spacing w:after="20"/>
            </w:pPr>
            <w:r>
              <w:rPr>
                <w:color w:val="1C3A36"/>
                <w:sz w:val="16"/>
              </w:rPr>
              <w:t>FY2030</w:t>
            </w:r>
          </w:p>
        </w:tc>
        <w:tc>
          <w:tcPr>
            <w:tcW w:type="dxa" w:w="1368"/>
          </w:tcPr>
          <w:p>
            <w:pPr>
              <w:spacing w:after="20"/>
              <w:jc w:val="right"/>
            </w:pPr>
            <w:r>
              <w:rPr>
                <w:color w:val="1C3A36"/>
                <w:sz w:val="16"/>
              </w:rPr>
              <w:t>64,968</w:t>
            </w:r>
          </w:p>
        </w:tc>
        <w:tc>
          <w:tcPr>
            <w:tcW w:type="dxa" w:w="1368"/>
          </w:tcPr>
          <w:p>
            <w:pPr>
              <w:spacing w:after="20"/>
              <w:jc w:val="right"/>
            </w:pPr>
            <w:r>
              <w:rPr>
                <w:color w:val="1C3A36"/>
                <w:sz w:val="16"/>
              </w:rPr>
              <w:t>191,817</w:t>
            </w:r>
          </w:p>
        </w:tc>
        <w:tc>
          <w:tcPr>
            <w:tcW w:type="dxa" w:w="1368"/>
          </w:tcPr>
          <w:p>
            <w:pPr>
              <w:spacing w:after="20"/>
              <w:jc w:val="right"/>
            </w:pPr>
            <w:r>
              <w:rPr>
                <w:color w:val="1C3A36"/>
                <w:sz w:val="16"/>
              </w:rPr>
              <w:t>391,594</w:t>
            </w:r>
          </w:p>
        </w:tc>
        <w:tc>
          <w:tcPr>
            <w:tcW w:type="dxa" w:w="1512"/>
          </w:tcPr>
          <w:p>
            <w:pPr>
              <w:spacing w:after="20"/>
              <w:jc w:val="right"/>
            </w:pPr>
            <w:r>
              <w:rPr>
                <w:color w:val="1C3A36"/>
                <w:sz w:val="16"/>
              </w:rPr>
              <w:t>0.34–2.04×</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5</w:t>
            </w:r>
          </w:p>
        </w:tc>
      </w:tr>
      <w:tr>
        <w:tc>
          <w:tcPr>
            <w:tcW w:type="dxa" w:w="2088"/>
            <w:shd w:val="clear" w:color="auto" w:fill="F6F1E6"/>
          </w:tcPr>
          <w:p>
            <w:pPr>
              <w:spacing w:after="20"/>
            </w:pPr>
            <w:r>
              <w:rPr>
                <w:b/>
                <w:color w:val="1C3A36"/>
                <w:sz w:val="16"/>
              </w:rPr>
              <w:t>Group gross profit (EGP mn)</w:t>
            </w:r>
          </w:p>
        </w:tc>
        <w:tc>
          <w:tcPr>
            <w:tcW w:type="dxa" w:w="1368"/>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c>
          <w:tcPr>
            <w:tcW w:type="dxa" w:w="1512"/>
            <w:shd w:val="clear" w:color="auto" w:fill="F6F1E6"/>
          </w:tcPr>
          <w:p>
            <w:pPr>
              <w:spacing w:after="20"/>
              <w:jc w:val="right"/>
            </w:pPr>
            <w:r>
              <w:rPr>
                <w:b/>
                <w:color w:val="1C3A36"/>
                <w:sz w:val="16"/>
              </w:rPr>
            </w:r>
          </w:p>
        </w:tc>
        <w:tc>
          <w:tcPr>
            <w:tcW w:type="dxa" w:w="1080"/>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r>
      <w:tr>
        <w:tc>
          <w:tcPr>
            <w:tcW w:type="dxa" w:w="2088"/>
          </w:tcPr>
          <w:p>
            <w:pPr>
              <w:spacing w:after="20"/>
            </w:pPr>
            <w:r>
              <w:rPr>
                <w:color w:val="1C3A36"/>
                <w:sz w:val="16"/>
              </w:rPr>
              <w:t>FY2028</w:t>
            </w:r>
          </w:p>
        </w:tc>
        <w:tc>
          <w:tcPr>
            <w:tcW w:type="dxa" w:w="1368"/>
          </w:tcPr>
          <w:p>
            <w:pPr>
              <w:spacing w:after="20"/>
              <w:jc w:val="right"/>
            </w:pPr>
            <w:r>
              <w:rPr>
                <w:color w:val="1C3A36"/>
                <w:sz w:val="16"/>
              </w:rPr>
              <w:t>20,525</w:t>
            </w:r>
          </w:p>
        </w:tc>
        <w:tc>
          <w:tcPr>
            <w:tcW w:type="dxa" w:w="1368"/>
          </w:tcPr>
          <w:p>
            <w:pPr>
              <w:spacing w:after="20"/>
              <w:jc w:val="right"/>
            </w:pPr>
            <w:r>
              <w:rPr>
                <w:color w:val="1C3A36"/>
                <w:sz w:val="16"/>
              </w:rPr>
              <w:t>22,653</w:t>
            </w:r>
          </w:p>
        </w:tc>
        <w:tc>
          <w:tcPr>
            <w:tcW w:type="dxa" w:w="1368"/>
          </w:tcPr>
          <w:p>
            <w:pPr>
              <w:spacing w:after="20"/>
              <w:jc w:val="right"/>
            </w:pPr>
            <w:r>
              <w:rPr>
                <w:color w:val="1C3A36"/>
                <w:sz w:val="16"/>
              </w:rPr>
              <w:t>34,672</w:t>
            </w:r>
          </w:p>
        </w:tc>
        <w:tc>
          <w:tcPr>
            <w:tcW w:type="dxa" w:w="1512"/>
          </w:tcPr>
          <w:p>
            <w:pPr>
              <w:spacing w:after="20"/>
              <w:jc w:val="right"/>
            </w:pPr>
            <w:r>
              <w:rPr>
                <w:color w:val="1C3A36"/>
                <w:sz w:val="16"/>
              </w:rPr>
              <w:t>0.91–1.53×</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7</w:t>
            </w:r>
          </w:p>
        </w:tc>
      </w:tr>
      <w:tr>
        <w:tc>
          <w:tcPr>
            <w:tcW w:type="dxa" w:w="2088"/>
          </w:tcPr>
          <w:p>
            <w:pPr>
              <w:spacing w:after="20"/>
            </w:pPr>
            <w:r>
              <w:rPr>
                <w:color w:val="1C3A36"/>
                <w:sz w:val="16"/>
              </w:rPr>
              <w:t>FY2029</w:t>
            </w:r>
          </w:p>
        </w:tc>
        <w:tc>
          <w:tcPr>
            <w:tcW w:type="dxa" w:w="1368"/>
          </w:tcPr>
          <w:p>
            <w:pPr>
              <w:spacing w:after="20"/>
              <w:jc w:val="right"/>
            </w:pPr>
            <w:r>
              <w:rPr>
                <w:color w:val="1C3A36"/>
                <w:sz w:val="16"/>
              </w:rPr>
              <w:t>24,474</w:t>
            </w:r>
          </w:p>
        </w:tc>
        <w:tc>
          <w:tcPr>
            <w:tcW w:type="dxa" w:w="1368"/>
          </w:tcPr>
          <w:p>
            <w:pPr>
              <w:spacing w:after="20"/>
              <w:jc w:val="right"/>
            </w:pPr>
            <w:r>
              <w:rPr>
                <w:color w:val="1C3A36"/>
                <w:sz w:val="16"/>
              </w:rPr>
              <w:t>26,376</w:t>
            </w:r>
          </w:p>
        </w:tc>
        <w:tc>
          <w:tcPr>
            <w:tcW w:type="dxa" w:w="1368"/>
          </w:tcPr>
          <w:p>
            <w:pPr>
              <w:spacing w:after="20"/>
              <w:jc w:val="right"/>
            </w:pPr>
            <w:r>
              <w:rPr>
                <w:color w:val="1C3A36"/>
                <w:sz w:val="16"/>
              </w:rPr>
              <w:t>48,151</w:t>
            </w:r>
          </w:p>
        </w:tc>
        <w:tc>
          <w:tcPr>
            <w:tcW w:type="dxa" w:w="1512"/>
          </w:tcPr>
          <w:p>
            <w:pPr>
              <w:spacing w:after="20"/>
              <w:jc w:val="right"/>
            </w:pPr>
            <w:r>
              <w:rPr>
                <w:color w:val="1C3A36"/>
                <w:sz w:val="16"/>
              </w:rPr>
              <w:t>0.93–1.83×</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6</w:t>
            </w:r>
          </w:p>
        </w:tc>
      </w:tr>
      <w:tr>
        <w:tc>
          <w:tcPr>
            <w:tcW w:type="dxa" w:w="2088"/>
          </w:tcPr>
          <w:p>
            <w:pPr>
              <w:spacing w:after="20"/>
            </w:pPr>
            <w:r>
              <w:rPr>
                <w:color w:val="1C3A36"/>
                <w:sz w:val="16"/>
              </w:rPr>
              <w:t>FY2030</w:t>
            </w:r>
          </w:p>
        </w:tc>
        <w:tc>
          <w:tcPr>
            <w:tcW w:type="dxa" w:w="1368"/>
          </w:tcPr>
          <w:p>
            <w:pPr>
              <w:spacing w:after="20"/>
              <w:jc w:val="right"/>
            </w:pPr>
            <w:r>
              <w:rPr>
                <w:color w:val="1C3A36"/>
                <w:sz w:val="16"/>
              </w:rPr>
              <w:t>19,002</w:t>
            </w:r>
          </w:p>
        </w:tc>
        <w:tc>
          <w:tcPr>
            <w:tcW w:type="dxa" w:w="1368"/>
          </w:tcPr>
          <w:p>
            <w:pPr>
              <w:spacing w:after="20"/>
              <w:jc w:val="right"/>
            </w:pPr>
            <w:r>
              <w:rPr>
                <w:color w:val="1C3A36"/>
                <w:sz w:val="16"/>
              </w:rPr>
              <w:t>30,205</w:t>
            </w:r>
          </w:p>
        </w:tc>
        <w:tc>
          <w:tcPr>
            <w:tcW w:type="dxa" w:w="1368"/>
          </w:tcPr>
          <w:p>
            <w:pPr>
              <w:spacing w:after="20"/>
              <w:jc w:val="right"/>
            </w:pPr>
            <w:r>
              <w:rPr>
                <w:color w:val="1C3A36"/>
                <w:sz w:val="16"/>
              </w:rPr>
              <w:t>58,174</w:t>
            </w:r>
          </w:p>
        </w:tc>
        <w:tc>
          <w:tcPr>
            <w:tcW w:type="dxa" w:w="1512"/>
          </w:tcPr>
          <w:p>
            <w:pPr>
              <w:spacing w:after="20"/>
              <w:jc w:val="right"/>
            </w:pPr>
            <w:r>
              <w:rPr>
                <w:color w:val="1C3A36"/>
                <w:sz w:val="16"/>
              </w:rPr>
              <w:t>0.63–1.93×</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5</w:t>
            </w:r>
          </w:p>
        </w:tc>
      </w:tr>
      <w:tr>
        <w:tc>
          <w:tcPr>
            <w:tcW w:type="dxa" w:w="2088"/>
            <w:shd w:val="clear" w:color="auto" w:fill="F6F1E6"/>
          </w:tcPr>
          <w:p>
            <w:pPr>
              <w:spacing w:after="20"/>
            </w:pPr>
            <w:r>
              <w:rPr>
                <w:b/>
                <w:color w:val="1C3A36"/>
                <w:sz w:val="16"/>
              </w:rPr>
              <w:t>Group operating profit (EGP mn)</w:t>
            </w:r>
          </w:p>
        </w:tc>
        <w:tc>
          <w:tcPr>
            <w:tcW w:type="dxa" w:w="1368"/>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c>
          <w:tcPr>
            <w:tcW w:type="dxa" w:w="1512"/>
            <w:shd w:val="clear" w:color="auto" w:fill="F6F1E6"/>
          </w:tcPr>
          <w:p>
            <w:pPr>
              <w:spacing w:after="20"/>
              <w:jc w:val="right"/>
            </w:pPr>
            <w:r>
              <w:rPr>
                <w:b/>
                <w:color w:val="1C3A36"/>
                <w:sz w:val="16"/>
              </w:rPr>
            </w:r>
          </w:p>
        </w:tc>
        <w:tc>
          <w:tcPr>
            <w:tcW w:type="dxa" w:w="1080"/>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r>
      <w:tr>
        <w:tc>
          <w:tcPr>
            <w:tcW w:type="dxa" w:w="2088"/>
          </w:tcPr>
          <w:p>
            <w:pPr>
              <w:spacing w:after="20"/>
            </w:pPr>
            <w:r>
              <w:rPr>
                <w:color w:val="1C3A36"/>
                <w:sz w:val="16"/>
              </w:rPr>
              <w:t>FY2028</w:t>
            </w:r>
          </w:p>
        </w:tc>
        <w:tc>
          <w:tcPr>
            <w:tcW w:type="dxa" w:w="1368"/>
          </w:tcPr>
          <w:p>
            <w:pPr>
              <w:spacing w:after="20"/>
              <w:jc w:val="right"/>
            </w:pPr>
            <w:r>
              <w:rPr>
                <w:color w:val="1C3A36"/>
                <w:sz w:val="16"/>
              </w:rPr>
              <w:t>12,995</w:t>
            </w:r>
          </w:p>
        </w:tc>
        <w:tc>
          <w:tcPr>
            <w:tcW w:type="dxa" w:w="1368"/>
          </w:tcPr>
          <w:p>
            <w:pPr>
              <w:spacing w:after="20"/>
              <w:jc w:val="right"/>
            </w:pPr>
            <w:r>
              <w:rPr>
                <w:color w:val="1C3A36"/>
                <w:sz w:val="16"/>
              </w:rPr>
              <w:t>12,462</w:t>
            </w:r>
          </w:p>
        </w:tc>
        <w:tc>
          <w:tcPr>
            <w:tcW w:type="dxa" w:w="1368"/>
          </w:tcPr>
          <w:p>
            <w:pPr>
              <w:spacing w:after="20"/>
              <w:jc w:val="right"/>
            </w:pPr>
            <w:r>
              <w:rPr>
                <w:color w:val="1C3A36"/>
                <w:sz w:val="16"/>
              </w:rPr>
              <w:t>24,477</w:t>
            </w:r>
          </w:p>
        </w:tc>
        <w:tc>
          <w:tcPr>
            <w:tcW w:type="dxa" w:w="1512"/>
          </w:tcPr>
          <w:p>
            <w:pPr>
              <w:spacing w:after="20"/>
              <w:jc w:val="right"/>
            </w:pPr>
            <w:r>
              <w:rPr>
                <w:color w:val="1C3A36"/>
                <w:sz w:val="16"/>
              </w:rPr>
              <w:t>1.04–1.96×</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7</w:t>
            </w:r>
          </w:p>
        </w:tc>
      </w:tr>
      <w:tr>
        <w:tc>
          <w:tcPr>
            <w:tcW w:type="dxa" w:w="2088"/>
          </w:tcPr>
          <w:p>
            <w:pPr>
              <w:spacing w:after="20"/>
            </w:pPr>
            <w:r>
              <w:rPr>
                <w:color w:val="1C3A36"/>
                <w:sz w:val="16"/>
              </w:rPr>
              <w:t>FY2029</w:t>
            </w:r>
          </w:p>
        </w:tc>
        <w:tc>
          <w:tcPr>
            <w:tcW w:type="dxa" w:w="1368"/>
          </w:tcPr>
          <w:p>
            <w:pPr>
              <w:spacing w:after="20"/>
              <w:jc w:val="right"/>
            </w:pPr>
            <w:r>
              <w:rPr>
                <w:color w:val="1C3A36"/>
                <w:sz w:val="16"/>
              </w:rPr>
              <w:t>15,490</w:t>
            </w:r>
          </w:p>
        </w:tc>
        <w:tc>
          <w:tcPr>
            <w:tcW w:type="dxa" w:w="1368"/>
          </w:tcPr>
          <w:p>
            <w:pPr>
              <w:spacing w:after="20"/>
              <w:jc w:val="right"/>
            </w:pPr>
            <w:r>
              <w:rPr>
                <w:color w:val="1C3A36"/>
                <w:sz w:val="16"/>
              </w:rPr>
              <w:t>14,663</w:t>
            </w:r>
          </w:p>
        </w:tc>
        <w:tc>
          <w:tcPr>
            <w:tcW w:type="dxa" w:w="1368"/>
          </w:tcPr>
          <w:p>
            <w:pPr>
              <w:spacing w:after="20"/>
              <w:jc w:val="right"/>
            </w:pPr>
            <w:r>
              <w:rPr>
                <w:color w:val="1C3A36"/>
                <w:sz w:val="16"/>
              </w:rPr>
              <w:t>33,145</w:t>
            </w:r>
          </w:p>
        </w:tc>
        <w:tc>
          <w:tcPr>
            <w:tcW w:type="dxa" w:w="1512"/>
          </w:tcPr>
          <w:p>
            <w:pPr>
              <w:spacing w:after="20"/>
              <w:jc w:val="right"/>
            </w:pPr>
            <w:r>
              <w:rPr>
                <w:color w:val="1C3A36"/>
                <w:sz w:val="16"/>
              </w:rPr>
              <w:t>1.06–2.26×</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6</w:t>
            </w:r>
          </w:p>
        </w:tc>
      </w:tr>
      <w:tr>
        <w:tc>
          <w:tcPr>
            <w:tcW w:type="dxa" w:w="2088"/>
          </w:tcPr>
          <w:p>
            <w:pPr>
              <w:spacing w:after="20"/>
            </w:pPr>
            <w:r>
              <w:rPr>
                <w:color w:val="1C3A36"/>
                <w:sz w:val="16"/>
              </w:rPr>
              <w:t>FY2030</w:t>
            </w:r>
          </w:p>
        </w:tc>
        <w:tc>
          <w:tcPr>
            <w:tcW w:type="dxa" w:w="1368"/>
          </w:tcPr>
          <w:p>
            <w:pPr>
              <w:spacing w:after="20"/>
              <w:jc w:val="right"/>
            </w:pPr>
            <w:r>
              <w:rPr>
                <w:color w:val="1C3A36"/>
                <w:sz w:val="16"/>
              </w:rPr>
              <w:t>14,399</w:t>
            </w:r>
          </w:p>
        </w:tc>
        <w:tc>
          <w:tcPr>
            <w:tcW w:type="dxa" w:w="1368"/>
          </w:tcPr>
          <w:p>
            <w:pPr>
              <w:spacing w:after="20"/>
              <w:jc w:val="right"/>
            </w:pPr>
            <w:r>
              <w:rPr>
                <w:color w:val="1C3A36"/>
                <w:sz w:val="16"/>
              </w:rPr>
              <w:t>16,969</w:t>
            </w:r>
          </w:p>
        </w:tc>
        <w:tc>
          <w:tcPr>
            <w:tcW w:type="dxa" w:w="1368"/>
          </w:tcPr>
          <w:p>
            <w:pPr>
              <w:spacing w:after="20"/>
              <w:jc w:val="right"/>
            </w:pPr>
            <w:r>
              <w:rPr>
                <w:color w:val="1C3A36"/>
                <w:sz w:val="16"/>
              </w:rPr>
              <w:t>38,909</w:t>
            </w:r>
          </w:p>
        </w:tc>
        <w:tc>
          <w:tcPr>
            <w:tcW w:type="dxa" w:w="1512"/>
          </w:tcPr>
          <w:p>
            <w:pPr>
              <w:spacing w:after="20"/>
              <w:jc w:val="right"/>
            </w:pPr>
            <w:r>
              <w:rPr>
                <w:color w:val="1C3A36"/>
                <w:sz w:val="16"/>
              </w:rPr>
              <w:t>0.85–2.29×</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5</w:t>
            </w:r>
          </w:p>
        </w:tc>
      </w:tr>
      <w:tr>
        <w:tc>
          <w:tcPr>
            <w:tcW w:type="dxa" w:w="2088"/>
            <w:shd w:val="clear" w:color="auto" w:fill="F6F1E6"/>
          </w:tcPr>
          <w:p>
            <w:pPr>
              <w:spacing w:after="20"/>
            </w:pPr>
            <w:r>
              <w:rPr>
                <w:b/>
                <w:color w:val="1C3A36"/>
                <w:sz w:val="16"/>
              </w:rPr>
              <w:t>Group net profit (EGP mn)</w:t>
            </w:r>
          </w:p>
        </w:tc>
        <w:tc>
          <w:tcPr>
            <w:tcW w:type="dxa" w:w="1368"/>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c>
          <w:tcPr>
            <w:tcW w:type="dxa" w:w="1512"/>
            <w:shd w:val="clear" w:color="auto" w:fill="F6F1E6"/>
          </w:tcPr>
          <w:p>
            <w:pPr>
              <w:spacing w:after="20"/>
              <w:jc w:val="right"/>
            </w:pPr>
            <w:r>
              <w:rPr>
                <w:b/>
                <w:color w:val="1C3A36"/>
                <w:sz w:val="16"/>
              </w:rPr>
            </w:r>
          </w:p>
        </w:tc>
        <w:tc>
          <w:tcPr>
            <w:tcW w:type="dxa" w:w="1080"/>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r>
      <w:tr>
        <w:tc>
          <w:tcPr>
            <w:tcW w:type="dxa" w:w="2088"/>
          </w:tcPr>
          <w:p>
            <w:pPr>
              <w:spacing w:after="20"/>
            </w:pPr>
            <w:r>
              <w:rPr>
                <w:color w:val="1C3A36"/>
                <w:sz w:val="16"/>
              </w:rPr>
              <w:t>FY2028</w:t>
            </w:r>
          </w:p>
        </w:tc>
        <w:tc>
          <w:tcPr>
            <w:tcW w:type="dxa" w:w="1368"/>
          </w:tcPr>
          <w:p>
            <w:pPr>
              <w:spacing w:after="20"/>
              <w:jc w:val="right"/>
            </w:pPr>
            <w:r>
              <w:rPr>
                <w:color w:val="1C3A36"/>
                <w:sz w:val="16"/>
              </w:rPr>
              <w:t>9,188</w:t>
            </w:r>
          </w:p>
        </w:tc>
        <w:tc>
          <w:tcPr>
            <w:tcW w:type="dxa" w:w="1368"/>
          </w:tcPr>
          <w:p>
            <w:pPr>
              <w:spacing w:after="20"/>
              <w:jc w:val="right"/>
            </w:pPr>
            <w:r>
              <w:rPr>
                <w:color w:val="1C3A36"/>
                <w:sz w:val="16"/>
              </w:rPr>
              <w:t>7,474</w:t>
            </w:r>
          </w:p>
        </w:tc>
        <w:tc>
          <w:tcPr>
            <w:tcW w:type="dxa" w:w="1368"/>
          </w:tcPr>
          <w:p>
            <w:pPr>
              <w:spacing w:after="20"/>
              <w:jc w:val="right"/>
            </w:pPr>
            <w:r>
              <w:rPr>
                <w:color w:val="1C3A36"/>
                <w:sz w:val="16"/>
              </w:rPr>
              <w:t>17,110</w:t>
            </w:r>
          </w:p>
        </w:tc>
        <w:tc>
          <w:tcPr>
            <w:tcW w:type="dxa" w:w="1512"/>
          </w:tcPr>
          <w:p>
            <w:pPr>
              <w:spacing w:after="20"/>
              <w:jc w:val="right"/>
            </w:pPr>
            <w:r>
              <w:rPr>
                <w:color w:val="1C3A36"/>
                <w:sz w:val="16"/>
              </w:rPr>
              <w:t>1.23–2.29×</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3</w:t>
            </w:r>
          </w:p>
        </w:tc>
      </w:tr>
      <w:tr>
        <w:tc>
          <w:tcPr>
            <w:tcW w:type="dxa" w:w="2088"/>
          </w:tcPr>
          <w:p>
            <w:pPr>
              <w:spacing w:after="20"/>
            </w:pPr>
            <w:r>
              <w:rPr>
                <w:color w:val="1C3A36"/>
                <w:sz w:val="16"/>
              </w:rPr>
              <w:t>FY2029</w:t>
            </w:r>
          </w:p>
        </w:tc>
        <w:tc>
          <w:tcPr>
            <w:tcW w:type="dxa" w:w="1368"/>
          </w:tcPr>
          <w:p>
            <w:pPr>
              <w:spacing w:after="20"/>
              <w:jc w:val="right"/>
            </w:pPr>
            <w:r>
              <w:rPr>
                <w:color w:val="1C3A36"/>
                <w:sz w:val="16"/>
              </w:rPr>
              <w:t>15,675</w:t>
            </w:r>
          </w:p>
        </w:tc>
        <w:tc>
          <w:tcPr>
            <w:tcW w:type="dxa" w:w="1368"/>
          </w:tcPr>
          <w:p>
            <w:pPr>
              <w:spacing w:after="20"/>
              <w:jc w:val="right"/>
            </w:pPr>
            <w:r>
              <w:rPr>
                <w:color w:val="1C3A36"/>
                <w:sz w:val="16"/>
              </w:rPr>
              <w:t>9,309</w:t>
            </w:r>
          </w:p>
        </w:tc>
        <w:tc>
          <w:tcPr>
            <w:tcW w:type="dxa" w:w="1368"/>
          </w:tcPr>
          <w:p>
            <w:pPr>
              <w:spacing w:after="20"/>
              <w:jc w:val="right"/>
            </w:pPr>
            <w:r>
              <w:rPr>
                <w:color w:val="1C3A36"/>
                <w:sz w:val="16"/>
              </w:rPr>
              <w:t>29,559</w:t>
            </w:r>
          </w:p>
        </w:tc>
        <w:tc>
          <w:tcPr>
            <w:tcW w:type="dxa" w:w="1512"/>
          </w:tcPr>
          <w:p>
            <w:pPr>
              <w:spacing w:after="20"/>
              <w:jc w:val="right"/>
            </w:pPr>
            <w:r>
              <w:rPr>
                <w:color w:val="1C3A36"/>
                <w:sz w:val="16"/>
              </w:rPr>
              <w:t>1.68–3.18×</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2</w:t>
            </w:r>
          </w:p>
        </w:tc>
      </w:tr>
      <w:tr>
        <w:tc>
          <w:tcPr>
            <w:tcW w:type="dxa" w:w="2088"/>
          </w:tcPr>
          <w:p>
            <w:pPr>
              <w:spacing w:after="20"/>
            </w:pPr>
            <w:r>
              <w:rPr>
                <w:color w:val="1C3A36"/>
                <w:sz w:val="16"/>
              </w:rPr>
              <w:t>FY2030</w:t>
            </w:r>
          </w:p>
        </w:tc>
        <w:tc>
          <w:tcPr>
            <w:tcW w:type="dxa" w:w="1368"/>
          </w:tcPr>
          <w:p>
            <w:pPr>
              <w:spacing w:after="20"/>
              <w:jc w:val="right"/>
            </w:pPr>
            <w:r>
              <w:rPr>
                <w:color w:val="1C3A36"/>
                <w:sz w:val="16"/>
              </w:rPr>
              <w:t>31,265</w:t>
            </w:r>
          </w:p>
        </w:tc>
        <w:tc>
          <w:tcPr>
            <w:tcW w:type="dxa" w:w="1368"/>
          </w:tcPr>
          <w:p>
            <w:pPr>
              <w:spacing w:after="20"/>
              <w:jc w:val="right"/>
            </w:pPr>
            <w:r>
              <w:rPr>
                <w:color w:val="1C3A36"/>
                <w:sz w:val="16"/>
              </w:rPr>
              <w:t>11,219</w:t>
            </w:r>
          </w:p>
        </w:tc>
        <w:tc>
          <w:tcPr>
            <w:tcW w:type="dxa" w:w="1368"/>
          </w:tcPr>
          <w:p>
            <w:pPr>
              <w:spacing w:after="20"/>
              <w:jc w:val="right"/>
            </w:pPr>
            <w:r>
              <w:rPr>
                <w:color w:val="1C3A36"/>
                <w:sz w:val="16"/>
              </w:rPr>
              <w:t>31,265</w:t>
            </w:r>
          </w:p>
        </w:tc>
        <w:tc>
          <w:tcPr>
            <w:tcW w:type="dxa" w:w="1512"/>
          </w:tcPr>
          <w:p>
            <w:pPr>
              <w:spacing w:after="20"/>
              <w:jc w:val="right"/>
            </w:pPr>
            <w:r>
              <w:rPr>
                <w:color w:val="1C3A36"/>
                <w:sz w:val="16"/>
              </w:rPr>
              <w:t>2.79–2.79×</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1</w:t>
            </w:r>
          </w:p>
        </w:tc>
      </w:tr>
    </w:tbl>
    <w:p>
      <w:pPr>
        <w:spacing w:after="40"/>
      </w:pPr>
    </w:p>
    <w:p>
      <w:pPr>
        <w:spacing w:after="200" w:before="0"/>
      </w:pPr>
      <w:r>
        <w:rPr>
          <w:b w:val="0"/>
          <w:i/>
          <w:color w:val="6E7B77"/>
          <w:sz w:val="17"/>
        </w:rPr>
        <w:t>Table A0 — the third, fourth and fifth forecast years as ranges. Each band is the full span of that many past readings of how far out this method has been on this company, applied to the point projection above. The observation count falls as the horizon lengthens, because a five-year error can only be scored where five years of history have since resolved.</w:t>
      </w:r>
    </w:p>
    <w:p>
      <w:pPr>
        <w:spacing w:after="120" w:before="0"/>
      </w:pPr>
      <w:r>
        <w:rPr>
          <w:b w:val="0"/>
          <w:i w:val="0"/>
          <w:color w:val="1C3A36"/>
          <w:sz w:val="19"/>
        </w:rPr>
        <w:t>What a range of this kind can honestly promise, at each of the record lengths above:</w:t>
      </w:r>
    </w:p>
    <w:p>
      <w:pPr>
        <w:spacing w:after="60" w:before="0"/>
      </w:pPr>
      <w:r>
        <w:rPr>
          <w:b w:val="0"/>
          <w:i w:val="0"/>
          <w:color w:val="1C3A36"/>
          <w:sz w:val="18"/>
        </w:rPr>
        <w:t>· The range is the full span of 1 past observation of this method's own error. That is too few to carry a probability, and none is claimed: it is the widest and narrowest this method has been on this company, not a confidence interval.</w:t>
      </w:r>
    </w:p>
    <w:p>
      <w:pPr>
        <w:spacing w:after="60" w:before="0"/>
      </w:pPr>
      <w:r>
        <w:rPr>
          <w:b w:val="0"/>
          <w:i w:val="0"/>
          <w:color w:val="1C3A36"/>
          <w:sz w:val="18"/>
        </w:rPr>
        <w:t>· The range is the full span of 2 past observations of this method's own error. That is too few to carry a probability, and none is claimed: it is the widest and narrowest this method has been on this company, not a confidence interval.</w:t>
      </w:r>
    </w:p>
    <w:p>
      <w:pPr>
        <w:spacing w:after="60" w:before="0"/>
      </w:pPr>
      <w:r>
        <w:rPr>
          <w:b w:val="0"/>
          <w:i w:val="0"/>
          <w:color w:val="1C3A36"/>
          <w:sz w:val="18"/>
        </w:rPr>
        <w:t>· The range is the full span of 3 past observations of this method's own error. That is too few to carry a probability, and none is claimed: it is the widest and narrowest this method has been on this company, not a confidence interval.</w:t>
      </w:r>
    </w:p>
    <w:p>
      <w:pPr>
        <w:spacing w:after="60" w:before="0"/>
      </w:pPr>
      <w:r>
        <w:rPr>
          <w:b w:val="0"/>
          <w:i w:val="0"/>
          <w:color w:val="1C3A36"/>
          <w:sz w:val="18"/>
        </w:rPr>
        <w:t>· The range is the full span of 5 past readings of how far out this method has been on this company. A span of 5 readings would be expected to contain the next one about 67 times in 100 — not 90. Tested against 43 resolved readings on bands resting on the same 5 readings, ranges of this kind contained the outcome 51 times in 100. Read it as the widest and narrowest we have been, which is narrower than a confidence interval rather than wider.</w:t>
      </w:r>
    </w:p>
    <w:p>
      <w:pPr>
        <w:spacing w:after="60" w:before="0"/>
      </w:pPr>
      <w:r>
        <w:rPr>
          <w:b w:val="0"/>
          <w:i w:val="0"/>
          <w:color w:val="1C3A36"/>
          <w:sz w:val="18"/>
        </w:rPr>
        <w:t>· The range is the full span of 6 past readings of how far out this method has been on this company. A span of 6 readings would be expected to contain the next one about 71 times in 100 — not 90. Tested against 30 resolved readings on bands resting on the same 6 readings, ranges of this kind contained the outcome 50 times in 100. Read it as the widest and narrowest we have been, which is narrower than a confidence interval rather than wider.</w:t>
      </w:r>
    </w:p>
    <w:p>
      <w:pPr>
        <w:spacing w:after="60" w:before="0"/>
      </w:pPr>
      <w:r>
        <w:rPr>
          <w:b w:val="0"/>
          <w:i w:val="0"/>
          <w:color w:val="1C3A36"/>
          <w:sz w:val="18"/>
        </w:rPr>
        <w:t>· The range is the full span of 7 past readings of how far out this method has been on this company. A span of 7 readings would be expected to contain the next one about 75 times in 100 — not 90. Tested against 21 resolved readings on bands resting on the same 7 readings, ranges of this kind contained the outcome 48 times in 100. Read it as the widest and narrowest we have been, which is narrower than a confidence interval rather than wider.</w:t>
      </w:r>
    </w:p>
    <w:p>
      <w:pPr>
        <w:spacing w:after="120" w:before="0"/>
      </w:pPr>
      <w:r>
        <w:rPr>
          <w:b w:val="0"/>
          <w:i w:val="0"/>
          <w:color w:val="1C3A36"/>
          <w:sz w:val="19"/>
        </w:rPr>
        <w:t>One line of the table deserves its own sentence. The net-profit band rests on the fewest observations of any driver here, and at the fifth forecast year on a single one — a span of one reading is not a span at all, and it is printed with its count rather than dressed up. Net profit is the most geared line in this model: it sits below a finance cost and a tax charge, so a modest error on revenue arrives at the bottom multiplied. That is why the range widens down the table rather than narrowing.</w:t>
      </w:r>
    </w:p>
    <w:p>
      <w:pPr>
        <w:spacing w:after="80" w:before="200"/>
      </w:pPr>
      <w:r>
        <w:rPr>
          <w:b/>
          <w:i w:val="0"/>
          <w:color w:val="1C3A36"/>
          <w:sz w:val="24"/>
        </w:rPr>
        <w:t>A.2  Income statement — reported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3744"/>
            <w:shd w:val="clear" w:color="auto" w:fill="EAF0EE"/>
          </w:tcPr>
          <w:p>
            <w:pPr>
              <w:spacing w:after="20"/>
            </w:pPr>
            <w:r>
              <w:rPr>
                <w:b/>
                <w:color w:val="1C3A36"/>
                <w:sz w:val="17"/>
              </w:rPr>
              <w:t>Line</w:t>
            </w:r>
          </w:p>
        </w:tc>
        <w:tc>
          <w:tcPr>
            <w:tcW w:type="dxa" w:w="2160"/>
            <w:shd w:val="clear" w:color="auto" w:fill="EAF0EE"/>
          </w:tcPr>
          <w:p>
            <w:pPr>
              <w:spacing w:after="20"/>
            </w:pPr>
            <w:r>
              <w:rPr>
                <w:b/>
                <w:color w:val="1C3A36"/>
                <w:sz w:val="17"/>
              </w:rPr>
              <w:t>FY2023</w:t>
            </w:r>
          </w:p>
        </w:tc>
        <w:tc>
          <w:tcPr>
            <w:tcW w:type="dxa" w:w="2160"/>
            <w:shd w:val="clear" w:color="auto" w:fill="EAF0EE"/>
          </w:tcPr>
          <w:p>
            <w:pPr>
              <w:spacing w:after="20"/>
            </w:pPr>
            <w:r>
              <w:rPr>
                <w:b/>
                <w:color w:val="1C3A36"/>
                <w:sz w:val="17"/>
              </w:rPr>
              <w:t>FY2024</w:t>
            </w:r>
          </w:p>
        </w:tc>
        <w:tc>
          <w:tcPr>
            <w:tcW w:type="dxa" w:w="2160"/>
            <w:shd w:val="clear" w:color="auto" w:fill="EAF0EE"/>
          </w:tcPr>
          <w:p>
            <w:pPr>
              <w:spacing w:after="20"/>
            </w:pPr>
            <w:r>
              <w:rPr>
                <w:b/>
                <w:color w:val="1C3A36"/>
                <w:sz w:val="17"/>
              </w:rPr>
              <w:t>FY2025</w:t>
            </w:r>
          </w:p>
        </w:tc>
      </w:tr>
      <w:tr>
        <w:tc>
          <w:tcPr>
            <w:tcW w:type="dxa" w:w="3744"/>
          </w:tcPr>
          <w:p>
            <w:pPr>
              <w:spacing w:after="20"/>
            </w:pPr>
            <w:r>
              <w:rPr>
                <w:b/>
                <w:color w:val="1C3A36"/>
                <w:sz w:val="17"/>
              </w:rPr>
              <w:t>Revenue</w:t>
            </w:r>
          </w:p>
        </w:tc>
        <w:tc>
          <w:tcPr>
            <w:tcW w:type="dxa" w:w="2160"/>
          </w:tcPr>
          <w:p>
            <w:pPr>
              <w:spacing w:after="20"/>
              <w:jc w:val="right"/>
            </w:pPr>
            <w:r>
              <w:rPr>
                <w:color w:val="1C3A36"/>
                <w:sz w:val="17"/>
              </w:rPr>
              <w:t>28,317.2</w:t>
            </w:r>
          </w:p>
        </w:tc>
        <w:tc>
          <w:tcPr>
            <w:tcW w:type="dxa" w:w="2160"/>
          </w:tcPr>
          <w:p>
            <w:pPr>
              <w:spacing w:after="20"/>
              <w:jc w:val="right"/>
            </w:pPr>
            <w:r>
              <w:rPr>
                <w:color w:val="1C3A36"/>
                <w:sz w:val="17"/>
              </w:rPr>
              <w:t>53,969.5</w:t>
            </w:r>
          </w:p>
        </w:tc>
        <w:tc>
          <w:tcPr>
            <w:tcW w:type="dxa" w:w="2160"/>
          </w:tcPr>
          <w:p>
            <w:pPr>
              <w:spacing w:after="20"/>
              <w:jc w:val="right"/>
            </w:pPr>
            <w:r>
              <w:rPr>
                <w:color w:val="1C3A36"/>
                <w:sz w:val="17"/>
              </w:rPr>
              <w:t>80,229.8</w:t>
            </w:r>
          </w:p>
        </w:tc>
      </w:tr>
      <w:tr>
        <w:tc>
          <w:tcPr>
            <w:tcW w:type="dxa" w:w="3744"/>
          </w:tcPr>
          <w:p>
            <w:pPr>
              <w:spacing w:after="20"/>
            </w:pPr>
            <w:r>
              <w:rPr>
                <w:b/>
                <w:color w:val="1C3A36"/>
                <w:sz w:val="17"/>
              </w:rPr>
              <w:t>Gross profit</w:t>
            </w:r>
          </w:p>
        </w:tc>
        <w:tc>
          <w:tcPr>
            <w:tcW w:type="dxa" w:w="2160"/>
          </w:tcPr>
          <w:p>
            <w:pPr>
              <w:spacing w:after="20"/>
              <w:jc w:val="right"/>
            </w:pPr>
            <w:r>
              <w:rPr>
                <w:color w:val="1C3A36"/>
                <w:sz w:val="17"/>
              </w:rPr>
              <w:t>6,884.5</w:t>
            </w:r>
          </w:p>
        </w:tc>
        <w:tc>
          <w:tcPr>
            <w:tcW w:type="dxa" w:w="2160"/>
          </w:tcPr>
          <w:p>
            <w:pPr>
              <w:spacing w:after="20"/>
              <w:jc w:val="right"/>
            </w:pPr>
            <w:r>
              <w:rPr>
                <w:color w:val="1C3A36"/>
                <w:sz w:val="17"/>
              </w:rPr>
              <w:t>10,514.6</w:t>
            </w:r>
          </w:p>
        </w:tc>
        <w:tc>
          <w:tcPr>
            <w:tcW w:type="dxa" w:w="2160"/>
          </w:tcPr>
          <w:p>
            <w:pPr>
              <w:spacing w:after="20"/>
              <w:jc w:val="right"/>
            </w:pPr>
            <w:r>
              <w:rPr>
                <w:color w:val="1C3A36"/>
                <w:sz w:val="17"/>
              </w:rPr>
              <w:t>12,431.1</w:t>
            </w:r>
          </w:p>
        </w:tc>
      </w:tr>
      <w:tr>
        <w:tc>
          <w:tcPr>
            <w:tcW w:type="dxa" w:w="3744"/>
          </w:tcPr>
          <w:p>
            <w:pPr>
              <w:spacing w:after="20"/>
            </w:pPr>
            <w:r>
              <w:rPr>
                <w:b/>
                <w:color w:val="1C3A36"/>
                <w:sz w:val="17"/>
              </w:rPr>
              <w:t>Selling and marketing</w:t>
            </w:r>
          </w:p>
        </w:tc>
        <w:tc>
          <w:tcPr>
            <w:tcW w:type="dxa" w:w="2160"/>
          </w:tcPr>
          <w:p>
            <w:pPr>
              <w:spacing w:after="20"/>
              <w:jc w:val="right"/>
            </w:pPr>
            <w:r>
              <w:rPr>
                <w:color w:val="1C3A36"/>
                <w:sz w:val="17"/>
              </w:rPr>
              <w:t>-2,550.4</w:t>
            </w:r>
          </w:p>
        </w:tc>
        <w:tc>
          <w:tcPr>
            <w:tcW w:type="dxa" w:w="2160"/>
          </w:tcPr>
          <w:p>
            <w:pPr>
              <w:spacing w:after="20"/>
              <w:jc w:val="right"/>
            </w:pPr>
            <w:r>
              <w:rPr>
                <w:color w:val="1C3A36"/>
                <w:sz w:val="17"/>
              </w:rPr>
              <w:t>-3,623.4</w:t>
            </w:r>
          </w:p>
        </w:tc>
        <w:tc>
          <w:tcPr>
            <w:tcW w:type="dxa" w:w="2160"/>
          </w:tcPr>
          <w:p>
            <w:pPr>
              <w:spacing w:after="20"/>
              <w:jc w:val="right"/>
            </w:pPr>
            <w:r>
              <w:rPr>
                <w:color w:val="1C3A36"/>
                <w:sz w:val="17"/>
              </w:rPr>
              <w:t>-5,329.7</w:t>
            </w:r>
          </w:p>
        </w:tc>
      </w:tr>
      <w:tr>
        <w:tc>
          <w:tcPr>
            <w:tcW w:type="dxa" w:w="3744"/>
          </w:tcPr>
          <w:p>
            <w:pPr>
              <w:spacing w:after="20"/>
            </w:pPr>
            <w:r>
              <w:rPr>
                <w:b/>
                <w:color w:val="1C3A36"/>
                <w:sz w:val="17"/>
              </w:rPr>
              <w:t>General and administration</w:t>
            </w:r>
          </w:p>
        </w:tc>
        <w:tc>
          <w:tcPr>
            <w:tcW w:type="dxa" w:w="2160"/>
          </w:tcPr>
          <w:p>
            <w:pPr>
              <w:spacing w:after="20"/>
              <w:jc w:val="right"/>
            </w:pPr>
            <w:r>
              <w:rPr>
                <w:color w:val="1C3A36"/>
                <w:sz w:val="17"/>
              </w:rPr>
              <w:t>-880.4</w:t>
            </w:r>
          </w:p>
        </w:tc>
        <w:tc>
          <w:tcPr>
            <w:tcW w:type="dxa" w:w="2160"/>
          </w:tcPr>
          <w:p>
            <w:pPr>
              <w:spacing w:after="20"/>
              <w:jc w:val="right"/>
            </w:pPr>
            <w:r>
              <w:rPr>
                <w:color w:val="1C3A36"/>
                <w:sz w:val="17"/>
              </w:rPr>
              <w:t>-1,220.2</w:t>
            </w:r>
          </w:p>
        </w:tc>
        <w:tc>
          <w:tcPr>
            <w:tcW w:type="dxa" w:w="2160"/>
          </w:tcPr>
          <w:p>
            <w:pPr>
              <w:spacing w:after="20"/>
              <w:jc w:val="right"/>
            </w:pPr>
            <w:r>
              <w:rPr>
                <w:color w:val="1C3A36"/>
                <w:sz w:val="17"/>
              </w:rPr>
              <w:t>-1,217.6</w:t>
            </w:r>
          </w:p>
        </w:tc>
      </w:tr>
      <w:tr>
        <w:tc>
          <w:tcPr>
            <w:tcW w:type="dxa" w:w="3744"/>
          </w:tcPr>
          <w:p>
            <w:pPr>
              <w:spacing w:after="20"/>
            </w:pPr>
            <w:r>
              <w:rPr>
                <w:b/>
                <w:color w:val="1C3A36"/>
                <w:sz w:val="17"/>
              </w:rPr>
              <w:t>Other income</w:t>
            </w:r>
          </w:p>
        </w:tc>
        <w:tc>
          <w:tcPr>
            <w:tcW w:type="dxa" w:w="2160"/>
          </w:tcPr>
          <w:p>
            <w:pPr>
              <w:spacing w:after="20"/>
              <w:jc w:val="right"/>
            </w:pPr>
            <w:r>
              <w:rPr>
                <w:color w:val="1C3A36"/>
                <w:sz w:val="17"/>
              </w:rPr>
              <w:t>523.2</w:t>
            </w:r>
          </w:p>
        </w:tc>
        <w:tc>
          <w:tcPr>
            <w:tcW w:type="dxa" w:w="2160"/>
          </w:tcPr>
          <w:p>
            <w:pPr>
              <w:spacing w:after="20"/>
              <w:jc w:val="right"/>
            </w:pPr>
            <w:r>
              <w:rPr>
                <w:color w:val="1C3A36"/>
                <w:sz w:val="17"/>
              </w:rPr>
              <w:t>505.6</w:t>
            </w:r>
          </w:p>
        </w:tc>
        <w:tc>
          <w:tcPr>
            <w:tcW w:type="dxa" w:w="2160"/>
          </w:tcPr>
          <w:p>
            <w:pPr>
              <w:spacing w:after="20"/>
              <w:jc w:val="right"/>
            </w:pPr>
            <w:r>
              <w:rPr>
                <w:color w:val="1C3A36"/>
                <w:sz w:val="17"/>
              </w:rPr>
              <w:t>912.2</w:t>
            </w:r>
          </w:p>
        </w:tc>
      </w:tr>
      <w:tr>
        <w:tc>
          <w:tcPr>
            <w:tcW w:type="dxa" w:w="3744"/>
          </w:tcPr>
          <w:p>
            <w:pPr>
              <w:spacing w:after="20"/>
            </w:pPr>
            <w:r>
              <w:rPr>
                <w:b/>
                <w:color w:val="1C3A36"/>
                <w:sz w:val="17"/>
              </w:rPr>
              <w:t>Provisions</w:t>
            </w:r>
          </w:p>
        </w:tc>
        <w:tc>
          <w:tcPr>
            <w:tcW w:type="dxa" w:w="2160"/>
          </w:tcPr>
          <w:p>
            <w:pPr>
              <w:spacing w:after="20"/>
              <w:jc w:val="right"/>
            </w:pPr>
            <w:r>
              <w:rPr>
                <w:color w:val="1C3A36"/>
                <w:sz w:val="17"/>
              </w:rPr>
              <w:t>-268.9</w:t>
            </w:r>
          </w:p>
        </w:tc>
        <w:tc>
          <w:tcPr>
            <w:tcW w:type="dxa" w:w="2160"/>
          </w:tcPr>
          <w:p>
            <w:pPr>
              <w:spacing w:after="20"/>
              <w:jc w:val="right"/>
            </w:pPr>
            <w:r>
              <w:rPr>
                <w:color w:val="1C3A36"/>
                <w:sz w:val="17"/>
              </w:rPr>
              <w:t>-355.7</w:t>
            </w:r>
          </w:p>
        </w:tc>
        <w:tc>
          <w:tcPr>
            <w:tcW w:type="dxa" w:w="2160"/>
          </w:tcPr>
          <w:p>
            <w:pPr>
              <w:spacing w:after="20"/>
              <w:jc w:val="right"/>
            </w:pPr>
            <w:r>
              <w:rPr>
                <w:color w:val="1C3A36"/>
                <w:sz w:val="17"/>
              </w:rPr>
              <w:t>-165.1</w:t>
            </w:r>
          </w:p>
        </w:tc>
      </w:tr>
      <w:tr>
        <w:tc>
          <w:tcPr>
            <w:tcW w:type="dxa" w:w="3744"/>
            <w:shd w:val="clear" w:color="auto" w:fill="F6F1E6"/>
          </w:tcPr>
          <w:p>
            <w:pPr>
              <w:spacing w:after="20"/>
            </w:pPr>
            <w:r>
              <w:rPr>
                <w:b/>
                <w:color w:val="1C3A36"/>
                <w:sz w:val="17"/>
              </w:rPr>
              <w:t>Operating profit</w:t>
            </w:r>
          </w:p>
        </w:tc>
        <w:tc>
          <w:tcPr>
            <w:tcW w:type="dxa" w:w="2160"/>
            <w:shd w:val="clear" w:color="auto" w:fill="F6F1E6"/>
          </w:tcPr>
          <w:p>
            <w:pPr>
              <w:spacing w:after="20"/>
              <w:jc w:val="right"/>
            </w:pPr>
            <w:r>
              <w:rPr>
                <w:b/>
                <w:color w:val="1C3A36"/>
                <w:sz w:val="17"/>
              </w:rPr>
              <w:t>3,977.0</w:t>
            </w:r>
          </w:p>
        </w:tc>
        <w:tc>
          <w:tcPr>
            <w:tcW w:type="dxa" w:w="2160"/>
            <w:shd w:val="clear" w:color="auto" w:fill="F6F1E6"/>
          </w:tcPr>
          <w:p>
            <w:pPr>
              <w:spacing w:after="20"/>
              <w:jc w:val="right"/>
            </w:pPr>
            <w:r>
              <w:rPr>
                <w:b/>
                <w:color w:val="1C3A36"/>
                <w:sz w:val="17"/>
              </w:rPr>
              <w:t>6,176.6</w:t>
            </w:r>
          </w:p>
        </w:tc>
        <w:tc>
          <w:tcPr>
            <w:tcW w:type="dxa" w:w="2160"/>
            <w:shd w:val="clear" w:color="auto" w:fill="F6F1E6"/>
          </w:tcPr>
          <w:p>
            <w:pPr>
              <w:spacing w:after="20"/>
              <w:jc w:val="right"/>
            </w:pPr>
            <w:r>
              <w:rPr>
                <w:b/>
                <w:color w:val="1C3A36"/>
                <w:sz w:val="17"/>
              </w:rPr>
              <w:t>6,631.0</w:t>
            </w:r>
          </w:p>
        </w:tc>
      </w:tr>
      <w:tr>
        <w:tc>
          <w:tcPr>
            <w:tcW w:type="dxa" w:w="3744"/>
          </w:tcPr>
          <w:p>
            <w:pPr>
              <w:spacing w:after="20"/>
            </w:pPr>
            <w:r>
              <w:rPr>
                <w:b/>
                <w:color w:val="1C3A36"/>
                <w:sz w:val="17"/>
              </w:rPr>
              <w:t>Share of associates</w:t>
            </w:r>
          </w:p>
        </w:tc>
        <w:tc>
          <w:tcPr>
            <w:tcW w:type="dxa" w:w="2160"/>
          </w:tcPr>
          <w:p>
            <w:pPr>
              <w:spacing w:after="20"/>
              <w:jc w:val="right"/>
            </w:pPr>
            <w:r>
              <w:rPr>
                <w:color w:val="1C3A36"/>
                <w:sz w:val="17"/>
              </w:rPr>
              <w:t>1,061.7</w:t>
            </w:r>
          </w:p>
        </w:tc>
        <w:tc>
          <w:tcPr>
            <w:tcW w:type="dxa" w:w="2160"/>
          </w:tcPr>
          <w:p>
            <w:pPr>
              <w:spacing w:after="20"/>
              <w:jc w:val="right"/>
            </w:pPr>
            <w:r>
              <w:rPr>
                <w:color w:val="1C3A36"/>
                <w:sz w:val="17"/>
              </w:rPr>
              <w:t>867.6</w:t>
            </w:r>
          </w:p>
        </w:tc>
        <w:tc>
          <w:tcPr>
            <w:tcW w:type="dxa" w:w="2160"/>
          </w:tcPr>
          <w:p>
            <w:pPr>
              <w:spacing w:after="20"/>
              <w:jc w:val="right"/>
            </w:pPr>
            <w:r>
              <w:rPr>
                <w:color w:val="1C3A36"/>
                <w:sz w:val="17"/>
              </w:rPr>
              <w:t>974.8</w:t>
            </w:r>
          </w:p>
        </w:tc>
      </w:tr>
      <w:tr>
        <w:tc>
          <w:tcPr>
            <w:tcW w:type="dxa" w:w="3744"/>
            <w:shd w:val="clear" w:color="auto" w:fill="F6F1E6"/>
          </w:tcPr>
          <w:p>
            <w:pPr>
              <w:spacing w:after="20"/>
            </w:pPr>
            <w:r>
              <w:rPr>
                <w:b/>
                <w:color w:val="1C3A36"/>
                <w:sz w:val="17"/>
              </w:rPr>
              <w:t>Operating profit including associates</w:t>
            </w:r>
          </w:p>
        </w:tc>
        <w:tc>
          <w:tcPr>
            <w:tcW w:type="dxa" w:w="2160"/>
            <w:shd w:val="clear" w:color="auto" w:fill="F6F1E6"/>
          </w:tcPr>
          <w:p>
            <w:pPr>
              <w:spacing w:after="20"/>
              <w:jc w:val="right"/>
            </w:pPr>
            <w:r>
              <w:rPr>
                <w:b/>
                <w:color w:val="1C3A36"/>
                <w:sz w:val="17"/>
              </w:rPr>
              <w:t>4,769.7</w:t>
            </w:r>
          </w:p>
        </w:tc>
        <w:tc>
          <w:tcPr>
            <w:tcW w:type="dxa" w:w="2160"/>
            <w:shd w:val="clear" w:color="auto" w:fill="F6F1E6"/>
          </w:tcPr>
          <w:p>
            <w:pPr>
              <w:spacing w:after="20"/>
              <w:jc w:val="right"/>
            </w:pPr>
            <w:r>
              <w:rPr>
                <w:b/>
                <w:color w:val="1C3A36"/>
                <w:sz w:val="17"/>
              </w:rPr>
              <w:t>6,688.5</w:t>
            </w:r>
          </w:p>
        </w:tc>
        <w:tc>
          <w:tcPr>
            <w:tcW w:type="dxa" w:w="2160"/>
            <w:shd w:val="clear" w:color="auto" w:fill="F6F1E6"/>
          </w:tcPr>
          <w:p>
            <w:pPr>
              <w:spacing w:after="20"/>
              <w:jc w:val="right"/>
            </w:pPr>
            <w:r>
              <w:rPr>
                <w:b/>
                <w:color w:val="1C3A36"/>
                <w:sz w:val="17"/>
              </w:rPr>
              <w:t>7,605.7</w:t>
            </w:r>
          </w:p>
        </w:tc>
      </w:tr>
      <w:tr>
        <w:tc>
          <w:tcPr>
            <w:tcW w:type="dxa" w:w="3744"/>
          </w:tcPr>
          <w:p>
            <w:pPr>
              <w:spacing w:after="20"/>
            </w:pPr>
            <w:r>
              <w:rPr>
                <w:b/>
                <w:color w:val="1C3A36"/>
                <w:sz w:val="17"/>
              </w:rPr>
              <w:t>Foreign-exchange gains (losses)</w:t>
            </w:r>
          </w:p>
        </w:tc>
        <w:tc>
          <w:tcPr>
            <w:tcW w:type="dxa" w:w="2160"/>
          </w:tcPr>
          <w:p>
            <w:pPr>
              <w:spacing w:after="20"/>
              <w:jc w:val="right"/>
            </w:pPr>
            <w:r>
              <w:rPr>
                <w:color w:val="1C3A36"/>
                <w:sz w:val="17"/>
              </w:rPr>
              <w:t>-1,499.2</w:t>
            </w:r>
          </w:p>
        </w:tc>
        <w:tc>
          <w:tcPr>
            <w:tcW w:type="dxa" w:w="2160"/>
          </w:tcPr>
          <w:p>
            <w:pPr>
              <w:spacing w:after="20"/>
              <w:jc w:val="right"/>
            </w:pPr>
            <w:r>
              <w:rPr>
                <w:color w:val="1C3A36"/>
                <w:sz w:val="17"/>
              </w:rPr>
              <w:t>-291.6</w:t>
            </w:r>
          </w:p>
        </w:tc>
        <w:tc>
          <w:tcPr>
            <w:tcW w:type="dxa" w:w="2160"/>
          </w:tcPr>
          <w:p>
            <w:pPr>
              <w:spacing w:after="20"/>
              <w:jc w:val="right"/>
            </w:pPr>
            <w:r>
              <w:rPr>
                <w:color w:val="1C3A36"/>
                <w:sz w:val="17"/>
              </w:rPr>
              <w:t>-37.1</w:t>
            </w:r>
          </w:p>
        </w:tc>
      </w:tr>
      <w:tr>
        <w:tc>
          <w:tcPr>
            <w:tcW w:type="dxa" w:w="3744"/>
          </w:tcPr>
          <w:p>
            <w:pPr>
              <w:spacing w:after="20"/>
            </w:pPr>
            <w:r>
              <w:rPr>
                <w:b/>
                <w:color w:val="1C3A36"/>
                <w:sz w:val="17"/>
              </w:rPr>
              <w:t>Net finance cost</w:t>
            </w:r>
          </w:p>
        </w:tc>
        <w:tc>
          <w:tcPr>
            <w:tcW w:type="dxa" w:w="2160"/>
          </w:tcPr>
          <w:p>
            <w:pPr>
              <w:spacing w:after="20"/>
              <w:jc w:val="right"/>
            </w:pPr>
            <w:r>
              <w:rPr>
                <w:color w:val="1C3A36"/>
                <w:sz w:val="17"/>
              </w:rPr>
              <w:t>-965.8</w:t>
            </w:r>
          </w:p>
        </w:tc>
        <w:tc>
          <w:tcPr>
            <w:tcW w:type="dxa" w:w="2160"/>
          </w:tcPr>
          <w:p>
            <w:pPr>
              <w:spacing w:after="20"/>
              <w:jc w:val="right"/>
            </w:pPr>
            <w:r>
              <w:rPr>
                <w:color w:val="1C3A36"/>
                <w:sz w:val="17"/>
              </w:rPr>
              <w:t>-2,397.8</w:t>
            </w:r>
          </w:p>
        </w:tc>
        <w:tc>
          <w:tcPr>
            <w:tcW w:type="dxa" w:w="2160"/>
          </w:tcPr>
          <w:p>
            <w:pPr>
              <w:spacing w:after="20"/>
              <w:jc w:val="right"/>
            </w:pPr>
            <w:r>
              <w:rPr>
                <w:color w:val="1C3A36"/>
                <w:sz w:val="17"/>
              </w:rPr>
              <w:t>-3,702.1</w:t>
            </w:r>
          </w:p>
        </w:tc>
      </w:tr>
      <w:tr>
        <w:tc>
          <w:tcPr>
            <w:tcW w:type="dxa" w:w="3744"/>
            <w:shd w:val="clear" w:color="auto" w:fill="F6F1E6"/>
          </w:tcPr>
          <w:p>
            <w:pPr>
              <w:spacing w:after="20"/>
            </w:pPr>
            <w:r>
              <w:rPr>
                <w:b/>
                <w:color w:val="1C3A36"/>
                <w:sz w:val="17"/>
              </w:rPr>
              <w:t>Profit before tax</w:t>
            </w:r>
          </w:p>
        </w:tc>
        <w:tc>
          <w:tcPr>
            <w:tcW w:type="dxa" w:w="2160"/>
            <w:shd w:val="clear" w:color="auto" w:fill="F6F1E6"/>
          </w:tcPr>
          <w:p>
            <w:pPr>
              <w:spacing w:after="20"/>
              <w:jc w:val="right"/>
            </w:pPr>
            <w:r>
              <w:rPr>
                <w:b/>
                <w:color w:val="1C3A36"/>
                <w:sz w:val="17"/>
              </w:rPr>
              <w:t>2,304.7</w:t>
            </w:r>
          </w:p>
        </w:tc>
        <w:tc>
          <w:tcPr>
            <w:tcW w:type="dxa" w:w="2160"/>
            <w:shd w:val="clear" w:color="auto" w:fill="F6F1E6"/>
          </w:tcPr>
          <w:p>
            <w:pPr>
              <w:spacing w:after="20"/>
              <w:jc w:val="right"/>
            </w:pPr>
            <w:r>
              <w:rPr>
                <w:b/>
                <w:color w:val="1C3A36"/>
                <w:sz w:val="17"/>
              </w:rPr>
              <w:t>3,999.1</w:t>
            </w:r>
          </w:p>
        </w:tc>
        <w:tc>
          <w:tcPr>
            <w:tcW w:type="dxa" w:w="2160"/>
            <w:shd w:val="clear" w:color="auto" w:fill="F6F1E6"/>
          </w:tcPr>
          <w:p>
            <w:pPr>
              <w:spacing w:after="20"/>
              <w:jc w:val="right"/>
            </w:pPr>
            <w:r>
              <w:rPr>
                <w:b/>
                <w:color w:val="1C3A36"/>
                <w:sz w:val="17"/>
              </w:rPr>
              <w:t>3,866.5</w:t>
            </w:r>
          </w:p>
        </w:tc>
      </w:tr>
      <w:tr>
        <w:tc>
          <w:tcPr>
            <w:tcW w:type="dxa" w:w="3744"/>
          </w:tcPr>
          <w:p>
            <w:pPr>
              <w:spacing w:after="20"/>
            </w:pPr>
            <w:r>
              <w:rPr>
                <w:b/>
                <w:color w:val="1C3A36"/>
                <w:sz w:val="17"/>
              </w:rPr>
              <w:t>Income tax</w:t>
            </w:r>
          </w:p>
        </w:tc>
        <w:tc>
          <w:tcPr>
            <w:tcW w:type="dxa" w:w="2160"/>
          </w:tcPr>
          <w:p>
            <w:pPr>
              <w:spacing w:after="20"/>
              <w:jc w:val="right"/>
            </w:pPr>
            <w:r>
              <w:rPr>
                <w:color w:val="1C3A36"/>
                <w:sz w:val="17"/>
              </w:rPr>
              <w:t>-493.2</w:t>
            </w:r>
          </w:p>
        </w:tc>
        <w:tc>
          <w:tcPr>
            <w:tcW w:type="dxa" w:w="2160"/>
          </w:tcPr>
          <w:p>
            <w:pPr>
              <w:spacing w:after="20"/>
              <w:jc w:val="right"/>
            </w:pPr>
            <w:r>
              <w:rPr>
                <w:color w:val="1C3A36"/>
                <w:sz w:val="17"/>
              </w:rPr>
              <w:t>-939.2</w:t>
            </w:r>
          </w:p>
        </w:tc>
        <w:tc>
          <w:tcPr>
            <w:tcW w:type="dxa" w:w="2160"/>
          </w:tcPr>
          <w:p>
            <w:pPr>
              <w:spacing w:after="20"/>
              <w:jc w:val="right"/>
            </w:pPr>
            <w:r>
              <w:rPr>
                <w:color w:val="1C3A36"/>
                <w:sz w:val="17"/>
              </w:rPr>
              <w:t>-1,086.1</w:t>
            </w:r>
          </w:p>
        </w:tc>
      </w:tr>
      <w:tr>
        <w:tc>
          <w:tcPr>
            <w:tcW w:type="dxa" w:w="3744"/>
            <w:shd w:val="clear" w:color="auto" w:fill="F6F1E6"/>
          </w:tcPr>
          <w:p>
            <w:pPr>
              <w:spacing w:after="20"/>
            </w:pPr>
            <w:r>
              <w:rPr>
                <w:b/>
                <w:color w:val="1C3A36"/>
                <w:sz w:val="17"/>
              </w:rPr>
              <w:t>Profit before minority interest</w:t>
            </w:r>
          </w:p>
        </w:tc>
        <w:tc>
          <w:tcPr>
            <w:tcW w:type="dxa" w:w="2160"/>
            <w:shd w:val="clear" w:color="auto" w:fill="F6F1E6"/>
          </w:tcPr>
          <w:p>
            <w:pPr>
              <w:spacing w:after="20"/>
              <w:jc w:val="right"/>
            </w:pPr>
            <w:r>
              <w:rPr>
                <w:b/>
                <w:color w:val="1C3A36"/>
                <w:sz w:val="17"/>
              </w:rPr>
              <w:t>1,811.4</w:t>
            </w:r>
          </w:p>
        </w:tc>
        <w:tc>
          <w:tcPr>
            <w:tcW w:type="dxa" w:w="2160"/>
            <w:shd w:val="clear" w:color="auto" w:fill="F6F1E6"/>
          </w:tcPr>
          <w:p>
            <w:pPr>
              <w:spacing w:after="20"/>
              <w:jc w:val="right"/>
            </w:pPr>
            <w:r>
              <w:rPr>
                <w:b/>
                <w:color w:val="1C3A36"/>
                <w:sz w:val="17"/>
              </w:rPr>
              <w:t>3,059.9</w:t>
            </w:r>
          </w:p>
        </w:tc>
        <w:tc>
          <w:tcPr>
            <w:tcW w:type="dxa" w:w="2160"/>
            <w:shd w:val="clear" w:color="auto" w:fill="F6F1E6"/>
          </w:tcPr>
          <w:p>
            <w:pPr>
              <w:spacing w:after="20"/>
              <w:jc w:val="right"/>
            </w:pPr>
            <w:r>
              <w:rPr>
                <w:b/>
                <w:color w:val="1C3A36"/>
                <w:sz w:val="17"/>
              </w:rPr>
              <w:t>2,780.5</w:t>
            </w:r>
          </w:p>
        </w:tc>
      </w:tr>
      <w:tr>
        <w:tc>
          <w:tcPr>
            <w:tcW w:type="dxa" w:w="3744"/>
          </w:tcPr>
          <w:p>
            <w:pPr>
              <w:spacing w:after="20"/>
            </w:pPr>
            <w:r>
              <w:rPr>
                <w:b/>
                <w:color w:val="1C3A36"/>
                <w:sz w:val="17"/>
              </w:rPr>
              <w:t>Minority interest</w:t>
            </w:r>
          </w:p>
        </w:tc>
        <w:tc>
          <w:tcPr>
            <w:tcW w:type="dxa" w:w="2160"/>
          </w:tcPr>
          <w:p>
            <w:pPr>
              <w:spacing w:after="20"/>
              <w:jc w:val="right"/>
            </w:pPr>
            <w:r>
              <w:rPr>
                <w:color w:val="1C3A36"/>
                <w:sz w:val="17"/>
              </w:rPr>
              <w:t>79.3</w:t>
            </w:r>
          </w:p>
        </w:tc>
        <w:tc>
          <w:tcPr>
            <w:tcW w:type="dxa" w:w="2160"/>
          </w:tcPr>
          <w:p>
            <w:pPr>
              <w:spacing w:after="20"/>
              <w:jc w:val="right"/>
            </w:pPr>
            <w:r>
              <w:rPr>
                <w:color w:val="1C3A36"/>
                <w:sz w:val="17"/>
              </w:rPr>
              <w:t>-131.8</w:t>
            </w:r>
          </w:p>
        </w:tc>
        <w:tc>
          <w:tcPr>
            <w:tcW w:type="dxa" w:w="2160"/>
          </w:tcPr>
          <w:p>
            <w:pPr>
              <w:spacing w:after="20"/>
              <w:jc w:val="right"/>
            </w:pPr>
            <w:r>
              <w:rPr>
                <w:color w:val="1C3A36"/>
                <w:sz w:val="17"/>
              </w:rPr>
              <w:t>99.6</w:t>
            </w:r>
          </w:p>
        </w:tc>
      </w:tr>
      <w:tr>
        <w:tc>
          <w:tcPr>
            <w:tcW w:type="dxa" w:w="3744"/>
            <w:shd w:val="clear" w:color="auto" w:fill="F6F1E6"/>
          </w:tcPr>
          <w:p>
            <w:pPr>
              <w:spacing w:after="20"/>
            </w:pPr>
            <w:r>
              <w:rPr>
                <w:b/>
                <w:color w:val="1C3A36"/>
                <w:sz w:val="17"/>
              </w:rPr>
              <w:t>Profit attributable to the parent</w:t>
            </w:r>
          </w:p>
        </w:tc>
        <w:tc>
          <w:tcPr>
            <w:tcW w:type="dxa" w:w="2160"/>
            <w:shd w:val="clear" w:color="auto" w:fill="F6F1E6"/>
          </w:tcPr>
          <w:p>
            <w:pPr>
              <w:spacing w:after="20"/>
              <w:jc w:val="right"/>
            </w:pPr>
            <w:r>
              <w:rPr>
                <w:b/>
                <w:color w:val="1C3A36"/>
                <w:sz w:val="17"/>
              </w:rPr>
              <w:t>1,890.8</w:t>
            </w:r>
          </w:p>
        </w:tc>
        <w:tc>
          <w:tcPr>
            <w:tcW w:type="dxa" w:w="2160"/>
            <w:shd w:val="clear" w:color="auto" w:fill="F6F1E6"/>
          </w:tcPr>
          <w:p>
            <w:pPr>
              <w:spacing w:after="20"/>
              <w:jc w:val="right"/>
            </w:pPr>
            <w:r>
              <w:rPr>
                <w:b/>
                <w:color w:val="1C3A36"/>
                <w:sz w:val="17"/>
              </w:rPr>
              <w:t>2,928.1</w:t>
            </w:r>
          </w:p>
        </w:tc>
        <w:tc>
          <w:tcPr>
            <w:tcW w:type="dxa" w:w="2160"/>
            <w:shd w:val="clear" w:color="auto" w:fill="F6F1E6"/>
          </w:tcPr>
          <w:p>
            <w:pPr>
              <w:spacing w:after="20"/>
              <w:jc w:val="right"/>
            </w:pPr>
            <w:r>
              <w:rPr>
                <w:b/>
                <w:color w:val="1C3A36"/>
                <w:sz w:val="17"/>
              </w:rPr>
              <w:t>2,880.0</w:t>
            </w:r>
          </w:p>
        </w:tc>
      </w:tr>
      <w:tr>
        <w:tc>
          <w:tcPr>
            <w:tcW w:type="dxa" w:w="3744"/>
          </w:tcPr>
          <w:p>
            <w:pPr>
              <w:spacing w:after="20"/>
            </w:pPr>
            <w:r>
              <w:rPr>
                <w:b/>
                <w:color w:val="1C3A36"/>
                <w:sz w:val="17"/>
              </w:rPr>
              <w:t>Gross margin</w:t>
            </w:r>
          </w:p>
        </w:tc>
        <w:tc>
          <w:tcPr>
            <w:tcW w:type="dxa" w:w="2160"/>
          </w:tcPr>
          <w:p>
            <w:pPr>
              <w:spacing w:after="20"/>
              <w:jc w:val="right"/>
            </w:pPr>
            <w:r>
              <w:rPr>
                <w:color w:val="1C3A36"/>
                <w:sz w:val="17"/>
              </w:rPr>
              <w:t>24.31%</w:t>
            </w:r>
          </w:p>
        </w:tc>
        <w:tc>
          <w:tcPr>
            <w:tcW w:type="dxa" w:w="2160"/>
          </w:tcPr>
          <w:p>
            <w:pPr>
              <w:spacing w:after="20"/>
              <w:jc w:val="right"/>
            </w:pPr>
            <w:r>
              <w:rPr>
                <w:color w:val="1C3A36"/>
                <w:sz w:val="17"/>
              </w:rPr>
              <w:t>19.48%</w:t>
            </w:r>
          </w:p>
        </w:tc>
        <w:tc>
          <w:tcPr>
            <w:tcW w:type="dxa" w:w="2160"/>
          </w:tcPr>
          <w:p>
            <w:pPr>
              <w:spacing w:after="20"/>
              <w:jc w:val="right"/>
            </w:pPr>
            <w:r>
              <w:rPr>
                <w:color w:val="1C3A36"/>
                <w:sz w:val="17"/>
              </w:rPr>
              <w:t>15.49%</w:t>
            </w:r>
          </w:p>
        </w:tc>
      </w:tr>
      <w:tr>
        <w:tc>
          <w:tcPr>
            <w:tcW w:type="dxa" w:w="3744"/>
          </w:tcPr>
          <w:p>
            <w:pPr>
              <w:spacing w:after="20"/>
            </w:pPr>
            <w:r>
              <w:rPr>
                <w:b/>
                <w:color w:val="1C3A36"/>
                <w:sz w:val="17"/>
              </w:rPr>
              <w:t>Net margin</w:t>
            </w:r>
          </w:p>
        </w:tc>
        <w:tc>
          <w:tcPr>
            <w:tcW w:type="dxa" w:w="2160"/>
          </w:tcPr>
          <w:p>
            <w:pPr>
              <w:spacing w:after="20"/>
              <w:jc w:val="right"/>
            </w:pPr>
            <w:r>
              <w:rPr>
                <w:color w:val="1C3A36"/>
                <w:sz w:val="17"/>
              </w:rPr>
              <w:t>6.68%</w:t>
            </w:r>
          </w:p>
        </w:tc>
        <w:tc>
          <w:tcPr>
            <w:tcW w:type="dxa" w:w="2160"/>
          </w:tcPr>
          <w:p>
            <w:pPr>
              <w:spacing w:after="20"/>
              <w:jc w:val="right"/>
            </w:pPr>
            <w:r>
              <w:rPr>
                <w:color w:val="1C3A36"/>
                <w:sz w:val="17"/>
              </w:rPr>
              <w:t>5.43%</w:t>
            </w:r>
          </w:p>
        </w:tc>
        <w:tc>
          <w:tcPr>
            <w:tcW w:type="dxa" w:w="2160"/>
          </w:tcPr>
          <w:p>
            <w:pPr>
              <w:spacing w:after="20"/>
              <w:jc w:val="right"/>
            </w:pPr>
            <w:r>
              <w:rPr>
                <w:color w:val="1C3A36"/>
                <w:sz w:val="17"/>
              </w:rPr>
              <w:t>3.59%</w:t>
            </w:r>
          </w:p>
        </w:tc>
      </w:tr>
      <w:tr>
        <w:tc>
          <w:tcPr>
            <w:tcW w:type="dxa" w:w="3744"/>
          </w:tcPr>
          <w:p>
            <w:pPr>
              <w:spacing w:after="20"/>
            </w:pPr>
            <w:r>
              <w:rPr>
                <w:b/>
                <w:color w:val="1C3A36"/>
                <w:sz w:val="17"/>
              </w:rPr>
              <w:t>Earnings per share (EGP)</w:t>
            </w:r>
          </w:p>
        </w:tc>
        <w:tc>
          <w:tcPr>
            <w:tcW w:type="dxa" w:w="2160"/>
          </w:tcPr>
          <w:p>
            <w:pPr>
              <w:spacing w:after="20"/>
              <w:jc w:val="right"/>
            </w:pPr>
            <w:r>
              <w:rPr>
                <w:color w:val="1C3A36"/>
                <w:sz w:val="17"/>
              </w:rPr>
              <w:t>1.74</w:t>
            </w:r>
          </w:p>
        </w:tc>
        <w:tc>
          <w:tcPr>
            <w:tcW w:type="dxa" w:w="2160"/>
          </w:tcPr>
          <w:p>
            <w:pPr>
              <w:spacing w:after="20"/>
              <w:jc w:val="right"/>
            </w:pPr>
            <w:r>
              <w:rPr>
                <w:color w:val="1C3A36"/>
                <w:sz w:val="17"/>
              </w:rPr>
              <w:t>2.70</w:t>
            </w:r>
          </w:p>
        </w:tc>
        <w:tc>
          <w:tcPr>
            <w:tcW w:type="dxa" w:w="2160"/>
          </w:tcPr>
          <w:p>
            <w:pPr>
              <w:spacing w:after="20"/>
              <w:jc w:val="right"/>
            </w:pPr>
            <w:r>
              <w:rPr>
                <w:color w:val="1C3A36"/>
                <w:sz w:val="17"/>
              </w:rPr>
              <w:t>2.65</w:t>
            </w:r>
          </w:p>
        </w:tc>
      </w:tr>
    </w:tbl>
    <w:p>
      <w:pPr>
        <w:spacing w:after="40"/>
      </w:pPr>
    </w:p>
    <w:p>
      <w:pPr>
        <w:spacing w:after="200" w:before="0"/>
      </w:pPr>
      <w:r>
        <w:rPr>
          <w:b w:val="0"/>
          <w:i/>
          <w:color w:val="6E7B77"/>
          <w:sz w:val="17"/>
        </w:rPr>
        <w:t>Table A1 — the consolidated income statement as the company reported it, one column per year, every figure read from the study’s committed record. Deductions are printed as the negative figures the statement carries, so a reader adding the column reaches the subtotal beneath it. Sources: FY2023 — GB_Corp_ER_4Q23_-_ER_-_FINAL.pdf, 2024-03-01; FY2024 — GB_Corp_ER_4Q24-_E_-_Final.pdf, 2025-02-01; FY2025 — GB_Corp_ER_4Q25-_E_-_Final.pdf, 2026-02-26.</w:t>
      </w:r>
    </w:p>
    <w:p>
      <w:pPr>
        <w:spacing w:after="80" w:before="200"/>
      </w:pPr>
      <w:r>
        <w:rPr>
          <w:b/>
          <w:i w:val="0"/>
          <w:color w:val="1C3A36"/>
          <w:sz w:val="24"/>
        </w:rPr>
        <w:t>A.3  Income statement —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3096"/>
            <w:shd w:val="clear" w:color="auto" w:fill="EAF0EE"/>
          </w:tcPr>
          <w:p>
            <w:pPr>
              <w:spacing w:after="20"/>
            </w:pPr>
            <w:r>
              <w:rPr>
                <w:b/>
                <w:color w:val="1C3A36"/>
                <w:sz w:val="16"/>
              </w:rPr>
              <w:t>Line</w:t>
            </w:r>
          </w:p>
        </w:tc>
        <w:tc>
          <w:tcPr>
            <w:tcW w:type="dxa" w:w="1296"/>
            <w:shd w:val="clear" w:color="auto" w:fill="EAF0EE"/>
          </w:tcPr>
          <w:p>
            <w:pPr>
              <w:spacing w:after="20"/>
            </w:pPr>
            <w:r>
              <w:rPr>
                <w:b/>
                <w:color w:val="1C3A36"/>
                <w:sz w:val="16"/>
              </w:rPr>
              <w:t>FY2026</w:t>
            </w:r>
          </w:p>
        </w:tc>
        <w:tc>
          <w:tcPr>
            <w:tcW w:type="dxa" w:w="1296"/>
            <w:shd w:val="clear" w:color="auto" w:fill="EAF0EE"/>
          </w:tcPr>
          <w:p>
            <w:pPr>
              <w:spacing w:after="20"/>
            </w:pPr>
            <w:r>
              <w:rPr>
                <w:b/>
                <w:color w:val="1C3A36"/>
                <w:sz w:val="16"/>
              </w:rPr>
              <w:t>FY2027</w:t>
            </w:r>
          </w:p>
        </w:tc>
        <w:tc>
          <w:tcPr>
            <w:tcW w:type="dxa" w:w="1296"/>
            <w:shd w:val="clear" w:color="auto" w:fill="EAF0EE"/>
          </w:tcPr>
          <w:p>
            <w:pPr>
              <w:spacing w:after="20"/>
            </w:pPr>
            <w:r>
              <w:rPr>
                <w:b/>
                <w:color w:val="1C3A36"/>
                <w:sz w:val="16"/>
              </w:rPr>
              <w:t>FY2028</w:t>
            </w:r>
          </w:p>
        </w:tc>
        <w:tc>
          <w:tcPr>
            <w:tcW w:type="dxa" w:w="1296"/>
            <w:shd w:val="clear" w:color="auto" w:fill="EAF0EE"/>
          </w:tcPr>
          <w:p>
            <w:pPr>
              <w:spacing w:after="20"/>
            </w:pPr>
            <w:r>
              <w:rPr>
                <w:b/>
                <w:color w:val="1C3A36"/>
                <w:sz w:val="16"/>
              </w:rPr>
              <w:t>FY2029</w:t>
            </w:r>
          </w:p>
        </w:tc>
        <w:tc>
          <w:tcPr>
            <w:tcW w:type="dxa" w:w="1296"/>
            <w:shd w:val="clear" w:color="auto" w:fill="EAF0EE"/>
          </w:tcPr>
          <w:p>
            <w:pPr>
              <w:spacing w:after="20"/>
            </w:pPr>
            <w:r>
              <w:rPr>
                <w:b/>
                <w:color w:val="1C3A36"/>
                <w:sz w:val="16"/>
              </w:rPr>
              <w:t>FY2030</w:t>
            </w:r>
          </w:p>
        </w:tc>
      </w:tr>
      <w:tr>
        <w:tc>
          <w:tcPr>
            <w:tcW w:type="dxa" w:w="3096"/>
          </w:tcPr>
          <w:p>
            <w:pPr>
              <w:spacing w:after="20"/>
            </w:pPr>
            <w:r>
              <w:rPr>
                <w:b/>
                <w:color w:val="1C3A36"/>
                <w:sz w:val="16"/>
              </w:rPr>
              <w:t>GB Auto revenue</w:t>
            </w:r>
          </w:p>
        </w:tc>
        <w:tc>
          <w:tcPr>
            <w:tcW w:type="dxa" w:w="1296"/>
          </w:tcPr>
          <w:p>
            <w:pPr>
              <w:spacing w:after="20"/>
              <w:jc w:val="right"/>
            </w:pPr>
            <w:r>
              <w:rPr>
                <w:color w:val="1C3A36"/>
                <w:sz w:val="16"/>
              </w:rPr>
              <w:t>78,550</w:t>
            </w:r>
          </w:p>
        </w:tc>
        <w:tc>
          <w:tcPr>
            <w:tcW w:type="dxa" w:w="1296"/>
          </w:tcPr>
          <w:p>
            <w:pPr>
              <w:spacing w:after="20"/>
              <w:jc w:val="right"/>
            </w:pPr>
            <w:r>
              <w:rPr>
                <w:color w:val="1C3A36"/>
                <w:sz w:val="16"/>
              </w:rPr>
              <w:t>95,736</w:t>
            </w:r>
          </w:p>
        </w:tc>
        <w:tc>
          <w:tcPr>
            <w:tcW w:type="dxa" w:w="1296"/>
          </w:tcPr>
          <w:p>
            <w:pPr>
              <w:spacing w:after="20"/>
              <w:jc w:val="right"/>
            </w:pPr>
            <w:r>
              <w:rPr>
                <w:color w:val="1C3A36"/>
                <w:sz w:val="16"/>
              </w:rPr>
              <w:t>112,459</w:t>
            </w:r>
          </w:p>
        </w:tc>
        <w:tc>
          <w:tcPr>
            <w:tcW w:type="dxa" w:w="1296"/>
          </w:tcPr>
          <w:p>
            <w:pPr>
              <w:spacing w:after="20"/>
              <w:jc w:val="right"/>
            </w:pPr>
            <w:r>
              <w:rPr>
                <w:color w:val="1C3A36"/>
                <w:sz w:val="16"/>
              </w:rPr>
              <w:t>128,714</w:t>
            </w:r>
          </w:p>
        </w:tc>
        <w:tc>
          <w:tcPr>
            <w:tcW w:type="dxa" w:w="1296"/>
          </w:tcPr>
          <w:p>
            <w:pPr>
              <w:spacing w:after="20"/>
              <w:jc w:val="right"/>
            </w:pPr>
            <w:r>
              <w:rPr>
                <w:color w:val="1C3A36"/>
                <w:sz w:val="16"/>
              </w:rPr>
              <w:t>144,761</w:t>
            </w:r>
          </w:p>
        </w:tc>
      </w:tr>
      <w:tr>
        <w:tc>
          <w:tcPr>
            <w:tcW w:type="dxa" w:w="3096"/>
          </w:tcPr>
          <w:p>
            <w:pPr>
              <w:spacing w:after="20"/>
            </w:pPr>
            <w:r>
              <w:rPr>
                <w:b/>
                <w:color w:val="1C3A36"/>
                <w:sz w:val="16"/>
              </w:rPr>
              <w:t>GB Capital revenue</w:t>
            </w:r>
          </w:p>
        </w:tc>
        <w:tc>
          <w:tcPr>
            <w:tcW w:type="dxa" w:w="1296"/>
          </w:tcPr>
          <w:p>
            <w:pPr>
              <w:spacing w:after="20"/>
              <w:jc w:val="right"/>
            </w:pPr>
            <w:r>
              <w:rPr>
                <w:color w:val="1C3A36"/>
                <w:sz w:val="16"/>
              </w:rPr>
              <w:t>21,377</w:t>
            </w:r>
          </w:p>
        </w:tc>
        <w:tc>
          <w:tcPr>
            <w:tcW w:type="dxa" w:w="1296"/>
          </w:tcPr>
          <w:p>
            <w:pPr>
              <w:spacing w:after="20"/>
              <w:jc w:val="right"/>
            </w:pPr>
            <w:r>
              <w:rPr>
                <w:color w:val="1C3A36"/>
                <w:sz w:val="16"/>
              </w:rPr>
              <w:t>27,791</w:t>
            </w:r>
          </w:p>
        </w:tc>
        <w:tc>
          <w:tcPr>
            <w:tcW w:type="dxa" w:w="1296"/>
          </w:tcPr>
          <w:p>
            <w:pPr>
              <w:spacing w:after="20"/>
              <w:jc w:val="right"/>
            </w:pPr>
            <w:r>
              <w:rPr>
                <w:color w:val="1C3A36"/>
                <w:sz w:val="16"/>
              </w:rPr>
              <w:t>34,738</w:t>
            </w:r>
          </w:p>
        </w:tc>
        <w:tc>
          <w:tcPr>
            <w:tcW w:type="dxa" w:w="1296"/>
          </w:tcPr>
          <w:p>
            <w:pPr>
              <w:spacing w:after="20"/>
              <w:jc w:val="right"/>
            </w:pPr>
            <w:r>
              <w:rPr>
                <w:color w:val="1C3A36"/>
                <w:sz w:val="16"/>
              </w:rPr>
              <w:t>41,686</w:t>
            </w:r>
          </w:p>
        </w:tc>
        <w:tc>
          <w:tcPr>
            <w:tcW w:type="dxa" w:w="1296"/>
          </w:tcPr>
          <w:p>
            <w:pPr>
              <w:spacing w:after="20"/>
              <w:jc w:val="right"/>
            </w:pPr>
            <w:r>
              <w:rPr>
                <w:color w:val="1C3A36"/>
                <w:sz w:val="16"/>
              </w:rPr>
              <w:t>49,189</w:t>
            </w:r>
          </w:p>
        </w:tc>
      </w:tr>
      <w:tr>
        <w:tc>
          <w:tcPr>
            <w:tcW w:type="dxa" w:w="3096"/>
          </w:tcPr>
          <w:p>
            <w:pPr>
              <w:spacing w:after="20"/>
            </w:pPr>
            <w:r>
              <w:rPr>
                <w:b/>
                <w:color w:val="1C3A36"/>
                <w:sz w:val="16"/>
              </w:rPr>
              <w:t>Intercompany eliminations</w:t>
            </w:r>
          </w:p>
        </w:tc>
        <w:tc>
          <w:tcPr>
            <w:tcW w:type="dxa" w:w="1296"/>
          </w:tcPr>
          <w:p>
            <w:pPr>
              <w:spacing w:after="20"/>
              <w:jc w:val="right"/>
            </w:pPr>
            <w:r>
              <w:rPr>
                <w:color w:val="1C3A36"/>
                <w:sz w:val="16"/>
              </w:rPr>
              <w:t>-1,099</w:t>
            </w:r>
          </w:p>
        </w:tc>
        <w:tc>
          <w:tcPr>
            <w:tcW w:type="dxa" w:w="1296"/>
          </w:tcPr>
          <w:p>
            <w:pPr>
              <w:spacing w:after="20"/>
              <w:jc w:val="right"/>
            </w:pPr>
            <w:r>
              <w:rPr>
                <w:color w:val="1C3A36"/>
                <w:sz w:val="16"/>
              </w:rPr>
              <w:t>-1,359</w:t>
            </w:r>
          </w:p>
        </w:tc>
        <w:tc>
          <w:tcPr>
            <w:tcW w:type="dxa" w:w="1296"/>
          </w:tcPr>
          <w:p>
            <w:pPr>
              <w:spacing w:after="20"/>
              <w:jc w:val="right"/>
            </w:pPr>
            <w:r>
              <w:rPr>
                <w:color w:val="1C3A36"/>
                <w:sz w:val="16"/>
              </w:rPr>
              <w:t>-1,619</w:t>
            </w:r>
          </w:p>
        </w:tc>
        <w:tc>
          <w:tcPr>
            <w:tcW w:type="dxa" w:w="1296"/>
          </w:tcPr>
          <w:p>
            <w:pPr>
              <w:spacing w:after="20"/>
              <w:jc w:val="right"/>
            </w:pPr>
            <w:r>
              <w:rPr>
                <w:color w:val="1C3A36"/>
                <w:sz w:val="16"/>
              </w:rPr>
              <w:t>-1,874</w:t>
            </w:r>
          </w:p>
        </w:tc>
        <w:tc>
          <w:tcPr>
            <w:tcW w:type="dxa" w:w="1296"/>
          </w:tcPr>
          <w:p>
            <w:pPr>
              <w:spacing w:after="20"/>
              <w:jc w:val="right"/>
            </w:pPr>
            <w:r>
              <w:rPr>
                <w:color w:val="1C3A36"/>
                <w:sz w:val="16"/>
              </w:rPr>
              <w:t>-2,133</w:t>
            </w:r>
          </w:p>
        </w:tc>
      </w:tr>
      <w:tr>
        <w:tc>
          <w:tcPr>
            <w:tcW w:type="dxa" w:w="3096"/>
            <w:shd w:val="clear" w:color="auto" w:fill="F6F1E6"/>
          </w:tcPr>
          <w:p>
            <w:pPr>
              <w:spacing w:after="20"/>
            </w:pPr>
            <w:r>
              <w:rPr>
                <w:b/>
                <w:color w:val="1C3A36"/>
                <w:sz w:val="16"/>
              </w:rPr>
              <w:t>Total revenue</w:t>
            </w:r>
          </w:p>
        </w:tc>
        <w:tc>
          <w:tcPr>
            <w:tcW w:type="dxa" w:w="1296"/>
            <w:shd w:val="clear" w:color="auto" w:fill="F6F1E6"/>
          </w:tcPr>
          <w:p>
            <w:pPr>
              <w:spacing w:after="20"/>
              <w:jc w:val="right"/>
            </w:pPr>
            <w:r>
              <w:rPr>
                <w:b/>
                <w:color w:val="1C3A36"/>
                <w:sz w:val="16"/>
              </w:rPr>
              <w:t>98,828</w:t>
            </w:r>
          </w:p>
        </w:tc>
        <w:tc>
          <w:tcPr>
            <w:tcW w:type="dxa" w:w="1296"/>
            <w:shd w:val="clear" w:color="auto" w:fill="F6F1E6"/>
          </w:tcPr>
          <w:p>
            <w:pPr>
              <w:spacing w:after="20"/>
              <w:jc w:val="right"/>
            </w:pPr>
            <w:r>
              <w:rPr>
                <w:b/>
                <w:color w:val="1C3A36"/>
                <w:sz w:val="16"/>
              </w:rPr>
              <w:t>122,168</w:t>
            </w:r>
          </w:p>
        </w:tc>
        <w:tc>
          <w:tcPr>
            <w:tcW w:type="dxa" w:w="1296"/>
            <w:shd w:val="clear" w:color="auto" w:fill="F6F1E6"/>
          </w:tcPr>
          <w:p>
            <w:pPr>
              <w:spacing w:after="20"/>
              <w:jc w:val="right"/>
            </w:pPr>
            <w:r>
              <w:rPr>
                <w:b/>
                <w:color w:val="1C3A36"/>
                <w:sz w:val="16"/>
              </w:rPr>
              <w:t>145,578</w:t>
            </w:r>
          </w:p>
        </w:tc>
        <w:tc>
          <w:tcPr>
            <w:tcW w:type="dxa" w:w="1296"/>
            <w:shd w:val="clear" w:color="auto" w:fill="F6F1E6"/>
          </w:tcPr>
          <w:p>
            <w:pPr>
              <w:spacing w:after="20"/>
              <w:jc w:val="right"/>
            </w:pPr>
            <w:r>
              <w:rPr>
                <w:b/>
                <w:color w:val="1C3A36"/>
                <w:sz w:val="16"/>
              </w:rPr>
              <w:t>168,525</w:t>
            </w:r>
          </w:p>
        </w:tc>
        <w:tc>
          <w:tcPr>
            <w:tcW w:type="dxa" w:w="1296"/>
            <w:shd w:val="clear" w:color="auto" w:fill="F6F1E6"/>
          </w:tcPr>
          <w:p>
            <w:pPr>
              <w:spacing w:after="20"/>
              <w:jc w:val="right"/>
            </w:pPr>
            <w:r>
              <w:rPr>
                <w:b/>
                <w:color w:val="1C3A36"/>
                <w:sz w:val="16"/>
              </w:rPr>
              <w:t>191,817</w:t>
            </w:r>
          </w:p>
        </w:tc>
      </w:tr>
      <w:tr>
        <w:tc>
          <w:tcPr>
            <w:tcW w:type="dxa" w:w="3096"/>
          </w:tcPr>
          <w:p>
            <w:pPr>
              <w:spacing w:after="20"/>
            </w:pPr>
            <w:r>
              <w:rPr>
                <w:b/>
                <w:color w:val="1C3A36"/>
                <w:sz w:val="16"/>
              </w:rPr>
              <w:t>Gross profit</w:t>
            </w:r>
          </w:p>
        </w:tc>
        <w:tc>
          <w:tcPr>
            <w:tcW w:type="dxa" w:w="1296"/>
          </w:tcPr>
          <w:p>
            <w:pPr>
              <w:spacing w:after="20"/>
              <w:jc w:val="right"/>
            </w:pPr>
            <w:r>
              <w:rPr>
                <w:color w:val="1C3A36"/>
                <w:sz w:val="16"/>
              </w:rPr>
              <w:t>14,639</w:t>
            </w:r>
          </w:p>
        </w:tc>
        <w:tc>
          <w:tcPr>
            <w:tcW w:type="dxa" w:w="1296"/>
          </w:tcPr>
          <w:p>
            <w:pPr>
              <w:spacing w:after="20"/>
              <w:jc w:val="right"/>
            </w:pPr>
            <w:r>
              <w:rPr>
                <w:color w:val="1C3A36"/>
                <w:sz w:val="16"/>
              </w:rPr>
              <w:t>18,603</w:t>
            </w:r>
          </w:p>
        </w:tc>
        <w:tc>
          <w:tcPr>
            <w:tcW w:type="dxa" w:w="1296"/>
          </w:tcPr>
          <w:p>
            <w:pPr>
              <w:spacing w:after="20"/>
              <w:jc w:val="right"/>
            </w:pPr>
            <w:r>
              <w:rPr>
                <w:color w:val="1C3A36"/>
                <w:sz w:val="16"/>
              </w:rPr>
              <w:t>22,653</w:t>
            </w:r>
          </w:p>
        </w:tc>
        <w:tc>
          <w:tcPr>
            <w:tcW w:type="dxa" w:w="1296"/>
          </w:tcPr>
          <w:p>
            <w:pPr>
              <w:spacing w:after="20"/>
              <w:jc w:val="right"/>
            </w:pPr>
            <w:r>
              <w:rPr>
                <w:color w:val="1C3A36"/>
                <w:sz w:val="16"/>
              </w:rPr>
              <w:t>26,376</w:t>
            </w:r>
          </w:p>
        </w:tc>
        <w:tc>
          <w:tcPr>
            <w:tcW w:type="dxa" w:w="1296"/>
          </w:tcPr>
          <w:p>
            <w:pPr>
              <w:spacing w:after="20"/>
              <w:jc w:val="right"/>
            </w:pPr>
            <w:r>
              <w:rPr>
                <w:color w:val="1C3A36"/>
                <w:sz w:val="16"/>
              </w:rPr>
              <w:t>30,205</w:t>
            </w:r>
          </w:p>
        </w:tc>
      </w:tr>
      <w:tr>
        <w:tc>
          <w:tcPr>
            <w:tcW w:type="dxa" w:w="3096"/>
          </w:tcPr>
          <w:p>
            <w:pPr>
              <w:spacing w:after="20"/>
            </w:pPr>
            <w:r>
              <w:rPr>
                <w:b/>
                <w:color w:val="1C3A36"/>
                <w:sz w:val="16"/>
              </w:rPr>
              <w:t>Selling and administration</w:t>
            </w:r>
          </w:p>
        </w:tc>
        <w:tc>
          <w:tcPr>
            <w:tcW w:type="dxa" w:w="1296"/>
          </w:tcPr>
          <w:p>
            <w:pPr>
              <w:spacing w:after="20"/>
              <w:jc w:val="right"/>
            </w:pPr>
            <w:r>
              <w:rPr>
                <w:color w:val="1C3A36"/>
                <w:sz w:val="16"/>
              </w:rPr>
              <w:t>-7,906</w:t>
            </w:r>
          </w:p>
        </w:tc>
        <w:tc>
          <w:tcPr>
            <w:tcW w:type="dxa" w:w="1296"/>
          </w:tcPr>
          <w:p>
            <w:pPr>
              <w:spacing w:after="20"/>
              <w:jc w:val="right"/>
            </w:pPr>
            <w:r>
              <w:rPr>
                <w:color w:val="1C3A36"/>
                <w:sz w:val="16"/>
              </w:rPr>
              <w:t>-9,651</w:t>
            </w:r>
          </w:p>
        </w:tc>
        <w:tc>
          <w:tcPr>
            <w:tcW w:type="dxa" w:w="1296"/>
          </w:tcPr>
          <w:p>
            <w:pPr>
              <w:spacing w:after="20"/>
              <w:jc w:val="right"/>
            </w:pPr>
            <w:r>
              <w:rPr>
                <w:color w:val="1C3A36"/>
                <w:sz w:val="16"/>
              </w:rPr>
              <w:t>-11,355</w:t>
            </w:r>
          </w:p>
        </w:tc>
        <w:tc>
          <w:tcPr>
            <w:tcW w:type="dxa" w:w="1296"/>
          </w:tcPr>
          <w:p>
            <w:pPr>
              <w:spacing w:after="20"/>
              <w:jc w:val="right"/>
            </w:pPr>
            <w:r>
              <w:rPr>
                <w:color w:val="1C3A36"/>
                <w:sz w:val="16"/>
              </w:rPr>
              <w:t>-13,061</w:t>
            </w:r>
          </w:p>
        </w:tc>
        <w:tc>
          <w:tcPr>
            <w:tcW w:type="dxa" w:w="1296"/>
          </w:tcPr>
          <w:p>
            <w:pPr>
              <w:spacing w:after="20"/>
              <w:jc w:val="right"/>
            </w:pPr>
            <w:r>
              <w:rPr>
                <w:color w:val="1C3A36"/>
                <w:sz w:val="16"/>
              </w:rPr>
              <w:t>-14,770</w:t>
            </w:r>
          </w:p>
        </w:tc>
      </w:tr>
      <w:tr>
        <w:tc>
          <w:tcPr>
            <w:tcW w:type="dxa" w:w="3096"/>
          </w:tcPr>
          <w:p>
            <w:pPr>
              <w:spacing w:after="20"/>
            </w:pPr>
            <w:r>
              <w:rPr>
                <w:b/>
                <w:color w:val="1C3A36"/>
                <w:sz w:val="16"/>
              </w:rPr>
              <w:t>Other income</w:t>
            </w:r>
          </w:p>
        </w:tc>
        <w:tc>
          <w:tcPr>
            <w:tcW w:type="dxa" w:w="1296"/>
          </w:tcPr>
          <w:p>
            <w:pPr>
              <w:spacing w:after="20"/>
              <w:jc w:val="right"/>
            </w:pPr>
            <w:r>
              <w:rPr>
                <w:color w:val="1C3A36"/>
                <w:sz w:val="16"/>
              </w:rPr>
              <w:t>1,087</w:t>
            </w:r>
          </w:p>
        </w:tc>
        <w:tc>
          <w:tcPr>
            <w:tcW w:type="dxa" w:w="1296"/>
          </w:tcPr>
          <w:p>
            <w:pPr>
              <w:spacing w:after="20"/>
              <w:jc w:val="right"/>
            </w:pPr>
            <w:r>
              <w:rPr>
                <w:color w:val="1C3A36"/>
                <w:sz w:val="16"/>
              </w:rPr>
              <w:t>1,344</w:t>
            </w:r>
          </w:p>
        </w:tc>
        <w:tc>
          <w:tcPr>
            <w:tcW w:type="dxa" w:w="1296"/>
          </w:tcPr>
          <w:p>
            <w:pPr>
              <w:spacing w:after="20"/>
              <w:jc w:val="right"/>
            </w:pPr>
            <w:r>
              <w:rPr>
                <w:color w:val="1C3A36"/>
                <w:sz w:val="16"/>
              </w:rPr>
              <w:t>1,601</w:t>
            </w:r>
          </w:p>
        </w:tc>
        <w:tc>
          <w:tcPr>
            <w:tcW w:type="dxa" w:w="1296"/>
          </w:tcPr>
          <w:p>
            <w:pPr>
              <w:spacing w:after="20"/>
              <w:jc w:val="right"/>
            </w:pPr>
            <w:r>
              <w:rPr>
                <w:color w:val="1C3A36"/>
                <w:sz w:val="16"/>
              </w:rPr>
              <w:t>1,854</w:t>
            </w:r>
          </w:p>
        </w:tc>
        <w:tc>
          <w:tcPr>
            <w:tcW w:type="dxa" w:w="1296"/>
          </w:tcPr>
          <w:p>
            <w:pPr>
              <w:spacing w:after="20"/>
              <w:jc w:val="right"/>
            </w:pPr>
            <w:r>
              <w:rPr>
                <w:color w:val="1C3A36"/>
                <w:sz w:val="16"/>
              </w:rPr>
              <w:t>2,110</w:t>
            </w:r>
          </w:p>
        </w:tc>
      </w:tr>
      <w:tr>
        <w:tc>
          <w:tcPr>
            <w:tcW w:type="dxa" w:w="3096"/>
          </w:tcPr>
          <w:p>
            <w:pPr>
              <w:spacing w:after="20"/>
            </w:pPr>
            <w:r>
              <w:rPr>
                <w:b/>
                <w:color w:val="1C3A36"/>
                <w:sz w:val="16"/>
              </w:rPr>
              <w:t>Provisions</w:t>
            </w:r>
          </w:p>
        </w:tc>
        <w:tc>
          <w:tcPr>
            <w:tcW w:type="dxa" w:w="1296"/>
          </w:tcPr>
          <w:p>
            <w:pPr>
              <w:spacing w:after="20"/>
              <w:jc w:val="right"/>
            </w:pPr>
            <w:r>
              <w:rPr>
                <w:color w:val="1C3A36"/>
                <w:sz w:val="16"/>
              </w:rPr>
              <w:t>-296</w:t>
            </w:r>
          </w:p>
        </w:tc>
        <w:tc>
          <w:tcPr>
            <w:tcW w:type="dxa" w:w="1296"/>
          </w:tcPr>
          <w:p>
            <w:pPr>
              <w:spacing w:after="20"/>
              <w:jc w:val="right"/>
            </w:pPr>
            <w:r>
              <w:rPr>
                <w:color w:val="1C3A36"/>
                <w:sz w:val="16"/>
              </w:rPr>
              <w:t>-367</w:t>
            </w:r>
          </w:p>
        </w:tc>
        <w:tc>
          <w:tcPr>
            <w:tcW w:type="dxa" w:w="1296"/>
          </w:tcPr>
          <w:p>
            <w:pPr>
              <w:spacing w:after="20"/>
              <w:jc w:val="right"/>
            </w:pPr>
            <w:r>
              <w:rPr>
                <w:color w:val="1C3A36"/>
                <w:sz w:val="16"/>
              </w:rPr>
              <w:t>-437</w:t>
            </w:r>
          </w:p>
        </w:tc>
        <w:tc>
          <w:tcPr>
            <w:tcW w:type="dxa" w:w="1296"/>
          </w:tcPr>
          <w:p>
            <w:pPr>
              <w:spacing w:after="20"/>
              <w:jc w:val="right"/>
            </w:pPr>
            <w:r>
              <w:rPr>
                <w:color w:val="1C3A36"/>
                <w:sz w:val="16"/>
              </w:rPr>
              <w:t>-506</w:t>
            </w:r>
          </w:p>
        </w:tc>
        <w:tc>
          <w:tcPr>
            <w:tcW w:type="dxa" w:w="1296"/>
          </w:tcPr>
          <w:p>
            <w:pPr>
              <w:spacing w:after="20"/>
              <w:jc w:val="right"/>
            </w:pPr>
            <w:r>
              <w:rPr>
                <w:color w:val="1C3A36"/>
                <w:sz w:val="16"/>
              </w:rPr>
              <w:t>-575</w:t>
            </w:r>
          </w:p>
        </w:tc>
      </w:tr>
      <w:tr>
        <w:tc>
          <w:tcPr>
            <w:tcW w:type="dxa" w:w="3096"/>
            <w:shd w:val="clear" w:color="auto" w:fill="F6F1E6"/>
          </w:tcPr>
          <w:p>
            <w:pPr>
              <w:spacing w:after="20"/>
            </w:pPr>
            <w:r>
              <w:rPr>
                <w:b/>
                <w:color w:val="1C3A36"/>
                <w:sz w:val="16"/>
              </w:rPr>
              <w:t>Operating profit</w:t>
            </w:r>
          </w:p>
        </w:tc>
        <w:tc>
          <w:tcPr>
            <w:tcW w:type="dxa" w:w="1296"/>
            <w:shd w:val="clear" w:color="auto" w:fill="F6F1E6"/>
          </w:tcPr>
          <w:p>
            <w:pPr>
              <w:spacing w:after="20"/>
              <w:jc w:val="right"/>
            </w:pPr>
            <w:r>
              <w:rPr>
                <w:b/>
                <w:color w:val="1C3A36"/>
                <w:sz w:val="16"/>
              </w:rPr>
              <w:t>7,523</w:t>
            </w:r>
          </w:p>
        </w:tc>
        <w:tc>
          <w:tcPr>
            <w:tcW w:type="dxa" w:w="1296"/>
            <w:shd w:val="clear" w:color="auto" w:fill="F6F1E6"/>
          </w:tcPr>
          <w:p>
            <w:pPr>
              <w:spacing w:after="20"/>
              <w:jc w:val="right"/>
            </w:pPr>
            <w:r>
              <w:rPr>
                <w:b/>
                <w:color w:val="1C3A36"/>
                <w:sz w:val="16"/>
              </w:rPr>
              <w:t>9,929</w:t>
            </w:r>
          </w:p>
        </w:tc>
        <w:tc>
          <w:tcPr>
            <w:tcW w:type="dxa" w:w="1296"/>
            <w:shd w:val="clear" w:color="auto" w:fill="F6F1E6"/>
          </w:tcPr>
          <w:p>
            <w:pPr>
              <w:spacing w:after="20"/>
              <w:jc w:val="right"/>
            </w:pPr>
            <w:r>
              <w:rPr>
                <w:b/>
                <w:color w:val="1C3A36"/>
                <w:sz w:val="16"/>
              </w:rPr>
              <w:t>12,462</w:t>
            </w:r>
          </w:p>
        </w:tc>
        <w:tc>
          <w:tcPr>
            <w:tcW w:type="dxa" w:w="1296"/>
            <w:shd w:val="clear" w:color="auto" w:fill="F6F1E6"/>
          </w:tcPr>
          <w:p>
            <w:pPr>
              <w:spacing w:after="20"/>
              <w:jc w:val="right"/>
            </w:pPr>
            <w:r>
              <w:rPr>
                <w:b/>
                <w:color w:val="1C3A36"/>
                <w:sz w:val="16"/>
              </w:rPr>
              <w:t>14,663</w:t>
            </w:r>
          </w:p>
        </w:tc>
        <w:tc>
          <w:tcPr>
            <w:tcW w:type="dxa" w:w="1296"/>
            <w:shd w:val="clear" w:color="auto" w:fill="F6F1E6"/>
          </w:tcPr>
          <w:p>
            <w:pPr>
              <w:spacing w:after="20"/>
              <w:jc w:val="right"/>
            </w:pPr>
            <w:r>
              <w:rPr>
                <w:b/>
                <w:color w:val="1C3A36"/>
                <w:sz w:val="16"/>
              </w:rPr>
              <w:t>16,969</w:t>
            </w:r>
          </w:p>
        </w:tc>
      </w:tr>
      <w:tr>
        <w:tc>
          <w:tcPr>
            <w:tcW w:type="dxa" w:w="3096"/>
          </w:tcPr>
          <w:p>
            <w:pPr>
              <w:spacing w:after="20"/>
            </w:pPr>
            <w:r>
              <w:rPr>
                <w:b/>
                <w:color w:val="1C3A36"/>
                <w:sz w:val="16"/>
              </w:rPr>
              <w:t>Share of associates</w:t>
            </w:r>
          </w:p>
        </w:tc>
        <w:tc>
          <w:tcPr>
            <w:tcW w:type="dxa" w:w="1296"/>
          </w:tcPr>
          <w:p>
            <w:pPr>
              <w:spacing w:after="20"/>
              <w:jc w:val="right"/>
            </w:pPr>
            <w:r>
              <w:rPr>
                <w:color w:val="1C3A36"/>
                <w:sz w:val="16"/>
              </w:rPr>
              <w:t>1,250</w:t>
            </w:r>
          </w:p>
        </w:tc>
        <w:tc>
          <w:tcPr>
            <w:tcW w:type="dxa" w:w="1296"/>
          </w:tcPr>
          <w:p>
            <w:pPr>
              <w:spacing w:after="20"/>
              <w:jc w:val="right"/>
            </w:pPr>
            <w:r>
              <w:rPr>
                <w:color w:val="1C3A36"/>
                <w:sz w:val="16"/>
              </w:rPr>
              <w:t>1,430</w:t>
            </w:r>
          </w:p>
        </w:tc>
        <w:tc>
          <w:tcPr>
            <w:tcW w:type="dxa" w:w="1296"/>
          </w:tcPr>
          <w:p>
            <w:pPr>
              <w:spacing w:after="20"/>
              <w:jc w:val="right"/>
            </w:pPr>
            <w:r>
              <w:rPr>
                <w:color w:val="1C3A36"/>
                <w:sz w:val="16"/>
              </w:rPr>
              <w:t>1,630</w:t>
            </w:r>
          </w:p>
        </w:tc>
        <w:tc>
          <w:tcPr>
            <w:tcW w:type="dxa" w:w="1296"/>
          </w:tcPr>
          <w:p>
            <w:pPr>
              <w:spacing w:after="20"/>
              <w:jc w:val="right"/>
            </w:pPr>
            <w:r>
              <w:rPr>
                <w:color w:val="1C3A36"/>
                <w:sz w:val="16"/>
              </w:rPr>
              <w:t>1,830</w:t>
            </w:r>
          </w:p>
        </w:tc>
        <w:tc>
          <w:tcPr>
            <w:tcW w:type="dxa" w:w="1296"/>
          </w:tcPr>
          <w:p>
            <w:pPr>
              <w:spacing w:after="20"/>
              <w:jc w:val="right"/>
            </w:pPr>
            <w:r>
              <w:rPr>
                <w:color w:val="1C3A36"/>
                <w:sz w:val="16"/>
              </w:rPr>
              <w:t>2,030</w:t>
            </w:r>
          </w:p>
        </w:tc>
      </w:tr>
      <w:tr>
        <w:tc>
          <w:tcPr>
            <w:tcW w:type="dxa" w:w="3096"/>
            <w:shd w:val="clear" w:color="auto" w:fill="F6F1E6"/>
          </w:tcPr>
          <w:p>
            <w:pPr>
              <w:spacing w:after="20"/>
            </w:pPr>
            <w:r>
              <w:rPr>
                <w:b/>
                <w:color w:val="1C3A36"/>
                <w:sz w:val="16"/>
              </w:rPr>
              <w:t>Operating profit including associates</w:t>
            </w:r>
          </w:p>
        </w:tc>
        <w:tc>
          <w:tcPr>
            <w:tcW w:type="dxa" w:w="1296"/>
            <w:shd w:val="clear" w:color="auto" w:fill="F6F1E6"/>
          </w:tcPr>
          <w:p>
            <w:pPr>
              <w:spacing w:after="20"/>
              <w:jc w:val="right"/>
            </w:pPr>
            <w:r>
              <w:rPr>
                <w:b/>
                <w:color w:val="1C3A36"/>
                <w:sz w:val="16"/>
              </w:rPr>
              <w:t>8,773</w:t>
            </w:r>
          </w:p>
        </w:tc>
        <w:tc>
          <w:tcPr>
            <w:tcW w:type="dxa" w:w="1296"/>
            <w:shd w:val="clear" w:color="auto" w:fill="F6F1E6"/>
          </w:tcPr>
          <w:p>
            <w:pPr>
              <w:spacing w:after="20"/>
              <w:jc w:val="right"/>
            </w:pPr>
            <w:r>
              <w:rPr>
                <w:b/>
                <w:color w:val="1C3A36"/>
                <w:sz w:val="16"/>
              </w:rPr>
              <w:t>11,359</w:t>
            </w:r>
          </w:p>
        </w:tc>
        <w:tc>
          <w:tcPr>
            <w:tcW w:type="dxa" w:w="1296"/>
            <w:shd w:val="clear" w:color="auto" w:fill="F6F1E6"/>
          </w:tcPr>
          <w:p>
            <w:pPr>
              <w:spacing w:after="20"/>
              <w:jc w:val="right"/>
            </w:pPr>
            <w:r>
              <w:rPr>
                <w:b/>
                <w:color w:val="1C3A36"/>
                <w:sz w:val="16"/>
              </w:rPr>
              <w:t>14,092</w:t>
            </w:r>
          </w:p>
        </w:tc>
        <w:tc>
          <w:tcPr>
            <w:tcW w:type="dxa" w:w="1296"/>
            <w:shd w:val="clear" w:color="auto" w:fill="F6F1E6"/>
          </w:tcPr>
          <w:p>
            <w:pPr>
              <w:spacing w:after="20"/>
              <w:jc w:val="right"/>
            </w:pPr>
            <w:r>
              <w:rPr>
                <w:b/>
                <w:color w:val="1C3A36"/>
                <w:sz w:val="16"/>
              </w:rPr>
              <w:t>16,493</w:t>
            </w:r>
          </w:p>
        </w:tc>
        <w:tc>
          <w:tcPr>
            <w:tcW w:type="dxa" w:w="1296"/>
            <w:shd w:val="clear" w:color="auto" w:fill="F6F1E6"/>
          </w:tcPr>
          <w:p>
            <w:pPr>
              <w:spacing w:after="20"/>
              <w:jc w:val="right"/>
            </w:pPr>
            <w:r>
              <w:rPr>
                <w:b/>
                <w:color w:val="1C3A36"/>
                <w:sz w:val="16"/>
              </w:rPr>
              <w:t>18,999</w:t>
            </w:r>
          </w:p>
        </w:tc>
      </w:tr>
      <w:tr>
        <w:tc>
          <w:tcPr>
            <w:tcW w:type="dxa" w:w="3096"/>
          </w:tcPr>
          <w:p>
            <w:pPr>
              <w:spacing w:after="20"/>
            </w:pPr>
            <w:r>
              <w:rPr>
                <w:b/>
                <w:color w:val="1C3A36"/>
                <w:sz w:val="16"/>
              </w:rPr>
              <w:t>Net finance cost</w:t>
            </w:r>
          </w:p>
        </w:tc>
        <w:tc>
          <w:tcPr>
            <w:tcW w:type="dxa" w:w="1296"/>
          </w:tcPr>
          <w:p>
            <w:pPr>
              <w:spacing w:after="20"/>
              <w:jc w:val="right"/>
            </w:pPr>
            <w:r>
              <w:rPr>
                <w:color w:val="1C3A36"/>
                <w:sz w:val="16"/>
              </w:rPr>
              <w:t>-4,100</w:t>
            </w:r>
          </w:p>
        </w:tc>
        <w:tc>
          <w:tcPr>
            <w:tcW w:type="dxa" w:w="1296"/>
          </w:tcPr>
          <w:p>
            <w:pPr>
              <w:spacing w:after="20"/>
              <w:jc w:val="right"/>
            </w:pPr>
            <w:r>
              <w:rPr>
                <w:color w:val="1C3A36"/>
                <w:sz w:val="16"/>
              </w:rPr>
              <w:t>-3,800</w:t>
            </w:r>
          </w:p>
        </w:tc>
        <w:tc>
          <w:tcPr>
            <w:tcW w:type="dxa" w:w="1296"/>
          </w:tcPr>
          <w:p>
            <w:pPr>
              <w:spacing w:after="20"/>
              <w:jc w:val="right"/>
            </w:pPr>
            <w:r>
              <w:rPr>
                <w:color w:val="1C3A36"/>
                <w:sz w:val="16"/>
              </w:rPr>
              <w:t>-3,500</w:t>
            </w:r>
          </w:p>
        </w:tc>
        <w:tc>
          <w:tcPr>
            <w:tcW w:type="dxa" w:w="1296"/>
          </w:tcPr>
          <w:p>
            <w:pPr>
              <w:spacing w:after="20"/>
              <w:jc w:val="right"/>
            </w:pPr>
            <w:r>
              <w:rPr>
                <w:color w:val="1C3A36"/>
                <w:sz w:val="16"/>
              </w:rPr>
              <w:t>-3,300</w:t>
            </w:r>
          </w:p>
        </w:tc>
        <w:tc>
          <w:tcPr>
            <w:tcW w:type="dxa" w:w="1296"/>
          </w:tcPr>
          <w:p>
            <w:pPr>
              <w:spacing w:after="20"/>
              <w:jc w:val="right"/>
            </w:pPr>
            <w:r>
              <w:rPr>
                <w:color w:val="1C3A36"/>
                <w:sz w:val="16"/>
              </w:rPr>
              <w:t>-3,100</w:t>
            </w:r>
          </w:p>
        </w:tc>
      </w:tr>
      <w:tr>
        <w:tc>
          <w:tcPr>
            <w:tcW w:type="dxa" w:w="3096"/>
            <w:shd w:val="clear" w:color="auto" w:fill="F6F1E6"/>
          </w:tcPr>
          <w:p>
            <w:pPr>
              <w:spacing w:after="20"/>
            </w:pPr>
            <w:r>
              <w:rPr>
                <w:b/>
                <w:color w:val="1C3A36"/>
                <w:sz w:val="16"/>
              </w:rPr>
              <w:t>Profit before tax</w:t>
            </w:r>
          </w:p>
        </w:tc>
        <w:tc>
          <w:tcPr>
            <w:tcW w:type="dxa" w:w="1296"/>
            <w:shd w:val="clear" w:color="auto" w:fill="F6F1E6"/>
          </w:tcPr>
          <w:p>
            <w:pPr>
              <w:spacing w:after="20"/>
              <w:jc w:val="right"/>
            </w:pPr>
            <w:r>
              <w:rPr>
                <w:b/>
                <w:color w:val="1C3A36"/>
                <w:sz w:val="16"/>
              </w:rPr>
              <w:t>4,673</w:t>
            </w:r>
          </w:p>
        </w:tc>
        <w:tc>
          <w:tcPr>
            <w:tcW w:type="dxa" w:w="1296"/>
            <w:shd w:val="clear" w:color="auto" w:fill="F6F1E6"/>
          </w:tcPr>
          <w:p>
            <w:pPr>
              <w:spacing w:after="20"/>
              <w:jc w:val="right"/>
            </w:pPr>
            <w:r>
              <w:rPr>
                <w:b/>
                <w:color w:val="1C3A36"/>
                <w:sz w:val="16"/>
              </w:rPr>
              <w:t>7,559</w:t>
            </w:r>
          </w:p>
        </w:tc>
        <w:tc>
          <w:tcPr>
            <w:tcW w:type="dxa" w:w="1296"/>
            <w:shd w:val="clear" w:color="auto" w:fill="F6F1E6"/>
          </w:tcPr>
          <w:p>
            <w:pPr>
              <w:spacing w:after="20"/>
              <w:jc w:val="right"/>
            </w:pPr>
            <w:r>
              <w:rPr>
                <w:b/>
                <w:color w:val="1C3A36"/>
                <w:sz w:val="16"/>
              </w:rPr>
              <w:t>10,592</w:t>
            </w:r>
          </w:p>
        </w:tc>
        <w:tc>
          <w:tcPr>
            <w:tcW w:type="dxa" w:w="1296"/>
            <w:shd w:val="clear" w:color="auto" w:fill="F6F1E6"/>
          </w:tcPr>
          <w:p>
            <w:pPr>
              <w:spacing w:after="20"/>
              <w:jc w:val="right"/>
            </w:pPr>
            <w:r>
              <w:rPr>
                <w:b/>
                <w:color w:val="1C3A36"/>
                <w:sz w:val="16"/>
              </w:rPr>
              <w:t>13,193</w:t>
            </w:r>
          </w:p>
        </w:tc>
        <w:tc>
          <w:tcPr>
            <w:tcW w:type="dxa" w:w="1296"/>
            <w:shd w:val="clear" w:color="auto" w:fill="F6F1E6"/>
          </w:tcPr>
          <w:p>
            <w:pPr>
              <w:spacing w:after="20"/>
              <w:jc w:val="right"/>
            </w:pPr>
            <w:r>
              <w:rPr>
                <w:b/>
                <w:color w:val="1C3A36"/>
                <w:sz w:val="16"/>
              </w:rPr>
              <w:t>15,899</w:t>
            </w:r>
          </w:p>
        </w:tc>
      </w:tr>
      <w:tr>
        <w:tc>
          <w:tcPr>
            <w:tcW w:type="dxa" w:w="3096"/>
          </w:tcPr>
          <w:p>
            <w:pPr>
              <w:spacing w:after="20"/>
            </w:pPr>
            <w:r>
              <w:rPr>
                <w:b/>
                <w:color w:val="1C3A36"/>
                <w:sz w:val="16"/>
              </w:rPr>
              <w:t>Income tax</w:t>
            </w:r>
          </w:p>
        </w:tc>
        <w:tc>
          <w:tcPr>
            <w:tcW w:type="dxa" w:w="1296"/>
          </w:tcPr>
          <w:p>
            <w:pPr>
              <w:spacing w:after="20"/>
              <w:jc w:val="right"/>
            </w:pPr>
            <w:r>
              <w:rPr>
                <w:color w:val="1C3A36"/>
                <w:sz w:val="16"/>
              </w:rPr>
              <w:t>-1,309</w:t>
            </w:r>
          </w:p>
        </w:tc>
        <w:tc>
          <w:tcPr>
            <w:tcW w:type="dxa" w:w="1296"/>
          </w:tcPr>
          <w:p>
            <w:pPr>
              <w:spacing w:after="20"/>
              <w:jc w:val="right"/>
            </w:pPr>
            <w:r>
              <w:rPr>
                <w:color w:val="1C3A36"/>
                <w:sz w:val="16"/>
              </w:rPr>
              <w:t>-2,117</w:t>
            </w:r>
          </w:p>
        </w:tc>
        <w:tc>
          <w:tcPr>
            <w:tcW w:type="dxa" w:w="1296"/>
          </w:tcPr>
          <w:p>
            <w:pPr>
              <w:spacing w:after="20"/>
              <w:jc w:val="right"/>
            </w:pPr>
            <w:r>
              <w:rPr>
                <w:color w:val="1C3A36"/>
                <w:sz w:val="16"/>
              </w:rPr>
              <w:t>-2,966</w:t>
            </w:r>
          </w:p>
        </w:tc>
        <w:tc>
          <w:tcPr>
            <w:tcW w:type="dxa" w:w="1296"/>
          </w:tcPr>
          <w:p>
            <w:pPr>
              <w:spacing w:after="20"/>
              <w:jc w:val="right"/>
            </w:pPr>
            <w:r>
              <w:rPr>
                <w:color w:val="1C3A36"/>
                <w:sz w:val="16"/>
              </w:rPr>
              <w:t>-3,694</w:t>
            </w:r>
          </w:p>
        </w:tc>
        <w:tc>
          <w:tcPr>
            <w:tcW w:type="dxa" w:w="1296"/>
          </w:tcPr>
          <w:p>
            <w:pPr>
              <w:spacing w:after="20"/>
              <w:jc w:val="right"/>
            </w:pPr>
            <w:r>
              <w:rPr>
                <w:color w:val="1C3A36"/>
                <w:sz w:val="16"/>
              </w:rPr>
              <w:t>-4,452</w:t>
            </w:r>
          </w:p>
        </w:tc>
      </w:tr>
      <w:tr>
        <w:tc>
          <w:tcPr>
            <w:tcW w:type="dxa" w:w="3096"/>
            <w:shd w:val="clear" w:color="auto" w:fill="F6F1E6"/>
          </w:tcPr>
          <w:p>
            <w:pPr>
              <w:spacing w:after="20"/>
            </w:pPr>
            <w:r>
              <w:rPr>
                <w:b/>
                <w:color w:val="1C3A36"/>
                <w:sz w:val="16"/>
              </w:rPr>
              <w:t>Profit before minority interest</w:t>
            </w:r>
          </w:p>
        </w:tc>
        <w:tc>
          <w:tcPr>
            <w:tcW w:type="dxa" w:w="1296"/>
            <w:shd w:val="clear" w:color="auto" w:fill="F6F1E6"/>
          </w:tcPr>
          <w:p>
            <w:pPr>
              <w:spacing w:after="20"/>
              <w:jc w:val="right"/>
            </w:pPr>
            <w:r>
              <w:rPr>
                <w:b/>
                <w:color w:val="1C3A36"/>
                <w:sz w:val="16"/>
              </w:rPr>
              <w:t>3,365</w:t>
            </w:r>
          </w:p>
        </w:tc>
        <w:tc>
          <w:tcPr>
            <w:tcW w:type="dxa" w:w="1296"/>
            <w:shd w:val="clear" w:color="auto" w:fill="F6F1E6"/>
          </w:tcPr>
          <w:p>
            <w:pPr>
              <w:spacing w:after="20"/>
              <w:jc w:val="right"/>
            </w:pPr>
            <w:r>
              <w:rPr>
                <w:b/>
                <w:color w:val="1C3A36"/>
                <w:sz w:val="16"/>
              </w:rPr>
              <w:t>5,443</w:t>
            </w:r>
          </w:p>
        </w:tc>
        <w:tc>
          <w:tcPr>
            <w:tcW w:type="dxa" w:w="1296"/>
            <w:shd w:val="clear" w:color="auto" w:fill="F6F1E6"/>
          </w:tcPr>
          <w:p>
            <w:pPr>
              <w:spacing w:after="20"/>
              <w:jc w:val="right"/>
            </w:pPr>
            <w:r>
              <w:rPr>
                <w:b/>
                <w:color w:val="1C3A36"/>
                <w:sz w:val="16"/>
              </w:rPr>
              <w:t>7,626</w:t>
            </w:r>
          </w:p>
        </w:tc>
        <w:tc>
          <w:tcPr>
            <w:tcW w:type="dxa" w:w="1296"/>
            <w:shd w:val="clear" w:color="auto" w:fill="F6F1E6"/>
          </w:tcPr>
          <w:p>
            <w:pPr>
              <w:spacing w:after="20"/>
              <w:jc w:val="right"/>
            </w:pPr>
            <w:r>
              <w:rPr>
                <w:b/>
                <w:color w:val="1C3A36"/>
                <w:sz w:val="16"/>
              </w:rPr>
              <w:t>9,499</w:t>
            </w:r>
          </w:p>
        </w:tc>
        <w:tc>
          <w:tcPr>
            <w:tcW w:type="dxa" w:w="1296"/>
            <w:shd w:val="clear" w:color="auto" w:fill="F6F1E6"/>
          </w:tcPr>
          <w:p>
            <w:pPr>
              <w:spacing w:after="20"/>
              <w:jc w:val="right"/>
            </w:pPr>
            <w:r>
              <w:rPr>
                <w:b/>
                <w:color w:val="1C3A36"/>
                <w:sz w:val="16"/>
              </w:rPr>
              <w:t>11,448</w:t>
            </w:r>
          </w:p>
        </w:tc>
      </w:tr>
      <w:tr>
        <w:tc>
          <w:tcPr>
            <w:tcW w:type="dxa" w:w="3096"/>
          </w:tcPr>
          <w:p>
            <w:pPr>
              <w:spacing w:after="20"/>
            </w:pPr>
            <w:r>
              <w:rPr>
                <w:b/>
                <w:color w:val="1C3A36"/>
                <w:sz w:val="16"/>
              </w:rPr>
              <w:t>Minority interest</w:t>
            </w:r>
          </w:p>
        </w:tc>
        <w:tc>
          <w:tcPr>
            <w:tcW w:type="dxa" w:w="1296"/>
          </w:tcPr>
          <w:p>
            <w:pPr>
              <w:spacing w:after="20"/>
              <w:jc w:val="right"/>
            </w:pPr>
            <w:r>
              <w:rPr>
                <w:color w:val="1C3A36"/>
                <w:sz w:val="16"/>
              </w:rPr>
              <w:t>-67</w:t>
            </w:r>
          </w:p>
        </w:tc>
        <w:tc>
          <w:tcPr>
            <w:tcW w:type="dxa" w:w="1296"/>
          </w:tcPr>
          <w:p>
            <w:pPr>
              <w:spacing w:after="20"/>
              <w:jc w:val="right"/>
            </w:pPr>
            <w:r>
              <w:rPr>
                <w:color w:val="1C3A36"/>
                <w:sz w:val="16"/>
              </w:rPr>
              <w:t>-109</w:t>
            </w:r>
          </w:p>
        </w:tc>
        <w:tc>
          <w:tcPr>
            <w:tcW w:type="dxa" w:w="1296"/>
          </w:tcPr>
          <w:p>
            <w:pPr>
              <w:spacing w:after="20"/>
              <w:jc w:val="right"/>
            </w:pPr>
            <w:r>
              <w:rPr>
                <w:color w:val="1C3A36"/>
                <w:sz w:val="16"/>
              </w:rPr>
              <w:t>-153</w:t>
            </w:r>
          </w:p>
        </w:tc>
        <w:tc>
          <w:tcPr>
            <w:tcW w:type="dxa" w:w="1296"/>
          </w:tcPr>
          <w:p>
            <w:pPr>
              <w:spacing w:after="20"/>
              <w:jc w:val="right"/>
            </w:pPr>
            <w:r>
              <w:rPr>
                <w:color w:val="1C3A36"/>
                <w:sz w:val="16"/>
              </w:rPr>
              <w:t>-190</w:t>
            </w:r>
          </w:p>
        </w:tc>
        <w:tc>
          <w:tcPr>
            <w:tcW w:type="dxa" w:w="1296"/>
          </w:tcPr>
          <w:p>
            <w:pPr>
              <w:spacing w:after="20"/>
              <w:jc w:val="right"/>
            </w:pPr>
            <w:r>
              <w:rPr>
                <w:color w:val="1C3A36"/>
                <w:sz w:val="16"/>
              </w:rPr>
              <w:t>-229</w:t>
            </w:r>
          </w:p>
        </w:tc>
      </w:tr>
      <w:tr>
        <w:tc>
          <w:tcPr>
            <w:tcW w:type="dxa" w:w="3096"/>
            <w:shd w:val="clear" w:color="auto" w:fill="F6F1E6"/>
          </w:tcPr>
          <w:p>
            <w:pPr>
              <w:spacing w:after="20"/>
            </w:pPr>
            <w:r>
              <w:rPr>
                <w:b/>
                <w:color w:val="1C3A36"/>
                <w:sz w:val="16"/>
              </w:rPr>
              <w:t>Profit attributable to the parent</w:t>
            </w:r>
          </w:p>
        </w:tc>
        <w:tc>
          <w:tcPr>
            <w:tcW w:type="dxa" w:w="1296"/>
            <w:shd w:val="clear" w:color="auto" w:fill="F6F1E6"/>
          </w:tcPr>
          <w:p>
            <w:pPr>
              <w:spacing w:after="20"/>
              <w:jc w:val="right"/>
            </w:pPr>
            <w:r>
              <w:rPr>
                <w:b/>
                <w:color w:val="1C3A36"/>
                <w:sz w:val="16"/>
              </w:rPr>
              <w:t>3,298</w:t>
            </w:r>
          </w:p>
        </w:tc>
        <w:tc>
          <w:tcPr>
            <w:tcW w:type="dxa" w:w="1296"/>
            <w:shd w:val="clear" w:color="auto" w:fill="F6F1E6"/>
          </w:tcPr>
          <w:p>
            <w:pPr>
              <w:spacing w:after="20"/>
              <w:jc w:val="right"/>
            </w:pPr>
            <w:r>
              <w:rPr>
                <w:b/>
                <w:color w:val="1C3A36"/>
                <w:sz w:val="16"/>
              </w:rPr>
              <w:t>5,334</w:t>
            </w:r>
          </w:p>
        </w:tc>
        <w:tc>
          <w:tcPr>
            <w:tcW w:type="dxa" w:w="1296"/>
            <w:shd w:val="clear" w:color="auto" w:fill="F6F1E6"/>
          </w:tcPr>
          <w:p>
            <w:pPr>
              <w:spacing w:after="20"/>
              <w:jc w:val="right"/>
            </w:pPr>
            <w:r>
              <w:rPr>
                <w:b/>
                <w:color w:val="1C3A36"/>
                <w:sz w:val="16"/>
              </w:rPr>
              <w:t>7,474</w:t>
            </w:r>
          </w:p>
        </w:tc>
        <w:tc>
          <w:tcPr>
            <w:tcW w:type="dxa" w:w="1296"/>
            <w:shd w:val="clear" w:color="auto" w:fill="F6F1E6"/>
          </w:tcPr>
          <w:p>
            <w:pPr>
              <w:spacing w:after="20"/>
              <w:jc w:val="right"/>
            </w:pPr>
            <w:r>
              <w:rPr>
                <w:b/>
                <w:color w:val="1C3A36"/>
                <w:sz w:val="16"/>
              </w:rPr>
              <w:t>9,309</w:t>
            </w:r>
          </w:p>
        </w:tc>
        <w:tc>
          <w:tcPr>
            <w:tcW w:type="dxa" w:w="1296"/>
            <w:shd w:val="clear" w:color="auto" w:fill="F6F1E6"/>
          </w:tcPr>
          <w:p>
            <w:pPr>
              <w:spacing w:after="20"/>
              <w:jc w:val="right"/>
            </w:pPr>
            <w:r>
              <w:rPr>
                <w:b/>
                <w:color w:val="1C3A36"/>
                <w:sz w:val="16"/>
              </w:rPr>
              <w:t>11,219</w:t>
            </w:r>
          </w:p>
        </w:tc>
      </w:tr>
      <w:tr>
        <w:tc>
          <w:tcPr>
            <w:tcW w:type="dxa" w:w="3096"/>
          </w:tcPr>
          <w:p>
            <w:pPr>
              <w:spacing w:after="20"/>
            </w:pPr>
            <w:r>
              <w:rPr>
                <w:b/>
                <w:color w:val="1C3A36"/>
                <w:sz w:val="16"/>
              </w:rPr>
              <w:t>Gross margin</w:t>
            </w:r>
          </w:p>
        </w:tc>
        <w:tc>
          <w:tcPr>
            <w:tcW w:type="dxa" w:w="1296"/>
          </w:tcPr>
          <w:p>
            <w:pPr>
              <w:spacing w:after="20"/>
              <w:jc w:val="right"/>
            </w:pPr>
            <w:r>
              <w:rPr>
                <w:color w:val="1C3A36"/>
                <w:sz w:val="16"/>
              </w:rPr>
              <w:t>14.81%</w:t>
            </w:r>
          </w:p>
        </w:tc>
        <w:tc>
          <w:tcPr>
            <w:tcW w:type="dxa" w:w="1296"/>
          </w:tcPr>
          <w:p>
            <w:pPr>
              <w:spacing w:after="20"/>
              <w:jc w:val="right"/>
            </w:pPr>
            <w:r>
              <w:rPr>
                <w:color w:val="1C3A36"/>
                <w:sz w:val="16"/>
              </w:rPr>
              <w:t>15.23%</w:t>
            </w:r>
          </w:p>
        </w:tc>
        <w:tc>
          <w:tcPr>
            <w:tcW w:type="dxa" w:w="1296"/>
          </w:tcPr>
          <w:p>
            <w:pPr>
              <w:spacing w:after="20"/>
              <w:jc w:val="right"/>
            </w:pPr>
            <w:r>
              <w:rPr>
                <w:color w:val="1C3A36"/>
                <w:sz w:val="16"/>
              </w:rPr>
              <w:t>15.56%</w:t>
            </w:r>
          </w:p>
        </w:tc>
        <w:tc>
          <w:tcPr>
            <w:tcW w:type="dxa" w:w="1296"/>
          </w:tcPr>
          <w:p>
            <w:pPr>
              <w:spacing w:after="20"/>
              <w:jc w:val="right"/>
            </w:pPr>
            <w:r>
              <w:rPr>
                <w:color w:val="1C3A36"/>
                <w:sz w:val="16"/>
              </w:rPr>
              <w:t>15.65%</w:t>
            </w:r>
          </w:p>
        </w:tc>
        <w:tc>
          <w:tcPr>
            <w:tcW w:type="dxa" w:w="1296"/>
          </w:tcPr>
          <w:p>
            <w:pPr>
              <w:spacing w:after="20"/>
              <w:jc w:val="right"/>
            </w:pPr>
            <w:r>
              <w:rPr>
                <w:color w:val="1C3A36"/>
                <w:sz w:val="16"/>
              </w:rPr>
              <w:t>15.75%</w:t>
            </w:r>
          </w:p>
        </w:tc>
      </w:tr>
      <w:tr>
        <w:tc>
          <w:tcPr>
            <w:tcW w:type="dxa" w:w="3096"/>
          </w:tcPr>
          <w:p>
            <w:pPr>
              <w:spacing w:after="20"/>
            </w:pPr>
            <w:r>
              <w:rPr>
                <w:b/>
                <w:color w:val="1C3A36"/>
                <w:sz w:val="16"/>
              </w:rPr>
              <w:t>Earnings per share (EGP)</w:t>
            </w:r>
          </w:p>
        </w:tc>
        <w:tc>
          <w:tcPr>
            <w:tcW w:type="dxa" w:w="1296"/>
          </w:tcPr>
          <w:p>
            <w:pPr>
              <w:spacing w:after="20"/>
              <w:jc w:val="right"/>
            </w:pPr>
            <w:r>
              <w:rPr>
                <w:color w:val="1C3A36"/>
                <w:sz w:val="16"/>
              </w:rPr>
              <w:t>3.04</w:t>
            </w:r>
          </w:p>
        </w:tc>
        <w:tc>
          <w:tcPr>
            <w:tcW w:type="dxa" w:w="1296"/>
          </w:tcPr>
          <w:p>
            <w:pPr>
              <w:spacing w:after="20"/>
              <w:jc w:val="right"/>
            </w:pPr>
            <w:r>
              <w:rPr>
                <w:color w:val="1C3A36"/>
                <w:sz w:val="16"/>
              </w:rPr>
              <w:t>4.91</w:t>
            </w:r>
          </w:p>
        </w:tc>
        <w:tc>
          <w:tcPr>
            <w:tcW w:type="dxa" w:w="1296"/>
          </w:tcPr>
          <w:p>
            <w:pPr>
              <w:spacing w:after="20"/>
              <w:jc w:val="right"/>
            </w:pPr>
            <w:r>
              <w:rPr>
                <w:color w:val="1C3A36"/>
                <w:sz w:val="16"/>
              </w:rPr>
              <w:t>6.89</w:t>
            </w:r>
          </w:p>
        </w:tc>
        <w:tc>
          <w:tcPr>
            <w:tcW w:type="dxa" w:w="1296"/>
          </w:tcPr>
          <w:p>
            <w:pPr>
              <w:spacing w:after="20"/>
              <w:jc w:val="right"/>
            </w:pPr>
            <w:r>
              <w:rPr>
                <w:color w:val="1C3A36"/>
                <w:sz w:val="16"/>
              </w:rPr>
              <w:t>8.58</w:t>
            </w:r>
          </w:p>
        </w:tc>
        <w:tc>
          <w:tcPr>
            <w:tcW w:type="dxa" w:w="1296"/>
          </w:tcPr>
          <w:p>
            <w:pPr>
              <w:spacing w:after="20"/>
              <w:jc w:val="right"/>
            </w:pPr>
            <w:r>
              <w:rPr>
                <w:color w:val="1C3A36"/>
                <w:sz w:val="16"/>
              </w:rPr>
              <w:t>10.33</w:t>
            </w:r>
          </w:p>
        </w:tc>
      </w:tr>
    </w:tbl>
    <w:p>
      <w:pPr>
        <w:spacing w:after="40"/>
      </w:pPr>
    </w:p>
    <w:p>
      <w:pPr>
        <w:spacing w:after="200" w:before="0"/>
      </w:pPr>
      <w:r>
        <w:rPr>
          <w:b w:val="0"/>
          <w:i/>
          <w:color w:val="6E7B77"/>
          <w:sz w:val="17"/>
        </w:rPr>
        <w:t>Table A2 — the consolidated forecast, computed from the committed group drivers. It is one arithmetic, printed here and recomputed by the companion workbook, rather than a transcription of an Excel run. THE THIRD, FOURTH AND FIFTH COLUMNS ARE POINTS INSIDE THE RANGES OF TABLE A0 and should be read with that table open.</w:t>
      </w:r>
    </w:p>
    <w:p>
      <w:pPr>
        <w:spacing w:after="80" w:before="200"/>
      </w:pPr>
      <w:r>
        <w:rPr>
          <w:b/>
          <w:i w:val="0"/>
          <w:color w:val="1C3A36"/>
          <w:sz w:val="24"/>
        </w:rPr>
        <w:t>A.4  The Auto leg — free cash flow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3456"/>
            <w:shd w:val="clear" w:color="auto" w:fill="EAF0EE"/>
          </w:tcPr>
          <w:p>
            <w:pPr>
              <w:spacing w:after="20"/>
            </w:pPr>
            <w:r>
              <w:rPr>
                <w:b/>
                <w:color w:val="1C3A36"/>
                <w:sz w:val="17"/>
              </w:rPr>
              <w:t>Line</w:t>
            </w:r>
          </w:p>
        </w:tc>
        <w:tc>
          <w:tcPr>
            <w:tcW w:type="dxa" w:w="1238"/>
            <w:shd w:val="clear" w:color="auto" w:fill="EAF0EE"/>
          </w:tcPr>
          <w:p>
            <w:pPr>
              <w:spacing w:after="20"/>
            </w:pPr>
            <w:r>
              <w:rPr>
                <w:b/>
                <w:color w:val="1C3A36"/>
                <w:sz w:val="17"/>
              </w:rPr>
              <w:t>FY26E</w:t>
            </w:r>
          </w:p>
        </w:tc>
        <w:tc>
          <w:tcPr>
            <w:tcW w:type="dxa" w:w="1238"/>
            <w:shd w:val="clear" w:color="auto" w:fill="EAF0EE"/>
          </w:tcPr>
          <w:p>
            <w:pPr>
              <w:spacing w:after="20"/>
            </w:pPr>
            <w:r>
              <w:rPr>
                <w:b/>
                <w:color w:val="1C3A36"/>
                <w:sz w:val="17"/>
              </w:rPr>
              <w:t>FY27E</w:t>
            </w:r>
          </w:p>
        </w:tc>
        <w:tc>
          <w:tcPr>
            <w:tcW w:type="dxa" w:w="1238"/>
            <w:shd w:val="clear" w:color="auto" w:fill="EAF0EE"/>
          </w:tcPr>
          <w:p>
            <w:pPr>
              <w:spacing w:after="20"/>
            </w:pPr>
            <w:r>
              <w:rPr>
                <w:b/>
                <w:color w:val="1C3A36"/>
                <w:sz w:val="17"/>
              </w:rPr>
              <w:t>FY28E</w:t>
            </w:r>
          </w:p>
        </w:tc>
        <w:tc>
          <w:tcPr>
            <w:tcW w:type="dxa" w:w="1238"/>
            <w:shd w:val="clear" w:color="auto" w:fill="EAF0EE"/>
          </w:tcPr>
          <w:p>
            <w:pPr>
              <w:spacing w:after="20"/>
            </w:pPr>
            <w:r>
              <w:rPr>
                <w:b/>
                <w:color w:val="1C3A36"/>
                <w:sz w:val="17"/>
              </w:rPr>
              <w:t>FY29E</w:t>
            </w:r>
          </w:p>
        </w:tc>
        <w:tc>
          <w:tcPr>
            <w:tcW w:type="dxa" w:w="1238"/>
            <w:shd w:val="clear" w:color="auto" w:fill="EAF0EE"/>
          </w:tcPr>
          <w:p>
            <w:pPr>
              <w:spacing w:after="20"/>
            </w:pPr>
            <w:r>
              <w:rPr>
                <w:b/>
                <w:color w:val="1C3A36"/>
                <w:sz w:val="17"/>
              </w:rPr>
              <w:t>FY30E</w:t>
            </w:r>
          </w:p>
        </w:tc>
      </w:tr>
      <w:tr>
        <w:tc>
          <w:tcPr>
            <w:tcW w:type="dxa" w:w="3456"/>
          </w:tcPr>
          <w:p>
            <w:pPr>
              <w:spacing w:after="20"/>
            </w:pPr>
            <w:r>
              <w:rPr>
                <w:b/>
                <w:color w:val="1C3A36"/>
                <w:sz w:val="17"/>
              </w:rPr>
              <w:t>Auto revenue</w:t>
            </w:r>
          </w:p>
        </w:tc>
        <w:tc>
          <w:tcPr>
            <w:tcW w:type="dxa" w:w="1238"/>
          </w:tcPr>
          <w:p>
            <w:pPr>
              <w:spacing w:after="20"/>
              <w:jc w:val="right"/>
            </w:pPr>
            <w:r>
              <w:rPr>
                <w:color w:val="1C3A36"/>
                <w:sz w:val="17"/>
              </w:rPr>
              <w:t>78,550</w:t>
            </w:r>
          </w:p>
        </w:tc>
        <w:tc>
          <w:tcPr>
            <w:tcW w:type="dxa" w:w="1238"/>
          </w:tcPr>
          <w:p>
            <w:pPr>
              <w:spacing w:after="20"/>
              <w:jc w:val="right"/>
            </w:pPr>
            <w:r>
              <w:rPr>
                <w:color w:val="1C3A36"/>
                <w:sz w:val="17"/>
              </w:rPr>
              <w:t>95,736</w:t>
            </w:r>
          </w:p>
        </w:tc>
        <w:tc>
          <w:tcPr>
            <w:tcW w:type="dxa" w:w="1238"/>
          </w:tcPr>
          <w:p>
            <w:pPr>
              <w:spacing w:after="20"/>
              <w:jc w:val="right"/>
            </w:pPr>
            <w:r>
              <w:rPr>
                <w:color w:val="1C3A36"/>
                <w:sz w:val="17"/>
              </w:rPr>
              <w:t>112,459</w:t>
            </w:r>
          </w:p>
        </w:tc>
        <w:tc>
          <w:tcPr>
            <w:tcW w:type="dxa" w:w="1238"/>
          </w:tcPr>
          <w:p>
            <w:pPr>
              <w:spacing w:after="20"/>
              <w:jc w:val="right"/>
            </w:pPr>
            <w:r>
              <w:rPr>
                <w:color w:val="1C3A36"/>
                <w:sz w:val="17"/>
              </w:rPr>
              <w:t>128,714</w:t>
            </w:r>
          </w:p>
        </w:tc>
        <w:tc>
          <w:tcPr>
            <w:tcW w:type="dxa" w:w="1238"/>
          </w:tcPr>
          <w:p>
            <w:pPr>
              <w:spacing w:after="20"/>
              <w:jc w:val="right"/>
            </w:pPr>
            <w:r>
              <w:rPr>
                <w:color w:val="1C3A36"/>
                <w:sz w:val="17"/>
              </w:rPr>
              <w:t>144,761</w:t>
            </w:r>
          </w:p>
        </w:tc>
      </w:tr>
      <w:tr>
        <w:tc>
          <w:tcPr>
            <w:tcW w:type="dxa" w:w="3456"/>
          </w:tcPr>
          <w:p>
            <w:pPr>
              <w:spacing w:after="20"/>
            </w:pPr>
            <w:r>
              <w:rPr>
                <w:b/>
                <w:color w:val="1C3A36"/>
                <w:sz w:val="17"/>
              </w:rPr>
              <w:t>Operating profit</w:t>
            </w:r>
          </w:p>
        </w:tc>
        <w:tc>
          <w:tcPr>
            <w:tcW w:type="dxa" w:w="1238"/>
          </w:tcPr>
          <w:p>
            <w:pPr>
              <w:spacing w:after="20"/>
              <w:jc w:val="right"/>
            </w:pPr>
            <w:r>
              <w:rPr>
                <w:color w:val="1C3A36"/>
                <w:sz w:val="17"/>
              </w:rPr>
              <w:t>5,813</w:t>
            </w:r>
          </w:p>
        </w:tc>
        <w:tc>
          <w:tcPr>
            <w:tcW w:type="dxa" w:w="1238"/>
          </w:tcPr>
          <w:p>
            <w:pPr>
              <w:spacing w:after="20"/>
              <w:jc w:val="right"/>
            </w:pPr>
            <w:r>
              <w:rPr>
                <w:color w:val="1C3A36"/>
                <w:sz w:val="17"/>
              </w:rPr>
              <w:t>7,563</w:t>
            </w:r>
          </w:p>
        </w:tc>
        <w:tc>
          <w:tcPr>
            <w:tcW w:type="dxa" w:w="1238"/>
          </w:tcPr>
          <w:p>
            <w:pPr>
              <w:spacing w:after="20"/>
              <w:jc w:val="right"/>
            </w:pPr>
            <w:r>
              <w:rPr>
                <w:color w:val="1C3A36"/>
                <w:sz w:val="17"/>
              </w:rPr>
              <w:t>9,334</w:t>
            </w:r>
          </w:p>
        </w:tc>
        <w:tc>
          <w:tcPr>
            <w:tcW w:type="dxa" w:w="1238"/>
          </w:tcPr>
          <w:p>
            <w:pPr>
              <w:spacing w:after="20"/>
              <w:jc w:val="right"/>
            </w:pPr>
            <w:r>
              <w:rPr>
                <w:color w:val="1C3A36"/>
                <w:sz w:val="17"/>
              </w:rPr>
              <w:t>10,812</w:t>
            </w:r>
          </w:p>
        </w:tc>
        <w:tc>
          <w:tcPr>
            <w:tcW w:type="dxa" w:w="1238"/>
          </w:tcPr>
          <w:p>
            <w:pPr>
              <w:spacing w:after="20"/>
              <w:jc w:val="right"/>
            </w:pPr>
            <w:r>
              <w:rPr>
                <w:color w:val="1C3A36"/>
                <w:sz w:val="17"/>
              </w:rPr>
              <w:t>12,160</w:t>
            </w:r>
          </w:p>
        </w:tc>
      </w:tr>
      <w:tr>
        <w:tc>
          <w:tcPr>
            <w:tcW w:type="dxa" w:w="3456"/>
          </w:tcPr>
          <w:p>
            <w:pPr>
              <w:spacing w:after="20"/>
            </w:pPr>
            <w:r>
              <w:rPr>
                <w:b/>
                <w:color w:val="1C3A36"/>
                <w:sz w:val="17"/>
              </w:rPr>
              <w:t>Operating profit after tax</w:t>
            </w:r>
          </w:p>
        </w:tc>
        <w:tc>
          <w:tcPr>
            <w:tcW w:type="dxa" w:w="1238"/>
          </w:tcPr>
          <w:p>
            <w:pPr>
              <w:spacing w:after="20"/>
              <w:jc w:val="right"/>
            </w:pPr>
            <w:r>
              <w:rPr>
                <w:color w:val="1C3A36"/>
                <w:sz w:val="17"/>
              </w:rPr>
              <w:t>4,185</w:t>
            </w:r>
          </w:p>
        </w:tc>
        <w:tc>
          <w:tcPr>
            <w:tcW w:type="dxa" w:w="1238"/>
          </w:tcPr>
          <w:p>
            <w:pPr>
              <w:spacing w:after="20"/>
              <w:jc w:val="right"/>
            </w:pPr>
            <w:r>
              <w:rPr>
                <w:color w:val="1C3A36"/>
                <w:sz w:val="17"/>
              </w:rPr>
              <w:t>5,445</w:t>
            </w:r>
          </w:p>
        </w:tc>
        <w:tc>
          <w:tcPr>
            <w:tcW w:type="dxa" w:w="1238"/>
          </w:tcPr>
          <w:p>
            <w:pPr>
              <w:spacing w:after="20"/>
              <w:jc w:val="right"/>
            </w:pPr>
            <w:r>
              <w:rPr>
                <w:color w:val="1C3A36"/>
                <w:sz w:val="17"/>
              </w:rPr>
              <w:t>6,721</w:t>
            </w:r>
          </w:p>
        </w:tc>
        <w:tc>
          <w:tcPr>
            <w:tcW w:type="dxa" w:w="1238"/>
          </w:tcPr>
          <w:p>
            <w:pPr>
              <w:spacing w:after="20"/>
              <w:jc w:val="right"/>
            </w:pPr>
            <w:r>
              <w:rPr>
                <w:color w:val="1C3A36"/>
                <w:sz w:val="17"/>
              </w:rPr>
              <w:t>7,785</w:t>
            </w:r>
          </w:p>
        </w:tc>
        <w:tc>
          <w:tcPr>
            <w:tcW w:type="dxa" w:w="1238"/>
          </w:tcPr>
          <w:p>
            <w:pPr>
              <w:spacing w:after="20"/>
              <w:jc w:val="right"/>
            </w:pPr>
            <w:r>
              <w:rPr>
                <w:color w:val="1C3A36"/>
                <w:sz w:val="17"/>
              </w:rPr>
              <w:t>8,755</w:t>
            </w:r>
          </w:p>
        </w:tc>
      </w:tr>
      <w:tr>
        <w:tc>
          <w:tcPr>
            <w:tcW w:type="dxa" w:w="3456"/>
          </w:tcPr>
          <w:p>
            <w:pPr>
              <w:spacing w:after="20"/>
            </w:pPr>
            <w:r>
              <w:rPr>
                <w:b/>
                <w:color w:val="1C3A36"/>
                <w:sz w:val="17"/>
              </w:rPr>
              <w:t>Plus depreciation and amortisation</w:t>
            </w:r>
          </w:p>
        </w:tc>
        <w:tc>
          <w:tcPr>
            <w:tcW w:type="dxa" w:w="1238"/>
          </w:tcPr>
          <w:p>
            <w:pPr>
              <w:spacing w:after="20"/>
              <w:jc w:val="right"/>
            </w:pPr>
            <w:r>
              <w:rPr>
                <w:color w:val="1C3A36"/>
                <w:sz w:val="17"/>
              </w:rPr>
              <w:t>864</w:t>
            </w:r>
          </w:p>
        </w:tc>
        <w:tc>
          <w:tcPr>
            <w:tcW w:type="dxa" w:w="1238"/>
          </w:tcPr>
          <w:p>
            <w:pPr>
              <w:spacing w:after="20"/>
              <w:jc w:val="right"/>
            </w:pPr>
            <w:r>
              <w:rPr>
                <w:color w:val="1C3A36"/>
                <w:sz w:val="17"/>
              </w:rPr>
              <w:t>1,053</w:t>
            </w:r>
          </w:p>
        </w:tc>
        <w:tc>
          <w:tcPr>
            <w:tcW w:type="dxa" w:w="1238"/>
          </w:tcPr>
          <w:p>
            <w:pPr>
              <w:spacing w:after="20"/>
              <w:jc w:val="right"/>
            </w:pPr>
            <w:r>
              <w:rPr>
                <w:color w:val="1C3A36"/>
                <w:sz w:val="17"/>
              </w:rPr>
              <w:t>1,237</w:t>
            </w:r>
          </w:p>
        </w:tc>
        <w:tc>
          <w:tcPr>
            <w:tcW w:type="dxa" w:w="1238"/>
          </w:tcPr>
          <w:p>
            <w:pPr>
              <w:spacing w:after="20"/>
              <w:jc w:val="right"/>
            </w:pPr>
            <w:r>
              <w:rPr>
                <w:color w:val="1C3A36"/>
                <w:sz w:val="17"/>
              </w:rPr>
              <w:t>1,416</w:t>
            </w:r>
          </w:p>
        </w:tc>
        <w:tc>
          <w:tcPr>
            <w:tcW w:type="dxa" w:w="1238"/>
          </w:tcPr>
          <w:p>
            <w:pPr>
              <w:spacing w:after="20"/>
              <w:jc w:val="right"/>
            </w:pPr>
            <w:r>
              <w:rPr>
                <w:color w:val="1C3A36"/>
                <w:sz w:val="17"/>
              </w:rPr>
              <w:t>1,592</w:t>
            </w:r>
          </w:p>
        </w:tc>
      </w:tr>
      <w:tr>
        <w:tc>
          <w:tcPr>
            <w:tcW w:type="dxa" w:w="3456"/>
          </w:tcPr>
          <w:p>
            <w:pPr>
              <w:spacing w:after="20"/>
            </w:pPr>
            <w:r>
              <w:rPr>
                <w:b/>
                <w:color w:val="1C3A36"/>
                <w:sz w:val="17"/>
              </w:rPr>
              <w:t>Less capital expenditure</w:t>
            </w:r>
          </w:p>
        </w:tc>
        <w:tc>
          <w:tcPr>
            <w:tcW w:type="dxa" w:w="1238"/>
          </w:tcPr>
          <w:p>
            <w:pPr>
              <w:spacing w:after="20"/>
              <w:jc w:val="right"/>
            </w:pPr>
            <w:r>
              <w:rPr>
                <w:color w:val="1C3A36"/>
                <w:sz w:val="17"/>
              </w:rPr>
              <w:t>(3,000)</w:t>
            </w:r>
          </w:p>
        </w:tc>
        <w:tc>
          <w:tcPr>
            <w:tcW w:type="dxa" w:w="1238"/>
          </w:tcPr>
          <w:p>
            <w:pPr>
              <w:spacing w:after="20"/>
              <w:jc w:val="right"/>
            </w:pPr>
            <w:r>
              <w:rPr>
                <w:color w:val="1C3A36"/>
                <w:sz w:val="17"/>
              </w:rPr>
              <w:t>(2,400)</w:t>
            </w:r>
          </w:p>
        </w:tc>
        <w:tc>
          <w:tcPr>
            <w:tcW w:type="dxa" w:w="1238"/>
          </w:tcPr>
          <w:p>
            <w:pPr>
              <w:spacing w:after="20"/>
              <w:jc w:val="right"/>
            </w:pPr>
            <w:r>
              <w:rPr>
                <w:color w:val="1C3A36"/>
                <w:sz w:val="17"/>
              </w:rPr>
              <w:t>(2,500)</w:t>
            </w:r>
          </w:p>
        </w:tc>
        <w:tc>
          <w:tcPr>
            <w:tcW w:type="dxa" w:w="1238"/>
          </w:tcPr>
          <w:p>
            <w:pPr>
              <w:spacing w:after="20"/>
              <w:jc w:val="right"/>
            </w:pPr>
            <w:r>
              <w:rPr>
                <w:color w:val="1C3A36"/>
                <w:sz w:val="17"/>
              </w:rPr>
              <w:t>(2,600)</w:t>
            </w:r>
          </w:p>
        </w:tc>
        <w:tc>
          <w:tcPr>
            <w:tcW w:type="dxa" w:w="1238"/>
          </w:tcPr>
          <w:p>
            <w:pPr>
              <w:spacing w:after="20"/>
              <w:jc w:val="right"/>
            </w:pPr>
            <w:r>
              <w:rPr>
                <w:color w:val="1C3A36"/>
                <w:sz w:val="17"/>
              </w:rPr>
              <w:t>(2,800)</w:t>
            </w:r>
          </w:p>
        </w:tc>
      </w:tr>
      <w:tr>
        <w:tc>
          <w:tcPr>
            <w:tcW w:type="dxa" w:w="3456"/>
          </w:tcPr>
          <w:p>
            <w:pPr>
              <w:spacing w:after="20"/>
            </w:pPr>
            <w:r>
              <w:rPr>
                <w:b/>
                <w:color w:val="1C3A36"/>
                <w:sz w:val="17"/>
              </w:rPr>
              <w:t>Less increase in working capital</w:t>
            </w:r>
          </w:p>
        </w:tc>
        <w:tc>
          <w:tcPr>
            <w:tcW w:type="dxa" w:w="1238"/>
          </w:tcPr>
          <w:p>
            <w:pPr>
              <w:spacing w:after="20"/>
              <w:jc w:val="right"/>
            </w:pPr>
            <w:r>
              <w:rPr>
                <w:color w:val="1C3A36"/>
                <w:sz w:val="17"/>
              </w:rPr>
              <w:t>(1,899)</w:t>
            </w:r>
          </w:p>
        </w:tc>
        <w:tc>
          <w:tcPr>
            <w:tcW w:type="dxa" w:w="1238"/>
          </w:tcPr>
          <w:p>
            <w:pPr>
              <w:spacing w:after="20"/>
              <w:jc w:val="right"/>
            </w:pPr>
            <w:r>
              <w:rPr>
                <w:color w:val="1C3A36"/>
                <w:sz w:val="17"/>
              </w:rPr>
              <w:t>(3,118)</w:t>
            </w:r>
          </w:p>
        </w:tc>
        <w:tc>
          <w:tcPr>
            <w:tcW w:type="dxa" w:w="1238"/>
          </w:tcPr>
          <w:p>
            <w:pPr>
              <w:spacing w:after="20"/>
              <w:jc w:val="right"/>
            </w:pPr>
            <w:r>
              <w:rPr>
                <w:color w:val="1C3A36"/>
                <w:sz w:val="17"/>
              </w:rPr>
              <w:t>(2,494)</w:t>
            </w:r>
          </w:p>
        </w:tc>
        <w:tc>
          <w:tcPr>
            <w:tcW w:type="dxa" w:w="1238"/>
          </w:tcPr>
          <w:p>
            <w:pPr>
              <w:spacing w:after="20"/>
              <w:jc w:val="right"/>
            </w:pPr>
            <w:r>
              <w:rPr>
                <w:color w:val="1C3A36"/>
                <w:sz w:val="17"/>
              </w:rPr>
              <w:t>(2,533)</w:t>
            </w:r>
          </w:p>
        </w:tc>
        <w:tc>
          <w:tcPr>
            <w:tcW w:type="dxa" w:w="1238"/>
          </w:tcPr>
          <w:p>
            <w:pPr>
              <w:spacing w:after="20"/>
              <w:jc w:val="right"/>
            </w:pPr>
            <w:r>
              <w:rPr>
                <w:color w:val="1C3A36"/>
                <w:sz w:val="17"/>
              </w:rPr>
              <w:t>(2,163)</w:t>
            </w:r>
          </w:p>
        </w:tc>
      </w:tr>
      <w:tr>
        <w:tc>
          <w:tcPr>
            <w:tcW w:type="dxa" w:w="3456"/>
            <w:shd w:val="clear" w:color="auto" w:fill="F6F1E6"/>
          </w:tcPr>
          <w:p>
            <w:pPr>
              <w:spacing w:after="20"/>
            </w:pPr>
            <w:r>
              <w:rPr>
                <w:b/>
                <w:color w:val="1C3A36"/>
                <w:sz w:val="17"/>
              </w:rPr>
              <w:t>Free cash flow to the firm</w:t>
            </w:r>
          </w:p>
        </w:tc>
        <w:tc>
          <w:tcPr>
            <w:tcW w:type="dxa" w:w="1238"/>
            <w:shd w:val="clear" w:color="auto" w:fill="F6F1E6"/>
          </w:tcPr>
          <w:p>
            <w:pPr>
              <w:spacing w:after="20"/>
              <w:jc w:val="right"/>
            </w:pPr>
            <w:r>
              <w:rPr>
                <w:b/>
                <w:color w:val="1C3A36"/>
                <w:sz w:val="17"/>
              </w:rPr>
              <w:t>151</w:t>
            </w:r>
          </w:p>
        </w:tc>
        <w:tc>
          <w:tcPr>
            <w:tcW w:type="dxa" w:w="1238"/>
            <w:shd w:val="clear" w:color="auto" w:fill="F6F1E6"/>
          </w:tcPr>
          <w:p>
            <w:pPr>
              <w:spacing w:after="20"/>
              <w:jc w:val="right"/>
            </w:pPr>
            <w:r>
              <w:rPr>
                <w:b/>
                <w:color w:val="1C3A36"/>
                <w:sz w:val="17"/>
              </w:rPr>
              <w:t>980</w:t>
            </w:r>
          </w:p>
        </w:tc>
        <w:tc>
          <w:tcPr>
            <w:tcW w:type="dxa" w:w="1238"/>
            <w:shd w:val="clear" w:color="auto" w:fill="F6F1E6"/>
          </w:tcPr>
          <w:p>
            <w:pPr>
              <w:spacing w:after="20"/>
              <w:jc w:val="right"/>
            </w:pPr>
            <w:r>
              <w:rPr>
                <w:b/>
                <w:color w:val="1C3A36"/>
                <w:sz w:val="17"/>
              </w:rPr>
              <w:t>2,964</w:t>
            </w:r>
          </w:p>
        </w:tc>
        <w:tc>
          <w:tcPr>
            <w:tcW w:type="dxa" w:w="1238"/>
            <w:shd w:val="clear" w:color="auto" w:fill="F6F1E6"/>
          </w:tcPr>
          <w:p>
            <w:pPr>
              <w:spacing w:after="20"/>
              <w:jc w:val="right"/>
            </w:pPr>
            <w:r>
              <w:rPr>
                <w:b/>
                <w:color w:val="1C3A36"/>
                <w:sz w:val="17"/>
              </w:rPr>
              <w:t>4,068</w:t>
            </w:r>
          </w:p>
        </w:tc>
        <w:tc>
          <w:tcPr>
            <w:tcW w:type="dxa" w:w="1238"/>
            <w:shd w:val="clear" w:color="auto" w:fill="F6F1E6"/>
          </w:tcPr>
          <w:p>
            <w:pPr>
              <w:spacing w:after="20"/>
              <w:jc w:val="right"/>
            </w:pPr>
            <w:r>
              <w:rPr>
                <w:b/>
                <w:color w:val="1C3A36"/>
                <w:sz w:val="17"/>
              </w:rPr>
              <w:t>5,384</w:t>
            </w:r>
          </w:p>
        </w:tc>
      </w:tr>
    </w:tbl>
    <w:p>
      <w:pPr>
        <w:spacing w:after="40"/>
      </w:pPr>
    </w:p>
    <w:p>
      <w:pPr>
        <w:spacing w:after="200" w:before="0"/>
      </w:pPr>
      <w:r>
        <w:rPr>
          <w:b w:val="0"/>
          <w:i/>
          <w:color w:val="6E7B77"/>
          <w:sz w:val="17"/>
        </w:rPr>
        <w:t>Table A3 — the Auto leg’s cash flow, line for line as §1.2 discounts it. Deductions are printed as magnitudes in brackets and the labels state the operation, so the column can be followed to the result.</w:t>
      </w:r>
    </w:p>
    <w:p>
      <w:pPr>
        <w:spacing w:after="80" w:before="200"/>
      </w:pPr>
      <w:r>
        <w:rPr>
          <w:b/>
          <w:i w:val="0"/>
          <w:color w:val="1C3A36"/>
          <w:sz w:val="24"/>
        </w:rPr>
        <w:t>A.5  The balance-sheet anchors the bridge stands 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3312"/>
            <w:shd w:val="clear" w:color="auto" w:fill="EAF0EE"/>
          </w:tcPr>
          <w:p>
            <w:pPr>
              <w:spacing w:after="20"/>
            </w:pPr>
            <w:r>
              <w:rPr>
                <w:b/>
                <w:color w:val="1C3A36"/>
                <w:sz w:val="17"/>
              </w:rPr>
              <w:t>Item</w:t>
            </w:r>
          </w:p>
        </w:tc>
        <w:tc>
          <w:tcPr>
            <w:tcW w:type="dxa" w:w="1872"/>
            <w:shd w:val="clear" w:color="auto" w:fill="EAF0EE"/>
          </w:tcPr>
          <w:p>
            <w:pPr>
              <w:spacing w:after="20"/>
            </w:pPr>
            <w:r>
              <w:rPr>
                <w:b/>
                <w:color w:val="1C3A36"/>
                <w:sz w:val="17"/>
              </w:rPr>
              <w:t>Value (EGP mn)</w:t>
            </w:r>
          </w:p>
        </w:tc>
        <w:tc>
          <w:tcPr>
            <w:tcW w:type="dxa" w:w="1584"/>
            <w:shd w:val="clear" w:color="auto" w:fill="EAF0EE"/>
          </w:tcPr>
          <w:p>
            <w:pPr>
              <w:spacing w:after="20"/>
            </w:pPr>
            <w:r>
              <w:rPr>
                <w:b/>
                <w:color w:val="1C3A36"/>
                <w:sz w:val="17"/>
              </w:rPr>
              <w:t>As at</w:t>
            </w:r>
          </w:p>
        </w:tc>
        <w:tc>
          <w:tcPr>
            <w:tcW w:type="dxa" w:w="3456"/>
            <w:shd w:val="clear" w:color="auto" w:fill="EAF0EE"/>
          </w:tcPr>
          <w:p>
            <w:pPr>
              <w:spacing w:after="20"/>
            </w:pPr>
            <w:r>
              <w:rPr>
                <w:b/>
                <w:color w:val="1C3A36"/>
                <w:sz w:val="17"/>
              </w:rPr>
              <w:t>Source</w:t>
            </w:r>
          </w:p>
        </w:tc>
      </w:tr>
      <w:tr>
        <w:tc>
          <w:tcPr>
            <w:tcW w:type="dxa" w:w="3312"/>
          </w:tcPr>
          <w:p>
            <w:pPr>
              <w:spacing w:after="20"/>
            </w:pPr>
            <w:r>
              <w:rPr>
                <w:b/>
                <w:color w:val="1C3A36"/>
                <w:sz w:val="17"/>
              </w:rPr>
              <w:t>Cash and equivalents</w:t>
            </w:r>
          </w:p>
        </w:tc>
        <w:tc>
          <w:tcPr>
            <w:tcW w:type="dxa" w:w="1872"/>
          </w:tcPr>
          <w:p>
            <w:pPr>
              <w:spacing w:after="20"/>
              <w:jc w:val="right"/>
            </w:pPr>
            <w:r>
              <w:rPr>
                <w:color w:val="1C3A36"/>
                <w:sz w:val="17"/>
              </w:rPr>
              <w:t>10,951.5</w:t>
            </w:r>
          </w:p>
        </w:tc>
        <w:tc>
          <w:tcPr>
            <w:tcW w:type="dxa" w:w="1584"/>
          </w:tcPr>
          <w:p>
            <w:pPr>
              <w:spacing w:after="20"/>
              <w:jc w:val="right"/>
            </w:pPr>
            <w:r>
              <w:rPr>
                <w:color w:val="1C3A36"/>
                <w:sz w:val="17"/>
              </w:rPr>
              <w:t>2026-08-13</w:t>
            </w:r>
          </w:p>
        </w:tc>
        <w:tc>
          <w:tcPr>
            <w:tcW w:type="dxa" w:w="3456"/>
          </w:tcPr>
          <w:p>
            <w:pPr>
              <w:spacing w:after="20"/>
              <w:jc w:val="right"/>
            </w:pPr>
            <w:r>
              <w:rPr>
                <w:color w:val="1C3A36"/>
                <w:sz w:val="17"/>
              </w:rPr>
              <w:t>Company (investor relations)</w:t>
            </w:r>
          </w:p>
        </w:tc>
      </w:tr>
      <w:tr>
        <w:tc>
          <w:tcPr>
            <w:tcW w:type="dxa" w:w="3312"/>
          </w:tcPr>
          <w:p>
            <w:pPr>
              <w:spacing w:after="20"/>
            </w:pPr>
            <w:r>
              <w:rPr>
                <w:b/>
                <w:color w:val="1C3A36"/>
                <w:sz w:val="17"/>
              </w:rPr>
              <w:t>Borrowings, group</w:t>
            </w:r>
          </w:p>
        </w:tc>
        <w:tc>
          <w:tcPr>
            <w:tcW w:type="dxa" w:w="1872"/>
          </w:tcPr>
          <w:p>
            <w:pPr>
              <w:spacing w:after="20"/>
              <w:jc w:val="right"/>
            </w:pPr>
            <w:r>
              <w:rPr>
                <w:color w:val="1C3A36"/>
                <w:sz w:val="17"/>
              </w:rPr>
              <w:t>42,476.0</w:t>
            </w:r>
          </w:p>
        </w:tc>
        <w:tc>
          <w:tcPr>
            <w:tcW w:type="dxa" w:w="1584"/>
          </w:tcPr>
          <w:p>
            <w:pPr>
              <w:spacing w:after="20"/>
              <w:jc w:val="right"/>
            </w:pPr>
            <w:r>
              <w:rPr>
                <w:color w:val="1C3A36"/>
                <w:sz w:val="17"/>
              </w:rPr>
              <w:t>2026-08-13</w:t>
            </w:r>
          </w:p>
        </w:tc>
        <w:tc>
          <w:tcPr>
            <w:tcW w:type="dxa" w:w="3456"/>
          </w:tcPr>
          <w:p>
            <w:pPr>
              <w:spacing w:after="20"/>
              <w:jc w:val="right"/>
            </w:pPr>
            <w:r>
              <w:rPr>
                <w:color w:val="1C3A36"/>
                <w:sz w:val="17"/>
              </w:rPr>
              <w:t>Company (investor relations)</w:t>
            </w:r>
          </w:p>
        </w:tc>
      </w:tr>
      <w:tr>
        <w:tc>
          <w:tcPr>
            <w:tcW w:type="dxa" w:w="3312"/>
          </w:tcPr>
          <w:p>
            <w:pPr>
              <w:spacing w:after="20"/>
            </w:pPr>
            <w:r>
              <w:rPr>
                <w:b/>
                <w:color w:val="1C3A36"/>
                <w:sz w:val="17"/>
              </w:rPr>
              <w:t>Borrowings, GB Auto segment</w:t>
            </w:r>
          </w:p>
        </w:tc>
        <w:tc>
          <w:tcPr>
            <w:tcW w:type="dxa" w:w="1872"/>
          </w:tcPr>
          <w:p>
            <w:pPr>
              <w:spacing w:after="20"/>
              <w:jc w:val="right"/>
            </w:pPr>
            <w:r>
              <w:rPr>
                <w:color w:val="1C3A36"/>
                <w:sz w:val="17"/>
              </w:rPr>
              <w:t>22,733.1</w:t>
            </w:r>
          </w:p>
        </w:tc>
        <w:tc>
          <w:tcPr>
            <w:tcW w:type="dxa" w:w="1584"/>
          </w:tcPr>
          <w:p>
            <w:pPr>
              <w:spacing w:after="20"/>
              <w:jc w:val="right"/>
            </w:pPr>
            <w:r>
              <w:rPr>
                <w:color w:val="1C3A36"/>
                <w:sz w:val="17"/>
              </w:rPr>
              <w:t>2026-08-13</w:t>
            </w:r>
          </w:p>
        </w:tc>
        <w:tc>
          <w:tcPr>
            <w:tcW w:type="dxa" w:w="3456"/>
          </w:tcPr>
          <w:p>
            <w:pPr>
              <w:spacing w:after="20"/>
              <w:jc w:val="right"/>
            </w:pPr>
            <w:r>
              <w:rPr>
                <w:color w:val="1C3A36"/>
                <w:sz w:val="17"/>
              </w:rPr>
              <w:t>Company (investor relations)</w:t>
            </w:r>
          </w:p>
        </w:tc>
      </w:tr>
      <w:tr>
        <w:tc>
          <w:tcPr>
            <w:tcW w:type="dxa" w:w="3312"/>
          </w:tcPr>
          <w:p>
            <w:pPr>
              <w:spacing w:after="20"/>
            </w:pPr>
            <w:r>
              <w:rPr>
                <w:b/>
                <w:color w:val="1C3A36"/>
                <w:sz w:val="17"/>
              </w:rPr>
              <w:t>Total equity</w:t>
            </w:r>
          </w:p>
        </w:tc>
        <w:tc>
          <w:tcPr>
            <w:tcW w:type="dxa" w:w="1872"/>
          </w:tcPr>
          <w:p>
            <w:pPr>
              <w:spacing w:after="20"/>
              <w:jc w:val="right"/>
            </w:pPr>
            <w:r>
              <w:rPr>
                <w:color w:val="1C3A36"/>
                <w:sz w:val="17"/>
              </w:rPr>
              <w:t>35,127.9</w:t>
            </w:r>
          </w:p>
        </w:tc>
        <w:tc>
          <w:tcPr>
            <w:tcW w:type="dxa" w:w="1584"/>
          </w:tcPr>
          <w:p>
            <w:pPr>
              <w:spacing w:after="20"/>
              <w:jc w:val="right"/>
            </w:pPr>
            <w:r>
              <w:rPr>
                <w:color w:val="1C3A36"/>
                <w:sz w:val="17"/>
              </w:rPr>
              <w:t>2026-08-13</w:t>
            </w:r>
          </w:p>
        </w:tc>
        <w:tc>
          <w:tcPr>
            <w:tcW w:type="dxa" w:w="3456"/>
          </w:tcPr>
          <w:p>
            <w:pPr>
              <w:spacing w:after="20"/>
              <w:jc w:val="right"/>
            </w:pPr>
            <w:r>
              <w:rPr>
                <w:color w:val="1C3A36"/>
                <w:sz w:val="17"/>
              </w:rPr>
              <w:t>Company (investor relations)</w:t>
            </w:r>
          </w:p>
        </w:tc>
      </w:tr>
      <w:tr>
        <w:tc>
          <w:tcPr>
            <w:tcW w:type="dxa" w:w="3312"/>
          </w:tcPr>
          <w:p>
            <w:pPr>
              <w:spacing w:after="20"/>
            </w:pPr>
            <w:r>
              <w:rPr>
                <w:b/>
                <w:color w:val="1C3A36"/>
                <w:sz w:val="17"/>
              </w:rPr>
              <w:t>Auto net debt used in the bridge</w:t>
            </w:r>
          </w:p>
        </w:tc>
        <w:tc>
          <w:tcPr>
            <w:tcW w:type="dxa" w:w="1872"/>
          </w:tcPr>
          <w:p>
            <w:pPr>
              <w:spacing w:after="20"/>
              <w:jc w:val="right"/>
            </w:pPr>
            <w:r>
              <w:rPr>
                <w:color w:val="1C3A36"/>
                <w:sz w:val="17"/>
              </w:rPr>
              <w:t>14,623.7</w:t>
            </w:r>
          </w:p>
        </w:tc>
        <w:tc>
          <w:tcPr>
            <w:tcW w:type="dxa" w:w="1584"/>
          </w:tcPr>
          <w:p>
            <w:pPr>
              <w:spacing w:after="20"/>
              <w:jc w:val="right"/>
            </w:pPr>
            <w:r>
              <w:rPr>
                <w:color w:val="1C3A36"/>
                <w:sz w:val="17"/>
              </w:rPr>
              <w:t>2026-06-30</w:t>
            </w:r>
          </w:p>
        </w:tc>
        <w:tc>
          <w:tcPr>
            <w:tcW w:type="dxa" w:w="3456"/>
          </w:tcPr>
          <w:p>
            <w:pPr>
              <w:spacing w:after="20"/>
              <w:jc w:val="right"/>
            </w:pPr>
            <w:r>
              <w:rPr>
                <w:color w:val="1C3A36"/>
                <w:sz w:val="17"/>
              </w:rPr>
              <w:t>segmented balance sheet, GB Auto column</w:t>
            </w:r>
          </w:p>
        </w:tc>
      </w:tr>
      <w:tr>
        <w:tc>
          <w:tcPr>
            <w:tcW w:type="dxa" w:w="3312"/>
          </w:tcPr>
          <w:p>
            <w:pPr>
              <w:spacing w:after="20"/>
            </w:pPr>
            <w:r>
              <w:rPr>
                <w:b/>
                <w:color w:val="1C3A36"/>
                <w:sz w:val="17"/>
              </w:rPr>
              <w:t>Auto non-controlling interests deducted</w:t>
            </w:r>
          </w:p>
        </w:tc>
        <w:tc>
          <w:tcPr>
            <w:tcW w:type="dxa" w:w="1872"/>
          </w:tcPr>
          <w:p>
            <w:pPr>
              <w:spacing w:after="20"/>
              <w:jc w:val="right"/>
            </w:pPr>
            <w:r>
              <w:rPr>
                <w:color w:val="1C3A36"/>
                <w:sz w:val="17"/>
              </w:rPr>
              <w:t>590.7</w:t>
            </w:r>
          </w:p>
        </w:tc>
        <w:tc>
          <w:tcPr>
            <w:tcW w:type="dxa" w:w="1584"/>
          </w:tcPr>
          <w:p>
            <w:pPr>
              <w:spacing w:after="20"/>
              <w:jc w:val="right"/>
            </w:pPr>
            <w:r>
              <w:rPr>
                <w:color w:val="1C3A36"/>
                <w:sz w:val="17"/>
              </w:rPr>
              <w:t>2026-06-30</w:t>
            </w:r>
          </w:p>
        </w:tc>
        <w:tc>
          <w:tcPr>
            <w:tcW w:type="dxa" w:w="3456"/>
          </w:tcPr>
          <w:p>
            <w:pPr>
              <w:spacing w:after="20"/>
              <w:jc w:val="right"/>
            </w:pPr>
            <w:r>
              <w:rPr>
                <w:color w:val="1C3A36"/>
                <w:sz w:val="17"/>
              </w:rPr>
              <w:t>that leg’s own minority</w:t>
            </w:r>
          </w:p>
        </w:tc>
      </w:tr>
    </w:tbl>
    <w:p>
      <w:pPr>
        <w:spacing w:after="40"/>
      </w:pPr>
    </w:p>
    <w:p>
      <w:pPr>
        <w:spacing w:after="200" w:before="0"/>
      </w:pPr>
      <w:r>
        <w:rPr>
          <w:b w:val="0"/>
          <w:i/>
          <w:color w:val="6E7B77"/>
          <w:sz w:val="17"/>
        </w:rPr>
        <w:t>Table A4 — the bridge stands on the latest disclosed balance sheet, the reviewed statements to 30 June 2026, and not on the prior year end. The deduction is the AUTO leg’s own net debt and the AUTO leg’s own minority, because the lender’s borrowings are its raw material rather than its leverage.</w:t>
      </w:r>
    </w:p>
    <w:p>
      <w:pPr>
        <w:spacing w:after="120" w:before="280"/>
      </w:pPr>
      <w:r>
        <w:rPr>
          <w:b/>
          <w:i w:val="0"/>
          <w:color w:val="1C3A36"/>
          <w:sz w:val="30"/>
        </w:rPr>
        <w:t>Appendix B  Calibration — testing the price cone on this stock’s own history</w:t>
      </w:r>
    </w:p>
    <w:p>
      <w:pPr>
        <w:spacing w:after="120" w:before="0"/>
      </w:pPr>
      <w:r>
        <w:rPr>
          <w:b w:val="0"/>
          <w:i w:val="0"/>
          <w:color w:val="1C3A36"/>
          <w:sz w:val="21"/>
        </w:rPr>
        <w:t>Before any forecast we test the price cone on GB Corp’s own history. At 56 non-overlapping three-month origins, using only the data available at each origin, the engine generates the three-month-ahead distribution and the realised close is scored against it. What is published here is what a reader can use: how often the bands actually held, with the count printed beside every percentage.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2880"/>
            <w:shd w:val="clear" w:color="auto" w:fill="EAF0EE"/>
          </w:tcPr>
          <w:p>
            <w:pPr>
              <w:spacing w:after="20"/>
            </w:pPr>
            <w:r>
              <w:rPr>
                <w:b/>
                <w:color w:val="1C3A36"/>
                <w:sz w:val="17"/>
              </w:rPr>
              <w:t>Configuration</w:t>
            </w:r>
          </w:p>
        </w:tc>
        <w:tc>
          <w:tcPr>
            <w:tcW w:type="dxa" w:w="1152"/>
            <w:shd w:val="clear" w:color="auto" w:fill="EAF0EE"/>
          </w:tcPr>
          <w:p>
            <w:pPr>
              <w:spacing w:after="20"/>
            </w:pPr>
            <w:r>
              <w:rPr>
                <w:b/>
                <w:color w:val="1C3A36"/>
                <w:sz w:val="17"/>
              </w:rPr>
              <w:t>Windows</w:t>
            </w:r>
          </w:p>
        </w:tc>
        <w:tc>
          <w:tcPr>
            <w:tcW w:type="dxa" w:w="1440"/>
            <w:shd w:val="clear" w:color="auto" w:fill="EAF0EE"/>
          </w:tcPr>
          <w:p>
            <w:pPr>
              <w:spacing w:after="20"/>
            </w:pPr>
            <w:r>
              <w:rPr>
                <w:b/>
                <w:color w:val="1C3A36"/>
                <w:sz w:val="17"/>
              </w:rPr>
              <w:t>50% band held</w:t>
            </w:r>
          </w:p>
        </w:tc>
        <w:tc>
          <w:tcPr>
            <w:tcW w:type="dxa" w:w="1440"/>
            <w:shd w:val="clear" w:color="auto" w:fill="EAF0EE"/>
          </w:tcPr>
          <w:p>
            <w:pPr>
              <w:spacing w:after="20"/>
            </w:pPr>
            <w:r>
              <w:rPr>
                <w:b/>
                <w:color w:val="1C3A36"/>
                <w:sz w:val="17"/>
              </w:rPr>
              <w:t>80% band held</w:t>
            </w:r>
          </w:p>
        </w:tc>
        <w:tc>
          <w:tcPr>
            <w:tcW w:type="dxa" w:w="1440"/>
            <w:shd w:val="clear" w:color="auto" w:fill="EAF0EE"/>
          </w:tcPr>
          <w:p>
            <w:pPr>
              <w:spacing w:after="20"/>
            </w:pPr>
            <w:r>
              <w:rPr>
                <w:b/>
                <w:color w:val="1C3A36"/>
                <w:sz w:val="17"/>
              </w:rPr>
              <w:t>90% band held</w:t>
            </w:r>
          </w:p>
        </w:tc>
        <w:tc>
          <w:tcPr>
            <w:tcW w:type="dxa" w:w="1728"/>
            <w:shd w:val="clear" w:color="auto" w:fill="EAF0EE"/>
          </w:tcPr>
          <w:p>
            <w:pPr>
              <w:spacing w:after="20"/>
            </w:pPr>
            <w:r>
              <w:rPr>
                <w:b/>
                <w:color w:val="1C3A36"/>
                <w:sz w:val="17"/>
              </w:rPr>
              <w:t>Distribution centre</w:t>
            </w:r>
          </w:p>
        </w:tc>
      </w:tr>
      <w:tr>
        <w:tc>
          <w:tcPr>
            <w:tcW w:type="dxa" w:w="2880"/>
          </w:tcPr>
          <w:p>
            <w:pPr>
              <w:spacing w:after="20"/>
            </w:pPr>
            <w:r>
              <w:rPr>
                <w:b/>
                <w:color w:val="1C3A36"/>
                <w:sz w:val="17"/>
              </w:rPr>
              <w:t>Zero drift — non-overlapping</w:t>
            </w:r>
          </w:p>
        </w:tc>
        <w:tc>
          <w:tcPr>
            <w:tcW w:type="dxa" w:w="1152"/>
          </w:tcPr>
          <w:p>
            <w:pPr>
              <w:spacing w:after="20"/>
              <w:jc w:val="right"/>
            </w:pPr>
            <w:r>
              <w:rPr>
                <w:color w:val="1C3A36"/>
                <w:sz w:val="17"/>
              </w:rPr>
              <w:t>56</w:t>
            </w:r>
          </w:p>
        </w:tc>
        <w:tc>
          <w:tcPr>
            <w:tcW w:type="dxa" w:w="1440"/>
          </w:tcPr>
          <w:p>
            <w:pPr>
              <w:spacing w:after="20"/>
              <w:jc w:val="right"/>
            </w:pPr>
            <w:r>
              <w:rPr>
                <w:color w:val="1C3A36"/>
                <w:sz w:val="17"/>
              </w:rPr>
              <w:t>59%</w:t>
            </w:r>
          </w:p>
        </w:tc>
        <w:tc>
          <w:tcPr>
            <w:tcW w:type="dxa" w:w="1440"/>
          </w:tcPr>
          <w:p>
            <w:pPr>
              <w:spacing w:after="20"/>
              <w:jc w:val="right"/>
            </w:pPr>
            <w:r>
              <w:rPr>
                <w:color w:val="1C3A36"/>
                <w:sz w:val="17"/>
              </w:rPr>
              <w:t>84%</w:t>
            </w:r>
          </w:p>
        </w:tc>
        <w:tc>
          <w:tcPr>
            <w:tcW w:type="dxa" w:w="1440"/>
          </w:tcPr>
          <w:p>
            <w:pPr>
              <w:spacing w:after="20"/>
              <w:jc w:val="right"/>
            </w:pPr>
            <w:r>
              <w:rPr>
                <w:color w:val="1C3A36"/>
                <w:sz w:val="17"/>
              </w:rPr>
              <w:t>93%</w:t>
            </w:r>
          </w:p>
        </w:tc>
        <w:tc>
          <w:tcPr>
            <w:tcW w:type="dxa" w:w="1728"/>
          </w:tcPr>
          <w:p>
            <w:pPr>
              <w:spacing w:after="20"/>
              <w:jc w:val="right"/>
            </w:pPr>
            <w:r>
              <w:rPr>
                <w:color w:val="1C3A36"/>
                <w:sz w:val="17"/>
              </w:rPr>
              <w:t>0.57</w:t>
            </w:r>
          </w:p>
        </w:tc>
      </w:tr>
      <w:tr>
        <w:tc>
          <w:tcPr>
            <w:tcW w:type="dxa" w:w="2880"/>
          </w:tcPr>
          <w:p>
            <w:pPr>
              <w:spacing w:after="20"/>
            </w:pPr>
            <w:r>
              <w:rPr>
                <w:b/>
                <w:color w:val="1C3A36"/>
                <w:sz w:val="17"/>
              </w:rPr>
              <w:t>Secular drift — non-overlapping</w:t>
            </w:r>
          </w:p>
        </w:tc>
        <w:tc>
          <w:tcPr>
            <w:tcW w:type="dxa" w:w="1152"/>
          </w:tcPr>
          <w:p>
            <w:pPr>
              <w:spacing w:after="20"/>
              <w:jc w:val="right"/>
            </w:pPr>
            <w:r>
              <w:rPr>
                <w:color w:val="1C3A36"/>
                <w:sz w:val="17"/>
              </w:rPr>
              <w:t>56</w:t>
            </w:r>
          </w:p>
        </w:tc>
        <w:tc>
          <w:tcPr>
            <w:tcW w:type="dxa" w:w="1440"/>
          </w:tcPr>
          <w:p>
            <w:pPr>
              <w:spacing w:after="20"/>
              <w:jc w:val="right"/>
            </w:pPr>
            <w:r>
              <w:rPr>
                <w:color w:val="1C3A36"/>
                <w:sz w:val="17"/>
              </w:rPr>
              <w:t>55%</w:t>
            </w:r>
          </w:p>
        </w:tc>
        <w:tc>
          <w:tcPr>
            <w:tcW w:type="dxa" w:w="1440"/>
          </w:tcPr>
          <w:p>
            <w:pPr>
              <w:spacing w:after="20"/>
              <w:jc w:val="right"/>
            </w:pPr>
            <w:r>
              <w:rPr>
                <w:color w:val="1C3A36"/>
                <w:sz w:val="17"/>
              </w:rPr>
              <w:t>80%</w:t>
            </w:r>
          </w:p>
        </w:tc>
        <w:tc>
          <w:tcPr>
            <w:tcW w:type="dxa" w:w="1440"/>
          </w:tcPr>
          <w:p>
            <w:pPr>
              <w:spacing w:after="20"/>
              <w:jc w:val="right"/>
            </w:pPr>
            <w:r>
              <w:rPr>
                <w:color w:val="1C3A36"/>
                <w:sz w:val="17"/>
              </w:rPr>
              <w:t>93%</w:t>
            </w:r>
          </w:p>
        </w:tc>
        <w:tc>
          <w:tcPr>
            <w:tcW w:type="dxa" w:w="1728"/>
          </w:tcPr>
          <w:p>
            <w:pPr>
              <w:spacing w:after="20"/>
              <w:jc w:val="right"/>
            </w:pPr>
            <w:r>
              <w:rPr>
                <w:color w:val="1C3A36"/>
                <w:sz w:val="17"/>
              </w:rPr>
              <w:t>0.59</w:t>
            </w:r>
          </w:p>
        </w:tc>
      </w:tr>
      <w:tr>
        <w:tc>
          <w:tcPr>
            <w:tcW w:type="dxa" w:w="2880"/>
          </w:tcPr>
          <w:p>
            <w:pPr>
              <w:spacing w:after="20"/>
            </w:pPr>
            <w:r>
              <w:rPr>
                <w:b/>
                <w:color w:val="1C3A36"/>
                <w:sz w:val="17"/>
              </w:rPr>
              <w:t>Secular drift — monthly origins</w:t>
            </w:r>
          </w:p>
        </w:tc>
        <w:tc>
          <w:tcPr>
            <w:tcW w:type="dxa" w:w="1152"/>
          </w:tcPr>
          <w:p>
            <w:pPr>
              <w:spacing w:after="20"/>
              <w:jc w:val="right"/>
            </w:pPr>
            <w:r>
              <w:rPr>
                <w:color w:val="1C3A36"/>
                <w:sz w:val="17"/>
              </w:rPr>
              <w:t>158</w:t>
            </w:r>
          </w:p>
        </w:tc>
        <w:tc>
          <w:tcPr>
            <w:tcW w:type="dxa" w:w="1440"/>
          </w:tcPr>
          <w:p>
            <w:pPr>
              <w:spacing w:after="20"/>
              <w:jc w:val="right"/>
            </w:pPr>
            <w:r>
              <w:rPr>
                <w:color w:val="1C3A36"/>
                <w:sz w:val="17"/>
              </w:rPr>
              <w:t>49%</w:t>
            </w:r>
          </w:p>
        </w:tc>
        <w:tc>
          <w:tcPr>
            <w:tcW w:type="dxa" w:w="1440"/>
          </w:tcPr>
          <w:p>
            <w:pPr>
              <w:spacing w:after="20"/>
              <w:jc w:val="right"/>
            </w:pPr>
            <w:r>
              <w:rPr>
                <w:color w:val="1C3A36"/>
                <w:sz w:val="17"/>
              </w:rPr>
              <w:t>84%</w:t>
            </w:r>
          </w:p>
        </w:tc>
        <w:tc>
          <w:tcPr>
            <w:tcW w:type="dxa" w:w="1440"/>
          </w:tcPr>
          <w:p>
            <w:pPr>
              <w:spacing w:after="20"/>
              <w:jc w:val="right"/>
            </w:pPr>
            <w:r>
              <w:rPr>
                <w:color w:val="1C3A36"/>
                <w:sz w:val="17"/>
              </w:rPr>
              <w:t>91%</w:t>
            </w:r>
          </w:p>
        </w:tc>
        <w:tc>
          <w:tcPr>
            <w:tcW w:type="dxa" w:w="1728"/>
          </w:tcPr>
          <w:p>
            <w:pPr>
              <w:spacing w:after="20"/>
              <w:jc w:val="right"/>
            </w:pPr>
            <w:r>
              <w:rPr>
                <w:color w:val="1C3A36"/>
                <w:sz w:val="17"/>
              </w:rPr>
              <w:t>0.59</w:t>
            </w:r>
          </w:p>
        </w:tc>
      </w:tr>
    </w:tbl>
    <w:p>
      <w:pPr>
        <w:spacing w:after="40"/>
      </w:pPr>
    </w:p>
    <w:p>
      <w:pPr>
        <w:spacing w:after="40"/>
        <w:jc w:val="center"/>
      </w:pPr>
      <w:r>
        <w:drawing>
          <wp:inline xmlns:a="http://schemas.openxmlformats.org/drawingml/2006/main" xmlns:pic="http://schemas.openxmlformats.org/drawingml/2006/picture">
            <wp:extent cx="6035040" cy="1944380"/>
            <wp:docPr id="7" name="Picture 7"/>
            <wp:cNvGraphicFramePr>
              <a:graphicFrameLocks noChangeAspect="1"/>
            </wp:cNvGraphicFramePr>
            <a:graphic>
              <a:graphicData uri="http://schemas.openxmlformats.org/drawingml/2006/picture">
                <pic:pic>
                  <pic:nvPicPr>
                    <pic:cNvPr id="0" name="figB1_calibration.png"/>
                    <pic:cNvPicPr/>
                  </pic:nvPicPr>
                  <pic:blipFill>
                    <a:blip r:embed="rId15"/>
                    <a:stretch>
                      <a:fillRect/>
                    </a:stretch>
                  </pic:blipFill>
                  <pic:spPr>
                    <a:xfrm>
                      <a:off x="0" y="0"/>
                      <a:ext cx="6035040" cy="1944380"/>
                    </a:xfrm>
                    <a:prstGeom prst="rect"/>
                  </pic:spPr>
                </pic:pic>
              </a:graphicData>
            </a:graphic>
          </wp:inline>
        </w:drawing>
      </w:r>
    </w:p>
    <w:p>
      <w:pPr>
        <w:spacing w:after="200" w:before="0"/>
      </w:pPr>
      <w:r>
        <w:rPr>
          <w:b w:val="0"/>
          <w:i/>
          <w:color w:val="6E7B77"/>
          <w:sz w:val="17"/>
        </w:rPr>
        <w:t>Figure B-1 — the calibration replay: the quarterly cone against what actually happened, the distribution of where outcomes landed inside the cone, and coverage against target.</w:t>
      </w:r>
    </w:p>
    <w:p>
      <w:pPr>
        <w:spacing w:after="120" w:before="0"/>
      </w:pPr>
      <w:r>
        <w:rPr>
          <w:b w:val="0"/>
          <w:i w:val="0"/>
          <w:color w:val="1C3A36"/>
          <w:sz w:val="21"/>
        </w:rPr>
        <w:t>Read the middle row. On 56 windows the 90% band contained the close 93% of the time against a 90% target, the 80% band 80% against 80%, and the 50% band 55% against 50% — a cone that held about as often as it promised at the wide end and slightly more often than promised in the middle. The centre of the distribution sits at 0.59 against a neutral 0.50, which says outcomes landed a little higher in the cone than the middle of it: this engine has been calling this stock’s advance slightly low rather than slightly high.</w:t>
      </w:r>
    </w:p>
    <w:p>
      <w:pPr>
        <w:spacing w:after="120" w:before="0"/>
      </w:pPr>
      <w:r>
        <w:rPr>
          <w:b w:val="0"/>
          <w:i w:val="0"/>
          <w:color w:val="1C3A36"/>
          <w:sz w:val="21"/>
        </w:rPr>
        <w:t>The honest caveats. The proper score against a naive benchmark is -1.8% on non-overlapping windows and -1.1% on the denser monthly origins — that is, this cone does not beat a carry-anchored random walk on that score, and the case for the drift term rests on the coverage and the centring rather than on a score margin. The drift is re-tested at every roll-forward and cut the moment the coverage record stops holding. This is decent validation of a band, not proof of an edge, and the difference is the whole point of printing the counts.</w:t>
      </w:r>
    </w:p>
    <w:p>
      <w:pPr>
        <w:spacing w:after="120" w:before="280"/>
      </w:pPr>
      <w:r>
        <w:rPr>
          <w:b/>
          <w:i w:val="0"/>
          <w:color w:val="1C3A36"/>
          <w:sz w:val="30"/>
        </w:rPr>
        <w:t>Appendix C  Peer set, sector structure, and risks</w:t>
      </w:r>
    </w:p>
    <w:p>
      <w:pPr>
        <w:spacing w:after="120" w:before="0"/>
      </w:pPr>
      <w:r>
        <w:rPr>
          <w:b w:val="0"/>
          <w:i w:val="0"/>
          <w:color w:val="1C3A36"/>
          <w:sz w:val="21"/>
        </w:rPr>
        <w:t>GB Corp has no clean single comparable — an auto assembler-distributor, a non-bank lender and a fintech associate in one wrapper. The peer set is therefore split by leg, and it is used for cross-checks only: no peer is a source for GB Corp’s own reported figures.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2736"/>
            <w:shd w:val="clear" w:color="auto" w:fill="EAF0EE"/>
          </w:tcPr>
          <w:p>
            <w:pPr>
              <w:spacing w:after="20"/>
            </w:pPr>
            <w:r>
              <w:rPr>
                <w:b/>
                <w:color w:val="1C3A36"/>
                <w:sz w:val="17"/>
              </w:rPr>
              <w:t>Leg</w:t>
            </w:r>
          </w:p>
        </w:tc>
        <w:tc>
          <w:tcPr>
            <w:tcW w:type="dxa" w:w="4464"/>
            <w:shd w:val="clear" w:color="auto" w:fill="EAF0EE"/>
          </w:tcPr>
          <w:p>
            <w:pPr>
              <w:spacing w:after="20"/>
            </w:pPr>
            <w:r>
              <w:rPr>
                <w:b/>
                <w:color w:val="1C3A36"/>
                <w:sz w:val="17"/>
              </w:rPr>
              <w:t>Closest peers</w:t>
            </w:r>
          </w:p>
        </w:tc>
        <w:tc>
          <w:tcPr>
            <w:tcW w:type="dxa" w:w="2880"/>
            <w:shd w:val="clear" w:color="auto" w:fill="EAF0EE"/>
          </w:tcPr>
          <w:p>
            <w:pPr>
              <w:spacing w:after="20"/>
            </w:pPr>
            <w:r>
              <w:rPr>
                <w:b/>
                <w:color w:val="1C3A36"/>
                <w:sz w:val="17"/>
              </w:rPr>
              <w:t>How they are typically valued</w:t>
            </w:r>
          </w:p>
        </w:tc>
      </w:tr>
      <w:tr>
        <w:tc>
          <w:tcPr>
            <w:tcW w:type="dxa" w:w="2736"/>
          </w:tcPr>
          <w:p>
            <w:pPr>
              <w:spacing w:after="20"/>
            </w:pPr>
            <w:r>
              <w:rPr>
                <w:b/>
                <w:color w:val="1C3A36"/>
                <w:sz w:val="17"/>
              </w:rPr>
              <w:t>Auto assembly and distribution</w:t>
            </w:r>
          </w:p>
        </w:tc>
        <w:tc>
          <w:tcPr>
            <w:tcW w:type="dxa" w:w="4464"/>
          </w:tcPr>
          <w:p>
            <w:pPr>
              <w:spacing w:after="20"/>
              <w:jc w:val="right"/>
            </w:pPr>
            <w:r>
              <w:rPr>
                <w:color w:val="1C3A36"/>
                <w:sz w:val="17"/>
              </w:rPr>
              <w:t>Gulf and regional auto distributors; listed consumer-durables names on this exchange</w:t>
            </w:r>
          </w:p>
        </w:tc>
        <w:tc>
          <w:tcPr>
            <w:tcW w:type="dxa" w:w="2880"/>
          </w:tcPr>
          <w:p>
            <w:pPr>
              <w:spacing w:after="20"/>
              <w:jc w:val="right"/>
            </w:pPr>
            <w:r>
              <w:rPr>
                <w:color w:val="1C3A36"/>
                <w:sz w:val="17"/>
              </w:rPr>
              <w:t>Enterprise value against operating profit; earnings multiples</w:t>
            </w:r>
          </w:p>
        </w:tc>
      </w:tr>
      <w:tr>
        <w:tc>
          <w:tcPr>
            <w:tcW w:type="dxa" w:w="2736"/>
          </w:tcPr>
          <w:p>
            <w:pPr>
              <w:spacing w:after="20"/>
            </w:pPr>
            <w:r>
              <w:rPr>
                <w:b/>
                <w:color w:val="1C3A36"/>
                <w:sz w:val="17"/>
              </w:rPr>
              <w:t>Non-bank consumer and corporate finance</w:t>
            </w:r>
          </w:p>
        </w:tc>
        <w:tc>
          <w:tcPr>
            <w:tcW w:type="dxa" w:w="4464"/>
          </w:tcPr>
          <w:p>
            <w:pPr>
              <w:spacing w:after="20"/>
              <w:jc w:val="right"/>
            </w:pPr>
            <w:r>
              <w:rPr>
                <w:color w:val="1C3A36"/>
                <w:sz w:val="17"/>
              </w:rPr>
              <w:t>Listed Egyptian finance companies with a comparable book</w:t>
            </w:r>
          </w:p>
        </w:tc>
        <w:tc>
          <w:tcPr>
            <w:tcW w:type="dxa" w:w="2880"/>
          </w:tcPr>
          <w:p>
            <w:pPr>
              <w:spacing w:after="20"/>
              <w:jc w:val="right"/>
            </w:pPr>
            <w:r>
              <w:rPr>
                <w:color w:val="1C3A36"/>
                <w:sz w:val="17"/>
              </w:rPr>
              <w:t>Price to book against the return on that book</w:t>
            </w:r>
          </w:p>
        </w:tc>
      </w:tr>
      <w:tr>
        <w:tc>
          <w:tcPr>
            <w:tcW w:type="dxa" w:w="2736"/>
          </w:tcPr>
          <w:p>
            <w:pPr>
              <w:spacing w:after="20"/>
            </w:pPr>
            <w:r>
              <w:rPr>
                <w:b/>
                <w:color w:val="1C3A36"/>
                <w:sz w:val="17"/>
              </w:rPr>
              <w:t>Fintech associate</w:t>
            </w:r>
          </w:p>
        </w:tc>
        <w:tc>
          <w:tcPr>
            <w:tcW w:type="dxa" w:w="4464"/>
          </w:tcPr>
          <w:p>
            <w:pPr>
              <w:spacing w:after="20"/>
              <w:jc w:val="right"/>
            </w:pPr>
            <w:r>
              <w:rPr>
                <w:color w:val="1C3A36"/>
                <w:sz w:val="17"/>
              </w:rPr>
              <w:t>Listed payments and financial-technology names on this exchange</w:t>
            </w:r>
          </w:p>
        </w:tc>
        <w:tc>
          <w:tcPr>
            <w:tcW w:type="dxa" w:w="2880"/>
          </w:tcPr>
          <w:p>
            <w:pPr>
              <w:spacing w:after="20"/>
              <w:jc w:val="right"/>
            </w:pPr>
            <w:r>
              <w:rPr>
                <w:color w:val="1C3A36"/>
                <w:sz w:val="17"/>
              </w:rPr>
              <w:t>Private marks; the last round is the only observable price</w:t>
            </w:r>
          </w:p>
        </w:tc>
      </w:tr>
    </w:tbl>
    <w:p>
      <w:pPr>
        <w:spacing w:after="40"/>
      </w:pPr>
    </w:p>
    <w:p>
      <w:pPr>
        <w:spacing w:after="120" w:before="0"/>
      </w:pPr>
      <w:r>
        <w:rPr>
          <w:b w:val="0"/>
          <w:i w:val="0"/>
          <w:color w:val="1C3A36"/>
          <w:sz w:val="21"/>
        </w:rPr>
        <w:t>Sector structure and principal risks. The Egyptian passenger-car market is in a policy-assisted recovery, with the easing cycle restoring affordability, localisation incentives reshaping the assembled-versus-imported mix, and new entrants resetting price points. Consumer and corporate finance is growing faster than banking credit off a low base, with securitisation deepening as a funding market. The principal risks are a structurally higher working-capital intensity; a renewed devaluation; regional conflict freezing the Iraq and Jordan lines; price competition from new entrants; credit-cycle deterioration in the lending book; a private-market re-pricing of the associate stake; and execution on the assembly ramp.</w:t>
      </w:r>
    </w:p>
    <w:p>
      <w:pPr>
        <w:spacing w:after="120" w:before="280"/>
      </w:pPr>
      <w:r>
        <w:rPr>
          <w:b/>
          <w:i w:val="0"/>
          <w:color w:val="1C3A36"/>
          <w:sz w:val="30"/>
        </w:rPr>
        <w:t>Appendix D  The expert valuation panel</w:t>
      </w:r>
    </w:p>
    <w:p>
      <w:pPr>
        <w:spacing w:after="120" w:before="0"/>
      </w:pPr>
      <w:r>
        <w:rPr>
          <w:b w:val="0"/>
          <w:i w:val="0"/>
          <w:color w:val="1C3A36"/>
          <w:sz w:val="21"/>
        </w:rPr>
        <w:t>Every study closes with a panel of standing expert personas, so that each accumulates a track record across studies and an update is a re-run rather than a re-training. For GB Corp we cast the industrial trio, adding the cash-returns lens because the name is capital-heavy: Expert 1 (the accountant — net asset value and the marks), Expert 2 (earnings power — normalised mid-cycle earnings and multiples), Expert 3 (cash returns — return on capital against its cost). Each runs a different method, derives its value from shown workings, and states in advance what would falsify it.</w:t>
      </w:r>
    </w:p>
    <w:p>
      <w:pPr>
        <w:spacing w:after="80" w:before="200"/>
      </w:pPr>
      <w:r>
        <w:rPr>
          <w:b/>
          <w:i w:val="0"/>
          <w:color w:val="1C3A36"/>
          <w:sz w:val="24"/>
        </w:rPr>
        <w:t>D.1  Expert 1 — the split-legs net asset value and the marks</w:t>
      </w:r>
    </w:p>
    <w:p>
      <w:pPr>
        <w:spacing w:after="120" w:before="0"/>
      </w:pPr>
      <w:r>
        <w:rPr>
          <w:b w:val="0"/>
          <w:i w:val="0"/>
          <w:color w:val="1C3A36"/>
          <w:sz w:val="19"/>
        </w:rPr>
        <w:t>Worldview. A group is worth the sum of its parts at realisable value, less a discount for the wrapper. Mark each leg to what it would fetch on its own; then argue only about the discount.</w:t>
      </w:r>
    </w:p>
    <w:p>
      <w:pPr>
        <w:spacing w:after="120" w:before="0"/>
      </w:pPr>
      <w:r>
        <w:rPr>
          <w:b w:val="0"/>
          <w:i w:val="0"/>
          <w:color w:val="1C3A36"/>
          <w:sz w:val="19"/>
        </w:rPr>
        <w:t>When it works and when it fails. Best where the legs are separable and independently markable; it fails hardest when the discount applied to a private mark is itself contestable, which is exactly his position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6336"/>
            <w:shd w:val="clear" w:color="auto" w:fill="EAF0EE"/>
          </w:tcPr>
          <w:p>
            <w:pPr>
              <w:spacing w:after="20"/>
            </w:pPr>
            <w:r>
              <w:rPr>
                <w:b/>
                <w:color w:val="1C3A36"/>
                <w:sz w:val="18"/>
              </w:rPr>
              <w:t>Expert 1’s marks</w:t>
            </w:r>
          </w:p>
        </w:tc>
        <w:tc>
          <w:tcPr>
            <w:tcW w:type="dxa" w:w="2448"/>
            <w:shd w:val="clear" w:color="auto" w:fill="EAF0EE"/>
          </w:tcPr>
          <w:p>
            <w:pPr>
              <w:spacing w:after="20"/>
            </w:pPr>
            <w:r>
              <w:rPr>
                <w:b/>
                <w:color w:val="1C3A36"/>
                <w:sz w:val="18"/>
              </w:rPr>
              <w:t>EGP mn</w:t>
            </w:r>
          </w:p>
        </w:tc>
      </w:tr>
      <w:tr>
        <w:tc>
          <w:tcPr>
            <w:tcW w:type="dxa" w:w="6336"/>
          </w:tcPr>
          <w:p>
            <w:pPr>
              <w:spacing w:after="20"/>
            </w:pPr>
            <w:r>
              <w:rPr>
                <w:b/>
                <w:color w:val="1C3A36"/>
                <w:sz w:val="18"/>
              </w:rPr>
              <w:t>Auto leg (he accepts the §1.2 cash-flow value)</w:t>
            </w:r>
          </w:p>
        </w:tc>
        <w:tc>
          <w:tcPr>
            <w:tcW w:type="dxa" w:w="2448"/>
          </w:tcPr>
          <w:p>
            <w:pPr>
              <w:spacing w:after="20"/>
              <w:jc w:val="right"/>
            </w:pPr>
            <w:r>
              <w:rPr>
                <w:color w:val="1C3A36"/>
                <w:sz w:val="18"/>
              </w:rPr>
              <w:t>26,998</w:t>
            </w:r>
          </w:p>
        </w:tc>
      </w:tr>
      <w:tr>
        <w:tc>
          <w:tcPr>
            <w:tcW w:type="dxa" w:w="6336"/>
          </w:tcPr>
          <w:p>
            <w:pPr>
              <w:spacing w:after="20"/>
            </w:pPr>
            <w:r>
              <w:rPr>
                <w:b/>
                <w:color w:val="1C3A36"/>
                <w:sz w:val="18"/>
              </w:rPr>
              <w:t>GB Capital at one times adjusted book</w:t>
            </w:r>
          </w:p>
        </w:tc>
        <w:tc>
          <w:tcPr>
            <w:tcW w:type="dxa" w:w="2448"/>
          </w:tcPr>
          <w:p>
            <w:pPr>
              <w:spacing w:after="20"/>
              <w:jc w:val="right"/>
            </w:pPr>
            <w:r>
              <w:rPr>
                <w:color w:val="1C3A36"/>
                <w:sz w:val="18"/>
              </w:rPr>
              <w:t>9,500</w:t>
            </w:r>
          </w:p>
        </w:tc>
      </w:tr>
      <w:tr>
        <w:tc>
          <w:tcPr>
            <w:tcW w:type="dxa" w:w="6336"/>
          </w:tcPr>
          <w:p>
            <w:pPr>
              <w:spacing w:after="20"/>
            </w:pPr>
            <w:r>
              <w:rPr>
                <w:b/>
                <w:color w:val="1C3A36"/>
                <w:sz w:val="18"/>
              </w:rPr>
              <w:t>Associates: MNT-Halan plus the residual holdings</w:t>
            </w:r>
          </w:p>
        </w:tc>
        <w:tc>
          <w:tcPr>
            <w:tcW w:type="dxa" w:w="2448"/>
          </w:tcPr>
          <w:p>
            <w:pPr>
              <w:spacing w:after="20"/>
              <w:jc w:val="right"/>
            </w:pPr>
            <w:r>
              <w:rPr>
                <w:color w:val="1C3A36"/>
                <w:sz w:val="18"/>
              </w:rPr>
              <w:t>28,061</w:t>
            </w:r>
          </w:p>
        </w:tc>
      </w:tr>
      <w:tr>
        <w:tc>
          <w:tcPr>
            <w:tcW w:type="dxa" w:w="6336"/>
          </w:tcPr>
          <w:p>
            <w:pPr>
              <w:spacing w:after="20"/>
            </w:pPr>
            <w:r>
              <w:rPr>
                <w:b/>
                <w:color w:val="1C3A36"/>
                <w:sz w:val="18"/>
              </w:rPr>
              <w:t>Σ before the discount</w:t>
            </w:r>
          </w:p>
        </w:tc>
        <w:tc>
          <w:tcPr>
            <w:tcW w:type="dxa" w:w="2448"/>
          </w:tcPr>
          <w:p>
            <w:pPr>
              <w:spacing w:after="20"/>
              <w:jc w:val="right"/>
            </w:pPr>
            <w:r>
              <w:rPr>
                <w:color w:val="1C3A36"/>
                <w:sz w:val="18"/>
              </w:rPr>
              <w:t>64,558</w:t>
            </w:r>
          </w:p>
        </w:tc>
      </w:tr>
      <w:tr>
        <w:tc>
          <w:tcPr>
            <w:tcW w:type="dxa" w:w="6336"/>
          </w:tcPr>
          <w:p>
            <w:pPr>
              <w:spacing w:after="20"/>
            </w:pPr>
            <w:r>
              <w:rPr>
                <w:b/>
                <w:color w:val="1C3A36"/>
                <w:sz w:val="18"/>
              </w:rPr>
              <w:t>less: wrapper discount at 8% — an operator, not a passive holding company</w:t>
            </w:r>
          </w:p>
        </w:tc>
        <w:tc>
          <w:tcPr>
            <w:tcW w:type="dxa" w:w="2448"/>
          </w:tcPr>
          <w:p>
            <w:pPr>
              <w:spacing w:after="20"/>
              <w:jc w:val="right"/>
            </w:pPr>
            <w:r>
              <w:rPr>
                <w:color w:val="1C3A36"/>
                <w:sz w:val="18"/>
              </w:rPr>
              <w:t>(5,165)</w:t>
            </w:r>
          </w:p>
        </w:tc>
      </w:tr>
      <w:tr>
        <w:tc>
          <w:tcPr>
            <w:tcW w:type="dxa" w:w="6336"/>
          </w:tcPr>
          <w:p>
            <w:pPr>
              <w:spacing w:after="20"/>
            </w:pPr>
            <w:r>
              <w:rPr>
                <w:b/>
                <w:color w:val="1C3A36"/>
                <w:sz w:val="18"/>
              </w:rPr>
              <w:t>Equity value</w:t>
            </w:r>
          </w:p>
        </w:tc>
        <w:tc>
          <w:tcPr>
            <w:tcW w:type="dxa" w:w="2448"/>
          </w:tcPr>
          <w:p>
            <w:pPr>
              <w:spacing w:after="20"/>
              <w:jc w:val="right"/>
            </w:pPr>
            <w:r>
              <w:rPr>
                <w:color w:val="1C3A36"/>
                <w:sz w:val="18"/>
              </w:rPr>
              <w:t>59,394</w:t>
            </w:r>
          </w:p>
        </w:tc>
      </w:tr>
      <w:tr>
        <w:tc>
          <w:tcPr>
            <w:tcW w:type="dxa" w:w="6336"/>
          </w:tcPr>
          <w:p>
            <w:pPr>
              <w:spacing w:after="20"/>
            </w:pPr>
            <w:r>
              <w:rPr>
                <w:b/>
                <w:color w:val="1C3A36"/>
                <w:sz w:val="18"/>
              </w:rPr>
              <w:t>Per share</w:t>
            </w:r>
          </w:p>
        </w:tc>
        <w:tc>
          <w:tcPr>
            <w:tcW w:type="dxa" w:w="2448"/>
          </w:tcPr>
          <w:p>
            <w:pPr>
              <w:spacing w:after="20"/>
              <w:jc w:val="right"/>
            </w:pPr>
            <w:r>
              <w:rPr>
                <w:color w:val="1C3A36"/>
                <w:sz w:val="18"/>
              </w:rPr>
              <w:t>54.72</w:t>
            </w:r>
          </w:p>
        </w:tc>
      </w:tr>
    </w:tbl>
    <w:p>
      <w:pPr>
        <w:spacing w:after="40"/>
      </w:pPr>
    </w:p>
    <w:p>
      <w:pPr>
        <w:spacing w:after="120" w:before="0"/>
      </w:pPr>
      <w:r>
        <w:rPr>
          <w:b w:val="0"/>
          <w:i w:val="0"/>
          <w:color w:val="1C3A36"/>
          <w:sz w:val="19"/>
        </w:rPr>
        <w:t>Sensitivity — the swing is the discount on the mark, now that the stake is stated. Marking MNT-Halan at three quarters of the round's valuation takes his number to EGP 48.85 per share; at half, to EGP 42.99. He concedes the point openly: the stake is not the argument any more, the argument is what a 41.61% minority holding in an unlisted company is worth to a public-market buyer who cannot sell it, and that is a discount-rate question rather than an ownership question. Cross-examination: he tells Expert 2 that capitalising mid-cycle earnings double-counts assets he has already marked at full value; he tells Expert 3 that a haircut on the return on capital is small next to the swing available from how hard you discount an illiquid stake.</w:t>
      </w:r>
    </w:p>
    <w:p>
      <w:pPr>
        <w:spacing w:after="120" w:before="0"/>
      </w:pPr>
      <w:r>
        <w:rPr>
          <w:b/>
          <w:i w:val="0"/>
          <w:color w:val="1C3A36"/>
          <w:sz w:val="21"/>
        </w:rPr>
        <w:t xml:space="preserve">Verdict, falsification, and what the price implies. </w:t>
      </w:r>
      <w:r>
        <w:rPr>
          <w:b w:val="0"/>
          <w:i w:val="0"/>
          <w:color w:val="1C3A36"/>
          <w:sz w:val="21"/>
        </w:rPr>
        <w:t>Fair value EGP 54.72, on a range of EGP 26.59 to 92.53 — the widest in the room, and driven by the discount debate rather than by an unconfirmed stake. He is falsified by a real secondary transaction in the associate's shares at a materially different price, or by a second closing repricing the round. The traded price implies a discount on the associate leg far steeper than his stated wrapper discount, which in his own view is evidence the market does not accept that the round's marked value transfers cleanly to a minority holder.</w:t>
      </w:r>
    </w:p>
    <w:p>
      <w:pPr>
        <w:spacing w:after="80" w:before="200"/>
      </w:pPr>
      <w:r>
        <w:rPr>
          <w:b/>
          <w:i w:val="0"/>
          <w:color w:val="1C3A36"/>
          <w:sz w:val="24"/>
        </w:rPr>
        <w:t>D.2  Expert 2 — normalised earnings power</w:t>
      </w:r>
    </w:p>
    <w:p>
      <w:pPr>
        <w:spacing w:after="120" w:before="0"/>
      </w:pPr>
      <w:r>
        <w:rPr>
          <w:b w:val="0"/>
          <w:i w:val="0"/>
          <w:color w:val="1C3A36"/>
          <w:sz w:val="19"/>
        </w:rPr>
        <w:t>Worldview. An operating business is worth a fair multiple of its sustainable mid-cycle earnings; peaks and troughs are noise to be stripped out.</w:t>
      </w:r>
    </w:p>
    <w:p>
      <w:pPr>
        <w:spacing w:after="120" w:before="0"/>
      </w:pPr>
      <w:r>
        <w:rPr>
          <w:b w:val="0"/>
          <w:i w:val="0"/>
          <w:color w:val="1C3A36"/>
          <w:sz w:val="19"/>
        </w:rPr>
        <w:t>When it works and when it fails. Best with a through-cycle record, and three disclosed years spanning trough, windfall and normalisation is workable; it fails at structural breaks — if new entrants reset prices permanently, his normalisation is simply wrong.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6336"/>
            <w:shd w:val="clear" w:color="auto" w:fill="EAF0EE"/>
          </w:tcPr>
          <w:p>
            <w:pPr>
              <w:spacing w:after="20"/>
            </w:pPr>
            <w:r>
              <w:rPr>
                <w:b/>
                <w:color w:val="1C3A36"/>
                <w:sz w:val="18"/>
              </w:rPr>
              <w:t>Expert 2’s normalisation</w:t>
            </w:r>
          </w:p>
        </w:tc>
        <w:tc>
          <w:tcPr>
            <w:tcW w:type="dxa" w:w="2448"/>
            <w:shd w:val="clear" w:color="auto" w:fill="EAF0EE"/>
          </w:tcPr>
          <w:p>
            <w:pPr>
              <w:spacing w:after="20"/>
            </w:pPr>
            <w:r>
              <w:rPr>
                <w:b/>
                <w:color w:val="1C3A36"/>
                <w:sz w:val="18"/>
              </w:rPr>
              <w:t>Value</w:t>
            </w:r>
          </w:p>
        </w:tc>
      </w:tr>
      <w:tr>
        <w:tc>
          <w:tcPr>
            <w:tcW w:type="dxa" w:w="6336"/>
          </w:tcPr>
          <w:p>
            <w:pPr>
              <w:spacing w:after="20"/>
            </w:pPr>
            <w:r>
              <w:rPr>
                <w:b/>
                <w:color w:val="1C3A36"/>
                <w:sz w:val="18"/>
              </w:rPr>
              <w:t>Mid-cycle group profit after tax (EGP mn)</w:t>
            </w:r>
          </w:p>
        </w:tc>
        <w:tc>
          <w:tcPr>
            <w:tcW w:type="dxa" w:w="2448"/>
          </w:tcPr>
          <w:p>
            <w:pPr>
              <w:spacing w:after="20"/>
              <w:jc w:val="right"/>
            </w:pPr>
            <w:r>
              <w:rPr>
                <w:color w:val="1C3A36"/>
                <w:sz w:val="18"/>
              </w:rPr>
              <w:t>4,200</w:t>
            </w:r>
          </w:p>
        </w:tc>
      </w:tr>
      <w:tr>
        <w:tc>
          <w:tcPr>
            <w:tcW w:type="dxa" w:w="6336"/>
          </w:tcPr>
          <w:p>
            <w:pPr>
              <w:spacing w:after="20"/>
            </w:pPr>
            <w:r>
              <w:rPr>
                <w:b/>
                <w:color w:val="1C3A36"/>
                <w:sz w:val="18"/>
              </w:rPr>
              <w:t>Shares in issue (mn)</w:t>
            </w:r>
          </w:p>
        </w:tc>
        <w:tc>
          <w:tcPr>
            <w:tcW w:type="dxa" w:w="2448"/>
          </w:tcPr>
          <w:p>
            <w:pPr>
              <w:spacing w:after="20"/>
              <w:jc w:val="right"/>
            </w:pPr>
            <w:r>
              <w:rPr>
                <w:color w:val="1C3A36"/>
                <w:sz w:val="18"/>
              </w:rPr>
              <w:t>1,085.5</w:t>
            </w:r>
          </w:p>
        </w:tc>
      </w:tr>
      <w:tr>
        <w:tc>
          <w:tcPr>
            <w:tcW w:type="dxa" w:w="6336"/>
          </w:tcPr>
          <w:p>
            <w:pPr>
              <w:spacing w:after="20"/>
            </w:pPr>
            <w:r>
              <w:rPr>
                <w:b/>
                <w:color w:val="1C3A36"/>
                <w:sz w:val="18"/>
              </w:rPr>
              <w:t>Normalised earnings per share (EGP)</w:t>
            </w:r>
          </w:p>
        </w:tc>
        <w:tc>
          <w:tcPr>
            <w:tcW w:type="dxa" w:w="2448"/>
          </w:tcPr>
          <w:p>
            <w:pPr>
              <w:spacing w:after="20"/>
              <w:jc w:val="right"/>
            </w:pPr>
            <w:r>
              <w:rPr>
                <w:color w:val="1C3A36"/>
                <w:sz w:val="18"/>
              </w:rPr>
              <w:t>3.87</w:t>
            </w:r>
          </w:p>
        </w:tc>
      </w:tr>
      <w:tr>
        <w:tc>
          <w:tcPr>
            <w:tcW w:type="dxa" w:w="6336"/>
          </w:tcPr>
          <w:p>
            <w:pPr>
              <w:spacing w:after="20"/>
            </w:pPr>
            <w:r>
              <w:rPr>
                <w:b/>
                <w:color w:val="1C3A36"/>
                <w:sz w:val="18"/>
              </w:rPr>
              <w:t>Justified through-cycle multiple</w:t>
            </w:r>
          </w:p>
        </w:tc>
        <w:tc>
          <w:tcPr>
            <w:tcW w:type="dxa" w:w="2448"/>
          </w:tcPr>
          <w:p>
            <w:pPr>
              <w:spacing w:after="20"/>
              <w:jc w:val="right"/>
            </w:pPr>
            <w:r>
              <w:rPr>
                <w:color w:val="1C3A36"/>
                <w:sz w:val="18"/>
              </w:rPr>
              <w:t>8.5×</w:t>
            </w:r>
          </w:p>
        </w:tc>
      </w:tr>
      <w:tr>
        <w:tc>
          <w:tcPr>
            <w:tcW w:type="dxa" w:w="6336"/>
          </w:tcPr>
          <w:p>
            <w:pPr>
              <w:spacing w:after="20"/>
            </w:pPr>
            <w:r>
              <w:rPr>
                <w:b/>
                <w:color w:val="1C3A36"/>
                <w:sz w:val="18"/>
              </w:rPr>
              <w:t>Fair value per share (EGP)</w:t>
            </w:r>
          </w:p>
        </w:tc>
        <w:tc>
          <w:tcPr>
            <w:tcW w:type="dxa" w:w="2448"/>
          </w:tcPr>
          <w:p>
            <w:pPr>
              <w:spacing w:after="20"/>
              <w:jc w:val="right"/>
            </w:pPr>
            <w:r>
              <w:rPr>
                <w:color w:val="1C3A36"/>
                <w:sz w:val="18"/>
              </w:rPr>
              <w:t>32.89</w:t>
            </w:r>
          </w:p>
        </w:tc>
      </w:tr>
    </w:tbl>
    <w:p>
      <w:pPr>
        <w:spacing w:after="40"/>
      </w:pPr>
    </w:p>
    <w:p>
      <w:pPr>
        <w:spacing w:after="120" w:before="0"/>
      </w:pPr>
      <w:r>
        <w:rPr>
          <w:b w:val="0"/>
          <w:i w:val="0"/>
          <w:color w:val="1C3A36"/>
          <w:sz w:val="19"/>
        </w:rPr>
        <w:t>Sensitivity — the swing is the multiple. At 7.5× his number is EGP 24.87; at 9.5×, EGP 42.01. Cross-examination: he tells Expert 1 that a net asset value struck off a trough-margin cash-flow model understates a business whose volumes are still mid-cycle; he tells Expert 3 that pessimism about cash conversion ignores that working capital is a stock rather than a perpetual flow, and it releases exactly when growth normalises.</w:t>
      </w:r>
    </w:p>
    <w:p>
      <w:pPr>
        <w:spacing w:after="120" w:before="0"/>
      </w:pPr>
      <w:r>
        <w:rPr>
          <w:b/>
          <w:i w:val="0"/>
          <w:color w:val="1C3A36"/>
          <w:sz w:val="21"/>
        </w:rPr>
        <w:t xml:space="preserve">Verdict, falsification, and what the price implies. </w:t>
      </w:r>
      <w:r>
        <w:rPr>
          <w:b w:val="0"/>
          <w:i w:val="0"/>
          <w:color w:val="1C3A36"/>
          <w:sz w:val="21"/>
        </w:rPr>
        <w:t>Fair value EGP 32.89, on a range of EGP 24.87 to 42.01 — the most conservative in the room and the closest to the traded price, +13% against it. He is falsified by the auto gross margin staying below the level the reviewed half printed through the next two years, or by the passenger-car market rolling over. His is also the one estimate in the room that never touches the associate stake, which is why it is the number a reader who distrusts that mark should look at first.</w:t>
      </w:r>
    </w:p>
    <w:p>
      <w:pPr>
        <w:spacing w:after="80" w:before="200"/>
      </w:pPr>
      <w:r>
        <w:rPr>
          <w:b/>
          <w:i w:val="0"/>
          <w:color w:val="1C3A36"/>
          <w:sz w:val="24"/>
        </w:rPr>
        <w:t>D.3  Expert 3 — cash returns: return on capital against its cost</w:t>
      </w:r>
    </w:p>
    <w:p>
      <w:pPr>
        <w:spacing w:after="120" w:before="0"/>
      </w:pPr>
      <w:r>
        <w:rPr>
          <w:b w:val="0"/>
          <w:i w:val="0"/>
          <w:color w:val="1C3A36"/>
          <w:sz w:val="19"/>
        </w:rPr>
        <w:t>Worldview. A business creates value only when each pound of capital earns above its cost, in cash. He looks past the income statement to the economic-profit spread, and past reported returns to returns excluding one-offs.</w:t>
      </w:r>
    </w:p>
    <w:p>
      <w:pPr>
        <w:spacing w:after="120" w:before="0"/>
      </w:pPr>
      <w:r>
        <w:rPr>
          <w:b w:val="0"/>
          <w:i w:val="0"/>
          <w:color w:val="1C3A36"/>
          <w:sz w:val="19"/>
        </w:rPr>
        <w:t>When it works and when it fails. Best for capital-intensive compounders where the reinvestment spread is the story; it fails where the capital base is temporarily inflated by a one-off build, which is his own caveat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6336"/>
            <w:shd w:val="clear" w:color="auto" w:fill="EAF0EE"/>
          </w:tcPr>
          <w:p>
            <w:pPr>
              <w:spacing w:after="20"/>
            </w:pPr>
            <w:r>
              <w:rPr>
                <w:b/>
                <w:color w:val="1C3A36"/>
                <w:sz w:val="18"/>
              </w:rPr>
              <w:t>Expert 3’s economic-profit test</w:t>
            </w:r>
          </w:p>
        </w:tc>
        <w:tc>
          <w:tcPr>
            <w:tcW w:type="dxa" w:w="2448"/>
            <w:shd w:val="clear" w:color="auto" w:fill="EAF0EE"/>
          </w:tcPr>
          <w:p>
            <w:pPr>
              <w:spacing w:after="20"/>
            </w:pPr>
            <w:r>
              <w:rPr>
                <w:b/>
                <w:color w:val="1C3A36"/>
                <w:sz w:val="18"/>
              </w:rPr>
              <w:t>Value</w:t>
            </w:r>
          </w:p>
        </w:tc>
      </w:tr>
      <w:tr>
        <w:tc>
          <w:tcPr>
            <w:tcW w:type="dxa" w:w="6336"/>
          </w:tcPr>
          <w:p>
            <w:pPr>
              <w:spacing w:after="20"/>
            </w:pPr>
            <w:r>
              <w:rPr>
                <w:b/>
                <w:color w:val="1C3A36"/>
                <w:sz w:val="18"/>
              </w:rPr>
              <w:t>Auto capital employed, FY2025 (EGP mn)</w:t>
            </w:r>
          </w:p>
        </w:tc>
        <w:tc>
          <w:tcPr>
            <w:tcW w:type="dxa" w:w="2448"/>
          </w:tcPr>
          <w:p>
            <w:pPr>
              <w:spacing w:after="20"/>
              <w:jc w:val="right"/>
            </w:pPr>
            <w:r>
              <w:rPr>
                <w:color w:val="1C3A36"/>
                <w:sz w:val="18"/>
              </w:rPr>
              <w:t>28,513</w:t>
            </w:r>
          </w:p>
        </w:tc>
      </w:tr>
      <w:tr>
        <w:tc>
          <w:tcPr>
            <w:tcW w:type="dxa" w:w="6336"/>
          </w:tcPr>
          <w:p>
            <w:pPr>
              <w:spacing w:after="20"/>
            </w:pPr>
            <w:r>
              <w:rPr>
                <w:b/>
                <w:color w:val="1C3A36"/>
                <w:sz w:val="18"/>
              </w:rPr>
              <w:t>Auto return on capital employed — FY2023 / FY2024 / FY2025</w:t>
            </w:r>
          </w:p>
        </w:tc>
        <w:tc>
          <w:tcPr>
            <w:tcW w:type="dxa" w:w="2448"/>
          </w:tcPr>
          <w:p>
            <w:pPr>
              <w:spacing w:after="20"/>
              <w:jc w:val="right"/>
            </w:pPr>
            <w:r>
              <w:rPr>
                <w:color w:val="1C3A36"/>
                <w:sz w:val="18"/>
              </w:rPr>
              <w:t>35.9% / 31.5% / 21.3%</w:t>
            </w:r>
          </w:p>
        </w:tc>
      </w:tr>
      <w:tr>
        <w:tc>
          <w:tcPr>
            <w:tcW w:type="dxa" w:w="6336"/>
          </w:tcPr>
          <w:p>
            <w:pPr>
              <w:spacing w:after="20"/>
            </w:pPr>
            <w:r>
              <w:rPr>
                <w:b/>
                <w:color w:val="1C3A36"/>
                <w:sz w:val="18"/>
              </w:rPr>
              <w:t>His hurdle — the first forecast year’s cost of capital</w:t>
            </w:r>
          </w:p>
        </w:tc>
        <w:tc>
          <w:tcPr>
            <w:tcW w:type="dxa" w:w="2448"/>
          </w:tcPr>
          <w:p>
            <w:pPr>
              <w:spacing w:after="20"/>
              <w:jc w:val="right"/>
            </w:pPr>
            <w:r>
              <w:rPr>
                <w:color w:val="1C3A36"/>
                <w:sz w:val="18"/>
              </w:rPr>
              <w:t>22.88%</w:t>
            </w:r>
          </w:p>
        </w:tc>
      </w:tr>
      <w:tr>
        <w:tc>
          <w:tcPr>
            <w:tcW w:type="dxa" w:w="6336"/>
          </w:tcPr>
          <w:p>
            <w:pPr>
              <w:spacing w:after="20"/>
            </w:pPr>
            <w:r>
              <w:rPr>
                <w:b/>
                <w:color w:val="1C3A36"/>
                <w:sz w:val="18"/>
              </w:rPr>
              <w:t>Spread near nil, so the operating leg is marked at 0.90× capital employed (EGP mn)</w:t>
            </w:r>
          </w:p>
        </w:tc>
        <w:tc>
          <w:tcPr>
            <w:tcW w:type="dxa" w:w="2448"/>
          </w:tcPr>
          <w:p>
            <w:pPr>
              <w:spacing w:after="20"/>
              <w:jc w:val="right"/>
            </w:pPr>
            <w:r>
              <w:rPr>
                <w:color w:val="1C3A36"/>
                <w:sz w:val="18"/>
              </w:rPr>
              <w:t>25,662</w:t>
            </w:r>
          </w:p>
        </w:tc>
      </w:tr>
      <w:tr>
        <w:tc>
          <w:tcPr>
            <w:tcW w:type="dxa" w:w="6336"/>
          </w:tcPr>
          <w:p>
            <w:pPr>
              <w:spacing w:after="20"/>
            </w:pPr>
            <w:r>
              <w:rPr>
                <w:b/>
                <w:color w:val="1C3A36"/>
                <w:sz w:val="18"/>
              </w:rPr>
              <w:t>less: Auto net debt and minority (EGP mn)</w:t>
            </w:r>
          </w:p>
        </w:tc>
        <w:tc>
          <w:tcPr>
            <w:tcW w:type="dxa" w:w="2448"/>
          </w:tcPr>
          <w:p>
            <w:pPr>
              <w:spacing w:after="20"/>
              <w:jc w:val="right"/>
            </w:pPr>
            <w:r>
              <w:rPr>
                <w:color w:val="1C3A36"/>
                <w:sz w:val="18"/>
              </w:rPr>
              <w:t>(15,214)</w:t>
            </w:r>
          </w:p>
        </w:tc>
      </w:tr>
      <w:tr>
        <w:tc>
          <w:tcPr>
            <w:tcW w:type="dxa" w:w="6336"/>
          </w:tcPr>
          <w:p>
            <w:pPr>
              <w:spacing w:after="20"/>
            </w:pPr>
            <w:r>
              <w:rPr>
                <w:b/>
                <w:color w:val="1C3A36"/>
                <w:sz w:val="18"/>
              </w:rPr>
              <w:t>Operating-leg equity (EGP mn)</w:t>
            </w:r>
          </w:p>
        </w:tc>
        <w:tc>
          <w:tcPr>
            <w:tcW w:type="dxa" w:w="2448"/>
          </w:tcPr>
          <w:p>
            <w:pPr>
              <w:spacing w:after="20"/>
              <w:jc w:val="right"/>
            </w:pPr>
            <w:r>
              <w:rPr>
                <w:color w:val="1C3A36"/>
                <w:sz w:val="18"/>
              </w:rPr>
              <w:t>10,447</w:t>
            </w:r>
          </w:p>
        </w:tc>
      </w:tr>
      <w:tr>
        <w:tc>
          <w:tcPr>
            <w:tcW w:type="dxa" w:w="6336"/>
          </w:tcPr>
          <w:p>
            <w:pPr>
              <w:spacing w:after="20"/>
            </w:pPr>
            <w:r>
              <w:rPr>
                <w:b/>
                <w:color w:val="1C3A36"/>
                <w:sz w:val="18"/>
              </w:rPr>
              <w:t>Lender at 0.90× book · associates at 0.85× (EGP mn)</w:t>
            </w:r>
          </w:p>
        </w:tc>
        <w:tc>
          <w:tcPr>
            <w:tcW w:type="dxa" w:w="2448"/>
          </w:tcPr>
          <w:p>
            <w:pPr>
              <w:spacing w:after="20"/>
              <w:jc w:val="right"/>
            </w:pPr>
            <w:r>
              <w:rPr>
                <w:color w:val="1C3A36"/>
                <w:sz w:val="18"/>
              </w:rPr>
              <w:t>8,550 · 23,852</w:t>
            </w:r>
          </w:p>
        </w:tc>
      </w:tr>
      <w:tr>
        <w:tc>
          <w:tcPr>
            <w:tcW w:type="dxa" w:w="6336"/>
          </w:tcPr>
          <w:p>
            <w:pPr>
              <w:spacing w:after="20"/>
            </w:pPr>
            <w:r>
              <w:rPr>
                <w:b/>
                <w:color w:val="1C3A36"/>
                <w:sz w:val="18"/>
              </w:rPr>
              <w:t>Fair value per share (EGP)</w:t>
            </w:r>
          </w:p>
        </w:tc>
        <w:tc>
          <w:tcPr>
            <w:tcW w:type="dxa" w:w="2448"/>
          </w:tcPr>
          <w:p>
            <w:pPr>
              <w:spacing w:after="20"/>
              <w:jc w:val="right"/>
            </w:pPr>
            <w:r>
              <w:rPr>
                <w:color w:val="1C3A36"/>
                <w:sz w:val="18"/>
              </w:rPr>
              <w:t>39.47</w:t>
            </w:r>
          </w:p>
        </w:tc>
      </w:tr>
    </w:tbl>
    <w:p>
      <w:pPr>
        <w:spacing w:after="40"/>
      </w:pPr>
    </w:p>
    <w:p>
      <w:pPr>
        <w:spacing w:after="120" w:before="0"/>
      </w:pPr>
      <w:r>
        <w:rPr>
          <w:b w:val="0"/>
          <w:i w:val="0"/>
          <w:color w:val="1C3A36"/>
          <w:sz w:val="19"/>
        </w:rPr>
        <w:t>Sensitivity — two levers, and he ranks them himself. Moving his haircut on the associate mark from 0.85× to 0.60× costs EGP 6.46 per share; marking the operating leg at 1.00× capital employed instead of 0.90×, which is what a recovery in the return on capital would buy, adds EGP 2.63. The mark is the bigger lever by more than two to one, and that is his point. Cross-examination: he tells Expert 2 that mid-cycle earnings without the capital cost of holding them is a half-truth; he tells Expert 1 that a single-digit wrapper discount does not begin to capture the illiquidity of a minority stake in a company that has never had a public exit.</w:t>
      </w:r>
    </w:p>
    <w:p>
      <w:pPr>
        <w:spacing w:after="120" w:before="0"/>
      </w:pPr>
      <w:r>
        <w:rPr>
          <w:b/>
          <w:i w:val="0"/>
          <w:color w:val="1C3A36"/>
          <w:sz w:val="21"/>
        </w:rPr>
        <w:t xml:space="preserve">Verdict, falsification, and what the price implies. </w:t>
      </w:r>
      <w:r>
        <w:rPr>
          <w:b w:val="0"/>
          <w:i w:val="0"/>
          <w:color w:val="1C3A36"/>
          <w:sz w:val="21"/>
        </w:rPr>
        <w:t>Fair value EGP 39.47, on a range of EGP 33.01 to 42.10 — even his conservative method lands +36% against the price once the stated stake is applied at the round's valuation, which he flags as the real finding: the stake was never the issue, the mark is. He is falsified by a durable recovery in the return on capital well above the FY2025 figure, or by a real secondary sale of the associate's shares meaningfully below the round's implied valuation.</w:t>
      </w:r>
    </w:p>
    <w:p>
      <w:pPr>
        <w:spacing w:after="80" w:before="200"/>
      </w:pPr>
      <w:r>
        <w:rPr>
          <w:b/>
          <w:i w:val="0"/>
          <w:color w:val="1C3A36"/>
          <w:sz w:val="24"/>
        </w:rPr>
        <w:t>D.4  The three in one room</w:t>
      </w:r>
    </w:p>
    <w:p>
      <w:pPr>
        <w:spacing w:after="120" w:before="0"/>
      </w:pPr>
      <w:r>
        <w:rPr>
          <w:b w:val="0"/>
          <w:i w:val="0"/>
          <w:color w:val="1C3A36"/>
          <w:sz w:val="19"/>
        </w:rPr>
        <w:t>The stake question that dominated an earlier draft of this study is settled — the company stated its holding in writing. What the three disagree on is what that holding is worth.</w:t>
      </w:r>
    </w:p>
    <w:p>
      <w:pPr>
        <w:spacing w:after="120" w:before="0"/>
      </w:pPr>
      <w:r>
        <w:rPr>
          <w:b w:val="0"/>
          <w:i w:val="0"/>
          <w:color w:val="1C3A36"/>
          <w:sz w:val="19"/>
        </w:rPr>
        <w:t>Expert 1: “The company told us what it owns. Fine — now the argument is honest: it is about the discount, not the number. I apply a single-digit wrapper discount. If you think that is too thin for an illiquid minority stake, argue the discount, not the disclosure.”</w:t>
      </w:r>
    </w:p>
    <w:p>
      <w:pPr>
        <w:spacing w:after="120" w:before="0"/>
      </w:pPr>
      <w:r>
        <w:rPr>
          <w:b w:val="0"/>
          <w:i w:val="0"/>
          <w:color w:val="1C3A36"/>
          <w:sz w:val="19"/>
        </w:rPr>
        <w:t>Expert 3: “Your own arithmetic says a stated 41.61% stake is worth 79% of the entire market capitalisation. That was true when the number was uncertain and it is just as true now that it is not. The company being straight about its ownership does not make the market’s scepticism about the mark go away — if anything it sharpens the question.”</w:t>
      </w:r>
    </w:p>
    <w:p>
      <w:pPr>
        <w:spacing w:after="120" w:before="0"/>
      </w:pPr>
      <w:r>
        <w:rPr>
          <w:b w:val="0"/>
          <w:i w:val="0"/>
          <w:color w:val="1C3A36"/>
          <w:sz w:val="19"/>
        </w:rPr>
        <w:t>Expert 2: “You are both still arguing about a number that was never in my model. Mid-cycle earnings power does not care what the associate is worth. If you want the one read immune to this whole argument, it is mine — and notice it is also the one closest to where the market actually prices the stock.”</w:t>
      </w:r>
    </w:p>
    <w:p>
      <w:pPr>
        <w:spacing w:after="80" w:before="200"/>
      </w:pPr>
      <w:r>
        <w:rPr>
          <w:b/>
          <w:i w:val="0"/>
          <w:color w:val="1C3A36"/>
          <w:sz w:val="24"/>
        </w:rPr>
        <w:t>D.5  Reading the divergence</w:t>
      </w:r>
    </w:p>
    <w:p>
      <w:pPr>
        <w:spacing w:after="40"/>
        <w:jc w:val="center"/>
      </w:pPr>
      <w:r>
        <w:drawing>
          <wp:inline xmlns:a="http://schemas.openxmlformats.org/drawingml/2006/main" xmlns:pic="http://schemas.openxmlformats.org/drawingml/2006/picture">
            <wp:extent cx="5486400" cy="1866507"/>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5486400" cy="1866507"/>
                    </a:xfrm>
                    <a:prstGeom prst="rect"/>
                  </pic:spPr>
                </pic:pic>
              </a:graphicData>
            </a:graphic>
          </wp:inline>
        </w:drawing>
      </w:r>
    </w:p>
    <w:p>
      <w:pPr>
        <w:spacing w:after="200" w:before="0"/>
      </w:pPr>
      <w:r>
        <w:rPr>
          <w:b w:val="0"/>
          <w:i/>
          <w:color w:val="6E7B77"/>
          <w:sz w:val="17"/>
        </w:rPr>
        <w:t>Figure D-1 — the three experts’ fair-value ranges. Brass ticks are base cases; the gold band is the panel centre; the ink line is the price. The spread is almost entirely the associate mark.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1440"/>
            <w:shd w:val="clear" w:color="auto" w:fill="EAF0EE"/>
          </w:tcPr>
          <w:p>
            <w:pPr>
              <w:spacing w:after="20"/>
            </w:pPr>
            <w:r>
              <w:rPr>
                <w:b/>
                <w:color w:val="1C3A36"/>
                <w:sz w:val="18"/>
              </w:rPr>
              <w:t>Expert</w:t>
            </w:r>
          </w:p>
        </w:tc>
        <w:tc>
          <w:tcPr>
            <w:tcW w:type="dxa" w:w="3168"/>
            <w:shd w:val="clear" w:color="auto" w:fill="EAF0EE"/>
          </w:tcPr>
          <w:p>
            <w:pPr>
              <w:spacing w:after="20"/>
            </w:pPr>
            <w:r>
              <w:rPr>
                <w:b/>
                <w:color w:val="1C3A36"/>
                <w:sz w:val="18"/>
              </w:rPr>
              <w:t>Method</w:t>
            </w:r>
          </w:p>
        </w:tc>
        <w:tc>
          <w:tcPr>
            <w:tcW w:type="dxa" w:w="3600"/>
            <w:shd w:val="clear" w:color="auto" w:fill="EAF0EE"/>
          </w:tcPr>
          <w:p>
            <w:pPr>
              <w:spacing w:after="20"/>
            </w:pPr>
            <w:r>
              <w:rPr>
                <w:b/>
                <w:color w:val="1C3A36"/>
                <w:sz w:val="18"/>
              </w:rPr>
              <w:t>The single swing assumption</w:t>
            </w:r>
          </w:p>
        </w:tc>
        <w:tc>
          <w:tcPr>
            <w:tcW w:type="dxa" w:w="1872"/>
            <w:shd w:val="clear" w:color="auto" w:fill="EAF0EE"/>
          </w:tcPr>
          <w:p>
            <w:pPr>
              <w:spacing w:after="20"/>
            </w:pPr>
            <w:r>
              <w:rPr>
                <w:b/>
                <w:color w:val="1C3A36"/>
                <w:sz w:val="18"/>
              </w:rPr>
              <w:t>Base fair value</w:t>
            </w:r>
          </w:p>
        </w:tc>
      </w:tr>
      <w:tr>
        <w:tc>
          <w:tcPr>
            <w:tcW w:type="dxa" w:w="1440"/>
          </w:tcPr>
          <w:p>
            <w:pPr>
              <w:spacing w:after="20"/>
            </w:pPr>
            <w:r>
              <w:rPr>
                <w:b/>
                <w:color w:val="1C3A36"/>
                <w:sz w:val="18"/>
              </w:rPr>
              <w:t>Expert 1</w:t>
            </w:r>
          </w:p>
        </w:tc>
        <w:tc>
          <w:tcPr>
            <w:tcW w:type="dxa" w:w="3168"/>
          </w:tcPr>
          <w:p>
            <w:pPr>
              <w:spacing w:after="20"/>
              <w:jc w:val="right"/>
            </w:pPr>
            <w:r>
              <w:rPr>
                <w:color w:val="1C3A36"/>
                <w:sz w:val="18"/>
              </w:rPr>
              <w:t>Split-legs net asset value</w:t>
            </w:r>
          </w:p>
        </w:tc>
        <w:tc>
          <w:tcPr>
            <w:tcW w:type="dxa" w:w="3600"/>
          </w:tcPr>
          <w:p>
            <w:pPr>
              <w:spacing w:after="20"/>
              <w:jc w:val="right"/>
            </w:pPr>
            <w:r>
              <w:rPr>
                <w:color w:val="1C3A36"/>
                <w:sz w:val="18"/>
              </w:rPr>
              <w:t>The discount on the associate mark (8% wrapper)</w:t>
            </w:r>
          </w:p>
        </w:tc>
        <w:tc>
          <w:tcPr>
            <w:tcW w:type="dxa" w:w="1872"/>
          </w:tcPr>
          <w:p>
            <w:pPr>
              <w:spacing w:after="20"/>
              <w:jc w:val="right"/>
            </w:pPr>
            <w:r>
              <w:rPr>
                <w:color w:val="1C3A36"/>
                <w:sz w:val="18"/>
              </w:rPr>
              <w:t>EGP 54.72</w:t>
            </w:r>
          </w:p>
        </w:tc>
      </w:tr>
      <w:tr>
        <w:tc>
          <w:tcPr>
            <w:tcW w:type="dxa" w:w="1440"/>
          </w:tcPr>
          <w:p>
            <w:pPr>
              <w:spacing w:after="20"/>
            </w:pPr>
            <w:r>
              <w:rPr>
                <w:b/>
                <w:color w:val="1C3A36"/>
                <w:sz w:val="18"/>
              </w:rPr>
              <w:t>Expert 2</w:t>
            </w:r>
          </w:p>
        </w:tc>
        <w:tc>
          <w:tcPr>
            <w:tcW w:type="dxa" w:w="3168"/>
          </w:tcPr>
          <w:p>
            <w:pPr>
              <w:spacing w:after="20"/>
              <w:jc w:val="right"/>
            </w:pPr>
            <w:r>
              <w:rPr>
                <w:color w:val="1C3A36"/>
                <w:sz w:val="18"/>
              </w:rPr>
              <w:t>Normalised earnings power</w:t>
            </w:r>
          </w:p>
        </w:tc>
        <w:tc>
          <w:tcPr>
            <w:tcW w:type="dxa" w:w="3600"/>
          </w:tcPr>
          <w:p>
            <w:pPr>
              <w:spacing w:after="20"/>
              <w:jc w:val="right"/>
            </w:pPr>
            <w:r>
              <w:rPr>
                <w:color w:val="1C3A36"/>
                <w:sz w:val="18"/>
              </w:rPr>
              <w:t>Mid-cycle profit × 8.5× — stake-blind</w:t>
            </w:r>
          </w:p>
        </w:tc>
        <w:tc>
          <w:tcPr>
            <w:tcW w:type="dxa" w:w="1872"/>
          </w:tcPr>
          <w:p>
            <w:pPr>
              <w:spacing w:after="20"/>
              <w:jc w:val="right"/>
            </w:pPr>
            <w:r>
              <w:rPr>
                <w:color w:val="1C3A36"/>
                <w:sz w:val="18"/>
              </w:rPr>
              <w:t>EGP 32.89</w:t>
            </w:r>
          </w:p>
        </w:tc>
      </w:tr>
      <w:tr>
        <w:tc>
          <w:tcPr>
            <w:tcW w:type="dxa" w:w="1440"/>
          </w:tcPr>
          <w:p>
            <w:pPr>
              <w:spacing w:after="20"/>
            </w:pPr>
            <w:r>
              <w:rPr>
                <w:b/>
                <w:color w:val="1C3A36"/>
                <w:sz w:val="18"/>
              </w:rPr>
              <w:t>Expert 3</w:t>
            </w:r>
          </w:p>
        </w:tc>
        <w:tc>
          <w:tcPr>
            <w:tcW w:type="dxa" w:w="3168"/>
          </w:tcPr>
          <w:p>
            <w:pPr>
              <w:spacing w:after="20"/>
              <w:jc w:val="right"/>
            </w:pPr>
            <w:r>
              <w:rPr>
                <w:color w:val="1C3A36"/>
                <w:sz w:val="18"/>
              </w:rPr>
              <w:t>Cash returns against the cost of capital</w:t>
            </w:r>
          </w:p>
        </w:tc>
        <w:tc>
          <w:tcPr>
            <w:tcW w:type="dxa" w:w="3600"/>
          </w:tcPr>
          <w:p>
            <w:pPr>
              <w:spacing w:after="20"/>
              <w:jc w:val="right"/>
            </w:pPr>
            <w:r>
              <w:rPr>
                <w:color w:val="1C3A36"/>
                <w:sz w:val="18"/>
              </w:rPr>
              <w:t>Return-on-capital fade plus a 0.85× haircut on the mark</w:t>
            </w:r>
          </w:p>
        </w:tc>
        <w:tc>
          <w:tcPr>
            <w:tcW w:type="dxa" w:w="1872"/>
          </w:tcPr>
          <w:p>
            <w:pPr>
              <w:spacing w:after="20"/>
              <w:jc w:val="right"/>
            </w:pPr>
            <w:r>
              <w:rPr>
                <w:color w:val="1C3A36"/>
                <w:sz w:val="18"/>
              </w:rPr>
              <w:t>EGP 39.47</w:t>
            </w:r>
          </w:p>
        </w:tc>
      </w:tr>
    </w:tbl>
    <w:p>
      <w:pPr>
        <w:spacing w:after="40"/>
      </w:pPr>
    </w:p>
    <w:p>
      <w:pPr>
        <w:spacing w:after="120" w:before="0"/>
      </w:pPr>
      <w:r>
        <w:rPr>
          <w:b w:val="0"/>
          <w:i w:val="0"/>
          <w:color w:val="1C3A36"/>
          <w:sz w:val="21"/>
        </w:rPr>
        <w:t>The spread — EGP 32.89 to 54.72 at base — is wide for what is otherwise a set of broadly agreeing methods, and it is one disagreement rather than several: not the volumes, not the lender’s profitability, not the cash-conversion path, and not the ownership percentage, which all three accept. What separates them is purely how much to discount that stake’s marked value. Expert 2 sidesteps the question by never pricing the stake; Experts 1 and 3 both use the stated figure and disagree on the haircut. Unlike a business uncertainty that resolves with quarterly prints, this one may never fully resolve, because private-mark discounts are a matter of judgment rather than a fact that appears on a schedule. Until a real secondary transaction supplies an independent data point, Expert 2’s stake-blind number remains the one estimate in the room immune to the whole argument.</w:t>
      </w:r>
    </w:p>
    <w:p>
      <w:pPr>
        <w:spacing w:after="200" w:before="0"/>
      </w:pPr>
      <w:r>
        <w:rPr>
          <w:b w:val="0"/>
          <w:i/>
          <w:color w:val="6E7B77"/>
          <w:sz w:val="17"/>
        </w:rPr>
        <w:t>Each expert’s fair value is logged against this study’s date (7 September 2026) and the price it was struck at (EGP 28.98, 3 September 2026) as an internal per-expert track record.</w:t>
      </w:r>
    </w:p>
    <w:p>
      <w:pPr>
        <w:spacing w:after="120" w:before="280"/>
      </w:pPr>
      <w:r>
        <w:rPr>
          <w:b/>
          <w:i w:val="0"/>
          <w:color w:val="1C3A36"/>
          <w:sz w:val="30"/>
        </w:rPr>
        <w:t>About this series</w:t>
      </w:r>
    </w:p>
    <w:p>
      <w:pPr>
        <w:spacing w:after="120" w:before="0"/>
      </w:pPr>
      <w:r>
        <w:rPr>
          <w:b w:val="0"/>
          <w:i w:val="0"/>
          <w:color w:val="1C3A36"/>
          <w:sz w:val="21"/>
        </w:rPr>
        <w:t>Testahil publishes independent, educational valuation studies. Each is an attempt to reason transparently about what a security is worth, with every assumption shown and a companion model so readers can disagree productively. The house style is distributions, not tips: we describe ranges and probabilities, not targets, and we do not tell anyone what to do. Studies are framed as educational analysis, the preparer is not licensed by any securities regulator, and holdings are disclosed.</w:t>
      </w:r>
    </w:p>
    <w:p>
      <w:pPr>
        <w:spacing w:after="120" w:before="280"/>
      </w:pPr>
      <w:r>
        <w:rPr>
          <w:b/>
          <w:i w:val="0"/>
          <w:color w:val="1C3A36"/>
          <w:sz w:val="30"/>
        </w:rPr>
        <w:t>Disclosure &amp; Disclaimer</w:t>
      </w:r>
    </w:p>
    <w:p>
      <w:pPr>
        <w:spacing w:after="100" w:before="0"/>
      </w:pPr>
      <w:r>
        <w:rPr>
          <w:b/>
          <w:i/>
          <w:color w:val="1C3A36"/>
          <w:sz w:val="19"/>
        </w:rPr>
        <w:t xml:space="preserve">Not investment advice. </w:t>
      </w:r>
      <w:r>
        <w:rPr>
          <w:b w:val="0"/>
          <w:i w:val="0"/>
          <w:color w:val="1C3A36"/>
          <w:sz w:val="19"/>
        </w:rPr>
        <w:t>This document is educational and informational only. It is not, and must not be relied upon as, investment, financial, legal, accounting or tax advice, nor an offer, solicitation or recommendation to buy, sell or hold any security. It contains no price target and no rating.</w:t>
      </w:r>
    </w:p>
    <w:p>
      <w:pPr>
        <w:spacing w:after="100" w:before="0"/>
      </w:pPr>
      <w:r>
        <w:rPr>
          <w:b/>
          <w:i/>
          <w:color w:val="1C3A36"/>
          <w:sz w:val="19"/>
        </w:rPr>
        <w:t xml:space="preserve">No licence; no advisory relationship. </w:t>
      </w:r>
      <w:r>
        <w:rPr>
          <w:b w:val="0"/>
          <w:i w:val="0"/>
          <w:color w:val="1C3A36"/>
          <w:sz w:val="19"/>
        </w:rPr>
        <w:t>The preparer is not registered or licensed with any securities or financial regulator in any jurisdiction — including Egypt’s Financial Regulatory Authority — holds no brokerage or investment-advisory authorisation, and is not acting as your adviser or fiduciary. Nothing here is personalised to your circumstances.</w:t>
      </w:r>
    </w:p>
    <w:p>
      <w:pPr>
        <w:spacing w:after="100" w:before="0"/>
      </w:pPr>
      <w:r>
        <w:rPr>
          <w:b/>
          <w:i/>
          <w:color w:val="1C3A36"/>
          <w:sz w:val="19"/>
        </w:rPr>
        <w:t xml:space="preserve">Holdings disclosure. </w:t>
      </w:r>
      <w:r>
        <w:rPr>
          <w:b w:val="0"/>
          <w:i w:val="0"/>
          <w:color w:val="1C3A36"/>
          <w:sz w:val="19"/>
        </w:rPr>
        <w:t>The preparer may hold, and may in the future take or dispose of, a position in the security discussed in this report, and may transact at any time without notice. This is a potential conflict of interest you should weigh.</w:t>
      </w:r>
    </w:p>
    <w:p>
      <w:pPr>
        <w:spacing w:after="100" w:before="0"/>
      </w:pPr>
      <w:r>
        <w:rPr>
          <w:b/>
          <w:i/>
          <w:color w:val="1C3A36"/>
          <w:sz w:val="19"/>
        </w:rPr>
        <w:t xml:space="preserve">Sources and accuracy. </w:t>
      </w:r>
      <w:r>
        <w:rPr>
          <w:b w:val="0"/>
          <w:i w:val="0"/>
          <w:color w:val="1C3A36"/>
          <w:sz w:val="19"/>
        </w:rPr>
        <w:t>Reported financial and operating figures are drawn from the company’s public disclosure and other public sources believed reliable but not independently verified; they may contain errors or be superseded. Forward-looking inputs — the leg marks including the discount applied to the associate stake, the complexity discount, projections, multiples, the cash-flow model and the simulation’s factor probabilities — are the preparer’s own judgments and are inherently uncertain.</w:t>
      </w:r>
    </w:p>
    <w:p>
      <w:pPr>
        <w:spacing w:after="100" w:before="0"/>
      </w:pPr>
      <w:r>
        <w:rPr>
          <w:b/>
          <w:i/>
          <w:color w:val="1C3A36"/>
          <w:sz w:val="19"/>
        </w:rPr>
        <w:t xml:space="preserve">Forward-looking statements. </w:t>
      </w:r>
      <w:r>
        <w:rPr>
          <w:b w:val="0"/>
          <w:i w:val="0"/>
          <w:color w:val="1C3A36"/>
          <w:sz w:val="19"/>
        </w:rPr>
        <w:t>Any statements about the future are estimates subject to risks and uncertainties; actual results may differ materially. The simulation models price, not value, and encodes subjective probabilities for events that have not occurred.</w:t>
      </w:r>
    </w:p>
    <w:p>
      <w:pPr>
        <w:spacing w:after="100" w:before="0"/>
      </w:pPr>
      <w:r>
        <w:rPr>
          <w:b/>
          <w:i/>
          <w:color w:val="1C3A36"/>
          <w:sz w:val="19"/>
        </w:rPr>
        <w:t xml:space="preserve">No reliance; your responsibility. </w:t>
      </w:r>
      <w:r>
        <w:rPr>
          <w:b w:val="0"/>
          <w:i w:val="0"/>
          <w:color w:val="1C3A36"/>
          <w:sz w:val="19"/>
        </w:rPr>
        <w:t>Do your own research and consult a licensed professional before making any decision. You are solely responsible for your investment decisions and their outcomes. To the maximum extent permitted by law, the preparer accepts no liability for any loss arising from use of this document.</w:t>
      </w:r>
    </w:p>
    <w:p>
      <w:pPr>
        <w:spacing w:after="100" w:before="0"/>
      </w:pPr>
      <w:r>
        <w:rPr>
          <w:b/>
          <w:i/>
          <w:color w:val="1C3A36"/>
          <w:sz w:val="19"/>
        </w:rPr>
        <w:t xml:space="preserve">Currency and figures. </w:t>
      </w:r>
      <w:r>
        <w:rPr>
          <w:b w:val="0"/>
          <w:i w:val="0"/>
          <w:color w:val="1C3A36"/>
          <w:sz w:val="19"/>
        </w:rPr>
        <w:t>Figures are in Egyptian pounds, millions unless stated; bn denotes billion. The exchange rate used for the associate mark is EGP 47.5 to the US dollar, and it is a flagged estimate. Rounding may cause totals to differ slightly. The price is EGP 28.98 as at 3 September 2026; the price cone and the technical read are computed on the exchange library’s own last session, EGP 29.51 on 23 August 2026. Market data change continuously.</w:t>
      </w:r>
    </w:p>
    <w:p>
      <w:pPr>
        <w:spacing w:after="120" w:before="200"/>
        <w:jc w:val="center"/>
      </w:pPr>
      <w:r>
        <w:rPr>
          <w:b w:val="0"/>
          <w:i w:val="0"/>
          <w:color w:val="6E7B77"/>
          <w:sz w:val="17"/>
        </w:rPr>
        <w:t>TESTAHIL · Independent Valuation Study · Educational Analysis · GB Corp S.A.E. (EGX: GBCO) · edition 07-09-2026 · reporting currency EGP</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