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105.2</w:t>
            </w:r>
          </w:p>
        </w:tc>
        <w:tc>
          <w:tcPr>
            <w:tcW w:type="dxa" w:w="1037"/>
          </w:tcPr>
          <w:p>
            <w:pPr>
              <w:spacing w:after="20"/>
            </w:pPr>
            <w:r>
              <w:rPr>
                <w:color w:val="1C3A36"/>
                <w:sz w:val="15"/>
              </w:rPr>
              <w:t>2026-08-05</w:t>
            </w:r>
          </w:p>
        </w:tc>
        <w:tc>
          <w:tcPr>
            <w:tcW w:type="dxa" w:w="6019"/>
          </w:tcPr>
          <w:p>
            <w:pPr>
              <w:spacing w:after="20"/>
            </w:pPr>
            <w:r>
              <w:rPr>
                <w:color w:val="1C3A36"/>
                <w:sz w:val="15"/>
              </w:rPr>
              <w:t>Uploaded EGX daily price history, last close</w:t>
            </w:r>
          </w:p>
        </w:tc>
      </w:tr>
    </w:tbl>
    <w:p>
      <w:pPr>
        <w:spacing w:after="40"/>
      </w:pPr>
    </w:p>
    <w:p>
      <w:pPr>
        <w:spacing w:after="60" w:before="160"/>
      </w:pPr>
      <w:r>
        <w:rPr>
          <w:b/>
          <w:i w:val="0"/>
          <w:color w:val="1C3A36"/>
          <w:sz w:val="22"/>
        </w:rPr>
        <w:t>Company layer — 101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2026-05-13</w:t>
            </w:r>
          </w:p>
        </w:tc>
        <w:tc>
          <w:tcPr>
            <w:tcW w:type="dxa" w:w="6019"/>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2024-03-13</w:t>
            </w:r>
          </w:p>
        </w:tc>
        <w:tc>
          <w:tcPr>
            <w:tcW w:type="dxa" w:w="6019"/>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037"/>
          </w:tcPr>
          <w:p>
            <w:pPr>
              <w:spacing w:after="20"/>
            </w:pPr>
            <w:r>
              <w:rPr>
                <w:color w:val="1C3A36"/>
                <w:sz w:val="15"/>
              </w:rPr>
              <w:t>2026-03-15</w:t>
            </w:r>
          </w:p>
        </w:tc>
        <w:tc>
          <w:tcPr>
            <w:tcW w:type="dxa" w:w="6019"/>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2024-03-13</w:t>
            </w:r>
          </w:p>
        </w:tc>
        <w:tc>
          <w:tcPr>
            <w:tcW w:type="dxa" w:w="6019"/>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037"/>
          </w:tcPr>
          <w:p>
            <w:pPr>
              <w:spacing w:after="20"/>
            </w:pPr>
            <w:r>
              <w:rPr>
                <w:color w:val="1C3A36"/>
                <w:sz w:val="15"/>
              </w:rPr>
              <w:t>2026-03-15</w:t>
            </w:r>
          </w:p>
        </w:tc>
        <w:tc>
          <w:tcPr>
            <w:tcW w:type="dxa" w:w="6019"/>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2024-03-13</w:t>
            </w:r>
          </w:p>
        </w:tc>
        <w:tc>
          <w:tcPr>
            <w:tcW w:type="dxa" w:w="6019"/>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037"/>
          </w:tcPr>
          <w:p>
            <w:pPr>
              <w:spacing w:after="20"/>
            </w:pPr>
            <w:r>
              <w:rPr>
                <w:color w:val="1C3A36"/>
                <w:sz w:val="15"/>
              </w:rPr>
              <w:t>2026-03-15</w:t>
            </w:r>
          </w:p>
        </w:tc>
        <w:tc>
          <w:tcPr>
            <w:tcW w:type="dxa" w:w="6019"/>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2024-03-13</w:t>
            </w:r>
          </w:p>
        </w:tc>
        <w:tc>
          <w:tcPr>
            <w:tcW w:type="dxa" w:w="6019"/>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037"/>
          </w:tcPr>
          <w:p>
            <w:pPr>
              <w:spacing w:after="20"/>
            </w:pPr>
            <w:r>
              <w:rPr>
                <w:color w:val="1C3A36"/>
                <w:sz w:val="15"/>
              </w:rPr>
              <w:t>2026-03-15</w:t>
            </w:r>
          </w:p>
        </w:tc>
        <w:tc>
          <w:tcPr>
            <w:tcW w:type="dxa" w:w="6019"/>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2024-03-13</w:t>
            </w:r>
          </w:p>
        </w:tc>
        <w:tc>
          <w:tcPr>
            <w:tcW w:type="dxa" w:w="6019"/>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037"/>
          </w:tcPr>
          <w:p>
            <w:pPr>
              <w:spacing w:after="20"/>
            </w:pPr>
            <w:r>
              <w:rPr>
                <w:color w:val="1C3A36"/>
                <w:sz w:val="15"/>
              </w:rPr>
              <w:t>2026-03-15</w:t>
            </w:r>
          </w:p>
        </w:tc>
        <w:tc>
          <w:tcPr>
            <w:tcW w:type="dxa" w:w="6019"/>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2024-03-13</w:t>
            </w:r>
          </w:p>
        </w:tc>
        <w:tc>
          <w:tcPr>
            <w:tcW w:type="dxa" w:w="6019"/>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037"/>
          </w:tcPr>
          <w:p>
            <w:pPr>
              <w:spacing w:after="20"/>
            </w:pPr>
            <w:r>
              <w:rPr>
                <w:color w:val="1C3A36"/>
                <w:sz w:val="15"/>
              </w:rPr>
              <w:t>2026-03-15</w:t>
            </w:r>
          </w:p>
        </w:tc>
        <w:tc>
          <w:tcPr>
            <w:tcW w:type="dxa" w:w="6019"/>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2024-03-13</w:t>
            </w:r>
          </w:p>
        </w:tc>
        <w:tc>
          <w:tcPr>
            <w:tcW w:type="dxa" w:w="6019"/>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037"/>
          </w:tcPr>
          <w:p>
            <w:pPr>
              <w:spacing w:after="20"/>
            </w:pPr>
            <w:r>
              <w:rPr>
                <w:color w:val="1C3A36"/>
                <w:sz w:val="15"/>
              </w:rPr>
              <w:t>2026-03-15</w:t>
            </w:r>
          </w:p>
        </w:tc>
        <w:tc>
          <w:tcPr>
            <w:tcW w:type="dxa" w:w="6019"/>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2024-03-13</w:t>
            </w:r>
          </w:p>
        </w:tc>
        <w:tc>
          <w:tcPr>
            <w:tcW w:type="dxa" w:w="6019"/>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037"/>
          </w:tcPr>
          <w:p>
            <w:pPr>
              <w:spacing w:after="20"/>
            </w:pPr>
            <w:r>
              <w:rPr>
                <w:color w:val="1C3A36"/>
                <w:sz w:val="15"/>
              </w:rPr>
              <w:t>2026-03-15</w:t>
            </w:r>
          </w:p>
        </w:tc>
        <w:tc>
          <w:tcPr>
            <w:tcW w:type="dxa" w:w="6019"/>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2024-03-13</w:t>
            </w:r>
          </w:p>
        </w:tc>
        <w:tc>
          <w:tcPr>
            <w:tcW w:type="dxa" w:w="6019"/>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037"/>
          </w:tcPr>
          <w:p>
            <w:pPr>
              <w:spacing w:after="20"/>
            </w:pPr>
            <w:r>
              <w:rPr>
                <w:color w:val="1C3A36"/>
                <w:sz w:val="15"/>
              </w:rPr>
              <w:t>2026-03-15</w:t>
            </w:r>
          </w:p>
        </w:tc>
        <w:tc>
          <w:tcPr>
            <w:tcW w:type="dxa" w:w="6019"/>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2024-03-13</w:t>
            </w:r>
          </w:p>
        </w:tc>
        <w:tc>
          <w:tcPr>
            <w:tcW w:type="dxa" w:w="6019"/>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037"/>
          </w:tcPr>
          <w:p>
            <w:pPr>
              <w:spacing w:after="20"/>
            </w:pPr>
            <w:r>
              <w:rPr>
                <w:color w:val="1C3A36"/>
                <w:sz w:val="15"/>
              </w:rPr>
              <w:t>2026-03-15</w:t>
            </w:r>
          </w:p>
        </w:tc>
        <w:tc>
          <w:tcPr>
            <w:tcW w:type="dxa" w:w="6019"/>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2024-03-13</w:t>
            </w:r>
          </w:p>
        </w:tc>
        <w:tc>
          <w:tcPr>
            <w:tcW w:type="dxa" w:w="6019"/>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037"/>
          </w:tcPr>
          <w:p>
            <w:pPr>
              <w:spacing w:after="20"/>
            </w:pPr>
            <w:r>
              <w:rPr>
                <w:color w:val="1C3A36"/>
                <w:sz w:val="15"/>
              </w:rPr>
              <w:t>2026-03-15</w:t>
            </w:r>
          </w:p>
        </w:tc>
        <w:tc>
          <w:tcPr>
            <w:tcW w:type="dxa" w:w="6019"/>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2024-03-13</w:t>
            </w:r>
          </w:p>
        </w:tc>
        <w:tc>
          <w:tcPr>
            <w:tcW w:type="dxa" w:w="6019"/>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037"/>
          </w:tcPr>
          <w:p>
            <w:pPr>
              <w:spacing w:after="20"/>
            </w:pPr>
            <w:r>
              <w:rPr>
                <w:color w:val="1C3A36"/>
                <w:sz w:val="15"/>
              </w:rPr>
              <w:t>2026-03-15</w:t>
            </w:r>
          </w:p>
        </w:tc>
        <w:tc>
          <w:tcPr>
            <w:tcW w:type="dxa" w:w="6019"/>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2024-03-13</w:t>
            </w:r>
          </w:p>
        </w:tc>
        <w:tc>
          <w:tcPr>
            <w:tcW w:type="dxa" w:w="6019"/>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037"/>
          </w:tcPr>
          <w:p>
            <w:pPr>
              <w:spacing w:after="20"/>
            </w:pPr>
            <w:r>
              <w:rPr>
                <w:color w:val="1C3A36"/>
                <w:sz w:val="15"/>
              </w:rPr>
              <w:t>2026-03-15</w:t>
            </w:r>
          </w:p>
        </w:tc>
        <w:tc>
          <w:tcPr>
            <w:tcW w:type="dxa" w:w="6019"/>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2024-03-13</w:t>
            </w:r>
          </w:p>
        </w:tc>
        <w:tc>
          <w:tcPr>
            <w:tcW w:type="dxa" w:w="6019"/>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2025-03-13</w:t>
            </w:r>
          </w:p>
        </w:tc>
        <w:tc>
          <w:tcPr>
            <w:tcW w:type="dxa" w:w="6019"/>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037"/>
          </w:tcPr>
          <w:p>
            <w:pPr>
              <w:spacing w:after="20"/>
            </w:pPr>
            <w:r>
              <w:rPr>
                <w:color w:val="1C3A36"/>
                <w:sz w:val="15"/>
              </w:rPr>
              <w:t>2026-03-15</w:t>
            </w:r>
          </w:p>
        </w:tc>
        <w:tc>
          <w:tcPr>
            <w:tcW w:type="dxa" w:w="6019"/>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037"/>
          </w:tcPr>
          <w:p>
            <w:pPr>
              <w:spacing w:after="20"/>
            </w:pPr>
            <w:r>
              <w:rPr>
                <w:color w:val="1C3A36"/>
                <w:sz w:val="15"/>
              </w:rPr>
              <w:t>2024-03-13</w:t>
            </w:r>
          </w:p>
        </w:tc>
        <w:tc>
          <w:tcPr>
            <w:tcW w:type="dxa" w:w="6019"/>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037"/>
          </w:tcPr>
          <w:p>
            <w:pPr>
              <w:spacing w:after="20"/>
            </w:pPr>
            <w:r>
              <w:rPr>
                <w:color w:val="1C3A36"/>
                <w:sz w:val="15"/>
              </w:rPr>
              <w:t>2025-03-13</w:t>
            </w:r>
          </w:p>
        </w:tc>
        <w:tc>
          <w:tcPr>
            <w:tcW w:type="dxa" w:w="6019"/>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037"/>
          </w:tcPr>
          <w:p>
            <w:pPr>
              <w:spacing w:after="20"/>
            </w:pPr>
            <w:r>
              <w:rPr>
                <w:color w:val="1C3A36"/>
                <w:sz w:val="15"/>
              </w:rPr>
              <w:t>2026-03-15</w:t>
            </w:r>
          </w:p>
        </w:tc>
        <w:tc>
          <w:tcPr>
            <w:tcW w:type="dxa" w:w="6019"/>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2024-03-13</w:t>
            </w:r>
          </w:p>
        </w:tc>
        <w:tc>
          <w:tcPr>
            <w:tcW w:type="dxa" w:w="6019"/>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037"/>
          </w:tcPr>
          <w:p>
            <w:pPr>
              <w:spacing w:after="20"/>
            </w:pPr>
            <w:r>
              <w:rPr>
                <w:color w:val="1C3A36"/>
                <w:sz w:val="15"/>
              </w:rPr>
              <w:t>2026-03-15</w:t>
            </w:r>
          </w:p>
        </w:tc>
        <w:tc>
          <w:tcPr>
            <w:tcW w:type="dxa" w:w="6019"/>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2024-03-13</w:t>
            </w:r>
          </w:p>
        </w:tc>
        <w:tc>
          <w:tcPr>
            <w:tcW w:type="dxa" w:w="6019"/>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037"/>
          </w:tcPr>
          <w:p>
            <w:pPr>
              <w:spacing w:after="20"/>
            </w:pPr>
            <w:r>
              <w:rPr>
                <w:color w:val="1C3A36"/>
                <w:sz w:val="15"/>
              </w:rPr>
              <w:t>2026-03-15</w:t>
            </w:r>
          </w:p>
        </w:tc>
        <w:tc>
          <w:tcPr>
            <w:tcW w:type="dxa" w:w="6019"/>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037"/>
          </w:tcPr>
          <w:p>
            <w:pPr>
              <w:spacing w:after="20"/>
            </w:pPr>
            <w:r>
              <w:rPr>
                <w:color w:val="1C3A36"/>
                <w:sz w:val="15"/>
              </w:rPr>
              <w:t>2026-03-15</w:t>
            </w:r>
          </w:p>
        </w:tc>
        <w:tc>
          <w:tcPr>
            <w:tcW w:type="dxa" w:w="6019"/>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037"/>
          </w:tcPr>
          <w:p>
            <w:pPr>
              <w:spacing w:after="20"/>
            </w:pPr>
            <w:r>
              <w:rPr>
                <w:color w:val="1C3A36"/>
                <w:sz w:val="15"/>
              </w:rPr>
              <w:t>2026-03-15</w:t>
            </w:r>
          </w:p>
        </w:tc>
        <w:tc>
          <w:tcPr>
            <w:tcW w:type="dxa" w:w="6019"/>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2026-03-15</w:t>
            </w:r>
          </w:p>
        </w:tc>
        <w:tc>
          <w:tcPr>
            <w:tcW w:type="dxa" w:w="6019"/>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037"/>
          </w:tcPr>
          <w:p>
            <w:pPr>
              <w:spacing w:after="20"/>
            </w:pPr>
            <w:r>
              <w:rPr>
                <w:color w:val="1C3A36"/>
                <w:sz w:val="15"/>
              </w:rPr>
              <w:t>2026-03-15</w:t>
            </w:r>
          </w:p>
        </w:tc>
        <w:tc>
          <w:tcPr>
            <w:tcW w:type="dxa" w:w="6019"/>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037"/>
          </w:tcPr>
          <w:p>
            <w:pPr>
              <w:spacing w:after="20"/>
            </w:pPr>
            <w:r>
              <w:rPr>
                <w:color w:val="1C3A36"/>
                <w:sz w:val="15"/>
              </w:rPr>
              <w:t>2026-03-15</w:t>
            </w:r>
          </w:p>
        </w:tc>
        <w:tc>
          <w:tcPr>
            <w:tcW w:type="dxa" w:w="6019"/>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037"/>
          </w:tcPr>
          <w:p>
            <w:pPr>
              <w:spacing w:after="20"/>
            </w:pPr>
            <w:r>
              <w:rPr>
                <w:color w:val="1C3A36"/>
                <w:sz w:val="15"/>
              </w:rPr>
              <w:t>2026-03-15</w:t>
            </w:r>
          </w:p>
        </w:tc>
        <w:tc>
          <w:tcPr>
            <w:tcW w:type="dxa" w:w="6019"/>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037"/>
          </w:tcPr>
          <w:p>
            <w:pPr>
              <w:spacing w:after="20"/>
            </w:pPr>
            <w:r>
              <w:rPr>
                <w:color w:val="1C3A36"/>
                <w:sz w:val="15"/>
              </w:rPr>
              <w:t>2026-05-13</w:t>
            </w:r>
          </w:p>
        </w:tc>
        <w:tc>
          <w:tcPr>
            <w:tcW w:type="dxa" w:w="6019"/>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037"/>
          </w:tcPr>
          <w:p>
            <w:pPr>
              <w:spacing w:after="20"/>
            </w:pPr>
            <w:r>
              <w:rPr>
                <w:color w:val="1C3A36"/>
                <w:sz w:val="15"/>
              </w:rPr>
              <w:t>2026-05-13</w:t>
            </w:r>
          </w:p>
        </w:tc>
        <w:tc>
          <w:tcPr>
            <w:tcW w:type="dxa" w:w="6019"/>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037"/>
          </w:tcPr>
          <w:p>
            <w:pPr>
              <w:spacing w:after="20"/>
            </w:pPr>
            <w:r>
              <w:rPr>
                <w:color w:val="1C3A36"/>
                <w:sz w:val="15"/>
              </w:rPr>
              <w:t>2026-05-13</w:t>
            </w:r>
          </w:p>
        </w:tc>
        <w:tc>
          <w:tcPr>
            <w:tcW w:type="dxa" w:w="6019"/>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037"/>
          </w:tcPr>
          <w:p>
            <w:pPr>
              <w:spacing w:after="20"/>
            </w:pPr>
            <w:r>
              <w:rPr>
                <w:color w:val="1C3A36"/>
                <w:sz w:val="15"/>
              </w:rPr>
              <w:t>2026-05-13</w:t>
            </w:r>
          </w:p>
        </w:tc>
        <w:tc>
          <w:tcPr>
            <w:tcW w:type="dxa" w:w="6019"/>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037"/>
          </w:tcPr>
          <w:p>
            <w:pPr>
              <w:spacing w:after="20"/>
            </w:pPr>
            <w:r>
              <w:rPr>
                <w:color w:val="1C3A36"/>
                <w:sz w:val="15"/>
              </w:rPr>
              <w:t>2026-05-13</w:t>
            </w:r>
          </w:p>
        </w:tc>
        <w:tc>
          <w:tcPr>
            <w:tcW w:type="dxa" w:w="6019"/>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037"/>
          </w:tcPr>
          <w:p>
            <w:pPr>
              <w:spacing w:after="20"/>
            </w:pPr>
            <w:r>
              <w:rPr>
                <w:color w:val="1C3A36"/>
                <w:sz w:val="15"/>
              </w:rPr>
              <w:t>2026-05-13</w:t>
            </w:r>
          </w:p>
        </w:tc>
        <w:tc>
          <w:tcPr>
            <w:tcW w:type="dxa" w:w="6019"/>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037"/>
          </w:tcPr>
          <w:p>
            <w:pPr>
              <w:spacing w:after="20"/>
            </w:pPr>
            <w:r>
              <w:rPr>
                <w:color w:val="1C3A36"/>
                <w:sz w:val="15"/>
              </w:rPr>
              <w:t>2026-03-15</w:t>
            </w:r>
          </w:p>
        </w:tc>
        <w:tc>
          <w:tcPr>
            <w:tcW w:type="dxa" w:w="6019"/>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037"/>
          </w:tcPr>
          <w:p>
            <w:pPr>
              <w:spacing w:after="20"/>
            </w:pPr>
            <w:r>
              <w:rPr>
                <w:color w:val="1C3A36"/>
                <w:sz w:val="15"/>
              </w:rPr>
              <w:t>2026-03-15</w:t>
            </w:r>
          </w:p>
        </w:tc>
        <w:tc>
          <w:tcPr>
            <w:tcW w:type="dxa" w:w="6019"/>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037"/>
          </w:tcPr>
          <w:p>
            <w:pPr>
              <w:spacing w:after="20"/>
            </w:pPr>
            <w:r>
              <w:rPr>
                <w:color w:val="1C3A36"/>
                <w:sz w:val="15"/>
              </w:rPr>
              <w:t>2026-03-15</w:t>
            </w:r>
          </w:p>
        </w:tc>
        <w:tc>
          <w:tcPr>
            <w:tcW w:type="dxa" w:w="6019"/>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037"/>
          </w:tcPr>
          <w:p>
            <w:pPr>
              <w:spacing w:after="20"/>
            </w:pPr>
            <w:r>
              <w:rPr>
                <w:color w:val="1C3A36"/>
                <w:sz w:val="15"/>
              </w:rPr>
              <w:t>2026-03-15</w:t>
            </w:r>
          </w:p>
        </w:tc>
        <w:tc>
          <w:tcPr>
            <w:tcW w:type="dxa" w:w="6019"/>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037"/>
          </w:tcPr>
          <w:p>
            <w:pPr>
              <w:spacing w:after="20"/>
            </w:pPr>
            <w:r>
              <w:rPr>
                <w:color w:val="1C3A36"/>
                <w:sz w:val="15"/>
              </w:rPr>
              <w:t>2026-03-15</w:t>
            </w:r>
          </w:p>
        </w:tc>
        <w:tc>
          <w:tcPr>
            <w:tcW w:type="dxa" w:w="6019"/>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037"/>
          </w:tcPr>
          <w:p>
            <w:pPr>
              <w:spacing w:after="20"/>
            </w:pPr>
            <w:r>
              <w:rPr>
                <w:color w:val="1C3A36"/>
                <w:sz w:val="15"/>
              </w:rPr>
              <w:t>2026-03-15</w:t>
            </w:r>
          </w:p>
        </w:tc>
        <w:tc>
          <w:tcPr>
            <w:tcW w:type="dxa" w:w="6019"/>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037"/>
          </w:tcPr>
          <w:p>
            <w:pPr>
              <w:spacing w:after="20"/>
            </w:pPr>
            <w:r>
              <w:rPr>
                <w:color w:val="1C3A36"/>
                <w:sz w:val="15"/>
              </w:rPr>
              <w:t>2026-03-15</w:t>
            </w:r>
          </w:p>
        </w:tc>
        <w:tc>
          <w:tcPr>
            <w:tcW w:type="dxa" w:w="6019"/>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2026-03-15</w:t>
            </w:r>
          </w:p>
        </w:tc>
        <w:tc>
          <w:tcPr>
            <w:tcW w:type="dxa" w:w="6019"/>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037"/>
          </w:tcPr>
          <w:p>
            <w:pPr>
              <w:spacing w:after="20"/>
            </w:pPr>
            <w:r>
              <w:rPr>
                <w:color w:val="1C3A36"/>
                <w:sz w:val="15"/>
              </w:rPr>
              <w:t>2026-03-15</w:t>
            </w:r>
          </w:p>
        </w:tc>
        <w:tc>
          <w:tcPr>
            <w:tcW w:type="dxa" w:w="6019"/>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037"/>
          </w:tcPr>
          <w:p>
            <w:pPr>
              <w:spacing w:after="20"/>
            </w:pPr>
            <w:r>
              <w:rPr>
                <w:color w:val="1C3A36"/>
                <w:sz w:val="15"/>
              </w:rPr>
              <w:t>2026-03-15</w:t>
            </w:r>
          </w:p>
        </w:tc>
        <w:tc>
          <w:tcPr>
            <w:tcW w:type="dxa" w:w="6019"/>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037"/>
          </w:tcPr>
          <w:p>
            <w:pPr>
              <w:spacing w:after="20"/>
            </w:pPr>
            <w:r>
              <w:rPr>
                <w:color w:val="1C3A36"/>
                <w:sz w:val="15"/>
              </w:rPr>
              <w:t>2026-05-13</w:t>
            </w:r>
          </w:p>
        </w:tc>
        <w:tc>
          <w:tcPr>
            <w:tcW w:type="dxa" w:w="6019"/>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037"/>
          </w:tcPr>
          <w:p>
            <w:pPr>
              <w:spacing w:after="20"/>
            </w:pPr>
            <w:r>
              <w:rPr>
                <w:color w:val="1C3A36"/>
                <w:sz w:val="15"/>
              </w:rPr>
              <w:t>2026-03-15</w:t>
            </w:r>
          </w:p>
        </w:tc>
        <w:tc>
          <w:tcPr>
            <w:tcW w:type="dxa" w:w="6019"/>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bl>
    <w:p>
      <w:pPr>
        <w:spacing w:after="40"/>
      </w:pPr>
    </w:p>
    <w:p>
      <w:pPr>
        <w:spacing w:after="60" w:before="160"/>
      </w:pPr>
      <w:r>
        <w:rPr>
          <w:b/>
          <w:i w:val="0"/>
          <w:color w:val="1C3A36"/>
          <w:sz w:val="22"/>
        </w:rPr>
        <w:t>Country layer — 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037"/>
          </w:tcPr>
          <w:p>
            <w:pPr>
              <w:spacing w:after="20"/>
            </w:pPr>
            <w:r>
              <w:rPr>
                <w:color w:val="1C3A36"/>
                <w:sz w:val="15"/>
              </w:rPr>
              <w:t>2026-05-13</w:t>
            </w:r>
          </w:p>
        </w:tc>
        <w:tc>
          <w:tcPr>
            <w:tcW w:type="dxa" w:w="6019"/>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037"/>
          </w:tcPr>
          <w:p>
            <w:pPr>
              <w:spacing w:after="20"/>
            </w:pPr>
            <w:r>
              <w:rPr>
                <w:color w:val="1C3A36"/>
                <w:sz w:val="15"/>
              </w:rPr>
              <w:t>2026-08-05</w:t>
            </w:r>
          </w:p>
        </w:tc>
        <w:tc>
          <w:tcPr>
            <w:tcW w:type="dxa" w:w="6019"/>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0.14, 0.145, 0.15, 0.153, 0.155</w:t>
            </w:r>
          </w:p>
        </w:tc>
        <w:tc>
          <w:tcPr>
            <w:tcW w:type="dxa" w:w="1037"/>
          </w:tcPr>
          <w:p>
            <w:pPr>
              <w:spacing w:after="20"/>
            </w:pPr>
            <w:r>
              <w:rPr>
                <w:color w:val="1C3A36"/>
                <w:sz w:val="15"/>
              </w:rPr>
              <w:t>2026-08-05</w:t>
            </w:r>
          </w:p>
        </w:tc>
        <w:tc>
          <w:tcPr>
            <w:tcW w:type="dxa" w:w="6019"/>
          </w:tcPr>
          <w:p>
            <w:pPr>
              <w:spacing w:after="20"/>
            </w:pPr>
            <w:r>
              <w:rPr>
                <w:color w:val="1C3A36"/>
                <w:sz w:val="15"/>
              </w:rPr>
              <w:t>Cables segment profit margin (on the Note 5-3 external-revenue base). History: 19.5% (FY2023), 18.1% (FY2024), 13.5% (FY2025) — the FY2025 collapse is the single largest driver of the group's margin story. The forecast recovers only part of it and never approaches the FY2023-24 levels, which carried devaluation gains on cheaply bought copper inventory</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037"/>
          </w:tcPr>
          <w:p>
            <w:pPr>
              <w:spacing w:after="20"/>
            </w:pPr>
            <w:r>
              <w:rPr>
                <w:color w:val="1C3A36"/>
                <w:sz w:val="15"/>
              </w:rPr>
              <w:t>2026-08-05</w:t>
            </w:r>
          </w:p>
        </w:tc>
        <w:tc>
          <w:tcPr>
            <w:tcW w:type="dxa" w:w="6019"/>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so — unlike the previous build — this is NOT a burn-rate-on-a-backlog construction; it is a direct taper on the segment's own revenue history</w:t>
            </w:r>
          </w:p>
        </w:tc>
      </w:tr>
      <w:tr>
        <w:tc>
          <w:tcPr>
            <w:tcW w:type="dxa" w:w="1656"/>
          </w:tcPr>
          <w:p>
            <w:pPr>
              <w:spacing w:after="20"/>
            </w:pPr>
            <w:r>
              <w:rPr>
                <w:color w:val="1C3A36"/>
                <w:sz w:val="15"/>
              </w:rPr>
              <w:t>construct margin</w:t>
            </w:r>
          </w:p>
        </w:tc>
        <w:tc>
          <w:tcPr>
            <w:tcW w:type="dxa" w:w="1368"/>
          </w:tcPr>
          <w:p>
            <w:pPr>
              <w:spacing w:after="20"/>
            </w:pPr>
            <w:r>
              <w:rPr>
                <w:color w:val="1C3A36"/>
                <w:sz w:val="15"/>
              </w:rPr>
              <w:t>0.068, 0.072, 0.076, 0.079, 0.082</w:t>
            </w:r>
          </w:p>
        </w:tc>
        <w:tc>
          <w:tcPr>
            <w:tcW w:type="dxa" w:w="1037"/>
          </w:tcPr>
          <w:p>
            <w:pPr>
              <w:spacing w:after="20"/>
            </w:pPr>
            <w:r>
              <w:rPr>
                <w:color w:val="1C3A36"/>
                <w:sz w:val="15"/>
              </w:rPr>
              <w:t>2026-08-05</w:t>
            </w:r>
          </w:p>
        </w:tc>
        <w:tc>
          <w:tcPr>
            <w:tcW w:type="dxa" w:w="6019"/>
          </w:tcPr>
          <w:p>
            <w:pPr>
              <w:spacing w:after="20"/>
            </w:pPr>
            <w:r>
              <w:rPr>
                <w:color w:val="1C3A36"/>
                <w:sz w:val="15"/>
              </w:rPr>
              <w:t>Constructions segment profit margin (on the Note 5-3 external-revenue base). History: 11.6% (FY2023), 11.4% (FY2024), 6.5% (FY2025) — the sharpest compression of the three segments. Partial, not full, recovery is assumed</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037"/>
          </w:tcPr>
          <w:p>
            <w:pPr>
              <w:spacing w:after="20"/>
            </w:pPr>
            <w:r>
              <w:rPr>
                <w:color w:val="1C3A36"/>
                <w:sz w:val="15"/>
              </w:rPr>
              <w:t>2026-08-05</w:t>
            </w:r>
          </w:p>
        </w:tc>
        <w:tc>
          <w:tcPr>
            <w:tcW w:type="dxa" w:w="6019"/>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elecprod margin</w:t>
            </w:r>
          </w:p>
        </w:tc>
        <w:tc>
          <w:tcPr>
            <w:tcW w:type="dxa" w:w="1368"/>
          </w:tcPr>
          <w:p>
            <w:pPr>
              <w:spacing w:after="20"/>
            </w:pPr>
            <w:r>
              <w:rPr>
                <w:color w:val="1C3A36"/>
                <w:sz w:val="15"/>
              </w:rPr>
              <w:t>0.22, 0.222, 0.224, 0.226, 0.228</w:t>
            </w:r>
          </w:p>
        </w:tc>
        <w:tc>
          <w:tcPr>
            <w:tcW w:type="dxa" w:w="1037"/>
          </w:tcPr>
          <w:p>
            <w:pPr>
              <w:spacing w:after="20"/>
            </w:pPr>
            <w:r>
              <w:rPr>
                <w:color w:val="1C3A36"/>
                <w:sz w:val="15"/>
              </w:rPr>
              <w:t>2026-08-05</w:t>
            </w:r>
          </w:p>
        </w:tc>
        <w:tc>
          <w:tcPr>
            <w:tcW w:type="dxa" w:w="6019"/>
          </w:tcPr>
          <w:p>
            <w:pPr>
              <w:spacing w:after="20"/>
            </w:pPr>
            <w:r>
              <w:rPr>
                <w:color w:val="1C3A36"/>
                <w:sz w:val="15"/>
              </w:rPr>
              <w:t>Electrical products and digital solutions segment profit margin (on the Note 5-3 external-revenue base). History: 25.4% (FY2023), 26.6% (FY2024), 22.2% (FY2025) — the least-compressed of the three segments; broadly stable forecast with a slight further normalisation</w:t>
            </w:r>
          </w:p>
        </w:tc>
      </w:tr>
      <w:tr>
        <w:tc>
          <w:tcPr>
            <w:tcW w:type="dxa" w:w="1656"/>
          </w:tcPr>
          <w:p>
            <w:pPr>
              <w:spacing w:after="20"/>
            </w:pPr>
            <w:r>
              <w:rPr>
                <w:color w:val="1C3A36"/>
                <w:sz w:val="15"/>
              </w:rPr>
              <w:t>corp load</w:t>
            </w:r>
          </w:p>
        </w:tc>
        <w:tc>
          <w:tcPr>
            <w:tcW w:type="dxa" w:w="1368"/>
          </w:tcPr>
          <w:p>
            <w:pPr>
              <w:spacing w:after="20"/>
            </w:pPr>
            <w:r>
              <w:rPr>
                <w:color w:val="1C3A36"/>
                <w:sz w:val="15"/>
              </w:rPr>
              <w:t>0.033, 0.034, 0.035, 0.035, 0.036</w:t>
            </w:r>
          </w:p>
        </w:tc>
        <w:tc>
          <w:tcPr>
            <w:tcW w:type="dxa" w:w="1037"/>
          </w:tcPr>
          <w:p>
            <w:pPr>
              <w:spacing w:after="20"/>
            </w:pPr>
            <w:r>
              <w:rPr>
                <w:color w:val="1C3A36"/>
                <w:sz w:val="15"/>
              </w:rPr>
              <w:t>2026-08-05</w:t>
            </w:r>
          </w:p>
        </w:tc>
        <w:tc>
          <w:tcPr>
            <w:tcW w:type="dxa" w:w="6019"/>
          </w:tcPr>
          <w:p>
            <w:pPr>
              <w:spacing w:after="20"/>
            </w:pPr>
            <w:r>
              <w:rPr>
                <w:color w:val="1C3A36"/>
                <w:sz w:val="15"/>
              </w:rPr>
              <w:t>Net corporate cost load forecast, stabilising near the FY2025 disclosed level (3.16%) with a slight uptick as growth normalises, rather than extrapolating the three-year improving trend (5.70% to 4.30% to 3.16%) indefinitely</w:t>
            </w:r>
          </w:p>
        </w:tc>
      </w:tr>
      <w:tr>
        <w:tc>
          <w:tcPr>
            <w:tcW w:type="dxa" w:w="1656"/>
          </w:tcPr>
          <w:p>
            <w:pPr>
              <w:spacing w:after="20"/>
            </w:pPr>
            <w:r>
              <w:rPr>
                <w:color w:val="1C3A36"/>
                <w:sz w:val="15"/>
              </w:rPr>
              <w:t>opex pct</w:t>
            </w:r>
          </w:p>
        </w:tc>
        <w:tc>
          <w:tcPr>
            <w:tcW w:type="dxa" w:w="1368"/>
          </w:tcPr>
          <w:p>
            <w:pPr>
              <w:spacing w:after="20"/>
            </w:pPr>
            <w:r>
              <w:rPr>
                <w:color w:val="1C3A36"/>
                <w:sz w:val="15"/>
              </w:rPr>
              <w:t>0.033, 0.034, 0.035, 0.035, 0.036</w:t>
            </w:r>
          </w:p>
        </w:tc>
        <w:tc>
          <w:tcPr>
            <w:tcW w:type="dxa" w:w="1037"/>
          </w:tcPr>
          <w:p>
            <w:pPr>
              <w:spacing w:after="20"/>
            </w:pPr>
            <w:r>
              <w:rPr>
                <w:color w:val="1C3A36"/>
                <w:sz w:val="15"/>
              </w:rPr>
              <w:t>2026-08-05</w:t>
            </w:r>
          </w:p>
        </w:tc>
        <w:tc>
          <w:tcPr>
            <w:tcW w:type="dxa" w:w="6019"/>
          </w:tcPr>
          <w:p>
            <w:pPr>
              <w:spacing w:after="20"/>
            </w:pPr>
            <w:r>
              <w:rPr>
                <w:color w:val="1C3A36"/>
                <w:sz w:val="15"/>
              </w:rPr>
              <w:t>Alias of corp_load, retained for compatibility with the DCF waterfall and sensitivity-grid code paths that reference a single operating-load driver</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1.009</w:t>
            </w:r>
          </w:p>
        </w:tc>
        <w:tc>
          <w:tcPr>
            <w:tcW w:type="dxa" w:w="1037"/>
          </w:tcPr>
          <w:p>
            <w:pPr>
              <w:spacing w:after="20"/>
            </w:pPr>
            <w:r>
              <w:rPr>
                <w:color w:val="1C3A36"/>
                <w:sz w:val="15"/>
              </w:rPr>
              <w:t>2026-08-05</w:t>
            </w:r>
          </w:p>
        </w:tc>
        <w:tc>
          <w:tcPr>
            <w:tcW w:type="dxa" w:w="6019"/>
          </w:tcPr>
          <w:p>
            <w:pPr>
              <w:spacing w:after="20"/>
            </w:pPr>
            <w:r>
              <w:rPr>
                <w:color w:val="1C3A36"/>
                <w:sz w:val="15"/>
              </w:rPr>
              <w:t>Own-stock tier-1 regression: SWDY weekly log-returns against a 31-name equal-weight EGX composite built from the full covered library, 5-year window. R-squared 0.291, n = 258, standard error 0.098, 90% confidence interval [0.85, 1.17]. Comfortably clears the usability gate and is NOT weak-instrument flagged (R-squared well above 10%, interval span 0.32 against a 1.009 point estimate)</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Terminal debt weight D/(D+E), NORMALISED rather than today's weights. The company runs a gross debt book sized to fund working capital but carries very large offsetting cash, so its net leverage is light; 25% is the steady-state structure for a diversified industrial of this scale</w:t>
            </w:r>
          </w:p>
        </w:tc>
      </w:tr>
      <w:tr>
        <w:tc>
          <w:tcPr>
            <w:tcW w:type="dxa" w:w="1656"/>
          </w:tcPr>
          <w:p>
            <w:pPr>
              <w:spacing w:after="20"/>
            </w:pPr>
            <w:r>
              <w:rPr>
                <w:color w:val="1C3A36"/>
                <w:sz w:val="15"/>
              </w:rPr>
              <w:t>g term</w:t>
            </w:r>
          </w:p>
        </w:tc>
        <w:tc>
          <w:tcPr>
            <w:tcW w:type="dxa" w:w="1368"/>
          </w:tcPr>
          <w:p>
            <w:pPr>
              <w:spacing w:after="20"/>
            </w:pPr>
            <w:r>
              <w:rPr>
                <w:color w:val="1C3A36"/>
                <w:sz w:val="15"/>
              </w:rPr>
              <w:t>0.05</w:t>
            </w:r>
          </w:p>
        </w:tc>
        <w:tc>
          <w:tcPr>
            <w:tcW w:type="dxa" w:w="1037"/>
          </w:tcPr>
          <w:p>
            <w:pPr>
              <w:spacing w:after="20"/>
            </w:pPr>
            <w:r>
              <w:rPr>
                <w:color w:val="1C3A36"/>
                <w:sz w:val="15"/>
              </w:rPr>
              <w:t>2026-08-05</w:t>
            </w:r>
          </w:p>
        </w:tc>
        <w:tc>
          <w:tcPr>
            <w:tcW w:type="dxa" w:w="6019"/>
          </w:tcPr>
          <w:p>
            <w:pPr>
              <w:spacing w:after="20"/>
            </w:pPr>
            <w:r>
              <w:rPr>
                <w:color w:val="1C3A36"/>
                <w:sz w:val="15"/>
              </w:rPr>
              <w:t>Terminal growth, 5% — the standing centre for established names in this market post-disinflation, sensitised 3-7%. Note this is an EGP-NOMINAL rate struck against a terminal risk-free rate that itself embeds 5% inflation, so the base case assumes approximately zero real terminal growth: a deliberate conservatism for a company whose revenue is majority hard-currency</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w:t>
            </w:r>
          </w:p>
        </w:tc>
        <w:tc>
          <w:tcPr>
            <w:tcW w:type="dxa" w:w="3384"/>
          </w:tcPr>
          <w:p>
            <w:pPr>
              <w:spacing w:after="20"/>
            </w:pPr>
            <w:r>
              <w:rPr>
                <w:color w:val="1C3A36"/>
                <w:sz w:val="15"/>
              </w:rPr>
              <w:t>Not disclosed in either the FY2025 annual filing (board-approved 12 March 2026) or the Q1-2026 interim (board-approved 12 May 2026, the most recent primary source available)</w:t>
            </w:r>
          </w:p>
        </w:tc>
        <w:tc>
          <w:tcPr>
            <w:tcW w:type="dxa" w:w="4464"/>
          </w:tcPr>
          <w:p>
            <w:pPr>
              <w:spacing w:after="20"/>
            </w:pPr>
            <w:r>
              <w:rPr>
                <w:color w:val="1C3A36"/>
                <w:sz w:val="15"/>
              </w:rPr>
              <w:t>No FY2025 dividend per share is carried in the model; the forecast payout ratio is struck near the FY2025 disclosed cash-dividend rate relative to FY2024 profit instead</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