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105.20 on 2026-08-05.</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69.79 per share against a market price of 105.20 — the price sits about +51% above the central estimate. That gap is not mainly an argument about the business; it is an argument about the discount rate. Discounted at an Egyptian cost of equity of 28.4%, the cash flows support roughly EGP 56.67. Discount the hard-currency share of those same cash flows at a hard-currency cost of capital of about 10.1% and the same model produces EGP 78.89, which is above today's price. The market appears to be applying something close to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26.6% → 14.8%, terminal growth 5%; 86% of enterprise value comes from the terminal value</w:t>
            </w:r>
          </w:p>
        </w:tc>
        <w:tc>
          <w:tcPr>
            <w:tcW w:type="dxa" w:w="1656"/>
          </w:tcPr>
          <w:p>
            <w:pPr>
              <w:spacing w:after="20"/>
              <w:jc w:val="right"/>
            </w:pPr>
            <w:r>
              <w:rPr>
                <w:color w:val="1C3A36"/>
                <w:sz w:val="17"/>
              </w:rPr>
              <w:t>21.43 – 125.19</w:t>
            </w:r>
          </w:p>
        </w:tc>
        <w:tc>
          <w:tcPr>
            <w:tcW w:type="dxa" w:w="1037"/>
          </w:tcPr>
          <w:p>
            <w:pPr>
              <w:spacing w:after="20"/>
              <w:jc w:val="right"/>
            </w:pPr>
            <w:r>
              <w:rPr>
                <w:color w:val="1C3A36"/>
                <w:sz w:val="17"/>
              </w:rPr>
              <w:t>56.67</w:t>
            </w:r>
          </w:p>
        </w:tc>
        <w:tc>
          <w:tcPr>
            <w:tcW w:type="dxa" w:w="907"/>
          </w:tcPr>
          <w:p>
            <w:pPr>
              <w:spacing w:after="20"/>
              <w:jc w:val="right"/>
            </w:pPr>
            <w:r>
              <w:rPr>
                <w:color w:val="1C3A36"/>
                <w:sz w:val="17"/>
              </w:rPr>
              <w:t>-46%</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8.7×; trailing P/E 13.0×)</w:t>
            </w:r>
          </w:p>
        </w:tc>
        <w:tc>
          <w:tcPr>
            <w:tcW w:type="dxa" w:w="1656"/>
          </w:tcPr>
          <w:p>
            <w:pPr>
              <w:spacing w:after="20"/>
              <w:jc w:val="right"/>
            </w:pPr>
            <w:r>
              <w:rPr>
                <w:color w:val="1C3A36"/>
                <w:sz w:val="17"/>
              </w:rPr>
              <w:t>56.37 – 84.65</w:t>
            </w:r>
          </w:p>
        </w:tc>
        <w:tc>
          <w:tcPr>
            <w:tcW w:type="dxa" w:w="1037"/>
          </w:tcPr>
          <w:p>
            <w:pPr>
              <w:spacing w:after="20"/>
              <w:jc w:val="right"/>
            </w:pPr>
            <w:r>
              <w:rPr>
                <w:color w:val="1C3A36"/>
                <w:sz w:val="17"/>
              </w:rPr>
              <w:t>67.68</w:t>
            </w:r>
          </w:p>
        </w:tc>
        <w:tc>
          <w:tcPr>
            <w:tcW w:type="dxa" w:w="907"/>
          </w:tcPr>
          <w:p>
            <w:pPr>
              <w:spacing w:after="20"/>
              <w:jc w:val="right"/>
            </w:pPr>
            <w:r>
              <w:rPr>
                <w:color w:val="1C3A36"/>
                <w:sz w:val="17"/>
              </w:rPr>
              <w:t>-36%</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10.2% at a justified 9.0× P/E</w:t>
            </w:r>
          </w:p>
        </w:tc>
        <w:tc>
          <w:tcPr>
            <w:tcW w:type="dxa" w:w="1656"/>
          </w:tcPr>
          <w:p>
            <w:pPr>
              <w:spacing w:after="20"/>
              <w:jc w:val="right"/>
            </w:pPr>
            <w:r>
              <w:rPr>
                <w:color w:val="1C3A36"/>
                <w:sz w:val="17"/>
              </w:rPr>
              <w:t>92.76 – 152.38</w:t>
            </w:r>
          </w:p>
        </w:tc>
        <w:tc>
          <w:tcPr>
            <w:tcW w:type="dxa" w:w="1037"/>
          </w:tcPr>
          <w:p>
            <w:pPr>
              <w:spacing w:after="20"/>
              <w:jc w:val="right"/>
            </w:pPr>
            <w:r>
              <w:rPr>
                <w:color w:val="1C3A36"/>
                <w:sz w:val="17"/>
              </w:rPr>
              <w:t>119.26</w:t>
            </w:r>
          </w:p>
        </w:tc>
        <w:tc>
          <w:tcPr>
            <w:tcW w:type="dxa" w:w="907"/>
          </w:tcPr>
          <w:p>
            <w:pPr>
              <w:spacing w:after="20"/>
              <w:jc w:val="right"/>
            </w:pPr>
            <w:r>
              <w:rPr>
                <w:color w:val="1C3A36"/>
                <w:sz w:val="17"/>
              </w:rPr>
              <w:t>+13%</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1.5× on book value of 31.24/share at a sustainable return on equity of 23.5%</w:t>
            </w:r>
          </w:p>
        </w:tc>
        <w:tc>
          <w:tcPr>
            <w:tcW w:type="dxa" w:w="1656"/>
          </w:tcPr>
          <w:p>
            <w:pPr>
              <w:spacing w:after="20"/>
              <w:jc w:val="right"/>
            </w:pPr>
            <w:r>
              <w:rPr>
                <w:color w:val="1C3A36"/>
                <w:sz w:val="17"/>
              </w:rPr>
              <w:t>32.04 – 50.97</w:t>
            </w:r>
          </w:p>
        </w:tc>
        <w:tc>
          <w:tcPr>
            <w:tcW w:type="dxa" w:w="1037"/>
          </w:tcPr>
          <w:p>
            <w:pPr>
              <w:spacing w:after="20"/>
              <w:jc w:val="right"/>
            </w:pPr>
            <w:r>
              <w:rPr>
                <w:color w:val="1C3A36"/>
                <w:sz w:val="17"/>
              </w:rPr>
              <w:t>46.00</w:t>
            </w:r>
          </w:p>
        </w:tc>
        <w:tc>
          <w:tcPr>
            <w:tcW w:type="dxa" w:w="907"/>
          </w:tcPr>
          <w:p>
            <w:pPr>
              <w:spacing w:after="20"/>
              <w:jc w:val="right"/>
            </w:pPr>
            <w:r>
              <w:rPr>
                <w:color w:val="1C3A36"/>
                <w:sz w:val="17"/>
              </w:rPr>
              <w:t>-56%</w:t>
            </w:r>
          </w:p>
        </w:tc>
      </w:tr>
      <w:tr>
        <w:tc>
          <w:tcPr>
            <w:tcW w:type="dxa" w:w="1872"/>
            <w:shd w:val="clear" w:color="auto" w:fill="F6F1E6"/>
          </w:tcPr>
          <w:p>
            <w:pPr>
              <w:spacing w:after="20"/>
            </w:pPr>
            <w:r>
              <w:rPr>
                <w:b/>
                <w:color w:val="1C3A36"/>
                <w:sz w:val="17"/>
              </w:rPr>
              <w:t>Weighted central</w:t>
            </w:r>
          </w:p>
        </w:tc>
        <w:tc>
          <w:tcPr>
            <w:tcW w:type="dxa" w:w="3960"/>
            <w:shd w:val="clear" w:color="auto" w:fill="F6F1E6"/>
          </w:tcPr>
          <w:p>
            <w:pPr>
              <w:spacing w:after="20"/>
              <w:jc w:val="right"/>
            </w:pPr>
            <w:r>
              <w:rPr>
                <w:b/>
                <w:color w:val="1C3A36"/>
                <w:sz w:val="17"/>
              </w:rPr>
              <w:t>DCF 45% · relative 20% · normalised 20% · book 15%</w:t>
            </w:r>
          </w:p>
        </w:tc>
        <w:tc>
          <w:tcPr>
            <w:tcW w:type="dxa" w:w="1656"/>
            <w:shd w:val="clear" w:color="auto" w:fill="F6F1E6"/>
          </w:tcPr>
          <w:p>
            <w:pPr>
              <w:spacing w:after="20"/>
              <w:jc w:val="right"/>
            </w:pPr>
            <w:r>
              <w:rPr>
                <w:b/>
                <w:color w:val="1C3A36"/>
                <w:sz w:val="17"/>
              </w:rPr>
              <w:t>21.43 – 152.38</w:t>
            </w:r>
          </w:p>
        </w:tc>
        <w:tc>
          <w:tcPr>
            <w:tcW w:type="dxa" w:w="1037"/>
            <w:shd w:val="clear" w:color="auto" w:fill="F6F1E6"/>
          </w:tcPr>
          <w:p>
            <w:pPr>
              <w:spacing w:after="20"/>
              <w:jc w:val="right"/>
            </w:pPr>
            <w:r>
              <w:rPr>
                <w:b/>
                <w:color w:val="1C3A36"/>
                <w:sz w:val="17"/>
              </w:rPr>
              <w:t>69.79</w:t>
            </w:r>
          </w:p>
        </w:tc>
        <w:tc>
          <w:tcPr>
            <w:tcW w:type="dxa" w:w="907"/>
            <w:shd w:val="clear" w:color="auto" w:fill="F6F1E6"/>
          </w:tcPr>
          <w:p>
            <w:pPr>
              <w:spacing w:after="20"/>
              <w:jc w:val="right"/>
            </w:pPr>
            <w:r>
              <w:rPr>
                <w:b/>
                <w:color w:val="1C3A36"/>
                <w:sz w:val="17"/>
              </w:rPr>
              <w:t>-34%</w:t>
            </w:r>
          </w:p>
        </w:tc>
      </w:tr>
      <w:tr>
        <w:tc>
          <w:tcPr>
            <w:tcW w:type="dxa" w:w="1872"/>
          </w:tcPr>
          <w:p>
            <w:pPr>
              <w:spacing w:after="20"/>
            </w:pPr>
            <w:r>
              <w:rPr>
                <w:color w:val="1C3A36"/>
                <w:sz w:val="17"/>
              </w:rPr>
              <w:t>Market price</w:t>
            </w:r>
          </w:p>
        </w:tc>
        <w:tc>
          <w:tcPr>
            <w:tcW w:type="dxa" w:w="3960"/>
          </w:tcPr>
          <w:p>
            <w:pPr>
              <w:spacing w:after="20"/>
              <w:jc w:val="right"/>
            </w:pPr>
            <w:r>
              <w:rPr>
                <w:color w:val="1C3A36"/>
                <w:sz w:val="17"/>
              </w:rPr>
              <w:t>closing price on the anchor date</w:t>
            </w:r>
          </w:p>
        </w:tc>
        <w:tc>
          <w:tcPr>
            <w:tcW w:type="dxa" w:w="1656"/>
          </w:tcPr>
          <w:p>
            <w:pPr>
              <w:spacing w:after="20"/>
              <w:jc w:val="right"/>
            </w:pPr>
            <w:r>
              <w:rPr>
                <w:color w:val="1C3A36"/>
                <w:sz w:val="17"/>
              </w:rPr>
              <w:t>—</w:t>
            </w:r>
          </w:p>
        </w:tc>
        <w:tc>
          <w:tcPr>
            <w:tcW w:type="dxa" w:w="1037"/>
          </w:tcPr>
          <w:p>
            <w:pPr>
              <w:spacing w:after="20"/>
              <w:jc w:val="right"/>
            </w:pPr>
            <w:r>
              <w:rPr>
                <w:color w:val="1C3A36"/>
                <w:sz w:val="17"/>
              </w:rPr>
              <w:t>105.20</w:t>
            </w:r>
          </w:p>
        </w:tc>
        <w:tc>
          <w:tcPr>
            <w:tcW w:type="dxa" w:w="907"/>
          </w:tcPr>
          <w:p>
            <w:pPr>
              <w:spacing w:after="20"/>
              <w:jc w:val="right"/>
            </w:pPr>
            <w:r>
              <w:rPr>
                <w:color w:val="1C3A36"/>
                <w:sz w:val="17"/>
              </w:rPr>
              <w:t>—</w:t>
            </w:r>
          </w:p>
        </w:tc>
      </w:tr>
      <w:tr>
        <w:tc>
          <w:tcPr>
            <w:tcW w:type="dxa" w:w="1872"/>
            <w:shd w:val="clear" w:color="auto" w:fill="F6F1E6"/>
          </w:tcPr>
          <w:p>
            <w:pPr>
              <w:spacing w:after="20"/>
            </w:pPr>
            <w:r>
              <w:rPr>
                <w:b/>
                <w:color w:val="1C3A36"/>
                <w:sz w:val="17"/>
              </w:rPr>
              <w:t>ALTERNATIVE READINGS — not included in the weighted central above</w:t>
            </w:r>
          </w:p>
        </w:tc>
        <w:tc>
          <w:tcPr>
            <w:tcW w:type="dxa" w:w="3960"/>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c>
          <w:tcPr>
            <w:tcW w:type="dxa" w:w="1037"/>
            <w:shd w:val="clear" w:color="auto" w:fill="F6F1E6"/>
          </w:tcPr>
          <w:p>
            <w:pPr>
              <w:spacing w:after="20"/>
              <w:jc w:val="right"/>
            </w:pPr>
            <w:r>
              <w:rPr>
                <w:b/>
                <w:color w:val="1C3A36"/>
                <w:sz w:val="17"/>
              </w:rPr>
            </w:r>
          </w:p>
        </w:tc>
        <w:tc>
          <w:tcPr>
            <w:tcW w:type="dxa" w:w="907"/>
            <w:shd w:val="clear" w:color="auto" w:fill="F6F1E6"/>
          </w:tcPr>
          <w:p>
            <w:pPr>
              <w:spacing w:after="20"/>
              <w:jc w:val="right"/>
            </w:pPr>
            <w:r>
              <w:rPr>
                <w:b/>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10.1%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78.89</w:t>
            </w:r>
          </w:p>
        </w:tc>
        <w:tc>
          <w:tcPr>
            <w:tcW w:type="dxa" w:w="907"/>
          </w:tcPr>
          <w:p>
            <w:pPr>
              <w:spacing w:after="20"/>
              <w:jc w:val="right"/>
            </w:pPr>
            <w:r>
              <w:rPr>
                <w:color w:val="1C3A36"/>
                <w:sz w:val="17"/>
              </w:rPr>
              <w:t>-25%</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38.09</w:t>
            </w:r>
          </w:p>
        </w:tc>
        <w:tc>
          <w:tcPr>
            <w:tcW w:type="dxa" w:w="907"/>
          </w:tcPr>
          <w:p>
            <w:pPr>
              <w:spacing w:after="20"/>
              <w:jc w:val="right"/>
            </w:pPr>
            <w:r>
              <w:rPr>
                <w:color w:val="1C3A36"/>
                <w:sz w:val="17"/>
              </w:rPr>
              <w:t>-64%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55.74</w:t>
            </w:r>
          </w:p>
        </w:tc>
        <w:tc>
          <w:tcPr>
            <w:tcW w:type="dxa" w:w="907"/>
          </w:tcPr>
          <w:p>
            <w:pPr>
              <w:spacing w:after="20"/>
              <w:jc w:val="right"/>
            </w:pPr>
            <w:r>
              <w:rPr>
                <w:color w:val="1C3A36"/>
                <w:sz w:val="17"/>
              </w:rPr>
              <w:t>-47%</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weighted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weighted base. Terminal value is 86%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 the forecast is built on segment revenue growth rather than a backlog figure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225,210mn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its stake in a July-2024 tender offer at USD 1.05 per share (~USD 449mn); its disclosed stake has since diluted slightly, from 20.37% at FY2024-end to 18.9% at FY2025-end, while the family's own holding has stayed essentially flat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was paid in FY2025 on the FY2024 result — 12.3% of FY2024 attributable profit. No FY2025 dividend had been declared, proposed or approved as at the Q1-2026 interim report (board-approved 12 May 2026), the most recent primary source available; the forecast payout ratio is struck near the FY2024-relating rate instead</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35,158</w:t>
            </w:r>
          </w:p>
        </w:tc>
        <w:tc>
          <w:tcPr>
            <w:tcW w:type="dxa" w:w="1426"/>
          </w:tcPr>
          <w:p>
            <w:pPr>
              <w:spacing w:after="20"/>
              <w:jc w:val="right"/>
            </w:pPr>
            <w:r>
              <w:rPr>
                <w:color w:val="1C3A36"/>
                <w:sz w:val="17"/>
              </w:rPr>
              <w:t>41,645</w:t>
            </w:r>
          </w:p>
        </w:tc>
        <w:tc>
          <w:tcPr>
            <w:tcW w:type="dxa" w:w="1426"/>
          </w:tcPr>
          <w:p>
            <w:pPr>
              <w:spacing w:after="20"/>
              <w:jc w:val="right"/>
            </w:pPr>
            <w:r>
              <w:rPr>
                <w:color w:val="1C3A36"/>
                <w:sz w:val="17"/>
              </w:rPr>
              <w:t>47,603</w:t>
            </w:r>
          </w:p>
        </w:tc>
        <w:tc>
          <w:tcPr>
            <w:tcW w:type="dxa" w:w="1426"/>
          </w:tcPr>
          <w:p>
            <w:pPr>
              <w:spacing w:after="20"/>
              <w:jc w:val="right"/>
            </w:pPr>
            <w:r>
              <w:rPr>
                <w:color w:val="1C3A36"/>
                <w:sz w:val="17"/>
              </w:rPr>
              <w:t>53,648</w:t>
            </w:r>
          </w:p>
        </w:tc>
        <w:tc>
          <w:tcPr>
            <w:tcW w:type="dxa" w:w="1426"/>
          </w:tcPr>
          <w:p>
            <w:pPr>
              <w:spacing w:after="20"/>
              <w:jc w:val="right"/>
            </w:pPr>
            <w:r>
              <w:rPr>
                <w:color w:val="1C3A36"/>
                <w:sz w:val="17"/>
              </w:rPr>
              <w:t>59,209</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9.5%</w:t>
            </w:r>
          </w:p>
        </w:tc>
        <w:tc>
          <w:tcPr>
            <w:tcW w:type="dxa" w:w="1426"/>
          </w:tcPr>
          <w:p>
            <w:pPr>
              <w:spacing w:after="20"/>
              <w:jc w:val="right"/>
            </w:pPr>
            <w:r>
              <w:rPr>
                <w:color w:val="1C3A36"/>
                <w:sz w:val="17"/>
              </w:rPr>
              <w:t>9.9%</w:t>
            </w:r>
          </w:p>
        </w:tc>
        <w:tc>
          <w:tcPr>
            <w:tcW w:type="dxa" w:w="1426"/>
          </w:tcPr>
          <w:p>
            <w:pPr>
              <w:spacing w:after="20"/>
              <w:jc w:val="right"/>
            </w:pPr>
            <w:r>
              <w:rPr>
                <w:color w:val="1C3A36"/>
                <w:sz w:val="17"/>
              </w:rPr>
              <w:t>10.2%</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30,533</w:t>
            </w:r>
          </w:p>
        </w:tc>
        <w:tc>
          <w:tcPr>
            <w:tcW w:type="dxa" w:w="1426"/>
          </w:tcPr>
          <w:p>
            <w:pPr>
              <w:spacing w:after="20"/>
              <w:jc w:val="right"/>
            </w:pPr>
            <w:r>
              <w:rPr>
                <w:color w:val="1C3A36"/>
                <w:sz w:val="17"/>
              </w:rPr>
              <w:t>36,363</w:t>
            </w:r>
          </w:p>
        </w:tc>
        <w:tc>
          <w:tcPr>
            <w:tcW w:type="dxa" w:w="1426"/>
          </w:tcPr>
          <w:p>
            <w:pPr>
              <w:spacing w:after="20"/>
              <w:jc w:val="right"/>
            </w:pPr>
            <w:r>
              <w:rPr>
                <w:color w:val="1C3A36"/>
                <w:sz w:val="17"/>
              </w:rPr>
              <w:t>41,770</w:t>
            </w:r>
          </w:p>
        </w:tc>
        <w:tc>
          <w:tcPr>
            <w:tcW w:type="dxa" w:w="1426"/>
          </w:tcPr>
          <w:p>
            <w:pPr>
              <w:spacing w:after="20"/>
              <w:jc w:val="right"/>
            </w:pPr>
            <w:r>
              <w:rPr>
                <w:color w:val="1C3A36"/>
                <w:sz w:val="17"/>
              </w:rPr>
              <w:t>47,268</w:t>
            </w:r>
          </w:p>
        </w:tc>
        <w:tc>
          <w:tcPr>
            <w:tcW w:type="dxa" w:w="1426"/>
          </w:tcPr>
          <w:p>
            <w:pPr>
              <w:spacing w:after="20"/>
              <w:jc w:val="right"/>
            </w:pPr>
            <w:r>
              <w:rPr>
                <w:color w:val="1C3A36"/>
                <w:sz w:val="17"/>
              </w:rPr>
              <w:t>52,269</w:t>
            </w:r>
          </w:p>
        </w:tc>
      </w:tr>
      <w:tr>
        <w:tc>
          <w:tcPr>
            <w:tcW w:type="dxa" w:w="2952"/>
          </w:tcPr>
          <w:p>
            <w:pPr>
              <w:spacing w:after="20"/>
            </w:pPr>
            <w:r>
              <w:rPr>
                <w:color w:val="1C3A36"/>
                <w:sz w:val="17"/>
              </w:rPr>
              <w:t>NOPAT — EBIT × (1 − 24%)</w:t>
            </w:r>
          </w:p>
        </w:tc>
        <w:tc>
          <w:tcPr>
            <w:tcW w:type="dxa" w:w="1426"/>
          </w:tcPr>
          <w:p>
            <w:pPr>
              <w:spacing w:after="20"/>
              <w:jc w:val="right"/>
            </w:pPr>
            <w:r>
              <w:rPr>
                <w:color w:val="1C3A36"/>
                <w:sz w:val="17"/>
              </w:rPr>
              <w:t>23,052</w:t>
            </w:r>
          </w:p>
        </w:tc>
        <w:tc>
          <w:tcPr>
            <w:tcW w:type="dxa" w:w="1426"/>
          </w:tcPr>
          <w:p>
            <w:pPr>
              <w:spacing w:after="20"/>
              <w:jc w:val="right"/>
            </w:pPr>
            <w:r>
              <w:rPr>
                <w:color w:val="1C3A36"/>
                <w:sz w:val="17"/>
              </w:rPr>
              <w:t>27,454</w:t>
            </w:r>
          </w:p>
        </w:tc>
        <w:tc>
          <w:tcPr>
            <w:tcW w:type="dxa" w:w="1426"/>
          </w:tcPr>
          <w:p>
            <w:pPr>
              <w:spacing w:after="20"/>
              <w:jc w:val="right"/>
            </w:pPr>
            <w:r>
              <w:rPr>
                <w:color w:val="1C3A36"/>
                <w:sz w:val="17"/>
              </w:rPr>
              <w:t>31,537</w:t>
            </w:r>
          </w:p>
        </w:tc>
        <w:tc>
          <w:tcPr>
            <w:tcW w:type="dxa" w:w="1426"/>
          </w:tcPr>
          <w:p>
            <w:pPr>
              <w:spacing w:after="20"/>
              <w:jc w:val="right"/>
            </w:pPr>
            <w:r>
              <w:rPr>
                <w:color w:val="1C3A36"/>
                <w:sz w:val="17"/>
              </w:rPr>
              <w:t>35,687</w:t>
            </w:r>
          </w:p>
        </w:tc>
        <w:tc>
          <w:tcPr>
            <w:tcW w:type="dxa" w:w="1426"/>
          </w:tcPr>
          <w:p>
            <w:pPr>
              <w:spacing w:after="20"/>
              <w:jc w:val="right"/>
            </w:pPr>
            <w:r>
              <w:rPr>
                <w:color w:val="1C3A36"/>
                <w:sz w:val="17"/>
              </w:rPr>
              <w:t>39,463</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-6,387</w:t>
            </w:r>
          </w:p>
        </w:tc>
        <w:tc>
          <w:tcPr>
            <w:tcW w:type="dxa" w:w="1426"/>
            <w:shd w:val="clear" w:color="auto" w:fill="F6F1E6"/>
          </w:tcPr>
          <w:p>
            <w:pPr>
              <w:spacing w:after="20"/>
              <w:jc w:val="right"/>
            </w:pPr>
            <w:r>
              <w:rPr>
                <w:b/>
                <w:color w:val="1C3A36"/>
                <w:sz w:val="17"/>
              </w:rPr>
              <w:t>5,387</w:t>
            </w:r>
          </w:p>
        </w:tc>
        <w:tc>
          <w:tcPr>
            <w:tcW w:type="dxa" w:w="1426"/>
            <w:shd w:val="clear" w:color="auto" w:fill="F6F1E6"/>
          </w:tcPr>
          <w:p>
            <w:pPr>
              <w:spacing w:after="20"/>
              <w:jc w:val="right"/>
            </w:pPr>
            <w:r>
              <w:rPr>
                <w:b/>
                <w:color w:val="1C3A36"/>
                <w:sz w:val="17"/>
              </w:rPr>
              <w:t>11,797</w:t>
            </w:r>
          </w:p>
        </w:tc>
        <w:tc>
          <w:tcPr>
            <w:tcW w:type="dxa" w:w="1426"/>
            <w:shd w:val="clear" w:color="auto" w:fill="F6F1E6"/>
          </w:tcPr>
          <w:p>
            <w:pPr>
              <w:spacing w:after="20"/>
              <w:jc w:val="right"/>
            </w:pPr>
            <w:r>
              <w:rPr>
                <w:b/>
                <w:color w:val="1C3A36"/>
                <w:sz w:val="17"/>
              </w:rPr>
              <w:t>16,503</w:t>
            </w:r>
          </w:p>
        </w:tc>
        <w:tc>
          <w:tcPr>
            <w:tcW w:type="dxa" w:w="1426"/>
            <w:shd w:val="clear" w:color="auto" w:fill="F6F1E6"/>
          </w:tcPr>
          <w:p>
            <w:pPr>
              <w:spacing w:after="20"/>
              <w:jc w:val="right"/>
            </w:pPr>
            <w:r>
              <w:rPr>
                <w:b/>
                <w:color w:val="1C3A36"/>
                <w:sz w:val="17"/>
              </w:rPr>
              <w:t>20,279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26.6%</w:t>
            </w:r>
          </w:p>
        </w:tc>
        <w:tc>
          <w:tcPr>
            <w:tcW w:type="dxa" w:w="1426"/>
          </w:tcPr>
          <w:p>
            <w:pPr>
              <w:spacing w:after="20"/>
              <w:jc w:val="right"/>
            </w:pPr>
            <w:r>
              <w:rPr>
                <w:color w:val="1C3A36"/>
                <w:sz w:val="17"/>
              </w:rPr>
              <w:t>22.7%</w:t>
            </w:r>
          </w:p>
        </w:tc>
        <w:tc>
          <w:tcPr>
            <w:tcW w:type="dxa" w:w="1426"/>
          </w:tcPr>
          <w:p>
            <w:pPr>
              <w:spacing w:after="20"/>
              <w:jc w:val="right"/>
            </w:pPr>
            <w:r>
              <w:rPr>
                <w:color w:val="1C3A36"/>
                <w:sz w:val="17"/>
              </w:rPr>
              <w:t>19.4%</w:t>
            </w:r>
          </w:p>
        </w:tc>
        <w:tc>
          <w:tcPr>
            <w:tcW w:type="dxa" w:w="1426"/>
          </w:tcPr>
          <w:p>
            <w:pPr>
              <w:spacing w:after="20"/>
              <w:jc w:val="right"/>
            </w:pPr>
            <w:r>
              <w:rPr>
                <w:color w:val="1C3A36"/>
                <w:sz w:val="17"/>
              </w:rPr>
              <w:t>16.8%</w:t>
            </w:r>
          </w:p>
        </w:tc>
        <w:tc>
          <w:tcPr>
            <w:tcW w:type="dxa" w:w="1426"/>
          </w:tcPr>
          <w:p>
            <w:pPr>
              <w:spacing w:after="20"/>
              <w:jc w:val="right"/>
            </w:pPr>
            <w:r>
              <w:rPr>
                <w:color w:val="1C3A36"/>
                <w:sz w:val="17"/>
              </w:rPr>
              <w:t>14.8%</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0.7897</w:t>
            </w:r>
          </w:p>
        </w:tc>
        <w:tc>
          <w:tcPr>
            <w:tcW w:type="dxa" w:w="1426"/>
          </w:tcPr>
          <w:p>
            <w:pPr>
              <w:spacing w:after="20"/>
              <w:jc w:val="right"/>
            </w:pPr>
            <w:r>
              <w:rPr>
                <w:color w:val="1C3A36"/>
                <w:sz w:val="17"/>
              </w:rPr>
              <w:t>0.6436</w:t>
            </w:r>
          </w:p>
        </w:tc>
        <w:tc>
          <w:tcPr>
            <w:tcW w:type="dxa" w:w="1426"/>
          </w:tcPr>
          <w:p>
            <w:pPr>
              <w:spacing w:after="20"/>
              <w:jc w:val="right"/>
            </w:pPr>
            <w:r>
              <w:rPr>
                <w:color w:val="1C3A36"/>
                <w:sz w:val="17"/>
              </w:rPr>
              <w:t>0.5389</w:t>
            </w:r>
          </w:p>
        </w:tc>
        <w:tc>
          <w:tcPr>
            <w:tcW w:type="dxa" w:w="1426"/>
          </w:tcPr>
          <w:p>
            <w:pPr>
              <w:spacing w:after="20"/>
              <w:jc w:val="right"/>
            </w:pPr>
            <w:r>
              <w:rPr>
                <w:color w:val="1C3A36"/>
                <w:sz w:val="17"/>
              </w:rPr>
              <w:t>0.4613</w:t>
            </w:r>
          </w:p>
        </w:tc>
        <w:tc>
          <w:tcPr>
            <w:tcW w:type="dxa" w:w="1426"/>
          </w:tcPr>
          <w:p>
            <w:pPr>
              <w:spacing w:after="20"/>
              <w:jc w:val="right"/>
            </w:pPr>
            <w:r>
              <w:rPr>
                <w:color w:val="1C3A36"/>
                <w:sz w:val="17"/>
              </w:rPr>
              <w:t>0.4017</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-5,044</w:t>
            </w:r>
          </w:p>
        </w:tc>
        <w:tc>
          <w:tcPr>
            <w:tcW w:type="dxa" w:w="1426"/>
            <w:shd w:val="clear" w:color="auto" w:fill="F6F1E6"/>
          </w:tcPr>
          <w:p>
            <w:pPr>
              <w:spacing w:after="20"/>
              <w:jc w:val="right"/>
            </w:pPr>
            <w:r>
              <w:rPr>
                <w:b/>
                <w:color w:val="1C3A36"/>
                <w:sz w:val="17"/>
              </w:rPr>
              <w:t>3,467</w:t>
            </w:r>
          </w:p>
        </w:tc>
        <w:tc>
          <w:tcPr>
            <w:tcW w:type="dxa" w:w="1426"/>
            <w:shd w:val="clear" w:color="auto" w:fill="F6F1E6"/>
          </w:tcPr>
          <w:p>
            <w:pPr>
              <w:spacing w:after="20"/>
              <w:jc w:val="right"/>
            </w:pPr>
            <w:r>
              <w:rPr>
                <w:b/>
                <w:color w:val="1C3A36"/>
                <w:sz w:val="17"/>
              </w:rPr>
              <w:t>6,357</w:t>
            </w:r>
          </w:p>
        </w:tc>
        <w:tc>
          <w:tcPr>
            <w:tcW w:type="dxa" w:w="1426"/>
            <w:shd w:val="clear" w:color="auto" w:fill="F6F1E6"/>
          </w:tcPr>
          <w:p>
            <w:pPr>
              <w:spacing w:after="20"/>
              <w:jc w:val="right"/>
            </w:pPr>
            <w:r>
              <w:rPr>
                <w:b/>
                <w:color w:val="1C3A36"/>
                <w:sz w:val="17"/>
              </w:rPr>
              <w:t>7,613</w:t>
            </w:r>
          </w:p>
        </w:tc>
        <w:tc>
          <w:tcPr>
            <w:tcW w:type="dxa" w:w="1426"/>
            <w:shd w:val="clear" w:color="auto" w:fill="F6F1E6"/>
          </w:tcPr>
          <w:p>
            <w:pPr>
              <w:spacing w:after="20"/>
              <w:jc w:val="right"/>
            </w:pPr>
            <w:r>
              <w:rPr>
                <w:b/>
                <w:color w:val="1C3A36"/>
                <w:sz w:val="17"/>
              </w:rPr>
              <w:t>8,146</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7"/>
              </w:rPr>
              <w:t>Step</w:t>
            </w:r>
          </w:p>
        </w:tc>
        <w:tc>
          <w:tcPr>
            <w:tcW w:type="dxa" w:w="1512"/>
            <w:shd w:val="clear" w:color="auto" w:fill="EAF0EE"/>
          </w:tcPr>
          <w:p>
            <w:pPr>
              <w:spacing w:after="20"/>
            </w:pPr>
            <w:r>
              <w:rPr>
                <w:b/>
                <w:color w:val="1C3A36"/>
                <w:sz w:val="17"/>
              </w:rPr>
              <w:t>EGP mn</w:t>
            </w:r>
          </w:p>
        </w:tc>
        <w:tc>
          <w:tcPr>
            <w:tcW w:type="dxa" w:w="4896"/>
            <w:shd w:val="clear" w:color="auto" w:fill="EAF0EE"/>
          </w:tcPr>
          <w:p>
            <w:pPr>
              <w:spacing w:after="20"/>
            </w:pPr>
            <w:r>
              <w:rPr>
                <w:b/>
                <w:color w:val="1C3A36"/>
                <w:sz w:val="17"/>
              </w:rPr>
              <w:t>Note</w:t>
            </w:r>
          </w:p>
        </w:tc>
      </w:tr>
      <w:tr>
        <w:tc>
          <w:tcPr>
            <w:tcW w:type="dxa" w:w="3672"/>
          </w:tcPr>
          <w:p>
            <w:pPr>
              <w:spacing w:after="20"/>
            </w:pPr>
            <w:r>
              <w:rPr>
                <w:color w:val="1C3A36"/>
                <w:sz w:val="17"/>
              </w:rPr>
              <w:t>Present value of the five forecast years</w:t>
            </w:r>
          </w:p>
        </w:tc>
        <w:tc>
          <w:tcPr>
            <w:tcW w:type="dxa" w:w="1512"/>
          </w:tcPr>
          <w:p>
            <w:pPr>
              <w:spacing w:after="20"/>
              <w:jc w:val="right"/>
            </w:pPr>
            <w:r>
              <w:rPr>
                <w:color w:val="1C3A36"/>
                <w:sz w:val="17"/>
              </w:rPr>
              <w:t>20,540</w:t>
            </w:r>
          </w:p>
        </w:tc>
        <w:tc>
          <w:tcPr>
            <w:tcW w:type="dxa" w:w="4896"/>
          </w:tcPr>
          <w:p>
            <w:pPr>
              <w:spacing w:after="20"/>
              <w:jc w:val="right"/>
            </w:pPr>
            <w:r>
              <w:rPr>
                <w:color w:val="1C3A36"/>
                <w:sz w:val="17"/>
              </w:rPr>
              <w:t>sum of the present-value row above</w:t>
            </w:r>
          </w:p>
        </w:tc>
      </w:tr>
      <w:tr>
        <w:tc>
          <w:tcPr>
            <w:tcW w:type="dxa" w:w="3672"/>
          </w:tcPr>
          <w:p>
            <w:pPr>
              <w:spacing w:after="20"/>
            </w:pPr>
            <w:r>
              <w:rPr>
                <w:color w:val="1C3A36"/>
                <w:sz w:val="17"/>
              </w:rPr>
              <w:t>Present value of the terminal value</w:t>
            </w:r>
          </w:p>
        </w:tc>
        <w:tc>
          <w:tcPr>
            <w:tcW w:type="dxa" w:w="1512"/>
          </w:tcPr>
          <w:p>
            <w:pPr>
              <w:spacing w:after="20"/>
              <w:jc w:val="right"/>
            </w:pPr>
            <w:r>
              <w:rPr>
                <w:color w:val="1C3A36"/>
                <w:sz w:val="17"/>
              </w:rPr>
              <w:t>127,573</w:t>
            </w:r>
          </w:p>
        </w:tc>
        <w:tc>
          <w:tcPr>
            <w:tcW w:type="dxa" w:w="4896"/>
          </w:tcPr>
          <w:p>
            <w:pPr>
              <w:spacing w:after="20"/>
              <w:jc w:val="right"/>
            </w:pPr>
            <w:r>
              <w:rPr>
                <w:color w:val="1C3A36"/>
                <w:sz w:val="17"/>
              </w:rPr>
              <w:t>terminal value 317,587 capitalised at 14.8% and discounted at the year-5 factor 0.4017</w:t>
            </w:r>
          </w:p>
        </w:tc>
      </w:tr>
      <w:tr>
        <w:tc>
          <w:tcPr>
            <w:tcW w:type="dxa" w:w="3672"/>
            <w:shd w:val="clear" w:color="auto" w:fill="F6F1E6"/>
          </w:tcPr>
          <w:p>
            <w:pPr>
              <w:spacing w:after="20"/>
            </w:pPr>
            <w:r>
              <w:rPr>
                <w:b/>
                <w:color w:val="1C3A36"/>
                <w:sz w:val="17"/>
              </w:rPr>
              <w:t>Enterprise value</w:t>
            </w:r>
          </w:p>
        </w:tc>
        <w:tc>
          <w:tcPr>
            <w:tcW w:type="dxa" w:w="1512"/>
            <w:shd w:val="clear" w:color="auto" w:fill="F6F1E6"/>
          </w:tcPr>
          <w:p>
            <w:pPr>
              <w:spacing w:after="20"/>
              <w:jc w:val="right"/>
            </w:pPr>
            <w:r>
              <w:rPr>
                <w:b/>
                <w:color w:val="1C3A36"/>
                <w:sz w:val="17"/>
              </w:rPr>
              <w:t>148,113</w:t>
            </w:r>
          </w:p>
        </w:tc>
        <w:tc>
          <w:tcPr>
            <w:tcW w:type="dxa" w:w="4896"/>
            <w:shd w:val="clear" w:color="auto" w:fill="F6F1E6"/>
          </w:tcPr>
          <w:p>
            <w:pPr>
              <w:spacing w:after="20"/>
              <w:jc w:val="right"/>
            </w:pPr>
            <w:r>
              <w:rPr>
                <w:b/>
                <w:color w:val="1C3A36"/>
                <w:sz w:val="17"/>
              </w:rPr>
              <w:t>the two lines above</w:t>
            </w:r>
          </w:p>
        </w:tc>
      </w:tr>
      <w:tr>
        <w:tc>
          <w:tcPr>
            <w:tcW w:type="dxa" w:w="3672"/>
          </w:tcPr>
          <w:p>
            <w:pPr>
              <w:spacing w:after="20"/>
            </w:pPr>
            <w:r>
              <w:rPr>
                <w:color w:val="1C3A36"/>
                <w:sz w:val="17"/>
              </w:rPr>
              <w:t>Terminal value as a share of enterprise value</w:t>
            </w:r>
          </w:p>
        </w:tc>
        <w:tc>
          <w:tcPr>
            <w:tcW w:type="dxa" w:w="1512"/>
          </w:tcPr>
          <w:p>
            <w:pPr>
              <w:spacing w:after="20"/>
              <w:jc w:val="right"/>
            </w:pPr>
            <w:r>
              <w:rPr>
                <w:color w:val="1C3A36"/>
                <w:sz w:val="17"/>
              </w:rPr>
              <w:t>86%</w:t>
            </w:r>
          </w:p>
        </w:tc>
        <w:tc>
          <w:tcPr>
            <w:tcW w:type="dxa" w:w="4896"/>
          </w:tcPr>
          <w:p>
            <w:pPr>
              <w:spacing w:after="20"/>
              <w:jc w:val="right"/>
            </w:pPr>
            <w:r>
              <w:rPr>
                <w:color w:val="1C3A36"/>
                <w:sz w:val="17"/>
              </w:rPr>
              <w:t>disclosed here and in the summary table; stress-tested in section 1.9</w:t>
            </w:r>
          </w:p>
        </w:tc>
      </w:tr>
      <w:tr>
        <w:tc>
          <w:tcPr>
            <w:tcW w:type="dxa" w:w="3672"/>
          </w:tcPr>
          <w:p>
            <w:pPr>
              <w:spacing w:after="20"/>
            </w:pPr>
            <w:r>
              <w:rPr>
                <w:color w:val="1C3A36"/>
                <w:sz w:val="17"/>
              </w:rPr>
              <w:t>Less net bank debt</w:t>
            </w:r>
          </w:p>
        </w:tc>
        <w:tc>
          <w:tcPr>
            <w:tcW w:type="dxa" w:w="1512"/>
          </w:tcPr>
          <w:p>
            <w:pPr>
              <w:spacing w:after="20"/>
              <w:jc w:val="right"/>
            </w:pPr>
            <w:r>
              <w:rPr>
                <w:color w:val="1C3A36"/>
                <w:sz w:val="17"/>
              </w:rPr>
              <w:t>(20,560)</w:t>
            </w:r>
          </w:p>
        </w:tc>
        <w:tc>
          <w:tcPr>
            <w:tcW w:type="dxa" w:w="4896"/>
          </w:tcPr>
          <w:p>
            <w:pPr>
              <w:spacing w:after="20"/>
              <w:jc w:val="right"/>
            </w:pPr>
            <w:r>
              <w:rPr>
                <w:color w:val="1C3A36"/>
                <w:sz w:val="17"/>
              </w:rPr>
              <w:t>disclosed at 31 December 2025</w:t>
            </w:r>
          </w:p>
        </w:tc>
      </w:tr>
      <w:tr>
        <w:tc>
          <w:tcPr>
            <w:tcW w:type="dxa" w:w="3672"/>
          </w:tcPr>
          <w:p>
            <w:pPr>
              <w:spacing w:after="20"/>
            </w:pPr>
            <w:r>
              <w:rPr>
                <w:color w:val="1C3A36"/>
                <w:sz w:val="17"/>
              </w:rPr>
              <w:t>Plus equity-accounted investees</w:t>
            </w:r>
          </w:p>
        </w:tc>
        <w:tc>
          <w:tcPr>
            <w:tcW w:type="dxa" w:w="1512"/>
          </w:tcPr>
          <w:p>
            <w:pPr>
              <w:spacing w:after="20"/>
              <w:jc w:val="right"/>
            </w:pPr>
            <w:r>
              <w:rPr>
                <w:color w:val="1C3A36"/>
                <w:sz w:val="17"/>
              </w:rPr>
              <w:t>6,758</w:t>
            </w:r>
          </w:p>
        </w:tc>
        <w:tc>
          <w:tcPr>
            <w:tcW w:type="dxa" w:w="4896"/>
          </w:tcPr>
          <w:p>
            <w:pPr>
              <w:spacing w:after="20"/>
              <w:jc w:val="right"/>
            </w:pPr>
            <w:r>
              <w:rPr>
                <w:color w:val="1C3A36"/>
                <w:sz w:val="17"/>
              </w:rPr>
              <w:t>carrying value, uplifted modestly; these earn outside the consolidated cash flow</w:t>
            </w:r>
          </w:p>
        </w:tc>
      </w:tr>
      <w:tr>
        <w:tc>
          <w:tcPr>
            <w:tcW w:type="dxa" w:w="3672"/>
          </w:tcPr>
          <w:p>
            <w:pPr>
              <w:spacing w:after="20"/>
            </w:pPr>
            <w:r>
              <w:rPr>
                <w:color w:val="1C3A36"/>
                <w:sz w:val="17"/>
              </w:rPr>
              <w:t>Less minority interests</w:t>
            </w:r>
          </w:p>
        </w:tc>
        <w:tc>
          <w:tcPr>
            <w:tcW w:type="dxa" w:w="1512"/>
          </w:tcPr>
          <w:p>
            <w:pPr>
              <w:spacing w:after="20"/>
              <w:jc w:val="right"/>
            </w:pPr>
            <w:r>
              <w:rPr>
                <w:color w:val="1C3A36"/>
                <w:sz w:val="17"/>
              </w:rPr>
              <w:t>(12,995)</w:t>
            </w:r>
          </w:p>
        </w:tc>
        <w:tc>
          <w:tcPr>
            <w:tcW w:type="dxa" w:w="4896"/>
          </w:tcPr>
          <w:p>
            <w:pPr>
              <w:spacing w:after="20"/>
              <w:jc w:val="right"/>
            </w:pPr>
            <w:r>
              <w:rPr>
                <w:color w:val="1C3A36"/>
                <w:sz w:val="17"/>
              </w:rPr>
              <w:t>minorities take 9.7% of group profit, so they are charged the same share of the value</w:t>
            </w:r>
          </w:p>
        </w:tc>
      </w:tr>
      <w:tr>
        <w:tc>
          <w:tcPr>
            <w:tcW w:type="dxa" w:w="3672"/>
          </w:tcPr>
          <w:p>
            <w:pPr>
              <w:spacing w:after="20"/>
            </w:pPr>
            <w:r>
              <w:rPr>
                <w:color w:val="1C3A36"/>
                <w:sz w:val="17"/>
              </w:rPr>
              <w:t>Equity attributable to shareholders</w:t>
            </w:r>
          </w:p>
        </w:tc>
        <w:tc>
          <w:tcPr>
            <w:tcW w:type="dxa" w:w="1512"/>
          </w:tcPr>
          <w:p>
            <w:pPr>
              <w:spacing w:after="20"/>
              <w:jc w:val="right"/>
            </w:pPr>
            <w:r>
              <w:rPr>
                <w:color w:val="1C3A36"/>
                <w:sz w:val="17"/>
              </w:rPr>
              <w:t>121,316</w:t>
            </w:r>
          </w:p>
        </w:tc>
        <w:tc>
          <w:tcPr>
            <w:tcW w:type="dxa" w:w="4896"/>
          </w:tcPr>
          <w:p>
            <w:pPr>
              <w:spacing w:after="20"/>
              <w:jc w:val="right"/>
            </w:pPr>
            <w:r>
              <w:rPr>
                <w:color w:val="1C3A36"/>
                <w:sz w:val="17"/>
              </w:rPr>
            </w:r>
          </w:p>
        </w:tc>
      </w:tr>
      <w:tr>
        <w:tc>
          <w:tcPr>
            <w:tcW w:type="dxa" w:w="3672"/>
            <w:shd w:val="clear" w:color="auto" w:fill="F6F1E6"/>
          </w:tcPr>
          <w:p>
            <w:pPr>
              <w:spacing w:after="20"/>
            </w:pPr>
            <w:r>
              <w:rPr>
                <w:b/>
                <w:color w:val="1C3A36"/>
                <w:sz w:val="17"/>
              </w:rPr>
              <w:t>Fair value per share (EGP)</w:t>
            </w:r>
          </w:p>
        </w:tc>
        <w:tc>
          <w:tcPr>
            <w:tcW w:type="dxa" w:w="1512"/>
            <w:shd w:val="clear" w:color="auto" w:fill="F6F1E6"/>
          </w:tcPr>
          <w:p>
            <w:pPr>
              <w:spacing w:after="20"/>
              <w:jc w:val="right"/>
            </w:pPr>
            <w:r>
              <w:rPr>
                <w:b/>
                <w:color w:val="1C3A36"/>
                <w:sz w:val="17"/>
              </w:rPr>
              <w:t>56.67</w:t>
            </w:r>
          </w:p>
        </w:tc>
        <w:tc>
          <w:tcPr>
            <w:tcW w:type="dxa" w:w="4896"/>
            <w:shd w:val="clear" w:color="auto" w:fill="F6F1E6"/>
          </w:tcPr>
          <w:p>
            <w:pPr>
              <w:spacing w:after="20"/>
              <w:jc w:val="right"/>
            </w:pPr>
            <w:r>
              <w:rPr>
                <w:b/>
                <w:color w:val="1C3A36"/>
                <w:sz w:val="17"/>
              </w:rPr>
              <w:t>against a spot of 105.20 (-46%)</w:t>
            </w:r>
          </w:p>
        </w:tc>
      </w:tr>
    </w:tbl>
    <w:p>
      <w:pPr>
        <w:spacing w:after="40"/>
      </w:pP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At a blended cost of equity of 17.6% — the average of the explicit-window 28.4% and the terminal 17.6% — that gives 1.5× book, or EGP 46.00 per share.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8.7×</w:t>
            </w:r>
          </w:p>
        </w:tc>
        <w:tc>
          <w:tcPr>
            <w:tcW w:type="dxa" w:w="5688"/>
          </w:tcPr>
          <w:p>
            <w:pPr>
              <w:spacing w:after="20"/>
              <w:jc w:val="right"/>
            </w:pPr>
            <w:r>
              <w:rPr>
                <w:color w:val="1C3A36"/>
                <w:sz w:val="17"/>
              </w:rPr>
              <w:t>enterprise value 245,770 over FY2025 EBITDA 28,363</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13.0×</w:t>
            </w:r>
          </w:p>
        </w:tc>
        <w:tc>
          <w:tcPr>
            <w:tcW w:type="dxa" w:w="5688"/>
          </w:tcPr>
          <w:p>
            <w:pPr>
              <w:spacing w:after="20"/>
              <w:jc w:val="right"/>
            </w:pPr>
            <w:r>
              <w:rPr>
                <w:color w:val="1C3A36"/>
                <w:sz w:val="17"/>
              </w:rPr>
              <w:t>price 105.20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14.8×</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3.4×</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Implied value per share</w:t>
            </w:r>
          </w:p>
        </w:tc>
        <w:tc>
          <w:tcPr>
            <w:tcW w:type="dxa" w:w="1296"/>
          </w:tcPr>
          <w:p>
            <w:pPr>
              <w:spacing w:after="20"/>
              <w:jc w:val="right"/>
            </w:pPr>
            <w:r>
              <w:rPr>
                <w:color w:val="1C3A36"/>
                <w:sz w:val="17"/>
              </w:rPr>
              <w:t>67.68</w:t>
            </w:r>
          </w:p>
        </w:tc>
        <w:tc>
          <w:tcPr>
            <w:tcW w:type="dxa" w:w="5688"/>
          </w:tcPr>
          <w:p>
            <w:pPr>
              <w:spacing w:after="20"/>
              <w:jc w:val="right"/>
            </w:pPr>
            <w:r>
              <w:rPr>
                <w:color w:val="1C3A36"/>
                <w:sz w:val="17"/>
              </w:rPr>
              <w:t>bear 56.37 at 5.5× / bull 84.65 at 8.0×</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108.39 per share instead of 67.68 — a EGP 40.70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where this sits in the cycle</w:t>
      </w:r>
    </w:p>
    <w:p>
      <w:pPr>
        <w:spacing w:after="120" w:before="0"/>
      </w:pPr>
      <w:r>
        <w:rPr>
          <w:b w:val="0"/>
          <w:i w:val="0"/>
          <w:color w:val="1C3A36"/>
          <w:sz w:val="21"/>
        </w:rPr>
        <w:t>The question this lens asks is what the group earns in a year that is neither a currency windfall nor a margin trough. Mid-cycle revenue is taken as the FY2027 forecast of EGP 466,619mn and the mid-cycle EBITDA margin as 10.2% — the average of the later forecast years, comfortably below the FY2024 outturn of 13.6% and above the FY2025 trough of 10.1%.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Mid-cycle revenue</w:t>
            </w:r>
          </w:p>
        </w:tc>
        <w:tc>
          <w:tcPr>
            <w:tcW w:type="dxa" w:w="1944"/>
          </w:tcPr>
          <w:p>
            <w:pPr>
              <w:spacing w:after="20"/>
              <w:jc w:val="right"/>
            </w:pPr>
            <w:r>
              <w:rPr>
                <w:color w:val="1C3A36"/>
                <w:sz w:val="17"/>
              </w:rPr>
              <w:t>466,619</w:t>
            </w:r>
          </w:p>
        </w:tc>
      </w:tr>
      <w:tr>
        <w:tc>
          <w:tcPr>
            <w:tcW w:type="dxa" w:w="6552"/>
          </w:tcPr>
          <w:p>
            <w:pPr>
              <w:spacing w:after="20"/>
            </w:pPr>
            <w:r>
              <w:rPr>
                <w:color w:val="1C3A36"/>
                <w:sz w:val="17"/>
              </w:rPr>
              <w:t>Mid-cycle EBITDA at 10.2%</w:t>
            </w:r>
          </w:p>
        </w:tc>
        <w:tc>
          <w:tcPr>
            <w:tcW w:type="dxa" w:w="1944"/>
          </w:tcPr>
          <w:p>
            <w:pPr>
              <w:spacing w:after="20"/>
              <w:jc w:val="right"/>
            </w:pPr>
            <w:r>
              <w:rPr>
                <w:color w:val="1C3A36"/>
                <w:sz w:val="17"/>
              </w:rPr>
              <w:t>47,603</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(5,833)</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41,770</w:t>
            </w:r>
          </w:p>
        </w:tc>
      </w:tr>
      <w:tr>
        <w:tc>
          <w:tcPr>
            <w:tcW w:type="dxa" w:w="6552"/>
          </w:tcPr>
          <w:p>
            <w:pPr>
              <w:spacing w:after="20"/>
            </w:pPr>
            <w:r>
              <w:rPr>
                <w:color w:val="1C3A36"/>
                <w:sz w:val="17"/>
              </w:rPr>
              <w:t>Less net interest</w:t>
            </w:r>
          </w:p>
        </w:tc>
        <w:tc>
          <w:tcPr>
            <w:tcW w:type="dxa" w:w="1944"/>
          </w:tcPr>
          <w:p>
            <w:pPr>
              <w:spacing w:after="20"/>
              <w:jc w:val="right"/>
            </w:pPr>
            <w:r>
              <w:rPr>
                <w:color w:val="1C3A36"/>
                <w:sz w:val="17"/>
              </w:rPr>
              <w:t>(2,150)</w:t>
            </w:r>
          </w:p>
        </w:tc>
      </w:tr>
      <w:tr>
        <w:tc>
          <w:tcPr>
            <w:tcW w:type="dxa" w:w="6552"/>
          </w:tcPr>
          <w:p>
            <w:pPr>
              <w:spacing w:after="20"/>
            </w:pPr>
            <w:r>
              <w:rPr>
                <w:color w:val="1C3A36"/>
                <w:sz w:val="17"/>
              </w:rPr>
              <w:t>Plus share of equity-accounted investees</w:t>
            </w:r>
          </w:p>
        </w:tc>
        <w:tc>
          <w:tcPr>
            <w:tcW w:type="dxa" w:w="1944"/>
          </w:tcPr>
          <w:p>
            <w:pPr>
              <w:spacing w:after="20"/>
              <w:jc w:val="right"/>
            </w:pPr>
            <w:r>
              <w:rPr>
                <w:color w:val="1C3A36"/>
                <w:sz w:val="17"/>
              </w:rPr>
              <w:t>1,569</w:t>
            </w:r>
          </w:p>
        </w:tc>
      </w:tr>
      <w:tr>
        <w:tc>
          <w:tcPr>
            <w:tcW w:type="dxa" w:w="6552"/>
          </w:tcPr>
          <w:p>
            <w:pPr>
              <w:spacing w:after="20"/>
            </w:pPr>
            <w:r>
              <w:rPr>
                <w:color w:val="1C3A36"/>
                <w:sz w:val="17"/>
              </w:rPr>
              <w:t>Less tax at 24% and minority interests at 9.7%</w:t>
            </w:r>
          </w:p>
        </w:tc>
        <w:tc>
          <w:tcPr>
            <w:tcW w:type="dxa" w:w="1944"/>
          </w:tcPr>
          <w:p>
            <w:pPr>
              <w:spacing w:after="20"/>
              <w:jc w:val="right"/>
            </w:pPr>
            <w:r>
              <w:rPr>
                <w:color w:val="1C3A36"/>
                <w:sz w:val="17"/>
              </w:rPr>
              <w:t>(12,822)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28,367</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13.25</w:t>
            </w:r>
          </w:p>
        </w:tc>
      </w:tr>
      <w:tr>
        <w:tc>
          <w:tcPr>
            <w:tcW w:type="dxa" w:w="6552"/>
          </w:tcPr>
          <w:p>
            <w:pPr>
              <w:spacing w:after="20"/>
            </w:pPr>
            <w:r>
              <w:rPr>
                <w:color w:val="1C3A36"/>
                <w:sz w:val="17"/>
              </w:rPr>
              <w:t>At a justified 9.0× price/earnings (EGP per share)</w:t>
            </w:r>
          </w:p>
        </w:tc>
        <w:tc>
          <w:tcPr>
            <w:tcW w:type="dxa" w:w="1944"/>
          </w:tcPr>
          <w:p>
            <w:pPr>
              <w:spacing w:after="20"/>
              <w:jc w:val="right"/>
            </w:pPr>
            <w:r>
              <w:rPr>
                <w:color w:val="1C3A36"/>
                <w:sz w:val="17"/>
              </w:rPr>
              <w:t>119.26</w:t>
            </w:r>
          </w:p>
        </w:tc>
      </w:tr>
    </w:tbl>
    <w:p>
      <w:pPr>
        <w:spacing w:after="40"/>
      </w:pPr>
    </w:p>
    <w:p>
      <w:pPr>
        <w:spacing w:after="200" w:before="0"/>
      </w:pPr>
      <w:r>
        <w:rPr>
          <w:b w:val="0"/>
          <w:i/>
          <w:color w:val="6E7B77"/>
          <w:sz w:val="17"/>
        </w:rPr>
        <w:t>Bear 92.76 at 7.0× and bull 152.38 at 11.5×.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against the market price of 105.20.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Weight</w:t>
            </w:r>
          </w:p>
        </w:tc>
        <w:tc>
          <w:tcPr>
            <w:tcW w:type="dxa" w:w="1642"/>
            <w:shd w:val="clear" w:color="auto" w:fill="EAF0EE"/>
          </w:tcPr>
          <w:p>
            <w:pPr>
              <w:spacing w:after="20"/>
            </w:pPr>
            <w:r>
              <w:rPr>
                <w:b/>
                <w:color w:val="1C3A36"/>
                <w:sz w:val="17"/>
              </w:rPr>
              <w:t>Contribution</w:t>
            </w:r>
          </w:p>
        </w:tc>
      </w:tr>
      <w:tr>
        <w:tc>
          <w:tcPr>
            <w:tcW w:type="dxa" w:w="3384"/>
          </w:tcPr>
          <w:p>
            <w:pPr>
              <w:spacing w:after="20"/>
            </w:pPr>
            <w:r>
              <w:rPr>
                <w:color w:val="1C3A36"/>
                <w:sz w:val="17"/>
              </w:rPr>
              <w:t>Discounted cash flow (primary)</w:t>
            </w:r>
          </w:p>
        </w:tc>
        <w:tc>
          <w:tcPr>
            <w:tcW w:type="dxa" w:w="1238"/>
          </w:tcPr>
          <w:p>
            <w:pPr>
              <w:spacing w:after="20"/>
              <w:jc w:val="right"/>
            </w:pPr>
            <w:r>
              <w:rPr>
                <w:color w:val="1C3A36"/>
                <w:sz w:val="17"/>
              </w:rPr>
              <w:t>21.43</w:t>
            </w:r>
          </w:p>
        </w:tc>
        <w:tc>
          <w:tcPr>
            <w:tcW w:type="dxa" w:w="1238"/>
          </w:tcPr>
          <w:p>
            <w:pPr>
              <w:spacing w:after="20"/>
              <w:jc w:val="right"/>
            </w:pPr>
            <w:r>
              <w:rPr>
                <w:color w:val="1C3A36"/>
                <w:sz w:val="17"/>
              </w:rPr>
              <w:t>56.67</w:t>
            </w:r>
          </w:p>
        </w:tc>
        <w:tc>
          <w:tcPr>
            <w:tcW w:type="dxa" w:w="1238"/>
          </w:tcPr>
          <w:p>
            <w:pPr>
              <w:spacing w:after="20"/>
              <w:jc w:val="right"/>
            </w:pPr>
            <w:r>
              <w:rPr>
                <w:color w:val="1C3A36"/>
                <w:sz w:val="17"/>
              </w:rPr>
              <w:t>125.19</w:t>
            </w:r>
          </w:p>
        </w:tc>
        <w:tc>
          <w:tcPr>
            <w:tcW w:type="dxa" w:w="1195"/>
          </w:tcPr>
          <w:p>
            <w:pPr>
              <w:spacing w:after="20"/>
              <w:jc w:val="right"/>
            </w:pPr>
            <w:r>
              <w:rPr>
                <w:color w:val="1C3A36"/>
                <w:sz w:val="17"/>
              </w:rPr>
              <w:t>45%</w:t>
            </w:r>
          </w:p>
        </w:tc>
        <w:tc>
          <w:tcPr>
            <w:tcW w:type="dxa" w:w="1642"/>
          </w:tcPr>
          <w:p>
            <w:pPr>
              <w:spacing w:after="20"/>
              <w:jc w:val="right"/>
            </w:pPr>
            <w:r>
              <w:rPr>
                <w:color w:val="1C3A36"/>
                <w:sz w:val="17"/>
              </w:rPr>
              <w:t>25.50</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56.37</w:t>
            </w:r>
          </w:p>
        </w:tc>
        <w:tc>
          <w:tcPr>
            <w:tcW w:type="dxa" w:w="1238"/>
          </w:tcPr>
          <w:p>
            <w:pPr>
              <w:spacing w:after="20"/>
              <w:jc w:val="right"/>
            </w:pPr>
            <w:r>
              <w:rPr>
                <w:color w:val="1C3A36"/>
                <w:sz w:val="17"/>
              </w:rPr>
              <w:t>67.68</w:t>
            </w:r>
          </w:p>
        </w:tc>
        <w:tc>
          <w:tcPr>
            <w:tcW w:type="dxa" w:w="1238"/>
          </w:tcPr>
          <w:p>
            <w:pPr>
              <w:spacing w:after="20"/>
              <w:jc w:val="right"/>
            </w:pPr>
            <w:r>
              <w:rPr>
                <w:color w:val="1C3A36"/>
                <w:sz w:val="17"/>
              </w:rPr>
              <w:t>84.65</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13.54</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92.76</w:t>
            </w:r>
          </w:p>
        </w:tc>
        <w:tc>
          <w:tcPr>
            <w:tcW w:type="dxa" w:w="1238"/>
          </w:tcPr>
          <w:p>
            <w:pPr>
              <w:spacing w:after="20"/>
              <w:jc w:val="right"/>
            </w:pPr>
            <w:r>
              <w:rPr>
                <w:color w:val="1C3A36"/>
                <w:sz w:val="17"/>
              </w:rPr>
              <w:t>119.26</w:t>
            </w:r>
          </w:p>
        </w:tc>
        <w:tc>
          <w:tcPr>
            <w:tcW w:type="dxa" w:w="1238"/>
          </w:tcPr>
          <w:p>
            <w:pPr>
              <w:spacing w:after="20"/>
              <w:jc w:val="right"/>
            </w:pPr>
            <w:r>
              <w:rPr>
                <w:color w:val="1C3A36"/>
                <w:sz w:val="17"/>
              </w:rPr>
              <w:t>152.38</w:t>
            </w:r>
          </w:p>
        </w:tc>
        <w:tc>
          <w:tcPr>
            <w:tcW w:type="dxa" w:w="1195"/>
          </w:tcPr>
          <w:p>
            <w:pPr>
              <w:spacing w:after="20"/>
              <w:jc w:val="right"/>
            </w:pPr>
            <w:r>
              <w:rPr>
                <w:color w:val="1C3A36"/>
                <w:sz w:val="17"/>
              </w:rPr>
              <w:t>20%</w:t>
            </w:r>
          </w:p>
        </w:tc>
        <w:tc>
          <w:tcPr>
            <w:tcW w:type="dxa" w:w="1642"/>
          </w:tcPr>
          <w:p>
            <w:pPr>
              <w:spacing w:after="20"/>
              <w:jc w:val="right"/>
            </w:pPr>
            <w:r>
              <w:rPr>
                <w:color w:val="1C3A36"/>
                <w:sz w:val="17"/>
              </w:rPr>
              <w:t>23.85</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32.04</w:t>
            </w:r>
          </w:p>
        </w:tc>
        <w:tc>
          <w:tcPr>
            <w:tcW w:type="dxa" w:w="1238"/>
          </w:tcPr>
          <w:p>
            <w:pPr>
              <w:spacing w:after="20"/>
              <w:jc w:val="right"/>
            </w:pPr>
            <w:r>
              <w:rPr>
                <w:color w:val="1C3A36"/>
                <w:sz w:val="17"/>
              </w:rPr>
              <w:t>46.00</w:t>
            </w:r>
          </w:p>
        </w:tc>
        <w:tc>
          <w:tcPr>
            <w:tcW w:type="dxa" w:w="1238"/>
          </w:tcPr>
          <w:p>
            <w:pPr>
              <w:spacing w:after="20"/>
              <w:jc w:val="right"/>
            </w:pPr>
            <w:r>
              <w:rPr>
                <w:color w:val="1C3A36"/>
                <w:sz w:val="17"/>
              </w:rPr>
              <w:t>50.97</w:t>
            </w:r>
          </w:p>
        </w:tc>
        <w:tc>
          <w:tcPr>
            <w:tcW w:type="dxa" w:w="1195"/>
          </w:tcPr>
          <w:p>
            <w:pPr>
              <w:spacing w:after="20"/>
              <w:jc w:val="right"/>
            </w:pPr>
            <w:r>
              <w:rPr>
                <w:color w:val="1C3A36"/>
                <w:sz w:val="17"/>
              </w:rPr>
              <w:t>15%</w:t>
            </w:r>
          </w:p>
        </w:tc>
        <w:tc>
          <w:tcPr>
            <w:tcW w:type="dxa" w:w="1642"/>
          </w:tcPr>
          <w:p>
            <w:pPr>
              <w:spacing w:after="20"/>
              <w:jc w:val="right"/>
            </w:pPr>
            <w:r>
              <w:rPr>
                <w:color w:val="1C3A36"/>
                <w:sz w:val="17"/>
              </w:rPr>
              <w:t>6.90</w:t>
            </w:r>
          </w:p>
        </w:tc>
      </w:tr>
      <w:tr>
        <w:tc>
          <w:tcPr>
            <w:tcW w:type="dxa" w:w="3384"/>
            <w:shd w:val="clear" w:color="auto" w:fill="F6F1E6"/>
          </w:tcPr>
          <w:p>
            <w:pPr>
              <w:spacing w:after="20"/>
            </w:pPr>
            <w:r>
              <w:rPr>
                <w:b/>
                <w:color w:val="1C3A36"/>
                <w:sz w:val="17"/>
              </w:rPr>
              <w:t>Weighted central</w:t>
            </w:r>
          </w:p>
        </w:tc>
        <w:tc>
          <w:tcPr>
            <w:tcW w:type="dxa" w:w="1238"/>
            <w:shd w:val="clear" w:color="auto" w:fill="F6F1E6"/>
          </w:tcPr>
          <w:p>
            <w:pPr>
              <w:spacing w:after="20"/>
              <w:jc w:val="right"/>
            </w:pPr>
            <w:r>
              <w:rPr>
                <w:b/>
                <w:color w:val="1C3A36"/>
                <w:sz w:val="17"/>
              </w:rPr>
              <w:t>21.43</w:t>
            </w:r>
          </w:p>
        </w:tc>
        <w:tc>
          <w:tcPr>
            <w:tcW w:type="dxa" w:w="1238"/>
            <w:shd w:val="clear" w:color="auto" w:fill="F6F1E6"/>
          </w:tcPr>
          <w:p>
            <w:pPr>
              <w:spacing w:after="20"/>
              <w:jc w:val="right"/>
            </w:pPr>
            <w:r>
              <w:rPr>
                <w:b/>
                <w:color w:val="1C3A36"/>
                <w:sz w:val="17"/>
              </w:rPr>
              <w:t>69.79</w:t>
            </w:r>
          </w:p>
        </w:tc>
        <w:tc>
          <w:tcPr>
            <w:tcW w:type="dxa" w:w="1238"/>
            <w:shd w:val="clear" w:color="auto" w:fill="F6F1E6"/>
          </w:tcPr>
          <w:p>
            <w:pPr>
              <w:spacing w:after="20"/>
              <w:jc w:val="right"/>
            </w:pPr>
            <w:r>
              <w:rPr>
                <w:b/>
                <w:color w:val="1C3A36"/>
                <w:sz w:val="17"/>
              </w:rPr>
              <w:t>152.38</w:t>
            </w:r>
          </w:p>
        </w:tc>
        <w:tc>
          <w:tcPr>
            <w:tcW w:type="dxa" w:w="1195"/>
            <w:shd w:val="clear" w:color="auto" w:fill="F6F1E6"/>
          </w:tcPr>
          <w:p>
            <w:pPr>
              <w:spacing w:after="20"/>
              <w:jc w:val="right"/>
            </w:pPr>
            <w:r>
              <w:rPr>
                <w:b/>
                <w:color w:val="1C3A36"/>
                <w:sz w:val="17"/>
              </w:rPr>
              <w:t>100%</w:t>
            </w:r>
          </w:p>
        </w:tc>
        <w:tc>
          <w:tcPr>
            <w:tcW w:type="dxa" w:w="1642"/>
            <w:shd w:val="clear" w:color="auto" w:fill="F6F1E6"/>
          </w:tcPr>
          <w:p>
            <w:pPr>
              <w:spacing w:after="20"/>
              <w:jc w:val="right"/>
            </w:pPr>
            <w:r>
              <w:rPr>
                <w:b/>
                <w:color w:val="1C3A36"/>
                <w:sz w:val="17"/>
              </w:rPr>
              <w:t>69.79</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weighted central of EGP 69.79 sits between them.</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14.5%</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15.3%</w:t>
            </w:r>
          </w:p>
        </w:tc>
        <w:tc>
          <w:tcPr>
            <w:tcW w:type="dxa" w:w="1051"/>
          </w:tcPr>
          <w:p>
            <w:pPr>
              <w:spacing w:after="20"/>
              <w:jc w:val="right"/>
            </w:pPr>
            <w:r>
              <w:rPr>
                <w:color w:val="1C3A36"/>
                <w:sz w:val="16"/>
              </w:rPr>
              <w:t>15.5%</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6.8%</w:t>
            </w:r>
          </w:p>
        </w:tc>
        <w:tc>
          <w:tcPr>
            <w:tcW w:type="dxa" w:w="1051"/>
          </w:tcPr>
          <w:p>
            <w:pPr>
              <w:spacing w:after="20"/>
              <w:jc w:val="right"/>
            </w:pPr>
            <w:r>
              <w:rPr>
                <w:color w:val="1C3A36"/>
                <w:sz w:val="16"/>
              </w:rPr>
              <w:t>7.2%</w:t>
            </w:r>
          </w:p>
        </w:tc>
        <w:tc>
          <w:tcPr>
            <w:tcW w:type="dxa" w:w="1051"/>
          </w:tcPr>
          <w:p>
            <w:pPr>
              <w:spacing w:after="20"/>
              <w:jc w:val="right"/>
            </w:pPr>
            <w:r>
              <w:rPr>
                <w:color w:val="1C3A36"/>
                <w:sz w:val="16"/>
              </w:rPr>
              <w:t>7.6%</w:t>
            </w:r>
          </w:p>
        </w:tc>
        <w:tc>
          <w:tcPr>
            <w:tcW w:type="dxa" w:w="1051"/>
          </w:tcPr>
          <w:p>
            <w:pPr>
              <w:spacing w:after="20"/>
              <w:jc w:val="right"/>
            </w:pPr>
            <w:r>
              <w:rPr>
                <w:color w:val="1C3A36"/>
                <w:sz w:val="16"/>
              </w:rPr>
              <w:t>7.9%</w:t>
            </w:r>
          </w:p>
        </w:tc>
        <w:tc>
          <w:tcPr>
            <w:tcW w:type="dxa" w:w="1051"/>
          </w:tcPr>
          <w:p>
            <w:pPr>
              <w:spacing w:after="20"/>
              <w:jc w:val="right"/>
            </w:pPr>
            <w:r>
              <w:rPr>
                <w:color w:val="1C3A36"/>
                <w:sz w:val="16"/>
              </w:rPr>
              <w:t>8.2%</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22.0%</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22.4%</w:t>
            </w:r>
          </w:p>
        </w:tc>
        <w:tc>
          <w:tcPr>
            <w:tcW w:type="dxa" w:w="1051"/>
          </w:tcPr>
          <w:p>
            <w:pPr>
              <w:spacing w:after="20"/>
              <w:jc w:val="right"/>
            </w:pPr>
            <w:r>
              <w:rPr>
                <w:color w:val="1C3A36"/>
                <w:sz w:val="16"/>
              </w:rPr>
              <w:t>22.6%</w:t>
            </w:r>
          </w:p>
        </w:tc>
        <w:tc>
          <w:tcPr>
            <w:tcW w:type="dxa" w:w="1051"/>
          </w:tcPr>
          <w:p>
            <w:pPr>
              <w:spacing w:after="20"/>
              <w:jc w:val="right"/>
            </w:pPr>
            <w:r>
              <w:rPr>
                <w:color w:val="1C3A36"/>
                <w:sz w:val="16"/>
              </w:rPr>
              <w:t>22.8%</w:t>
            </w:r>
          </w:p>
        </w:tc>
      </w:tr>
      <w:tr>
        <w:tc>
          <w:tcPr>
            <w:tcW w:type="dxa" w:w="3384"/>
          </w:tcPr>
          <w:p>
            <w:pPr>
              <w:spacing w:after="20"/>
            </w:pPr>
            <w:r>
              <w:rPr>
                <w:color w:val="1C3A36"/>
                <w:sz w:val="16"/>
              </w:rPr>
              <w:t>Corporate cost load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3.4%</w:t>
            </w:r>
          </w:p>
        </w:tc>
        <w:tc>
          <w:tcPr>
            <w:tcW w:type="dxa" w:w="1051"/>
          </w:tcPr>
          <w:p>
            <w:pPr>
              <w:spacing w:after="20"/>
              <w:jc w:val="right"/>
            </w:pPr>
            <w:r>
              <w:rPr>
                <w:color w:val="1C3A36"/>
                <w:sz w:val="16"/>
              </w:rPr>
              <w:t>3.5%</w:t>
            </w:r>
          </w:p>
        </w:tc>
        <w:tc>
          <w:tcPr>
            <w:tcW w:type="dxa" w:w="1051"/>
          </w:tcPr>
          <w:p>
            <w:pPr>
              <w:spacing w:after="20"/>
              <w:jc w:val="right"/>
            </w:pPr>
            <w:r>
              <w:rPr>
                <w:color w:val="1C3A36"/>
                <w:sz w:val="16"/>
              </w:rPr>
              <w:t>3.5%</w:t>
            </w:r>
          </w:p>
        </w:tc>
        <w:tc>
          <w:tcPr>
            <w:tcW w:type="dxa" w:w="1051"/>
          </w:tcPr>
          <w:p>
            <w:pPr>
              <w:spacing w:after="20"/>
              <w:jc w:val="right"/>
            </w:pPr>
            <w:r>
              <w:rPr>
                <w:color w:val="1C3A36"/>
                <w:sz w:val="16"/>
              </w:rPr>
              <w:t>3.6%</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to build a literal unit model from. Constructions and Electrical products taper on their own FY2023-25 revenue CAGR. The corporate cost load glides back toward the FY2023-24 average rather than assuming the unusually low FY2025 level persists — the single most conservative choice in the build.</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Gross profit</w:t>
            </w:r>
          </w:p>
        </w:tc>
        <w:tc>
          <w:tcPr>
            <w:tcW w:type="dxa" w:w="1426"/>
          </w:tcPr>
          <w:p>
            <w:pPr>
              <w:spacing w:after="20"/>
              <w:jc w:val="right"/>
            </w:pPr>
            <w:r>
              <w:rPr>
                <w:color w:val="1C3A36"/>
                <w:sz w:val="16"/>
              </w:rPr>
              <w:t>47,369</w:t>
            </w:r>
          </w:p>
        </w:tc>
        <w:tc>
          <w:tcPr>
            <w:tcW w:type="dxa" w:w="1426"/>
          </w:tcPr>
          <w:p>
            <w:pPr>
              <w:spacing w:after="20"/>
              <w:jc w:val="right"/>
            </w:pPr>
            <w:r>
              <w:rPr>
                <w:color w:val="1C3A36"/>
                <w:sz w:val="16"/>
              </w:rPr>
              <w:t>56,011</w:t>
            </w:r>
          </w:p>
        </w:tc>
        <w:tc>
          <w:tcPr>
            <w:tcW w:type="dxa" w:w="1426"/>
          </w:tcPr>
          <w:p>
            <w:pPr>
              <w:spacing w:after="20"/>
              <w:jc w:val="right"/>
            </w:pPr>
            <w:r>
              <w:rPr>
                <w:color w:val="1C3A36"/>
                <w:sz w:val="16"/>
              </w:rPr>
              <w:t>63,935</w:t>
            </w:r>
          </w:p>
        </w:tc>
        <w:tc>
          <w:tcPr>
            <w:tcW w:type="dxa" w:w="1426"/>
          </w:tcPr>
          <w:p>
            <w:pPr>
              <w:spacing w:after="20"/>
              <w:jc w:val="right"/>
            </w:pPr>
            <w:r>
              <w:rPr>
                <w:color w:val="1C3A36"/>
                <w:sz w:val="16"/>
              </w:rPr>
              <w:t>71,514</w:t>
            </w:r>
          </w:p>
        </w:tc>
        <w:tc>
          <w:tcPr>
            <w:tcW w:type="dxa" w:w="1426"/>
          </w:tcPr>
          <w:p>
            <w:pPr>
              <w:spacing w:after="20"/>
              <w:jc w:val="right"/>
            </w:pPr>
            <w:r>
              <w:rPr>
                <w:color w:val="1C3A36"/>
                <w:sz w:val="16"/>
              </w:rPr>
              <w:t>79,197</w:t>
            </w:r>
          </w:p>
        </w:tc>
      </w:tr>
      <w:tr>
        <w:tc>
          <w:tcPr>
            <w:tcW w:type="dxa" w:w="2952"/>
          </w:tcPr>
          <w:p>
            <w:pPr>
              <w:spacing w:after="20"/>
            </w:pPr>
            <w:r>
              <w:rPr>
                <w:color w:val="1C3A36"/>
                <w:sz w:val="16"/>
              </w:rPr>
              <w:t>Gross margin</w:t>
            </w:r>
          </w:p>
        </w:tc>
        <w:tc>
          <w:tcPr>
            <w:tcW w:type="dxa" w:w="1426"/>
          </w:tcPr>
          <w:p>
            <w:pPr>
              <w:spacing w:after="20"/>
              <w:jc w:val="right"/>
            </w:pPr>
            <w:r>
              <w:rPr>
                <w:color w:val="1C3A36"/>
                <w:sz w:val="16"/>
              </w:rPr>
              <w:t>12.8%</w:t>
            </w:r>
          </w:p>
        </w:tc>
        <w:tc>
          <w:tcPr>
            <w:tcW w:type="dxa" w:w="1426"/>
          </w:tcPr>
          <w:p>
            <w:pPr>
              <w:spacing w:after="20"/>
              <w:jc w:val="right"/>
            </w:pPr>
            <w:r>
              <w:rPr>
                <w:color w:val="1C3A36"/>
                <w:sz w:val="16"/>
              </w:rPr>
              <w:t>13.3%</w:t>
            </w:r>
          </w:p>
        </w:tc>
        <w:tc>
          <w:tcPr>
            <w:tcW w:type="dxa" w:w="1426"/>
          </w:tcPr>
          <w:p>
            <w:pPr>
              <w:spacing w:after="20"/>
              <w:jc w:val="right"/>
            </w:pPr>
            <w:r>
              <w:rPr>
                <w:color w:val="1C3A36"/>
                <w:sz w:val="16"/>
              </w:rPr>
              <w:t>13.7%</w:t>
            </w:r>
          </w:p>
        </w:tc>
        <w:tc>
          <w:tcPr>
            <w:tcW w:type="dxa" w:w="1426"/>
          </w:tcPr>
          <w:p>
            <w:pPr>
              <w:spacing w:after="20"/>
              <w:jc w:val="right"/>
            </w:pPr>
            <w:r>
              <w:rPr>
                <w:color w:val="1C3A36"/>
                <w:sz w:val="16"/>
              </w:rPr>
              <w:t>14.0%</w:t>
            </w:r>
          </w:p>
        </w:tc>
        <w:tc>
          <w:tcPr>
            <w:tcW w:type="dxa" w:w="1426"/>
          </w:tcPr>
          <w:p>
            <w:pPr>
              <w:spacing w:after="20"/>
              <w:jc w:val="right"/>
            </w:pPr>
            <w:r>
              <w:rPr>
                <w:color w:val="1C3A36"/>
                <w:sz w:val="16"/>
              </w:rPr>
              <w:t>14.3%</w:t>
            </w:r>
          </w:p>
        </w:tc>
      </w:tr>
      <w:tr>
        <w:tc>
          <w:tcPr>
            <w:tcW w:type="dxa" w:w="2952"/>
          </w:tcPr>
          <w:p>
            <w:pPr>
              <w:spacing w:after="20"/>
            </w:pPr>
            <w:r>
              <w:rPr>
                <w:color w:val="1C3A36"/>
                <w:sz w:val="16"/>
              </w:rPr>
              <w:t>Less corporate cost load</w:t>
            </w:r>
          </w:p>
        </w:tc>
        <w:tc>
          <w:tcPr>
            <w:tcW w:type="dxa" w:w="1426"/>
          </w:tcPr>
          <w:p>
            <w:pPr>
              <w:spacing w:after="20"/>
              <w:jc w:val="right"/>
            </w:pPr>
            <w:r>
              <w:rPr>
                <w:color w:val="1C3A36"/>
                <w:sz w:val="16"/>
              </w:rPr>
              <w:t>(12,211)</w:t>
            </w:r>
          </w:p>
        </w:tc>
        <w:tc>
          <w:tcPr>
            <w:tcW w:type="dxa" w:w="1426"/>
          </w:tcPr>
          <w:p>
            <w:pPr>
              <w:spacing w:after="20"/>
              <w:jc w:val="right"/>
            </w:pPr>
            <w:r>
              <w:rPr>
                <w:color w:val="1C3A36"/>
                <w:sz w:val="16"/>
              </w:rPr>
              <w:t>(14,366)</w:t>
            </w:r>
          </w:p>
        </w:tc>
        <w:tc>
          <w:tcPr>
            <w:tcW w:type="dxa" w:w="1426"/>
          </w:tcPr>
          <w:p>
            <w:pPr>
              <w:spacing w:after="20"/>
              <w:jc w:val="right"/>
            </w:pPr>
            <w:r>
              <w:rPr>
                <w:color w:val="1C3A36"/>
                <w:sz w:val="16"/>
              </w:rPr>
              <w:t>(16,332)</w:t>
            </w:r>
          </w:p>
        </w:tc>
        <w:tc>
          <w:tcPr>
            <w:tcW w:type="dxa" w:w="1426"/>
          </w:tcPr>
          <w:p>
            <w:pPr>
              <w:spacing w:after="20"/>
              <w:jc w:val="right"/>
            </w:pPr>
            <w:r>
              <w:rPr>
                <w:color w:val="1C3A36"/>
                <w:sz w:val="16"/>
              </w:rPr>
              <w:t>(17,865)</w:t>
            </w:r>
          </w:p>
        </w:tc>
        <w:tc>
          <w:tcPr>
            <w:tcW w:type="dxa" w:w="1426"/>
          </w:tcPr>
          <w:p>
            <w:pPr>
              <w:spacing w:after="20"/>
              <w:jc w:val="right"/>
            </w:pPr>
            <w:r>
              <w:rPr>
                <w:color w:val="1C3A36"/>
                <w:sz w:val="16"/>
              </w:rPr>
              <w:t>(19,988)</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35,158</w:t>
            </w:r>
          </w:p>
        </w:tc>
        <w:tc>
          <w:tcPr>
            <w:tcW w:type="dxa" w:w="1426"/>
            <w:shd w:val="clear" w:color="auto" w:fill="F6F1E6"/>
          </w:tcPr>
          <w:p>
            <w:pPr>
              <w:spacing w:after="20"/>
              <w:jc w:val="right"/>
            </w:pPr>
            <w:r>
              <w:rPr>
                <w:b/>
                <w:color w:val="1C3A36"/>
                <w:sz w:val="16"/>
              </w:rPr>
              <w:t>41,645</w:t>
            </w:r>
          </w:p>
        </w:tc>
        <w:tc>
          <w:tcPr>
            <w:tcW w:type="dxa" w:w="1426"/>
            <w:shd w:val="clear" w:color="auto" w:fill="F6F1E6"/>
          </w:tcPr>
          <w:p>
            <w:pPr>
              <w:spacing w:after="20"/>
              <w:jc w:val="right"/>
            </w:pPr>
            <w:r>
              <w:rPr>
                <w:b/>
                <w:color w:val="1C3A36"/>
                <w:sz w:val="16"/>
              </w:rPr>
              <w:t>47,603</w:t>
            </w:r>
          </w:p>
        </w:tc>
        <w:tc>
          <w:tcPr>
            <w:tcW w:type="dxa" w:w="1426"/>
            <w:shd w:val="clear" w:color="auto" w:fill="F6F1E6"/>
          </w:tcPr>
          <w:p>
            <w:pPr>
              <w:spacing w:after="20"/>
              <w:jc w:val="right"/>
            </w:pPr>
            <w:r>
              <w:rPr>
                <w:b/>
                <w:color w:val="1C3A36"/>
                <w:sz w:val="16"/>
              </w:rPr>
              <w:t>53,648</w:t>
            </w:r>
          </w:p>
        </w:tc>
        <w:tc>
          <w:tcPr>
            <w:tcW w:type="dxa" w:w="1426"/>
            <w:shd w:val="clear" w:color="auto" w:fill="F6F1E6"/>
          </w:tcPr>
          <w:p>
            <w:pPr>
              <w:spacing w:after="20"/>
              <w:jc w:val="right"/>
            </w:pPr>
            <w:r>
              <w:rPr>
                <w:b/>
                <w:color w:val="1C3A36"/>
                <w:sz w:val="16"/>
              </w:rPr>
              <w:t>59,209</w:t>
            </w:r>
          </w:p>
        </w:tc>
      </w:tr>
      <w:tr>
        <w:tc>
          <w:tcPr>
            <w:tcW w:type="dxa" w:w="2952"/>
            <w:shd w:val="clear" w:color="auto" w:fill="F6F1E6"/>
          </w:tcPr>
          <w:p>
            <w:pPr>
              <w:spacing w:after="20"/>
            </w:pPr>
            <w:r>
              <w:rPr>
                <w:b/>
                <w:color w:val="1C3A36"/>
                <w:sz w:val="16"/>
              </w:rPr>
              <w:t>EBITDA margin</w:t>
            </w:r>
          </w:p>
        </w:tc>
        <w:tc>
          <w:tcPr>
            <w:tcW w:type="dxa" w:w="1426"/>
            <w:shd w:val="clear" w:color="auto" w:fill="F6F1E6"/>
          </w:tcPr>
          <w:p>
            <w:pPr>
              <w:spacing w:after="20"/>
              <w:jc w:val="right"/>
            </w:pPr>
            <w:r>
              <w:rPr>
                <w:b/>
                <w:color w:val="1C3A36"/>
                <w:sz w:val="16"/>
              </w:rPr>
              <w:t>9.5%</w:t>
            </w:r>
          </w:p>
        </w:tc>
        <w:tc>
          <w:tcPr>
            <w:tcW w:type="dxa" w:w="1426"/>
            <w:shd w:val="clear" w:color="auto" w:fill="F6F1E6"/>
          </w:tcPr>
          <w:p>
            <w:pPr>
              <w:spacing w:after="20"/>
              <w:jc w:val="right"/>
            </w:pPr>
            <w:r>
              <w:rPr>
                <w:b/>
                <w:color w:val="1C3A36"/>
                <w:sz w:val="16"/>
              </w:rPr>
              <w:t>9.9%</w:t>
            </w:r>
          </w:p>
        </w:tc>
        <w:tc>
          <w:tcPr>
            <w:tcW w:type="dxa" w:w="1426"/>
            <w:shd w:val="clear" w:color="auto" w:fill="F6F1E6"/>
          </w:tcPr>
          <w:p>
            <w:pPr>
              <w:spacing w:after="20"/>
              <w:jc w:val="right"/>
            </w:pPr>
            <w:r>
              <w:rPr>
                <w:b/>
                <w:color w:val="1C3A36"/>
                <w:sz w:val="16"/>
              </w:rPr>
              <w:t>10.2%</w:t>
            </w:r>
          </w:p>
        </w:tc>
        <w:tc>
          <w:tcPr>
            <w:tcW w:type="dxa" w:w="1426"/>
            <w:shd w:val="clear" w:color="auto" w:fill="F6F1E6"/>
          </w:tcPr>
          <w:p>
            <w:pPr>
              <w:spacing w:after="20"/>
              <w:jc w:val="right"/>
            </w:pPr>
            <w:r>
              <w:rPr>
                <w:b/>
                <w:color w:val="1C3A36"/>
                <w:sz w:val="16"/>
              </w:rPr>
              <w:t>10.5%</w:t>
            </w:r>
          </w:p>
        </w:tc>
        <w:tc>
          <w:tcPr>
            <w:tcW w:type="dxa" w:w="1426"/>
            <w:shd w:val="clear" w:color="auto" w:fill="F6F1E6"/>
          </w:tcPr>
          <w:p>
            <w:pPr>
              <w:spacing w:after="20"/>
              <w:jc w:val="right"/>
            </w:pPr>
            <w:r>
              <w:rPr>
                <w:b/>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-6,387mn, against EGP 5,387mn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1.97 per share.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terminal built from the central bank's own stated medium-term inflation target plus a standard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netted out so sovereign default risk is not charged twice — once in the local yield and again in the country premium</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1.009</w:t>
            </w:r>
          </w:p>
        </w:tc>
        <w:tc>
          <w:tcPr>
            <w:tcW w:type="dxa" w:w="1152"/>
          </w:tcPr>
          <w:p>
            <w:pPr>
              <w:spacing w:after="20"/>
              <w:jc w:val="right"/>
            </w:pPr>
            <w:r>
              <w:rPr>
                <w:color w:val="1C3A36"/>
                <w:sz w:val="16"/>
              </w:rPr>
              <w:t>1.009</w:t>
            </w:r>
          </w:p>
        </w:tc>
        <w:tc>
          <w:tcPr>
            <w:tcW w:type="dxa" w:w="5299"/>
          </w:tcPr>
          <w:p>
            <w:pPr>
              <w:spacing w:after="20"/>
              <w:jc w:val="right"/>
            </w:pPr>
            <w:r>
              <w:rPr>
                <w:color w:val="1C3A36"/>
                <w:sz w:val="16"/>
              </w:rPr>
              <w:t>own-stock weekly regression against a 31-name equal-weight local composite over five years: R-squared 0.291, n = 258, standard error 0.098, 90% interval [0.85, 1.17]</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credit-default-swap basis;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28.4%</w:t>
            </w:r>
          </w:p>
        </w:tc>
        <w:tc>
          <w:tcPr>
            <w:tcW w:type="dxa" w:w="1152"/>
          </w:tcPr>
          <w:p>
            <w:pPr>
              <w:spacing w:after="20"/>
              <w:jc w:val="right"/>
            </w:pPr>
            <w:r>
              <w:rPr>
                <w:color w:val="1C3A36"/>
                <w:sz w:val="16"/>
              </w:rPr>
              <w:t>17.6%</w:t>
            </w:r>
          </w:p>
        </w:tc>
        <w:tc>
          <w:tcPr>
            <w:tcW w:type="dxa" w:w="5299"/>
          </w:tcPr>
          <w:p>
            <w:pPr>
              <w:spacing w:after="20"/>
              <w:jc w:val="right"/>
            </w:pPr>
            <w:r>
              <w:rPr>
                <w:color w:val="1C3A36"/>
                <w:sz w:val="16"/>
              </w:rPr>
            </w:r>
          </w:p>
        </w:tc>
      </w:tr>
      <w:tr>
        <w:tc>
          <w:tcPr>
            <w:tcW w:type="dxa" w:w="2304"/>
            <w:shd w:val="clear" w:color="auto" w:fill="F6F1E6"/>
          </w:tcPr>
          <w:p>
            <w:pPr>
              <w:spacing w:after="20"/>
            </w:pPr>
            <w:r>
              <w:rPr>
                <w:b/>
                <w:color w:val="1C3A36"/>
                <w:sz w:val="16"/>
              </w:rPr>
              <w:t>Cost of debt (blended, pre-tax)</w:t>
            </w:r>
          </w:p>
        </w:tc>
        <w:tc>
          <w:tcPr>
            <w:tcW w:type="dxa" w:w="1325"/>
            <w:shd w:val="clear" w:color="auto" w:fill="F6F1E6"/>
          </w:tcPr>
          <w:p>
            <w:pPr>
              <w:spacing w:after="20"/>
              <w:jc w:val="right"/>
            </w:pPr>
            <w:r>
              <w:rPr>
                <w:b/>
                <w:color w:val="1C3A36"/>
                <w:sz w:val="16"/>
              </w:rPr>
              <w:t>9.5%</w:t>
            </w:r>
          </w:p>
        </w:tc>
        <w:tc>
          <w:tcPr>
            <w:tcW w:type="dxa" w:w="1152"/>
            <w:shd w:val="clear" w:color="auto" w:fill="F6F1E6"/>
          </w:tcPr>
          <w:p>
            <w:pPr>
              <w:spacing w:after="20"/>
              <w:jc w:val="right"/>
            </w:pPr>
            <w:r>
              <w:rPr>
                <w:b/>
                <w:color w:val="1C3A36"/>
                <w:sz w:val="16"/>
              </w:rPr>
              <w:t>8.9%</w:t>
            </w:r>
          </w:p>
        </w:tc>
        <w:tc>
          <w:tcPr>
            <w:tcW w:type="dxa" w:w="5299"/>
            <w:shd w:val="clear" w:color="auto" w:fill="F6F1E6"/>
          </w:tcPr>
          <w:p>
            <w:pPr>
              <w:spacing w:after="20"/>
              <w:jc w:val="right"/>
            </w:pPr>
            <w:r>
              <w:rPr>
                <w:b/>
                <w:color w:val="1C3A36"/>
                <w:sz w:val="16"/>
              </w:rPr>
              <w:t>currency-blended — see the evidence immediately below</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8.4%</w:t>
            </w:r>
          </w:p>
        </w:tc>
        <w:tc>
          <w:tcPr>
            <w:tcW w:type="dxa" w:w="1152"/>
          </w:tcPr>
          <w:p>
            <w:pPr>
              <w:spacing w:after="20"/>
              <w:jc w:val="right"/>
            </w:pPr>
            <w:r>
              <w:rPr>
                <w:color w:val="1C3A36"/>
                <w:sz w:val="16"/>
              </w:rPr>
              <w:t>25.0%</w:t>
            </w:r>
          </w:p>
        </w:tc>
        <w:tc>
          <w:tcPr>
            <w:tcW w:type="dxa" w:w="5299"/>
          </w:tcPr>
          <w:p>
            <w:pPr>
              <w:spacing w:after="20"/>
              <w:jc w:val="right"/>
            </w:pPr>
            <w:r>
              <w:rPr>
                <w:color w:val="1C3A36"/>
                <w:sz w:val="16"/>
              </w:rPr>
              <w:t>net debt against market capitalisation for the explicit window; a normalised structure for the terminal, because the steady state cannot be described by today's weights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26.6%</w:t>
            </w:r>
          </w:p>
        </w:tc>
        <w:tc>
          <w:tcPr>
            <w:tcW w:type="dxa" w:w="1152"/>
          </w:tcPr>
          <w:p>
            <w:pPr>
              <w:spacing w:after="20"/>
              <w:jc w:val="right"/>
            </w:pPr>
            <w:r>
              <w:rPr>
                <w:color w:val="1C3A36"/>
                <w:sz w:val="16"/>
              </w:rPr>
              <w:t>14.8%</w:t>
            </w:r>
          </w:p>
        </w:tc>
        <w:tc>
          <w:tcPr>
            <w:tcW w:type="dxa" w:w="5299"/>
          </w:tcPr>
          <w:p>
            <w:pPr>
              <w:spacing w:after="20"/>
              <w:jc w:val="right"/>
            </w:pPr>
            <w:r>
              <w:rPr>
                <w:color w:val="1C3A36"/>
                <w:sz w:val="16"/>
              </w:rPr>
            </w:r>
          </w:p>
        </w:tc>
      </w:tr>
    </w:tbl>
    <w:p>
      <w:pPr>
        <w:spacing w:after="40"/>
      </w:pP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Five choices in the cost of capital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30.0%</w:t>
            </w:r>
          </w:p>
        </w:tc>
        <w:tc>
          <w:tcPr>
            <w:tcW w:type="dxa" w:w="1843"/>
          </w:tcPr>
          <w:p>
            <w:pPr>
              <w:spacing w:after="20"/>
              <w:jc w:val="right"/>
            </w:pPr>
            <w:r>
              <w:rPr>
                <w:color w:val="1C3A36"/>
                <w:sz w:val="16"/>
              </w:rPr>
              <w:t>EGP 38.09 (against 56.67)</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18.58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55.74 (-0.93)</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(21.7% weight, cost of capital 23.8%)</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56.35 (-0.32)</w:t>
            </w:r>
          </w:p>
        </w:tc>
        <w:tc>
          <w:tcPr>
            <w:tcW w:type="dxa" w:w="3096"/>
          </w:tcPr>
          <w:p>
            <w:pPr>
              <w:spacing w:after="20"/>
              <w:jc w:val="right"/>
            </w:pPr>
            <w:r>
              <w:rPr>
                <w:color w:val="1C3A36"/>
                <w:sz w:val="16"/>
              </w:rPr>
              <w:t>Net debt carries only 8.4%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21.3% to 23.0%, and disagree with each other</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The adopted figure sits inside the range of external readings rather than at either end. Because the readings conflict, the rate is carried in the sensitivity grid rather than presented as precise</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38.09 the alternative sits well below the primary. A reader who prefers agency ratings to market spreads should use that number.</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Bold cells sit within EGP 6 of the market price of 105.20.</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23.6%</w:t>
            </w:r>
          </w:p>
        </w:tc>
        <w:tc>
          <w:tcPr>
            <w:tcW w:type="dxa" w:w="1541"/>
            <w:shd w:val="clear" w:color="auto" w:fill="EAF0EE"/>
          </w:tcPr>
          <w:p>
            <w:pPr>
              <w:spacing w:after="20"/>
            </w:pPr>
            <w:r>
              <w:rPr>
                <w:b/>
                <w:color w:val="1C3A36"/>
                <w:sz w:val="16"/>
              </w:rPr>
              <w:t>25.1%</w:t>
            </w:r>
          </w:p>
        </w:tc>
        <w:tc>
          <w:tcPr>
            <w:tcW w:type="dxa" w:w="1541"/>
            <w:shd w:val="clear" w:color="auto" w:fill="EAF0EE"/>
          </w:tcPr>
          <w:p>
            <w:pPr>
              <w:spacing w:after="20"/>
            </w:pPr>
            <w:r>
              <w:rPr>
                <w:b/>
                <w:color w:val="1C3A36"/>
                <w:sz w:val="16"/>
              </w:rPr>
              <w:t>26.6%</w:t>
            </w:r>
          </w:p>
        </w:tc>
        <w:tc>
          <w:tcPr>
            <w:tcW w:type="dxa" w:w="1541"/>
            <w:shd w:val="clear" w:color="auto" w:fill="EAF0EE"/>
          </w:tcPr>
          <w:p>
            <w:pPr>
              <w:spacing w:after="20"/>
            </w:pPr>
            <w:r>
              <w:rPr>
                <w:b/>
                <w:color w:val="1C3A36"/>
                <w:sz w:val="16"/>
              </w:rPr>
              <w:t>28.1%</w:t>
            </w:r>
          </w:p>
        </w:tc>
        <w:tc>
          <w:tcPr>
            <w:tcW w:type="dxa" w:w="1541"/>
            <w:shd w:val="clear" w:color="auto" w:fill="EAF0EE"/>
          </w:tcPr>
          <w:p>
            <w:pPr>
              <w:spacing w:after="20"/>
            </w:pPr>
            <w:r>
              <w:rPr>
                <w:b/>
                <w:color w:val="1C3A36"/>
                <w:sz w:val="16"/>
              </w:rPr>
              <w:t>29.6%</w:t>
            </w:r>
          </w:p>
        </w:tc>
      </w:tr>
      <w:tr>
        <w:tc>
          <w:tcPr>
            <w:tcW w:type="dxa" w:w="2333"/>
          </w:tcPr>
          <w:p>
            <w:pPr>
              <w:spacing w:after="20"/>
            </w:pPr>
            <w:r>
              <w:rPr>
                <w:color w:val="1C3A36"/>
                <w:sz w:val="16"/>
              </w:rPr>
              <w:t>terminal 12.8%</w:t>
            </w:r>
          </w:p>
        </w:tc>
        <w:tc>
          <w:tcPr>
            <w:tcW w:type="dxa" w:w="1541"/>
          </w:tcPr>
          <w:p>
            <w:pPr>
              <w:spacing w:after="20"/>
              <w:jc w:val="right"/>
            </w:pPr>
            <w:r>
              <w:rPr>
                <w:color w:val="1C3A36"/>
                <w:sz w:val="16"/>
              </w:rPr>
              <w:t>78.53</w:t>
            </w:r>
          </w:p>
        </w:tc>
        <w:tc>
          <w:tcPr>
            <w:tcW w:type="dxa" w:w="1541"/>
          </w:tcPr>
          <w:p>
            <w:pPr>
              <w:spacing w:after="20"/>
              <w:jc w:val="right"/>
            </w:pPr>
            <w:r>
              <w:rPr>
                <w:color w:val="1C3A36"/>
                <w:sz w:val="16"/>
              </w:rPr>
              <w:t>76.22</w:t>
            </w:r>
          </w:p>
        </w:tc>
        <w:tc>
          <w:tcPr>
            <w:tcW w:type="dxa" w:w="1541"/>
          </w:tcPr>
          <w:p>
            <w:pPr>
              <w:spacing w:after="20"/>
              <w:jc w:val="right"/>
            </w:pPr>
            <w:r>
              <w:rPr>
                <w:color w:val="1C3A36"/>
                <w:sz w:val="16"/>
              </w:rPr>
              <w:t>74.00</w:t>
            </w:r>
          </w:p>
        </w:tc>
        <w:tc>
          <w:tcPr>
            <w:tcW w:type="dxa" w:w="1541"/>
          </w:tcPr>
          <w:p>
            <w:pPr>
              <w:spacing w:after="20"/>
              <w:jc w:val="right"/>
            </w:pPr>
            <w:r>
              <w:rPr>
                <w:color w:val="1C3A36"/>
                <w:sz w:val="16"/>
              </w:rPr>
              <w:t>71.86</w:t>
            </w:r>
          </w:p>
        </w:tc>
        <w:tc>
          <w:tcPr>
            <w:tcW w:type="dxa" w:w="1541"/>
          </w:tcPr>
          <w:p>
            <w:pPr>
              <w:spacing w:after="20"/>
              <w:jc w:val="right"/>
            </w:pPr>
            <w:r>
              <w:rPr>
                <w:color w:val="1C3A36"/>
                <w:sz w:val="16"/>
              </w:rPr>
              <w:t>69.79</w:t>
            </w:r>
          </w:p>
        </w:tc>
      </w:tr>
      <w:tr>
        <w:tc>
          <w:tcPr>
            <w:tcW w:type="dxa" w:w="2333"/>
          </w:tcPr>
          <w:p>
            <w:pPr>
              <w:spacing w:after="20"/>
            </w:pPr>
            <w:r>
              <w:rPr>
                <w:color w:val="1C3A36"/>
                <w:sz w:val="16"/>
              </w:rPr>
              <w:t>terminal 13.8%</w:t>
            </w:r>
          </w:p>
        </w:tc>
        <w:tc>
          <w:tcPr>
            <w:tcW w:type="dxa" w:w="1541"/>
          </w:tcPr>
          <w:p>
            <w:pPr>
              <w:spacing w:after="20"/>
              <w:jc w:val="right"/>
            </w:pPr>
            <w:r>
              <w:rPr>
                <w:color w:val="1C3A36"/>
                <w:sz w:val="16"/>
              </w:rPr>
              <w:t>68.32</w:t>
            </w:r>
          </w:p>
        </w:tc>
        <w:tc>
          <w:tcPr>
            <w:tcW w:type="dxa" w:w="1541"/>
          </w:tcPr>
          <w:p>
            <w:pPr>
              <w:spacing w:after="20"/>
              <w:jc w:val="right"/>
            </w:pPr>
            <w:r>
              <w:rPr>
                <w:color w:val="1C3A36"/>
                <w:sz w:val="16"/>
              </w:rPr>
              <w:t>66.30</w:t>
            </w:r>
          </w:p>
        </w:tc>
        <w:tc>
          <w:tcPr>
            <w:tcW w:type="dxa" w:w="1541"/>
          </w:tcPr>
          <w:p>
            <w:pPr>
              <w:spacing w:after="20"/>
              <w:jc w:val="right"/>
            </w:pPr>
            <w:r>
              <w:rPr>
                <w:color w:val="1C3A36"/>
                <w:sz w:val="16"/>
              </w:rPr>
              <w:t>64.35</w:t>
            </w:r>
          </w:p>
        </w:tc>
        <w:tc>
          <w:tcPr>
            <w:tcW w:type="dxa" w:w="1541"/>
          </w:tcPr>
          <w:p>
            <w:pPr>
              <w:spacing w:after="20"/>
              <w:jc w:val="right"/>
            </w:pPr>
            <w:r>
              <w:rPr>
                <w:color w:val="1C3A36"/>
                <w:sz w:val="16"/>
              </w:rPr>
              <w:t>62.47</w:t>
            </w:r>
          </w:p>
        </w:tc>
        <w:tc>
          <w:tcPr>
            <w:tcW w:type="dxa" w:w="1541"/>
          </w:tcPr>
          <w:p>
            <w:pPr>
              <w:spacing w:after="20"/>
              <w:jc w:val="right"/>
            </w:pPr>
            <w:r>
              <w:rPr>
                <w:color w:val="1C3A36"/>
                <w:sz w:val="16"/>
              </w:rPr>
              <w:t>60.65</w:t>
            </w:r>
          </w:p>
        </w:tc>
      </w:tr>
      <w:tr>
        <w:tc>
          <w:tcPr>
            <w:tcW w:type="dxa" w:w="2333"/>
          </w:tcPr>
          <w:p>
            <w:pPr>
              <w:spacing w:after="20"/>
            </w:pPr>
            <w:r>
              <w:rPr>
                <w:color w:val="1C3A36"/>
                <w:sz w:val="16"/>
              </w:rPr>
              <w:t>terminal 14.8%</w:t>
            </w:r>
          </w:p>
        </w:tc>
        <w:tc>
          <w:tcPr>
            <w:tcW w:type="dxa" w:w="1541"/>
          </w:tcPr>
          <w:p>
            <w:pPr>
              <w:spacing w:after="20"/>
              <w:jc w:val="right"/>
            </w:pPr>
            <w:r>
              <w:rPr>
                <w:color w:val="1C3A36"/>
                <w:sz w:val="16"/>
              </w:rPr>
              <w:t>60.20</w:t>
            </w:r>
          </w:p>
        </w:tc>
        <w:tc>
          <w:tcPr>
            <w:tcW w:type="dxa" w:w="1541"/>
          </w:tcPr>
          <w:p>
            <w:pPr>
              <w:spacing w:after="20"/>
              <w:jc w:val="right"/>
            </w:pPr>
            <w:r>
              <w:rPr>
                <w:color w:val="1C3A36"/>
                <w:sz w:val="16"/>
              </w:rPr>
              <w:t>58.40</w:t>
            </w:r>
          </w:p>
        </w:tc>
        <w:tc>
          <w:tcPr>
            <w:tcW w:type="dxa" w:w="1541"/>
          </w:tcPr>
          <w:p>
            <w:pPr>
              <w:spacing w:after="20"/>
              <w:jc w:val="right"/>
            </w:pPr>
            <w:r>
              <w:rPr>
                <w:color w:val="1C3A36"/>
                <w:sz w:val="16"/>
              </w:rPr>
              <w:t>56.67</w:t>
            </w:r>
          </w:p>
        </w:tc>
        <w:tc>
          <w:tcPr>
            <w:tcW w:type="dxa" w:w="1541"/>
          </w:tcPr>
          <w:p>
            <w:pPr>
              <w:spacing w:after="20"/>
              <w:jc w:val="right"/>
            </w:pPr>
            <w:r>
              <w:rPr>
                <w:color w:val="1C3A36"/>
                <w:sz w:val="16"/>
              </w:rPr>
              <w:t>54.99</w:t>
            </w:r>
          </w:p>
        </w:tc>
        <w:tc>
          <w:tcPr>
            <w:tcW w:type="dxa" w:w="1541"/>
          </w:tcPr>
          <w:p>
            <w:pPr>
              <w:spacing w:after="20"/>
              <w:jc w:val="right"/>
            </w:pPr>
            <w:r>
              <w:rPr>
                <w:color w:val="1C3A36"/>
                <w:sz w:val="16"/>
              </w:rPr>
              <w:t>53.38</w:t>
            </w:r>
          </w:p>
        </w:tc>
      </w:tr>
      <w:tr>
        <w:tc>
          <w:tcPr>
            <w:tcW w:type="dxa" w:w="2333"/>
          </w:tcPr>
          <w:p>
            <w:pPr>
              <w:spacing w:after="20"/>
            </w:pPr>
            <w:r>
              <w:rPr>
                <w:color w:val="1C3A36"/>
                <w:sz w:val="16"/>
              </w:rPr>
              <w:t>terminal 15.8%</w:t>
            </w:r>
          </w:p>
        </w:tc>
        <w:tc>
          <w:tcPr>
            <w:tcW w:type="dxa" w:w="1541"/>
          </w:tcPr>
          <w:p>
            <w:pPr>
              <w:spacing w:after="20"/>
              <w:jc w:val="right"/>
            </w:pPr>
            <w:r>
              <w:rPr>
                <w:color w:val="1C3A36"/>
                <w:sz w:val="16"/>
              </w:rPr>
              <w:t>53.59</w:t>
            </w:r>
          </w:p>
        </w:tc>
        <w:tc>
          <w:tcPr>
            <w:tcW w:type="dxa" w:w="1541"/>
          </w:tcPr>
          <w:p>
            <w:pPr>
              <w:spacing w:after="20"/>
              <w:jc w:val="right"/>
            </w:pPr>
            <w:r>
              <w:rPr>
                <w:color w:val="1C3A36"/>
                <w:sz w:val="16"/>
              </w:rPr>
              <w:t>51.98</w:t>
            </w:r>
          </w:p>
        </w:tc>
        <w:tc>
          <w:tcPr>
            <w:tcW w:type="dxa" w:w="1541"/>
          </w:tcPr>
          <w:p>
            <w:pPr>
              <w:spacing w:after="20"/>
              <w:jc w:val="right"/>
            </w:pPr>
            <w:r>
              <w:rPr>
                <w:color w:val="1C3A36"/>
                <w:sz w:val="16"/>
              </w:rPr>
              <w:t>50.42</w:t>
            </w:r>
          </w:p>
        </w:tc>
        <w:tc>
          <w:tcPr>
            <w:tcW w:type="dxa" w:w="1541"/>
          </w:tcPr>
          <w:p>
            <w:pPr>
              <w:spacing w:after="20"/>
              <w:jc w:val="right"/>
            </w:pPr>
            <w:r>
              <w:rPr>
                <w:color w:val="1C3A36"/>
                <w:sz w:val="16"/>
              </w:rPr>
              <w:t>48.91</w:t>
            </w:r>
          </w:p>
        </w:tc>
        <w:tc>
          <w:tcPr>
            <w:tcW w:type="dxa" w:w="1541"/>
          </w:tcPr>
          <w:p>
            <w:pPr>
              <w:spacing w:after="20"/>
              <w:jc w:val="right"/>
            </w:pPr>
            <w:r>
              <w:rPr>
                <w:color w:val="1C3A36"/>
                <w:sz w:val="16"/>
              </w:rPr>
              <w:t>47.46</w:t>
            </w:r>
          </w:p>
        </w:tc>
      </w:tr>
      <w:tr>
        <w:tc>
          <w:tcPr>
            <w:tcW w:type="dxa" w:w="2333"/>
          </w:tcPr>
          <w:p>
            <w:pPr>
              <w:spacing w:after="20"/>
            </w:pPr>
            <w:r>
              <w:rPr>
                <w:color w:val="1C3A36"/>
                <w:sz w:val="16"/>
              </w:rPr>
              <w:t>terminal 16.8%</w:t>
            </w:r>
          </w:p>
        </w:tc>
        <w:tc>
          <w:tcPr>
            <w:tcW w:type="dxa" w:w="1541"/>
          </w:tcPr>
          <w:p>
            <w:pPr>
              <w:spacing w:after="20"/>
              <w:jc w:val="right"/>
            </w:pPr>
            <w:r>
              <w:rPr>
                <w:color w:val="1C3A36"/>
                <w:sz w:val="16"/>
              </w:rPr>
              <w:t>48.11</w:t>
            </w:r>
          </w:p>
        </w:tc>
        <w:tc>
          <w:tcPr>
            <w:tcW w:type="dxa" w:w="1541"/>
          </w:tcPr>
          <w:p>
            <w:pPr>
              <w:spacing w:after="20"/>
              <w:jc w:val="right"/>
            </w:pPr>
            <w:r>
              <w:rPr>
                <w:color w:val="1C3A36"/>
                <w:sz w:val="16"/>
              </w:rPr>
              <w:t>46.64</w:t>
            </w:r>
          </w:p>
        </w:tc>
        <w:tc>
          <w:tcPr>
            <w:tcW w:type="dxa" w:w="1541"/>
          </w:tcPr>
          <w:p>
            <w:pPr>
              <w:spacing w:after="20"/>
              <w:jc w:val="right"/>
            </w:pPr>
            <w:r>
              <w:rPr>
                <w:color w:val="1C3A36"/>
                <w:sz w:val="16"/>
              </w:rPr>
              <w:t>45.23</w:t>
            </w:r>
          </w:p>
        </w:tc>
        <w:tc>
          <w:tcPr>
            <w:tcW w:type="dxa" w:w="1541"/>
          </w:tcPr>
          <w:p>
            <w:pPr>
              <w:spacing w:after="20"/>
              <w:jc w:val="right"/>
            </w:pPr>
            <w:r>
              <w:rPr>
                <w:color w:val="1C3A36"/>
                <w:sz w:val="16"/>
              </w:rPr>
              <w:t>43.86</w:t>
            </w:r>
          </w:p>
        </w:tc>
        <w:tc>
          <w:tcPr>
            <w:tcW w:type="dxa" w:w="1541"/>
          </w:tcPr>
          <w:p>
            <w:pPr>
              <w:spacing w:after="20"/>
              <w:jc w:val="right"/>
            </w:pPr>
            <w:r>
              <w:rPr>
                <w:color w:val="1C3A36"/>
                <w:sz w:val="16"/>
              </w:rPr>
              <w:t>42.54</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45.20 – 81.10</w:t>
            </w:r>
          </w:p>
        </w:tc>
        <w:tc>
          <w:tcPr>
            <w:tcW w:type="dxa" w:w="1944"/>
          </w:tcPr>
          <w:p>
            <w:pPr>
              <w:spacing w:after="20"/>
              <w:jc w:val="right"/>
            </w:pPr>
            <w:r>
              <w:rPr>
                <w:color w:val="1C3A36"/>
                <w:sz w:val="17"/>
              </w:rPr>
              <w:t>35.90</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+20%</w:t>
            </w:r>
          </w:p>
        </w:tc>
        <w:tc>
          <w:tcPr>
            <w:tcW w:type="dxa" w:w="2736"/>
          </w:tcPr>
          <w:p>
            <w:pPr>
              <w:spacing w:after="20"/>
              <w:jc w:val="right"/>
            </w:pPr>
            <w:r>
              <w:rPr>
                <w:color w:val="1C3A36"/>
                <w:sz w:val="17"/>
              </w:rPr>
              <w:t>53.02 – 82.24</w:t>
            </w:r>
          </w:p>
        </w:tc>
        <w:tc>
          <w:tcPr>
            <w:tcW w:type="dxa" w:w="1944"/>
          </w:tcPr>
          <w:p>
            <w:pPr>
              <w:spacing w:after="20"/>
              <w:jc w:val="right"/>
            </w:pPr>
            <w:r>
              <w:rPr>
                <w:color w:val="1C3A36"/>
                <w:sz w:val="17"/>
              </w:rPr>
              <w:t>29.23</w:t>
            </w:r>
          </w:p>
        </w:tc>
      </w:tr>
      <w:tr>
        <w:tc>
          <w:tcPr>
            <w:tcW w:type="dxa" w:w="3168"/>
          </w:tcPr>
          <w:p>
            <w:pPr>
              <w:spacing w:after="20"/>
            </w:pPr>
            <w:r>
              <w:rPr>
                <w:color w:val="1C3A36"/>
                <w:sz w:val="17"/>
              </w:rPr>
              <w:t>Gross profit per unit</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32.21 – 81.13</w:t>
            </w:r>
          </w:p>
        </w:tc>
        <w:tc>
          <w:tcPr>
            <w:tcW w:type="dxa" w:w="1944"/>
          </w:tcPr>
          <w:p>
            <w:pPr>
              <w:spacing w:after="20"/>
              <w:jc w:val="right"/>
            </w:pPr>
            <w:r>
              <w:rPr>
                <w:color w:val="1C3A36"/>
                <w:sz w:val="17"/>
              </w:rPr>
              <w:t>48.92</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51.19 – 62.15</w:t>
            </w:r>
          </w:p>
        </w:tc>
        <w:tc>
          <w:tcPr>
            <w:tcW w:type="dxa" w:w="1944"/>
          </w:tcPr>
          <w:p>
            <w:pPr>
              <w:spacing w:after="20"/>
              <w:jc w:val="right"/>
            </w:pPr>
            <w:r>
              <w:rPr>
                <w:color w:val="1C3A36"/>
                <w:sz w:val="17"/>
              </w:rPr>
              <w:t>10.96</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50.11 – 62.80</w:t>
            </w:r>
          </w:p>
        </w:tc>
        <w:tc>
          <w:tcPr>
            <w:tcW w:type="dxa" w:w="1944"/>
          </w:tcPr>
          <w:p>
            <w:pPr>
              <w:spacing w:after="20"/>
              <w:jc w:val="right"/>
            </w:pPr>
            <w:r>
              <w:rPr>
                <w:color w:val="1C3A36"/>
                <w:sz w:val="17"/>
              </w:rPr>
              <w:t>12.69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50.38 – 62.27</w:t>
            </w:r>
          </w:p>
        </w:tc>
        <w:tc>
          <w:tcPr>
            <w:tcW w:type="dxa" w:w="1944"/>
          </w:tcPr>
          <w:p>
            <w:pPr>
              <w:spacing w:after="20"/>
              <w:jc w:val="right"/>
            </w:pPr>
            <w:r>
              <w:rPr>
                <w:color w:val="1C3A36"/>
                <w:sz w:val="17"/>
              </w:rPr>
              <w:t>11.88</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52.43 – 62.73</w:t>
            </w:r>
          </w:p>
        </w:tc>
        <w:tc>
          <w:tcPr>
            <w:tcW w:type="dxa" w:w="1944"/>
          </w:tcPr>
          <w:p>
            <w:pPr>
              <w:spacing w:after="20"/>
              <w:jc w:val="right"/>
            </w:pPr>
            <w:r>
              <w:rPr>
                <w:color w:val="1C3A36"/>
                <w:sz w:val="17"/>
              </w:rPr>
              <w:t>10.30</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gross profit exactly as it does in the base case. Note the copper row — the swing is small and can even run the 'wrong' way, because a higher metal price raises revenue and working capital without raising the profit Cables earns on it. Ranked by swing, the terminal assumptions and the cost of capital dominate every operating driver.</w:t>
      </w:r>
    </w:p>
    <w:p>
      <w:pPr>
        <w:spacing w:after="200" w:before="0"/>
      </w:pPr>
      <w:r>
        <w:rPr>
          <w:b w:val="0"/>
          <w:i w:val="0"/>
          <w:color w:val="1C3A36"/>
          <w:sz w:val="21"/>
        </w:rPr>
        <w:t>The beta deserves a note. At 1.009 with an R-squared of 0.291 over 258 weekly observations and a standard error of 0.098, this is a well-identified estimate by the standards of this market — the 90% interval spans [0.85, 1.17],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105.20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+17%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+22%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+28%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-4%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-8%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+61%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estimated from the daily range,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+37% over the last twelve months and sits -4%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rather than to any view.</w:t>
      </w:r>
    </w:p>
    <w:p>
      <w:pPr>
        <w:spacing w:after="120" w:before="0"/>
      </w:pPr>
      <w:r>
        <w:rPr>
          <w:b w:val="0"/>
          <w:i w:val="0"/>
          <w:color w:val="1C3A36"/>
          <w:sz w:val="21"/>
        </w:rPr>
        <w:t>The widths below are calibrated rather than assumed. Tested by walk-forward simulation over a full five years — 19 independent non-overlapping quarterly windows from 2021-10-05 to 2026-04-12, each one forecast using only data available before it — the model scored +1.50% better than a random-walk benchmark anchored on the same cost of carry. Outcomes fell inside the stated bands at close to the advertised rate (47% inside the 50% band, 68% inside the 80%, 84% inside the 90%), and the outcomes were spread evenly across the distribution rather than bunching at one end — a uniformity test returns p = 0.28, comfortably consistent with a well-calibrated forecast. Over the very long run the picture is more mixed: across the full 14-year history the model still beats the benchmark (+1.07%) but its bands are about 22% wider than they need to be, which is a real limitation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69.79; the dotted line is the spot of 105.20.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69.79 central, -34%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56.67, -46%</w:t>
            </w:r>
          </w:p>
        </w:tc>
        <w:tc>
          <w:tcPr>
            <w:tcW w:type="dxa" w:w="4248"/>
          </w:tcPr>
          <w:p>
            <w:pPr>
              <w:spacing w:after="20"/>
              <w:jc w:val="right"/>
            </w:pPr>
            <w:r>
              <w:rPr>
                <w:color w:val="1C3A36"/>
                <w:sz w:val="17"/>
              </w:rPr>
              <w:t>a cost of capital gliding 26.6% to 14.8%</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78.89, -25%</w:t>
            </w:r>
          </w:p>
        </w:tc>
        <w:tc>
          <w:tcPr>
            <w:tcW w:type="dxa" w:w="4248"/>
          </w:tcPr>
          <w:p>
            <w:pPr>
              <w:spacing w:after="20"/>
              <w:jc w:val="right"/>
            </w:pPr>
            <w:r>
              <w:rPr>
                <w:color w:val="1C3A36"/>
                <w:sz w:val="17"/>
              </w:rPr>
              <w:t>the hard-currency cash-flow leg discounted at about 10.1%</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67.68, -36%</w:t>
            </w:r>
          </w:p>
        </w:tc>
        <w:tc>
          <w:tcPr>
            <w:tcW w:type="dxa" w:w="4248"/>
          </w:tcPr>
          <w:p>
            <w:pPr>
              <w:spacing w:after="20"/>
              <w:jc w:val="right"/>
            </w:pPr>
            <w:r>
              <w:rPr>
                <w:color w:val="1C3A36"/>
                <w:sz w:val="17"/>
              </w:rPr>
              <w:t>a discounted peer multiple is the right way to price this</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105.20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78.89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payout has been modest against earnings; a step up would change the book and earnings lenses materially</w:t>
            </w:r>
          </w:p>
        </w:tc>
        <w:tc>
          <w:tcPr>
            <w:tcW w:type="dxa" w:w="4104"/>
          </w:tcPr>
          <w:p>
            <w:pPr>
              <w:spacing w:after="20"/>
              <w:jc w:val="right"/>
            </w:pPr>
            <w:r>
              <w:rPr>
                <w:color w:val="1C3A36"/>
                <w:sz w:val="16"/>
              </w:rPr>
              <w:t>the distribution proposed on the FY2026 result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-26% move and a +47%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69.79</w:t>
            </w:r>
          </w:p>
        </w:tc>
        <w:tc>
          <w:tcPr>
            <w:tcW w:type="dxa" w:w="5040"/>
          </w:tcPr>
          <w:p>
            <w:pPr>
              <w:spacing w:after="20"/>
              <w:jc w:val="right"/>
            </w:pPr>
            <w:r>
              <w:rPr>
                <w:color w:val="1C3A36"/>
                <w:sz w:val="17"/>
              </w:rPr>
              <w:t>below the 25th percentile of the three-month distribution — the price map and the valuation genuinely disagree, and that disagreement is the point</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No order book, backlog or unit-volume figure is disclosed anywhere. </w:t>
      </w:r>
      <w:r>
        <w:rPr>
          <w:color w:val="1C3A36"/>
          <w:sz w:val="21"/>
        </w:rPr>
        <w:t>All three audited financial statements and the Q1-2026 interim disclose segment revenue and segment profit, but no tonnage, MVA, meter count or order-book figure for any segment. The forecast is therefore built as a taper on each segment's own recent revenue growth and margin path rather than a reconstructed unit or backlog-burn model. If the company begins disclosing an order book again, that would be a materially better anchor for the Constructions and infrastructure segment than the taper used here.</w:t>
      </w:r>
    </w:p>
    <w:p>
      <w:pPr>
        <w:pStyle w:val="ListBullet"/>
        <w:spacing w:after="60"/>
      </w:pPr>
      <w:r>
        <w:rPr>
          <w:b/>
          <w:color w:val="1C3A36"/>
          <w:sz w:val="21"/>
        </w:rPr>
        <w:t xml:space="preserve">The terminal value is a large share of the answer. </w:t>
      </w:r>
      <w:r>
        <w:rPr>
          <w:color w:val="1C3A36"/>
          <w:sz w:val="21"/>
        </w:rPr>
        <w:t>86%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78.89. We have chosen the conservative reading and shown the other in full rather than splitting the difference silently.</w:t>
      </w:r>
    </w:p>
    <w:p>
      <w:pPr>
        <w:pStyle w:val="ListBullet"/>
        <w:spacing w:after="60"/>
      </w:pPr>
      <w:r>
        <w:rPr>
          <w:b/>
          <w:color w:val="1C3A36"/>
          <w:sz w:val="21"/>
        </w:rPr>
        <w:t xml:space="preserve">Terminal growth of 5% is roughly zero in real terms. </w:t>
      </w:r>
      <w:r>
        <w:rPr>
          <w:color w:val="1C3A36"/>
          <w:sz w:val="21"/>
        </w:rPr>
        <w:t>The terminal risk-free rate embeds 5% inflation, so a 5%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12,995mn from the equity value — roughly 6.07 per share more than a book-value treatment would. This is the conservative choice and is stated so a reader who prefers the other convention can add it back.</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35,158</w:t>
            </w:r>
          </w:p>
        </w:tc>
        <w:tc>
          <w:tcPr>
            <w:tcW w:type="dxa" w:w="950"/>
            <w:shd w:val="clear" w:color="auto" w:fill="F6F1E6"/>
          </w:tcPr>
          <w:p>
            <w:pPr>
              <w:spacing w:after="20"/>
              <w:jc w:val="right"/>
            </w:pPr>
            <w:r>
              <w:rPr>
                <w:b/>
                <w:color w:val="1C3A36"/>
                <w:sz w:val="15"/>
              </w:rPr>
              <w:t>41,645</w:t>
            </w:r>
          </w:p>
        </w:tc>
        <w:tc>
          <w:tcPr>
            <w:tcW w:type="dxa" w:w="950"/>
            <w:shd w:val="clear" w:color="auto" w:fill="F6F1E6"/>
          </w:tcPr>
          <w:p>
            <w:pPr>
              <w:spacing w:after="20"/>
              <w:jc w:val="right"/>
            </w:pPr>
            <w:r>
              <w:rPr>
                <w:b/>
                <w:color w:val="1C3A36"/>
                <w:sz w:val="15"/>
              </w:rPr>
              <w:t>47,603</w:t>
            </w:r>
          </w:p>
        </w:tc>
        <w:tc>
          <w:tcPr>
            <w:tcW w:type="dxa" w:w="950"/>
            <w:shd w:val="clear" w:color="auto" w:fill="F6F1E6"/>
          </w:tcPr>
          <w:p>
            <w:pPr>
              <w:spacing w:after="20"/>
              <w:jc w:val="right"/>
            </w:pPr>
            <w:r>
              <w:rPr>
                <w:b/>
                <w:color w:val="1C3A36"/>
                <w:sz w:val="15"/>
              </w:rPr>
              <w:t>53,648</w:t>
            </w:r>
          </w:p>
        </w:tc>
        <w:tc>
          <w:tcPr>
            <w:tcW w:type="dxa" w:w="950"/>
            <w:shd w:val="clear" w:color="auto" w:fill="F6F1E6"/>
          </w:tcPr>
          <w:p>
            <w:pPr>
              <w:spacing w:after="20"/>
              <w:jc w:val="right"/>
            </w:pPr>
            <w:r>
              <w:rPr>
                <w:b/>
                <w:color w:val="1C3A36"/>
                <w:sz w:val="15"/>
              </w:rPr>
              <w:t>59,209</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9.5%</w:t>
            </w:r>
          </w:p>
        </w:tc>
        <w:tc>
          <w:tcPr>
            <w:tcW w:type="dxa" w:w="950"/>
          </w:tcPr>
          <w:p>
            <w:pPr>
              <w:spacing w:after="20"/>
              <w:jc w:val="right"/>
            </w:pPr>
            <w:r>
              <w:rPr>
                <w:color w:val="1C3A36"/>
                <w:sz w:val="15"/>
              </w:rPr>
              <w:t>9.9%</w:t>
            </w:r>
          </w:p>
        </w:tc>
        <w:tc>
          <w:tcPr>
            <w:tcW w:type="dxa" w:w="950"/>
          </w:tcPr>
          <w:p>
            <w:pPr>
              <w:spacing w:after="20"/>
              <w:jc w:val="right"/>
            </w:pPr>
            <w:r>
              <w:rPr>
                <w:color w:val="1C3A36"/>
                <w:sz w:val="15"/>
              </w:rPr>
              <w:t>10.2%</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30,533</w:t>
            </w:r>
          </w:p>
        </w:tc>
        <w:tc>
          <w:tcPr>
            <w:tcW w:type="dxa" w:w="950"/>
            <w:shd w:val="clear" w:color="auto" w:fill="F6F1E6"/>
          </w:tcPr>
          <w:p>
            <w:pPr>
              <w:spacing w:after="20"/>
              <w:jc w:val="right"/>
            </w:pPr>
            <w:r>
              <w:rPr>
                <w:b/>
                <w:color w:val="1C3A36"/>
                <w:sz w:val="15"/>
              </w:rPr>
              <w:t>36,363</w:t>
            </w:r>
          </w:p>
        </w:tc>
        <w:tc>
          <w:tcPr>
            <w:tcW w:type="dxa" w:w="950"/>
            <w:shd w:val="clear" w:color="auto" w:fill="F6F1E6"/>
          </w:tcPr>
          <w:p>
            <w:pPr>
              <w:spacing w:after="20"/>
              <w:jc w:val="right"/>
            </w:pPr>
            <w:r>
              <w:rPr>
                <w:b/>
                <w:color w:val="1C3A36"/>
                <w:sz w:val="15"/>
              </w:rPr>
              <w:t>41,770</w:t>
            </w:r>
          </w:p>
        </w:tc>
        <w:tc>
          <w:tcPr>
            <w:tcW w:type="dxa" w:w="950"/>
            <w:shd w:val="clear" w:color="auto" w:fill="F6F1E6"/>
          </w:tcPr>
          <w:p>
            <w:pPr>
              <w:spacing w:after="20"/>
              <w:jc w:val="right"/>
            </w:pPr>
            <w:r>
              <w:rPr>
                <w:b/>
                <w:color w:val="1C3A36"/>
                <w:sz w:val="15"/>
              </w:rPr>
              <w:t>47,268</w:t>
            </w:r>
          </w:p>
        </w:tc>
        <w:tc>
          <w:tcPr>
            <w:tcW w:type="dxa" w:w="950"/>
            <w:shd w:val="clear" w:color="auto" w:fill="F6F1E6"/>
          </w:tcPr>
          <w:p>
            <w:pPr>
              <w:spacing w:after="20"/>
              <w:jc w:val="right"/>
            </w:pPr>
            <w:r>
              <w:rPr>
                <w:b/>
                <w:color w:val="1C3A36"/>
                <w:sz w:val="15"/>
              </w:rPr>
              <w:t>52,269</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(2,451)</w:t>
            </w:r>
          </w:p>
        </w:tc>
        <w:tc>
          <w:tcPr>
            <w:tcW w:type="dxa" w:w="950"/>
          </w:tcPr>
          <w:p>
            <w:pPr>
              <w:spacing w:after="20"/>
              <w:jc w:val="right"/>
            </w:pPr>
            <w:r>
              <w:rPr>
                <w:color w:val="1C3A36"/>
                <w:sz w:val="15"/>
              </w:rPr>
              <w:t>(2,150)</w:t>
            </w:r>
          </w:p>
        </w:tc>
        <w:tc>
          <w:tcPr>
            <w:tcW w:type="dxa" w:w="950"/>
          </w:tcPr>
          <w:p>
            <w:pPr>
              <w:spacing w:after="20"/>
              <w:jc w:val="right"/>
            </w:pPr>
            <w:r>
              <w:rPr>
                <w:color w:val="1C3A36"/>
                <w:sz w:val="15"/>
              </w:rPr>
              <w:t>(1,308)</w:t>
            </w:r>
          </w:p>
        </w:tc>
        <w:tc>
          <w:tcPr>
            <w:tcW w:type="dxa" w:w="950"/>
          </w:tcPr>
          <w:p>
            <w:pPr>
              <w:spacing w:after="20"/>
              <w:jc w:val="right"/>
            </w:pPr>
            <w:r>
              <w:rPr>
                <w:color w:val="1C3A36"/>
                <w:sz w:val="15"/>
              </w:rPr>
              <w:t>(61)</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20,788</w:t>
            </w:r>
          </w:p>
        </w:tc>
        <w:tc>
          <w:tcPr>
            <w:tcW w:type="dxa" w:w="950"/>
            <w:shd w:val="clear" w:color="auto" w:fill="F6F1E6"/>
          </w:tcPr>
          <w:p>
            <w:pPr>
              <w:spacing w:after="20"/>
              <w:jc w:val="right"/>
            </w:pPr>
            <w:r>
              <w:rPr>
                <w:b/>
                <w:color w:val="1C3A36"/>
                <w:sz w:val="15"/>
              </w:rPr>
              <w:t>24,375</w:t>
            </w:r>
          </w:p>
        </w:tc>
        <w:tc>
          <w:tcPr>
            <w:tcW w:type="dxa" w:w="950"/>
            <w:shd w:val="clear" w:color="auto" w:fill="F6F1E6"/>
          </w:tcPr>
          <w:p>
            <w:pPr>
              <w:spacing w:after="20"/>
              <w:jc w:val="right"/>
            </w:pPr>
            <w:r>
              <w:rPr>
                <w:b/>
                <w:color w:val="1C3A36"/>
                <w:sz w:val="15"/>
              </w:rPr>
              <w:t>28,367</w:t>
            </w:r>
          </w:p>
        </w:tc>
        <w:tc>
          <w:tcPr>
            <w:tcW w:type="dxa" w:w="950"/>
            <w:shd w:val="clear" w:color="auto" w:fill="F6F1E6"/>
          </w:tcPr>
          <w:p>
            <w:pPr>
              <w:spacing w:after="20"/>
              <w:jc w:val="right"/>
            </w:pPr>
            <w:r>
              <w:rPr>
                <w:b/>
                <w:color w:val="1C3A36"/>
                <w:sz w:val="15"/>
              </w:rPr>
              <w:t>32,798</w:t>
            </w:r>
          </w:p>
        </w:tc>
        <w:tc>
          <w:tcPr>
            <w:tcW w:type="dxa" w:w="950"/>
            <w:shd w:val="clear" w:color="auto" w:fill="F6F1E6"/>
          </w:tcPr>
          <w:p>
            <w:pPr>
              <w:spacing w:after="20"/>
              <w:jc w:val="right"/>
            </w:pPr>
            <w:r>
              <w:rPr>
                <w:b/>
                <w:color w:val="1C3A36"/>
                <w:sz w:val="15"/>
              </w:rPr>
              <w:t>37,175</w:t>
            </w:r>
          </w:p>
        </w:tc>
      </w:tr>
      <w:tr>
        <w:tc>
          <w:tcPr>
            <w:tcW w:type="dxa" w:w="2477"/>
          </w:tcPr>
          <w:p>
            <w:pPr>
              <w:spacing w:after="20"/>
            </w:pPr>
            <w:r>
              <w:rPr>
                <w:color w:val="1C3A36"/>
                <w:sz w:val="15"/>
              </w:rPr>
              <w:t>Earnings per share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9.71</w:t>
            </w:r>
          </w:p>
        </w:tc>
        <w:tc>
          <w:tcPr>
            <w:tcW w:type="dxa" w:w="950"/>
          </w:tcPr>
          <w:p>
            <w:pPr>
              <w:spacing w:after="20"/>
              <w:jc w:val="right"/>
            </w:pPr>
            <w:r>
              <w:rPr>
                <w:color w:val="1C3A36"/>
                <w:sz w:val="15"/>
              </w:rPr>
              <w:t>11.39</w:t>
            </w:r>
          </w:p>
        </w:tc>
        <w:tc>
          <w:tcPr>
            <w:tcW w:type="dxa" w:w="950"/>
          </w:tcPr>
          <w:p>
            <w:pPr>
              <w:spacing w:after="20"/>
              <w:jc w:val="right"/>
            </w:pPr>
            <w:r>
              <w:rPr>
                <w:color w:val="1C3A36"/>
                <w:sz w:val="15"/>
              </w:rPr>
              <w:t>13.25</w:t>
            </w:r>
          </w:p>
        </w:tc>
        <w:tc>
          <w:tcPr>
            <w:tcW w:type="dxa" w:w="950"/>
          </w:tcPr>
          <w:p>
            <w:pPr>
              <w:spacing w:after="20"/>
              <w:jc w:val="right"/>
            </w:pPr>
            <w:r>
              <w:rPr>
                <w:color w:val="1C3A36"/>
                <w:sz w:val="15"/>
              </w:rPr>
              <w:t>15.32</w:t>
            </w:r>
          </w:p>
        </w:tc>
        <w:tc>
          <w:tcPr>
            <w:tcW w:type="dxa" w:w="950"/>
          </w:tcPr>
          <w:p>
            <w:pPr>
              <w:spacing w:after="20"/>
              <w:jc w:val="right"/>
            </w:pPr>
            <w:r>
              <w:rPr>
                <w:color w:val="1C3A36"/>
                <w:sz w:val="15"/>
              </w:rPr>
              <w:t>17.37</w:t>
            </w:r>
          </w:p>
        </w:tc>
      </w:tr>
    </w:tbl>
    <w:p>
      <w:pPr>
        <w:spacing w:after="40"/>
      </w:pPr>
    </w:p>
    <w:p>
      <w:pPr>
        <w:spacing w:after="200" w:before="0"/>
      </w:pPr>
      <w:r>
        <w:rPr>
          <w:b w:val="0"/>
          <w:i/>
          <w:color w:val="6E7B77"/>
          <w:sz w:val="17"/>
        </w:rPr>
        <w:t>FY2023, FY2024 and FY2025 are all taken directly from the company's audited consolidated statements — every line, including FY2025, is the audited figure, not a derivation. Forecast profit is struck after net interest on the estimated debt and cash balances and after tax and minority interests, and therefore differs slightly from the free-cash-flow waterfall in section 1.1, which is a pre-financing measure by construction. Statutory earnings per share as reported by the company is struck after the Egyptian employee and board profit-share appropriation and is accordingly lower than the figures shown here.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18.7%</w:t>
            </w:r>
          </w:p>
        </w:tc>
        <w:tc>
          <w:tcPr>
            <w:tcW w:type="dxa" w:w="1426"/>
          </w:tcPr>
          <w:p>
            <w:pPr>
              <w:spacing w:after="20"/>
              <w:jc w:val="right"/>
            </w:pPr>
            <w:r>
              <w:rPr>
                <w:color w:val="1C3A36"/>
                <w:sz w:val="16"/>
              </w:rPr>
              <w:t>18.9%</w:t>
            </w:r>
          </w:p>
        </w:tc>
        <w:tc>
          <w:tcPr>
            <w:tcW w:type="dxa" w:w="1426"/>
          </w:tcPr>
          <w:p>
            <w:pPr>
              <w:spacing w:after="20"/>
              <w:jc w:val="right"/>
            </w:pPr>
            <w:r>
              <w:rPr>
                <w:color w:val="1C3A36"/>
                <w:sz w:val="16"/>
              </w:rPr>
              <w:t>19.1%</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19.4%</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-6,387</w:t>
            </w:r>
          </w:p>
        </w:tc>
        <w:tc>
          <w:tcPr>
            <w:tcW w:type="dxa" w:w="1426"/>
          </w:tcPr>
          <w:p>
            <w:pPr>
              <w:spacing w:after="20"/>
              <w:jc w:val="right"/>
            </w:pPr>
            <w:r>
              <w:rPr>
                <w:color w:val="1C3A36"/>
                <w:sz w:val="16"/>
              </w:rPr>
              <w:t>5,387</w:t>
            </w:r>
          </w:p>
        </w:tc>
        <w:tc>
          <w:tcPr>
            <w:tcW w:type="dxa" w:w="1426"/>
          </w:tcPr>
          <w:p>
            <w:pPr>
              <w:spacing w:after="20"/>
              <w:jc w:val="right"/>
            </w:pPr>
            <w:r>
              <w:rPr>
                <w:color w:val="1C3A36"/>
                <w:sz w:val="16"/>
              </w:rPr>
              <w:t>11,797</w:t>
            </w:r>
          </w:p>
        </w:tc>
        <w:tc>
          <w:tcPr>
            <w:tcW w:type="dxa" w:w="1426"/>
          </w:tcPr>
          <w:p>
            <w:pPr>
              <w:spacing w:after="20"/>
              <w:jc w:val="right"/>
            </w:pPr>
            <w:r>
              <w:rPr>
                <w:color w:val="1C3A36"/>
                <w:sz w:val="16"/>
              </w:rPr>
              <w:t>16,503</w:t>
            </w:r>
          </w:p>
        </w:tc>
        <w:tc>
          <w:tcPr>
            <w:tcW w:type="dxa" w:w="1426"/>
          </w:tcPr>
          <w:p>
            <w:pPr>
              <w:spacing w:after="20"/>
              <w:jc w:val="right"/>
            </w:pPr>
            <w:r>
              <w:rPr>
                <w:color w:val="1C3A36"/>
                <w:sz w:val="16"/>
              </w:rPr>
              <w:t>20,279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84,541</w:t>
            </w:r>
          </w:p>
        </w:tc>
        <w:tc>
          <w:tcPr>
            <w:tcW w:type="dxa" w:w="1426"/>
          </w:tcPr>
          <w:p>
            <w:pPr>
              <w:spacing w:after="20"/>
              <w:jc w:val="right"/>
            </w:pPr>
            <w:r>
              <w:rPr>
                <w:color w:val="1C3A36"/>
                <w:sz w:val="16"/>
              </w:rPr>
              <w:t>105,259</w:t>
            </w:r>
          </w:p>
        </w:tc>
        <w:tc>
          <w:tcPr>
            <w:tcW w:type="dxa" w:w="1426"/>
          </w:tcPr>
          <w:p>
            <w:pPr>
              <w:spacing w:after="20"/>
              <w:jc w:val="right"/>
            </w:pPr>
            <w:r>
              <w:rPr>
                <w:color w:val="1C3A36"/>
                <w:sz w:val="16"/>
              </w:rPr>
              <w:t>129,371</w:t>
            </w:r>
          </w:p>
        </w:tc>
        <w:tc>
          <w:tcPr>
            <w:tcW w:type="dxa" w:w="1426"/>
          </w:tcPr>
          <w:p>
            <w:pPr>
              <w:spacing w:after="20"/>
              <w:jc w:val="right"/>
            </w:pPr>
            <w:r>
              <w:rPr>
                <w:color w:val="1C3A36"/>
                <w:sz w:val="16"/>
              </w:rPr>
              <w:t>157,250</w:t>
            </w:r>
          </w:p>
        </w:tc>
        <w:tc>
          <w:tcPr>
            <w:tcW w:type="dxa" w:w="1426"/>
          </w:tcPr>
          <w:p>
            <w:pPr>
              <w:spacing w:after="20"/>
              <w:jc w:val="right"/>
            </w:pPr>
            <w:r>
              <w:rPr>
                <w:color w:val="1C3A36"/>
                <w:sz w:val="16"/>
              </w:rPr>
              <w:t>188,849</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31,382</w:t>
            </w:r>
          </w:p>
        </w:tc>
        <w:tc>
          <w:tcPr>
            <w:tcW w:type="dxa" w:w="1426"/>
          </w:tcPr>
          <w:p>
            <w:pPr>
              <w:spacing w:after="20"/>
              <w:jc w:val="right"/>
            </w:pPr>
            <w:r>
              <w:rPr>
                <w:color w:val="1C3A36"/>
                <w:sz w:val="16"/>
              </w:rPr>
              <w:t>31,501</w:t>
            </w:r>
          </w:p>
        </w:tc>
        <w:tc>
          <w:tcPr>
            <w:tcW w:type="dxa" w:w="1426"/>
          </w:tcPr>
          <w:p>
            <w:pPr>
              <w:spacing w:after="20"/>
              <w:jc w:val="right"/>
            </w:pPr>
            <w:r>
              <w:rPr>
                <w:color w:val="1C3A36"/>
                <w:sz w:val="16"/>
              </w:rPr>
              <w:t>25,582</w:t>
            </w:r>
          </w:p>
        </w:tc>
        <w:tc>
          <w:tcPr>
            <w:tcW w:type="dxa" w:w="1426"/>
          </w:tcPr>
          <w:p>
            <w:pPr>
              <w:spacing w:after="20"/>
              <w:jc w:val="right"/>
            </w:pPr>
            <w:r>
              <w:rPr>
                <w:color w:val="1C3A36"/>
                <w:sz w:val="16"/>
              </w:rPr>
              <w:t>14,987</w:t>
            </w:r>
          </w:p>
        </w:tc>
        <w:tc>
          <w:tcPr>
            <w:tcW w:type="dxa" w:w="1426"/>
          </w:tcPr>
          <w:p>
            <w:pPr>
              <w:spacing w:after="20"/>
              <w:jc w:val="right"/>
            </w:pPr>
            <w:r>
              <w:rPr>
                <w:color w:val="1C3A36"/>
                <w:sz w:val="16"/>
              </w:rPr>
              <w:t>330</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29.23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35.98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12.69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48.92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11.88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anywhere. </w:t>
      </w:r>
      <w:r>
        <w:rPr>
          <w:color w:val="1C3A36"/>
          <w:sz w:val="21"/>
        </w:rPr>
        <w:t>Neither the three audited annual statements nor the Q1-2026 interim discloses a tonnage, MVA, meter-count or backlog figure for any segment.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 approaches are run against the same disclosed facts by three notional experts, each committed to a different method and each required to state what would prove them wrong. They are not asked to agree, and they do not.</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10.2%</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41,770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13.47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127.96</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94.29 – 161.63</w:t>
            </w:r>
          </w:p>
        </w:tc>
      </w:tr>
    </w:tbl>
    <w:p>
      <w:pPr>
        <w:spacing w:after="40"/>
      </w:pPr>
    </w:p>
    <w:p>
      <w:pPr>
        <w:spacing w:after="120" w:before="0"/>
      </w:pPr>
      <w:r>
        <w:rPr>
          <w:b w:val="0"/>
          <w:i w:val="0"/>
          <w:color w:val="1C3A36"/>
          <w:sz w:val="21"/>
        </w:rPr>
        <w:t>Named sensitivity: each one-turn change in the multiple is worth EGP 13.47 per share, and each percentage point of mid-cycle EBITDA margin is worth roughly EGP 1.13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16,193</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(1,508)</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14,077</w:t>
            </w:r>
          </w:p>
        </w:tc>
      </w:tr>
      <w:tr>
        <w:tc>
          <w:tcPr>
            <w:tcW w:type="dxa" w:w="6264"/>
          </w:tcPr>
          <w:p>
            <w:pPr>
              <w:spacing w:after="20"/>
            </w:pPr>
            <w:r>
              <w:rPr>
                <w:color w:val="1C3A36"/>
                <w:sz w:val="17"/>
              </w:rPr>
              <w:t>Capitalised at cost of equity less growth</w:t>
            </w:r>
          </w:p>
        </w:tc>
        <w:tc>
          <w:tcPr>
            <w:tcW w:type="dxa" w:w="2232"/>
          </w:tcPr>
          <w:p>
            <w:pPr>
              <w:spacing w:after="20"/>
              <w:jc w:val="right"/>
            </w:pPr>
            <w:r>
              <w:rPr>
                <w:color w:val="1C3A36"/>
                <w:sz w:val="17"/>
              </w:rPr>
              <w:t>17.6% − 5%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54.96</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33.89 – 60.28</w:t>
            </w:r>
          </w:p>
        </w:tc>
      </w:tr>
    </w:tbl>
    <w:p>
      <w:pPr>
        <w:spacing w:after="40"/>
      </w:pPr>
    </w:p>
    <w:p>
      <w:pPr>
        <w:spacing w:after="120" w:before="0"/>
      </w:pPr>
      <w:r>
        <w:rPr>
          <w:b w:val="0"/>
          <w:i w:val="0"/>
          <w:color w:val="1C3A36"/>
          <w:sz w:val="21"/>
        </w:rPr>
        <w:t>This is the harshest of the three readings, at EGP 54.96,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8,592</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39,806</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141,960</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54.07</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45.07 – 78.89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18.7%</w:t>
            </w:r>
          </w:p>
        </w:tc>
        <w:tc>
          <w:tcPr>
            <w:tcW w:type="dxa" w:w="1426"/>
          </w:tcPr>
          <w:p>
            <w:pPr>
              <w:spacing w:after="20"/>
              <w:jc w:val="right"/>
            </w:pPr>
            <w:r>
              <w:rPr>
                <w:color w:val="1C3A36"/>
                <w:sz w:val="16"/>
              </w:rPr>
              <w:t>18.9%</w:t>
            </w:r>
          </w:p>
        </w:tc>
        <w:tc>
          <w:tcPr>
            <w:tcW w:type="dxa" w:w="1426"/>
          </w:tcPr>
          <w:p>
            <w:pPr>
              <w:spacing w:after="20"/>
              <w:jc w:val="right"/>
            </w:pPr>
            <w:r>
              <w:rPr>
                <w:color w:val="1C3A36"/>
                <w:sz w:val="16"/>
              </w:rPr>
              <w:t>19.1%</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19.4%</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26.6%</w:t>
            </w:r>
          </w:p>
        </w:tc>
        <w:tc>
          <w:tcPr>
            <w:tcW w:type="dxa" w:w="1426"/>
          </w:tcPr>
          <w:p>
            <w:pPr>
              <w:spacing w:after="20"/>
              <w:jc w:val="right"/>
            </w:pPr>
            <w:r>
              <w:rPr>
                <w:color w:val="1C3A36"/>
                <w:sz w:val="16"/>
              </w:rPr>
              <w:t>22.7%</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16.8%</w:t>
            </w:r>
          </w:p>
        </w:tc>
        <w:tc>
          <w:tcPr>
            <w:tcW w:type="dxa" w:w="1426"/>
          </w:tcPr>
          <w:p>
            <w:pPr>
              <w:spacing w:after="20"/>
              <w:jc w:val="right"/>
            </w:pPr>
            <w:r>
              <w:rPr>
                <w:color w:val="1C3A36"/>
                <w:sz w:val="16"/>
              </w:rPr>
              <w:t>14.8%</w:t>
            </w:r>
          </w:p>
        </w:tc>
      </w:tr>
      <w:tr>
        <w:tc>
          <w:tcPr>
            <w:tcW w:type="dxa" w:w="2952"/>
          </w:tcPr>
          <w:p>
            <w:pPr>
              <w:spacing w:after="20"/>
            </w:pPr>
            <w:r>
              <w:rPr>
                <w:color w:val="1C3A36"/>
                <w:sz w:val="16"/>
              </w:rPr>
              <w:t>Spread</w:t>
            </w:r>
          </w:p>
        </w:tc>
        <w:tc>
          <w:tcPr>
            <w:tcW w:type="dxa" w:w="1426"/>
          </w:tcPr>
          <w:p>
            <w:pPr>
              <w:spacing w:after="20"/>
              <w:jc w:val="right"/>
            </w:pPr>
            <w:r>
              <w:rPr>
                <w:color w:val="1C3A36"/>
                <w:sz w:val="16"/>
              </w:rPr>
              <w:t>-7.9pp</w:t>
            </w:r>
          </w:p>
        </w:tc>
        <w:tc>
          <w:tcPr>
            <w:tcW w:type="dxa" w:w="1426"/>
          </w:tcPr>
          <w:p>
            <w:pPr>
              <w:spacing w:after="20"/>
              <w:jc w:val="right"/>
            </w:pPr>
            <w:r>
              <w:rPr>
                <w:color w:val="1C3A36"/>
                <w:sz w:val="16"/>
              </w:rPr>
              <w:t>-3.8pp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+2.6pp</w:t>
            </w:r>
          </w:p>
        </w:tc>
        <w:tc>
          <w:tcPr>
            <w:tcW w:type="dxa" w:w="1426"/>
          </w:tcPr>
          <w:p>
            <w:pPr>
              <w:spacing w:after="20"/>
              <w:jc w:val="right"/>
            </w:pPr>
            <w:r>
              <w:rPr>
                <w:color w:val="1C3A36"/>
                <w:sz w:val="16"/>
              </w:rPr>
              <w:t>+4.6pp</w:t>
            </w:r>
          </w:p>
        </w:tc>
      </w:tr>
      <w:tr>
        <w:tc>
          <w:tcPr>
            <w:tcW w:type="dxa" w:w="2952"/>
            <w:shd w:val="clear" w:color="auto" w:fill="F6F1E6"/>
          </w:tcPr>
          <w:p>
            <w:pPr>
              <w:spacing w:after="20"/>
            </w:pPr>
            <w:r>
              <w:rPr>
                <w:b/>
                <w:color w:val="1C3A36"/>
                <w:sz w:val="16"/>
              </w:rPr>
              <w:t>Economic profit (EGP mn)</w:t>
            </w:r>
          </w:p>
        </w:tc>
        <w:tc>
          <w:tcPr>
            <w:tcW w:type="dxa" w:w="1426"/>
            <w:shd w:val="clear" w:color="auto" w:fill="F6F1E6"/>
          </w:tcPr>
          <w:p>
            <w:pPr>
              <w:spacing w:after="20"/>
              <w:jc w:val="right"/>
            </w:pPr>
            <w:r>
              <w:rPr>
                <w:b/>
                <w:color w:val="1C3A36"/>
                <w:sz w:val="16"/>
              </w:rPr>
              <w:t>-1,862</w:t>
            </w:r>
          </w:p>
        </w:tc>
        <w:tc>
          <w:tcPr>
            <w:tcW w:type="dxa" w:w="1426"/>
            <w:shd w:val="clear" w:color="auto" w:fill="F6F1E6"/>
          </w:tcPr>
          <w:p>
            <w:pPr>
              <w:spacing w:after="20"/>
              <w:jc w:val="right"/>
            </w:pPr>
            <w:r>
              <w:rPr>
                <w:b/>
                <w:color w:val="1C3A36"/>
                <w:sz w:val="16"/>
              </w:rPr>
              <w:t>-469</w:t>
            </w:r>
          </w:p>
        </w:tc>
        <w:tc>
          <w:tcPr>
            <w:tcW w:type="dxa" w:w="1426"/>
            <w:shd w:val="clear" w:color="auto" w:fill="F6F1E6"/>
          </w:tcPr>
          <w:p>
            <w:pPr>
              <w:spacing w:after="20"/>
              <w:jc w:val="right"/>
            </w:pPr>
            <w:r>
              <w:rPr>
                <w:b/>
                <w:color w:val="1C3A36"/>
                <w:sz w:val="16"/>
              </w:rPr>
              <w:t>3,350</w:t>
            </w:r>
          </w:p>
        </w:tc>
        <w:tc>
          <w:tcPr>
            <w:tcW w:type="dxa" w:w="1426"/>
            <w:shd w:val="clear" w:color="auto" w:fill="F6F1E6"/>
          </w:tcPr>
          <w:p>
            <w:pPr>
              <w:spacing w:after="20"/>
              <w:jc w:val="right"/>
            </w:pPr>
            <w:r>
              <w:rPr>
                <w:b/>
                <w:color w:val="1C3A36"/>
                <w:sz w:val="16"/>
              </w:rPr>
              <w:t>7,980</w:t>
            </w:r>
          </w:p>
        </w:tc>
        <w:tc>
          <w:tcPr>
            <w:tcW w:type="dxa" w:w="1426"/>
            <w:shd w:val="clear" w:color="auto" w:fill="F6F1E6"/>
          </w:tcPr>
          <w:p>
            <w:pPr>
              <w:spacing w:after="20"/>
              <w:jc w:val="right"/>
            </w:pPr>
            <w:r>
              <w:rPr>
                <w:b/>
                <w:color w:val="1C3A36"/>
                <w:sz w:val="16"/>
              </w:rPr>
              <w:t>12,143</w:t>
            </w:r>
          </w:p>
        </w:tc>
      </w:tr>
    </w:tbl>
    <w:p>
      <w:pPr>
        <w:spacing w:after="40"/>
      </w:pPr>
    </w:p>
    <w:p>
      <w:pPr>
        <w:spacing w:after="120" w:before="0"/>
      </w:pPr>
      <w:r>
        <w:rPr>
          <w:b w:val="0"/>
          <w:i w:val="0"/>
          <w:color w:val="1C3A36"/>
          <w:sz w:val="21"/>
        </w:rPr>
        <w:t>This table is the single most revealing exhibit in the study. The spread is negative in the early years — the group earns roughly 19%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54.96; the vertical line is the market price of 105.20.</w:t>
      </w:r>
    </w:p>
    <w:p>
      <w:pPr>
        <w:spacing w:after="120" w:before="0"/>
      </w:pPr>
      <w:r>
        <w:rPr>
          <w:b w:val="0"/>
          <w:i w:val="0"/>
          <w:color w:val="1C3A36"/>
          <w:sz w:val="21"/>
        </w:rPr>
        <w:t>The panel spans EGP 54.07 to 127.96 — a factor of 2.4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54.96 sits -48% against the market price and close to the study's own weighted central of 69.79.</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17.6%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5%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86%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