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66.53,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66.53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66.53</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-13.6%</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3.8%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terminal return on capital is 11.3% and the reinvestment rate that 7% growth requires is 62.2%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11.3% against a terminal rate of 18.3%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18.34%. This company sits at 10.52%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66.53,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