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E4E"/>
          <w:sz w:val="38"/>
        </w:rPr>
        <w:t>TALAAT MOUSTAFA GROUP HOLDING</w:t>
      </w:r>
    </w:p>
    <w:p>
      <w:pPr>
        <w:spacing w:after="40"/>
      </w:pPr>
      <w:r>
        <w:rPr>
          <w:b w:val="0"/>
          <w:i w:val="0"/>
          <w:color w:val="5B6570"/>
          <w:sz w:val="20"/>
        </w:rPr>
        <w:t>Egyptian Exchange · TMGH · reported in Egyptian pounds</w:t>
      </w:r>
    </w:p>
    <w:p>
      <w:pPr>
        <w:spacing w:after="280"/>
      </w:pPr>
      <w:r>
        <w:rPr>
          <w:b w:val="0"/>
          <w:i w:val="0"/>
          <w:color w:val="5B6570"/>
          <w:sz w:val="20"/>
        </w:rPr>
        <w:t>Valuation study · 1 September 2026</w:t>
      </w:r>
    </w:p>
    <w:p>
      <w:pPr>
        <w:pStyle w:val="Heading1"/>
      </w:pPr>
      <w:r>
        <w:t>Read first</w:t>
      </w:r>
    </w:p>
    <w:p>
      <w:pPr>
        <w:spacing w:after="140"/>
      </w:pPr>
      <w:r>
        <w:rPr>
          <w:b w:val="0"/>
          <w:i w:val="0"/>
          <w:color w:val="1A1D21"/>
          <w:sz w:val="20"/>
        </w:rPr>
        <w:t>This document sets out a range of values for one company and the reasoning behind it. It is not advice, it does not tell anyone to buy or sell anything, and it contains no target price. Where a judgement could reasonably be made two ways, both are shown and neither is averaged into the other.</w:t>
      </w:r>
    </w:p>
    <w:p>
      <w:pPr>
        <w:spacing w:after="140"/>
      </w:pPr>
      <w:r>
        <w:rPr>
          <w:b w:val="0"/>
          <w:i w:val="0"/>
          <w:color w:val="1A1D21"/>
          <w:sz w:val="20"/>
        </w:rPr>
        <w:t>Three things are worth knowing before the numbers.</w:t>
      </w:r>
    </w:p>
    <w:p>
      <w:pPr>
        <w:pStyle w:val="ListBullet"/>
        <w:spacing w:after="60"/>
      </w:pPr>
      <w:r>
        <w:rPr>
          <w:color w:val="1A1D21"/>
          <w:sz w:val="20"/>
        </w:rPr>
        <w:t>The discount rate does most of the work. On the method used here it is 35.79%. The June 2026 edition of this study used 18%, which is below the Egyptian government's own ten-year borrowing cost of 23.00% and therefore cannot be a rate for a company that pays tax to that government. Almost the whole difference between the two editions is this one input, and section 1.9 prices it end to end.</w:t>
      </w:r>
    </w:p>
    <w:p>
      <w:pPr>
        <w:pStyle w:val="ListBullet"/>
        <w:spacing w:after="60"/>
      </w:pPr>
      <w:r>
        <w:rPr>
          <w:color w:val="1A1D21"/>
          <w:sz w:val="20"/>
        </w:rPr>
        <w:t>The order book is enormous and slow. TMG had sold but not yet handed over EGP 491.0 billion of property at 30 June 2026, against EGP 17.0 billion of development revenue recognised in the first half. How fast that converts is the single question this study cannot settle from what the company publishes, so it is answered both ways throughout.</w:t>
      </w:r>
    </w:p>
    <w:p>
      <w:pPr>
        <w:pStyle w:val="ListBullet"/>
        <w:spacing w:after="60"/>
      </w:pPr>
      <w:r>
        <w:rPr>
          <w:color w:val="1A1D21"/>
          <w:sz w:val="20"/>
        </w:rPr>
        <w:t>Nearly half the group does not belong to TMG's shareholders. Non-controlling interests are 45.2% of consolidated equity after the 2024 hotel acquisition and the project-company structures. Every value here is shown with that minority deducted two different ways.</w:t>
      </w:r>
    </w:p>
    <w:p>
      <w:pPr>
        <w:spacing w:after="140"/>
      </w:pPr>
      <w:r>
        <w:rPr>
          <w:b w:val="0"/>
          <w:i/>
          <w:color w:val="5B6570"/>
          <w:sz w:val="20"/>
        </w:rPr>
        <w:t>Every figure about the company comes from its own audited or reviewed financial statements, or from documents it published itself. Where something is not disclosed, this study says so rather than estimating it.</w:t>
      </w:r>
    </w:p>
    <w:p>
      <w:r>
        <w:br w:type="page"/>
      </w:r>
    </w:p>
    <w:p>
      <w:pPr>
        <w:pStyle w:val="Heading1"/>
      </w:pPr>
      <w:r>
        <w:t>Headline</w:t>
      </w:r>
    </w:p>
    <w:p>
      <w:pPr>
        <w:spacing w:after="140"/>
      </w:pPr>
      <w:r>
        <w:rPr>
          <w:b/>
          <w:i w:val="0"/>
          <w:color w:val="1A1D21"/>
          <w:sz w:val="23"/>
        </w:rPr>
        <w:t>On the method used here, Talaat Moustafa Group Holding is worth between EGP 43.94 and EGP 69.95 a share. The shares last traded at EGP 97.80.</w:t>
      </w:r>
    </w:p>
    <w:p>
      <w:pPr>
        <w:spacing w:after="140"/>
      </w:pPr>
      <w:r>
        <w:rPr>
          <w:b w:val="0"/>
          <w:i w:val="0"/>
          <w:color w:val="1A1D21"/>
          <w:sz w:val="20"/>
        </w:rPr>
        <w:t>That range is the envelope of four published cases: two ways of measuring Egypt's equity risk premium, crossed with two readings of how fast the order book converts, each shown with the minority interest deducted at book value and proportionally. The cases are not averaged, because averaging two answers to a question nobody has settled produces a number that was true in neither.</w:t>
      </w:r>
    </w:p>
    <w:p>
      <w:pPr>
        <w:spacing w:after="140"/>
      </w:pPr>
      <w:r>
        <w:rPr>
          <w:b w:val="0"/>
          <w:i w:val="0"/>
          <w:color w:val="1A1D21"/>
          <w:sz w:val="20"/>
        </w:rPr>
        <w:t>Run the same model backwards and ask what discount rate would reproduce the traded price, and the answer is 29.1% to 26.5%. That is close to what the Egyptian government itself pays to borrow for ten years, and it is well below the 35.79% this study uses. The gap is the disagreement, and it is reported rather than resolved.</w:t>
      </w:r>
    </w:p>
    <w:p>
      <w:pPr>
        <w:jc w:val="center"/>
      </w:pPr>
      <w:r>
        <w:drawing>
          <wp:inline xmlns:a="http://schemas.openxmlformats.org/drawingml/2006/main" xmlns:pic="http://schemas.openxmlformats.org/drawingml/2006/picture">
            <wp:extent cx="5832000" cy="2848186"/>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848186"/>
                    </a:xfrm>
                    <a:prstGeom prst="rect"/>
                  </pic:spPr>
                </pic:pic>
              </a:graphicData>
            </a:graphic>
          </wp:inline>
        </w:drawing>
      </w:r>
    </w:p>
    <w:p>
      <w:pPr>
        <w:spacing w:after="240"/>
        <w:jc w:val="center"/>
      </w:pPr>
      <w:r>
        <w:rPr>
          <w:b w:val="0"/>
          <w:i/>
          <w:color w:val="5B6570"/>
          <w:sz w:val="16"/>
        </w:rPr>
        <w:t>Every lens in this study, and the price the market is paying. The four dark bars are the cases this study publishes; the lighter bars are the cross-checks.</w:t>
      </w:r>
    </w:p>
    <w:p>
      <w:pPr>
        <w:pStyle w:val="Heading1"/>
      </w:pPr>
      <w:r>
        <w:t>Valuation summary</w:t>
      </w:r>
    </w:p>
    <w:tbl>
      <w:tblPr>
        <w:tblStyle w:val="TableGrid"/>
        <w:tblW w:type="auto" w:w="0"/>
        <w:jc w:val="center"/>
        <w:tblLayout w:type="fixed"/>
        <w:tblLook w:firstColumn="1" w:firstRow="1" w:lastColumn="0" w:lastRow="0" w:noHBand="0" w:noVBand="1" w:val="04A0"/>
        <w:tblLayout w:type="fixed"/>
      </w:tblPr>
      <w:tblGrid>
        <w:gridCol w:w="2155"/>
        <w:gridCol w:w="1077"/>
        <w:gridCol w:w="1418"/>
        <w:gridCol w:w="1304"/>
        <w:gridCol w:w="1644"/>
        <w:gridCol w:w="1588"/>
      </w:tblGrid>
      <w:tr>
        <w:trPr>
          <w:tblHeader w:val="true"/>
        </w:trPr>
        <w:tc>
          <w:tcPr>
            <w:tcW w:type="dxa" w:w="2154"/>
          </w:tcPr>
          <w:p>
            <w:r/>
            <w:r>
              <w:rPr>
                <w:b/>
                <w:color w:val="5B6570"/>
                <w:sz w:val="17"/>
              </w:rPr>
              <w:t>Case</w:t>
            </w:r>
          </w:p>
        </w:tc>
        <w:tc>
          <w:tcPr>
            <w:tcW w:type="dxa" w:w="1077"/>
          </w:tcPr>
          <w:p>
            <w:r/>
            <w:r>
              <w:rPr>
                <w:b/>
                <w:color w:val="5B6570"/>
                <w:sz w:val="17"/>
              </w:rPr>
              <w:t>Discount rate</w:t>
            </w:r>
          </w:p>
        </w:tc>
        <w:tc>
          <w:tcPr>
            <w:tcW w:type="dxa" w:w="1417"/>
          </w:tcPr>
          <w:p>
            <w:r/>
            <w:r>
              <w:rPr>
                <w:b/>
                <w:color w:val="5B6570"/>
                <w:sz w:val="17"/>
              </w:rPr>
              <w:t>Enterprise value</w:t>
            </w:r>
          </w:p>
        </w:tc>
        <w:tc>
          <w:tcPr>
            <w:tcW w:type="dxa" w:w="1304"/>
          </w:tcPr>
          <w:p>
            <w:r/>
            <w:r>
              <w:rPr>
                <w:b/>
                <w:color w:val="5B6570"/>
                <w:sz w:val="17"/>
              </w:rPr>
              <w:t>Equity value</w:t>
            </w:r>
          </w:p>
        </w:tc>
        <w:tc>
          <w:tcPr>
            <w:tcW w:type="dxa" w:w="1644"/>
          </w:tcPr>
          <w:p>
            <w:r/>
            <w:r>
              <w:rPr>
                <w:b/>
                <w:color w:val="5B6570"/>
                <w:sz w:val="17"/>
              </w:rPr>
              <w:t>Per share, minority at book</w:t>
            </w:r>
          </w:p>
        </w:tc>
        <w:tc>
          <w:tcPr>
            <w:tcW w:type="dxa" w:w="1587"/>
          </w:tcPr>
          <w:p>
            <w:r/>
            <w:r>
              <w:rPr>
                <w:b/>
                <w:color w:val="5B6570"/>
                <w:sz w:val="17"/>
              </w:rPr>
              <w:t>Per share, minority pro rata</w:t>
            </w:r>
          </w:p>
        </w:tc>
      </w:tr>
      <w:tr>
        <w:trPr>
          <w:cantSplit/>
        </w:trPr>
        <w:tc>
          <w:tcPr>
            <w:tcW w:type="dxa" w:w="2154"/>
          </w:tcPr>
          <w:p>
            <w:r/>
            <w:r>
              <w:rPr>
                <w:color w:val="1A1D21"/>
                <w:sz w:val="17"/>
              </w:rPr>
              <w:t>Rating-based premium, slower conversion</w:t>
            </w:r>
          </w:p>
        </w:tc>
        <w:tc>
          <w:tcPr>
            <w:tcW w:type="dxa" w:w="1077"/>
          </w:tcPr>
          <w:p>
            <w:pPr>
              <w:jc w:val="right"/>
            </w:pPr>
            <w:r/>
            <w:r>
              <w:rPr>
                <w:color w:val="1A1D21"/>
                <w:sz w:val="17"/>
              </w:rPr>
              <w:t>35.79%</w:t>
            </w:r>
          </w:p>
        </w:tc>
        <w:tc>
          <w:tcPr>
            <w:tcW w:type="dxa" w:w="1417"/>
          </w:tcPr>
          <w:p>
            <w:pPr>
              <w:jc w:val="right"/>
            </w:pPr>
            <w:r/>
            <w:r>
              <w:rPr>
                <w:color w:val="1A1D21"/>
                <w:sz w:val="17"/>
              </w:rPr>
              <w:t>78,903</w:t>
            </w:r>
          </w:p>
        </w:tc>
        <w:tc>
          <w:tcPr>
            <w:tcW w:type="dxa" w:w="1304"/>
          </w:tcPr>
          <w:p>
            <w:pPr>
              <w:jc w:val="right"/>
            </w:pPr>
            <w:r/>
            <w:r>
              <w:rPr>
                <w:color w:val="1A1D21"/>
                <w:sz w:val="17"/>
              </w:rPr>
              <w:t>90,544</w:t>
            </w:r>
          </w:p>
        </w:tc>
        <w:tc>
          <w:tcPr>
            <w:tcW w:type="dxa" w:w="1644"/>
          </w:tcPr>
          <w:p>
            <w:pPr>
              <w:jc w:val="right"/>
            </w:pPr>
            <w:r/>
            <w:r>
              <w:rPr>
                <w:color w:val="1A1D21"/>
                <w:sz w:val="17"/>
              </w:rPr>
              <w:t>43.94</w:t>
            </w:r>
          </w:p>
        </w:tc>
        <w:tc>
          <w:tcPr>
            <w:tcW w:type="dxa" w:w="1587"/>
          </w:tcPr>
          <w:p>
            <w:pPr>
              <w:jc w:val="right"/>
            </w:pPr>
            <w:r/>
            <w:r>
              <w:rPr>
                <w:color w:val="1A1D21"/>
                <w:sz w:val="17"/>
              </w:rPr>
              <w:t>44.19</w:t>
            </w:r>
          </w:p>
        </w:tc>
      </w:tr>
      <w:tr>
        <w:trPr>
          <w:cantSplit/>
        </w:trPr>
        <w:tc>
          <w:tcPr>
            <w:tcW w:type="dxa" w:w="2154"/>
          </w:tcPr>
          <w:p>
            <w:r/>
            <w:r>
              <w:rPr>
                <w:color w:val="1A1D21"/>
                <w:sz w:val="17"/>
              </w:rPr>
              <w:t>Rating-based premium, faster conversion</w:t>
            </w:r>
          </w:p>
        </w:tc>
        <w:tc>
          <w:tcPr>
            <w:tcW w:type="dxa" w:w="1077"/>
          </w:tcPr>
          <w:p>
            <w:pPr>
              <w:jc w:val="right"/>
            </w:pPr>
            <w:r/>
            <w:r>
              <w:rPr>
                <w:color w:val="1A1D21"/>
                <w:sz w:val="17"/>
              </w:rPr>
              <w:t>35.79%</w:t>
            </w:r>
          </w:p>
        </w:tc>
        <w:tc>
          <w:tcPr>
            <w:tcW w:type="dxa" w:w="1417"/>
          </w:tcPr>
          <w:p>
            <w:pPr>
              <w:jc w:val="right"/>
            </w:pPr>
            <w:r/>
            <w:r>
              <w:rPr>
                <w:color w:val="1A1D21"/>
                <w:sz w:val="17"/>
              </w:rPr>
              <w:t>99,795</w:t>
            </w:r>
          </w:p>
        </w:tc>
        <w:tc>
          <w:tcPr>
            <w:tcW w:type="dxa" w:w="1304"/>
          </w:tcPr>
          <w:p>
            <w:pPr>
              <w:jc w:val="right"/>
            </w:pPr>
            <w:r/>
            <w:r>
              <w:rPr>
                <w:color w:val="1A1D21"/>
                <w:sz w:val="17"/>
              </w:rPr>
              <w:t>111,436</w:t>
            </w:r>
          </w:p>
        </w:tc>
        <w:tc>
          <w:tcPr>
            <w:tcW w:type="dxa" w:w="1644"/>
          </w:tcPr>
          <w:p>
            <w:pPr>
              <w:jc w:val="right"/>
            </w:pPr>
            <w:r/>
            <w:r>
              <w:rPr>
                <w:color w:val="1A1D21"/>
                <w:sz w:val="17"/>
              </w:rPr>
              <w:t>54.08</w:t>
            </w:r>
          </w:p>
        </w:tc>
        <w:tc>
          <w:tcPr>
            <w:tcW w:type="dxa" w:w="1587"/>
          </w:tcPr>
          <w:p>
            <w:pPr>
              <w:jc w:val="right"/>
            </w:pPr>
            <w:r/>
            <w:r>
              <w:rPr>
                <w:color w:val="1A1D21"/>
                <w:sz w:val="17"/>
              </w:rPr>
              <w:t>49.74</w:t>
            </w:r>
          </w:p>
        </w:tc>
      </w:tr>
      <w:tr>
        <w:trPr>
          <w:cantSplit/>
        </w:trPr>
        <w:tc>
          <w:tcPr>
            <w:tcW w:type="dxa" w:w="2154"/>
          </w:tcPr>
          <w:p>
            <w:r/>
            <w:r>
              <w:rPr>
                <w:color w:val="1A1D21"/>
                <w:sz w:val="17"/>
              </w:rPr>
              <w:t>Credit-default-swap premium, slower conversion</w:t>
            </w:r>
          </w:p>
        </w:tc>
        <w:tc>
          <w:tcPr>
            <w:tcW w:type="dxa" w:w="1077"/>
          </w:tcPr>
          <w:p>
            <w:pPr>
              <w:jc w:val="right"/>
            </w:pPr>
            <w:r/>
            <w:r>
              <w:rPr>
                <w:color w:val="1A1D21"/>
                <w:sz w:val="17"/>
              </w:rPr>
              <w:t>32.37%</w:t>
            </w:r>
          </w:p>
        </w:tc>
        <w:tc>
          <w:tcPr>
            <w:tcW w:type="dxa" w:w="1417"/>
          </w:tcPr>
          <w:p>
            <w:pPr>
              <w:jc w:val="right"/>
            </w:pPr>
            <w:r/>
            <w:r>
              <w:rPr>
                <w:color w:val="1A1D21"/>
                <w:sz w:val="17"/>
              </w:rPr>
              <w:t>100,442</w:t>
            </w:r>
          </w:p>
        </w:tc>
        <w:tc>
          <w:tcPr>
            <w:tcW w:type="dxa" w:w="1304"/>
          </w:tcPr>
          <w:p>
            <w:pPr>
              <w:jc w:val="right"/>
            </w:pPr>
            <w:r/>
            <w:r>
              <w:rPr>
                <w:color w:val="1A1D21"/>
                <w:sz w:val="17"/>
              </w:rPr>
              <w:t>112,083</w:t>
            </w:r>
          </w:p>
        </w:tc>
        <w:tc>
          <w:tcPr>
            <w:tcW w:type="dxa" w:w="1644"/>
          </w:tcPr>
          <w:p>
            <w:pPr>
              <w:jc w:val="right"/>
            </w:pPr>
            <w:r/>
            <w:r>
              <w:rPr>
                <w:color w:val="1A1D21"/>
                <w:sz w:val="17"/>
              </w:rPr>
              <w:t>54.39</w:t>
            </w:r>
          </w:p>
        </w:tc>
        <w:tc>
          <w:tcPr>
            <w:tcW w:type="dxa" w:w="1587"/>
          </w:tcPr>
          <w:p>
            <w:pPr>
              <w:jc w:val="right"/>
            </w:pPr>
            <w:r/>
            <w:r>
              <w:rPr>
                <w:color w:val="1A1D21"/>
                <w:sz w:val="17"/>
              </w:rPr>
              <w:t>49.91</w:t>
            </w:r>
          </w:p>
        </w:tc>
      </w:tr>
      <w:tr>
        <w:trPr>
          <w:cantSplit/>
        </w:trPr>
        <w:tc>
          <w:tcPr>
            <w:tcW w:type="dxa" w:w="2154"/>
          </w:tcPr>
          <w:p>
            <w:r/>
            <w:r>
              <w:rPr>
                <w:color w:val="1A1D21"/>
                <w:sz w:val="17"/>
              </w:rPr>
              <w:t>Credit-default-swap premium, faster conversion</w:t>
            </w:r>
          </w:p>
        </w:tc>
        <w:tc>
          <w:tcPr>
            <w:tcW w:type="dxa" w:w="1077"/>
          </w:tcPr>
          <w:p>
            <w:pPr>
              <w:jc w:val="right"/>
            </w:pPr>
            <w:r/>
            <w:r>
              <w:rPr>
                <w:color w:val="1A1D21"/>
                <w:sz w:val="17"/>
              </w:rPr>
              <w:t>32.37%</w:t>
            </w:r>
          </w:p>
        </w:tc>
        <w:tc>
          <w:tcPr>
            <w:tcW w:type="dxa" w:w="1417"/>
          </w:tcPr>
          <w:p>
            <w:pPr>
              <w:jc w:val="right"/>
            </w:pPr>
            <w:r/>
            <w:r>
              <w:rPr>
                <w:color w:val="1A1D21"/>
                <w:sz w:val="17"/>
              </w:rPr>
              <w:t>132,506</w:t>
            </w:r>
          </w:p>
        </w:tc>
        <w:tc>
          <w:tcPr>
            <w:tcW w:type="dxa" w:w="1304"/>
          </w:tcPr>
          <w:p>
            <w:pPr>
              <w:jc w:val="right"/>
            </w:pPr>
            <w:r/>
            <w:r>
              <w:rPr>
                <w:color w:val="1A1D21"/>
                <w:sz w:val="17"/>
              </w:rPr>
              <w:t>144,147</w:t>
            </w:r>
          </w:p>
        </w:tc>
        <w:tc>
          <w:tcPr>
            <w:tcW w:type="dxa" w:w="1644"/>
          </w:tcPr>
          <w:p>
            <w:pPr>
              <w:jc w:val="right"/>
            </w:pPr>
            <w:r/>
            <w:r>
              <w:rPr>
                <w:color w:val="1A1D21"/>
                <w:sz w:val="17"/>
              </w:rPr>
              <w:t>69.95</w:t>
            </w:r>
          </w:p>
        </w:tc>
        <w:tc>
          <w:tcPr>
            <w:tcW w:type="dxa" w:w="1587"/>
          </w:tcPr>
          <w:p>
            <w:pPr>
              <w:jc w:val="right"/>
            </w:pPr>
            <w:r/>
            <w:r>
              <w:rPr>
                <w:color w:val="1A1D21"/>
                <w:sz w:val="17"/>
              </w:rPr>
              <w:t>58.44</w:t>
            </w:r>
          </w:p>
        </w:tc>
      </w:tr>
    </w:tbl>
    <w:p>
      <w:pPr>
        <w:spacing w:after="200"/>
      </w:pPr>
      <w:r>
        <w:rPr>
          <w:b w:val="0"/>
          <w:i/>
          <w:color w:val="5B6570"/>
          <w:sz w:val="16"/>
        </w:rPr>
        <w:t>All values in EGP million except per-share figures, which are in EGP. The four cases are published side by side and never averaged.</w:t>
      </w:r>
    </w:p>
    <w:p>
      <w:pPr>
        <w:spacing w:after="140"/>
      </w:pPr>
      <w:r>
        <w:rPr>
          <w:b w:val="0"/>
          <w:i w:val="0"/>
          <w:color w:val="1A1D21"/>
          <w:sz w:val="20"/>
        </w:rPr>
        <w:t>The other lenses, as cross-checks:</w:t>
      </w:r>
    </w:p>
    <w:tbl>
      <w:tblPr>
        <w:tblStyle w:val="TableGrid"/>
        <w:tblW w:type="auto" w:w="0"/>
        <w:jc w:val="center"/>
        <w:tblLayout w:type="fixed"/>
        <w:tblLook w:firstColumn="1" w:firstRow="1" w:lastColumn="0" w:lastRow="0" w:noHBand="0" w:noVBand="1" w:val="04A0"/>
        <w:tblLayout w:type="fixed"/>
      </w:tblPr>
      <w:tblGrid>
        <w:gridCol w:w="2608"/>
        <w:gridCol w:w="4763"/>
        <w:gridCol w:w="1814"/>
      </w:tblGrid>
      <w:tr>
        <w:trPr>
          <w:tblHeader w:val="true"/>
        </w:trPr>
        <w:tc>
          <w:tcPr>
            <w:tcW w:type="dxa" w:w="2608"/>
          </w:tcPr>
          <w:p>
            <w:r/>
            <w:r>
              <w:rPr>
                <w:b/>
                <w:color w:val="5B6570"/>
                <w:sz w:val="17"/>
              </w:rPr>
              <w:t>Cross-check</w:t>
            </w:r>
          </w:p>
        </w:tc>
        <w:tc>
          <w:tcPr>
            <w:tcW w:type="dxa" w:w="4762"/>
          </w:tcPr>
          <w:p>
            <w:r/>
            <w:r>
              <w:rPr>
                <w:b/>
                <w:color w:val="5B6570"/>
                <w:sz w:val="17"/>
              </w:rPr>
              <w:t>What it measures</w:t>
            </w:r>
          </w:p>
        </w:tc>
        <w:tc>
          <w:tcPr>
            <w:tcW w:type="dxa" w:w="1814"/>
          </w:tcPr>
          <w:p>
            <w:r/>
            <w:r>
              <w:rPr>
                <w:b/>
                <w:color w:val="5B6570"/>
                <w:sz w:val="17"/>
              </w:rPr>
              <w:t>EGP per share</w:t>
            </w:r>
          </w:p>
        </w:tc>
      </w:tr>
      <w:tr>
        <w:trPr>
          <w:cantSplit/>
        </w:trPr>
        <w:tc>
          <w:tcPr>
            <w:tcW w:type="dxa" w:w="2608"/>
          </w:tcPr>
          <w:p>
            <w:r/>
            <w:r>
              <w:rPr>
                <w:color w:val="1A1D21"/>
                <w:sz w:val="17"/>
              </w:rPr>
              <w:t>Book value and the return earned on it</w:t>
            </w:r>
          </w:p>
        </w:tc>
        <w:tc>
          <w:tcPr>
            <w:tcW w:type="dxa" w:w="4762"/>
          </w:tcPr>
          <w:p>
            <w:r/>
            <w:r>
              <w:rPr>
                <w:color w:val="1A1D21"/>
                <w:sz w:val="17"/>
              </w:rPr>
              <w:t>the company's return on equity of 16.7% against a cost of equity of 37.1%</w:t>
            </w:r>
          </w:p>
        </w:tc>
        <w:tc>
          <w:tcPr>
            <w:tcW w:type="dxa" w:w="1814"/>
          </w:tcPr>
          <w:p>
            <w:r/>
            <w:r>
              <w:rPr>
                <w:color w:val="1A1D21"/>
                <w:sz w:val="17"/>
              </w:rPr>
              <w:t>3.33 – 12.63</w:t>
            </w:r>
          </w:p>
        </w:tc>
      </w:tr>
      <w:tr>
        <w:trPr>
          <w:cantSplit/>
        </w:trPr>
        <w:tc>
          <w:tcPr>
            <w:tcW w:type="dxa" w:w="2608"/>
          </w:tcPr>
          <w:p>
            <w:r/>
            <w:r>
              <w:rPr>
                <w:color w:val="1A1D21"/>
                <w:sz w:val="17"/>
              </w:rPr>
              <w:t>Normalised earnings power</w:t>
            </w:r>
          </w:p>
        </w:tc>
        <w:tc>
          <w:tcPr>
            <w:tcW w:type="dxa" w:w="4762"/>
          </w:tcPr>
          <w:p>
            <w:r/>
            <w:r>
              <w:rPr>
                <w:color w:val="1A1D21"/>
                <w:sz w:val="17"/>
              </w:rPr>
              <w:t>three years' attributable profit with revaluation gains stripped, capitalised</w:t>
            </w:r>
          </w:p>
        </w:tc>
        <w:tc>
          <w:tcPr>
            <w:tcW w:type="dxa" w:w="1814"/>
          </w:tcPr>
          <w:p>
            <w:r/>
            <w:r>
              <w:rPr>
                <w:color w:val="1A1D21"/>
                <w:sz w:val="17"/>
              </w:rPr>
              <w:t>15.44 – 23.77</w:t>
            </w:r>
          </w:p>
        </w:tc>
      </w:tr>
      <w:tr>
        <w:trPr>
          <w:cantSplit/>
        </w:trPr>
        <w:tc>
          <w:tcPr>
            <w:tcW w:type="dxa" w:w="2608"/>
          </w:tcPr>
          <w:p>
            <w:r/>
            <w:r>
              <w:rPr>
                <w:color w:val="1A1D21"/>
                <w:sz w:val="17"/>
              </w:rPr>
              <w:t>Its own history of multiples</w:t>
            </w:r>
          </w:p>
        </w:tc>
        <w:tc>
          <w:tcPr>
            <w:tcW w:type="dxa" w:w="4762"/>
          </w:tcPr>
          <w:p>
            <w:r/>
            <w:r>
              <w:rPr>
                <w:color w:val="1A1D21"/>
                <w:sz w:val="17"/>
              </w:rPr>
              <w:t>the range of price-to-earnings multiples the shares have actually carried, 8.9 to 15.2 times, on normalised earnings of EGP 3.81</w:t>
            </w:r>
          </w:p>
        </w:tc>
        <w:tc>
          <w:tcPr>
            <w:tcW w:type="dxa" w:w="1814"/>
          </w:tcPr>
          <w:p>
            <w:r/>
            <w:r>
              <w:rPr>
                <w:color w:val="1A1D21"/>
                <w:sz w:val="17"/>
              </w:rPr>
              <w:t>34.04 – 58.00</w:t>
            </w:r>
          </w:p>
        </w:tc>
      </w:tr>
    </w:tbl>
    <w:p>
      <w:pPr>
        <w:spacing w:after="80"/>
      </w:pPr>
      <w:r>
        <w:rPr>
          <w:b w:val="0"/>
          <w:i w:val="0"/>
          <w:color w:val="1A1D21"/>
          <w:sz w:val="8"/>
        </w:rPr>
      </w:r>
    </w:p>
    <w:p>
      <w:pPr>
        <w:pStyle w:val="Heading1"/>
      </w:pPr>
      <w:r>
        <w:t>Company overview</w:t>
      </w:r>
    </w:p>
    <w:p>
      <w:pPr>
        <w:spacing w:after="140"/>
      </w:pPr>
      <w:r>
        <w:rPr>
          <w:b w:val="0"/>
          <w:i w:val="0"/>
          <w:color w:val="1A1D21"/>
          <w:sz w:val="20"/>
        </w:rPr>
        <w:t>Talaat Moustafa Group Holding is Egypt's largest listed developer and manager of integrated communities, and it has been publicly held since 2007. It runs three businesses inside one holding company.</w:t>
      </w:r>
    </w:p>
    <w:tbl>
      <w:tblPr>
        <w:tblStyle w:val="TableGrid"/>
        <w:tblW w:type="auto" w:w="0"/>
        <w:jc w:val="center"/>
        <w:tblLayout w:type="fixed"/>
        <w:tblLook w:firstColumn="1" w:firstRow="1" w:lastColumn="0" w:lastRow="0" w:noHBand="0" w:noVBand="1" w:val="04A0"/>
        <w:tblLayout w:type="fixed"/>
      </w:tblPr>
      <w:tblGrid>
        <w:gridCol w:w="1814"/>
        <w:gridCol w:w="1247"/>
        <w:gridCol w:w="1077"/>
        <w:gridCol w:w="1474"/>
        <w:gridCol w:w="3572"/>
      </w:tblGrid>
      <w:tr>
        <w:trPr>
          <w:tblHeader w:val="true"/>
        </w:trPr>
        <w:tc>
          <w:tcPr>
            <w:tcW w:type="dxa" w:w="1814"/>
          </w:tcPr>
          <w:p>
            <w:r/>
            <w:r>
              <w:rPr>
                <w:b/>
                <w:color w:val="5B6570"/>
                <w:sz w:val="17"/>
              </w:rPr>
              <w:t>Business</w:t>
            </w:r>
          </w:p>
        </w:tc>
        <w:tc>
          <w:tcPr>
            <w:tcW w:type="dxa" w:w="1247"/>
          </w:tcPr>
          <w:p>
            <w:r/>
            <w:r>
              <w:rPr>
                <w:b/>
                <w:color w:val="5B6570"/>
                <w:sz w:val="17"/>
              </w:rPr>
              <w:t>FY2025 revenue</w:t>
            </w:r>
          </w:p>
        </w:tc>
        <w:tc>
          <w:tcPr>
            <w:tcW w:type="dxa" w:w="1077"/>
          </w:tcPr>
          <w:p>
            <w:r/>
            <w:r>
              <w:rPr>
                <w:b/>
                <w:color w:val="5B6570"/>
                <w:sz w:val="17"/>
              </w:rPr>
              <w:t>Share of revenue</w:t>
            </w:r>
          </w:p>
        </w:tc>
        <w:tc>
          <w:tcPr>
            <w:tcW w:type="dxa" w:w="1474"/>
          </w:tcPr>
          <w:p>
            <w:r/>
            <w:r>
              <w:rPr>
                <w:b/>
                <w:color w:val="5B6570"/>
                <w:sz w:val="17"/>
              </w:rPr>
              <w:t>Gross margin, first half 2026</w:t>
            </w:r>
          </w:p>
        </w:tc>
        <w:tc>
          <w:tcPr>
            <w:tcW w:type="dxa" w:w="3572"/>
          </w:tcPr>
          <w:p>
            <w:r/>
            <w:r>
              <w:rPr>
                <w:b/>
                <w:color w:val="5B6570"/>
                <w:sz w:val="17"/>
              </w:rPr>
              <w:t>What it is</w:t>
            </w:r>
          </w:p>
        </w:tc>
      </w:tr>
      <w:tr>
        <w:trPr>
          <w:cantSplit/>
        </w:trPr>
        <w:tc>
          <w:tcPr>
            <w:tcW w:type="dxa" w:w="1814"/>
          </w:tcPr>
          <w:p>
            <w:r/>
            <w:r>
              <w:rPr>
                <w:color w:val="1A1D21"/>
                <w:sz w:val="17"/>
              </w:rPr>
              <w:t>Real-estate development</w:t>
            </w:r>
          </w:p>
        </w:tc>
        <w:tc>
          <w:tcPr>
            <w:tcW w:type="dxa" w:w="1247"/>
          </w:tcPr>
          <w:p>
            <w:pPr>
              <w:jc w:val="right"/>
            </w:pPr>
            <w:r/>
            <w:r>
              <w:rPr>
                <w:color w:val="1A1D21"/>
                <w:sz w:val="17"/>
              </w:rPr>
              <w:t>36,706</w:t>
            </w:r>
          </w:p>
        </w:tc>
        <w:tc>
          <w:tcPr>
            <w:tcW w:type="dxa" w:w="1077"/>
          </w:tcPr>
          <w:p>
            <w:pPr>
              <w:jc w:val="right"/>
            </w:pPr>
            <w:r/>
            <w:r>
              <w:rPr>
                <w:color w:val="1A1D21"/>
                <w:sz w:val="17"/>
              </w:rPr>
              <w:t>59%</w:t>
            </w:r>
          </w:p>
        </w:tc>
        <w:tc>
          <w:tcPr>
            <w:tcW w:type="dxa" w:w="1474"/>
          </w:tcPr>
          <w:p>
            <w:pPr>
              <w:jc w:val="right"/>
            </w:pPr>
            <w:r/>
            <w:r>
              <w:rPr>
                <w:color w:val="1A1D21"/>
                <w:sz w:val="17"/>
              </w:rPr>
              <w:t>26.6%</w:t>
            </w:r>
          </w:p>
        </w:tc>
        <w:tc>
          <w:tcPr>
            <w:tcW w:type="dxa" w:w="3572"/>
          </w:tcPr>
          <w:p>
            <w:r/>
            <w:r>
              <w:rPr>
                <w:color w:val="1A1D21"/>
                <w:sz w:val="17"/>
              </w:rPr>
              <w:t>Madinaty, Al Rehab, Celia, SouthMed, The Spine and, from 2025, Banan in Saudi Arabia</w:t>
            </w:r>
          </w:p>
        </w:tc>
      </w:tr>
      <w:tr>
        <w:trPr>
          <w:cantSplit/>
        </w:trPr>
        <w:tc>
          <w:tcPr>
            <w:tcW w:type="dxa" w:w="1814"/>
          </w:tcPr>
          <w:p>
            <w:r/>
            <w:r>
              <w:rPr>
                <w:color w:val="1A1D21"/>
                <w:sz w:val="17"/>
              </w:rPr>
              <w:t>Hospitality</w:t>
            </w:r>
          </w:p>
        </w:tc>
        <w:tc>
          <w:tcPr>
            <w:tcW w:type="dxa" w:w="1247"/>
          </w:tcPr>
          <w:p>
            <w:pPr>
              <w:jc w:val="right"/>
            </w:pPr>
            <w:r/>
            <w:r>
              <w:rPr>
                <w:color w:val="1A1D21"/>
                <w:sz w:val="17"/>
              </w:rPr>
              <w:t>14,890</w:t>
            </w:r>
          </w:p>
        </w:tc>
        <w:tc>
          <w:tcPr>
            <w:tcW w:type="dxa" w:w="1077"/>
          </w:tcPr>
          <w:p>
            <w:pPr>
              <w:jc w:val="right"/>
            </w:pPr>
            <w:r/>
            <w:r>
              <w:rPr>
                <w:color w:val="1A1D21"/>
                <w:sz w:val="17"/>
              </w:rPr>
              <w:t>24%</w:t>
            </w:r>
          </w:p>
        </w:tc>
        <w:tc>
          <w:tcPr>
            <w:tcW w:type="dxa" w:w="1474"/>
          </w:tcPr>
          <w:p>
            <w:pPr>
              <w:jc w:val="right"/>
            </w:pPr>
            <w:r/>
            <w:r>
              <w:rPr>
                <w:color w:val="1A1D21"/>
                <w:sz w:val="17"/>
              </w:rPr>
              <w:t>45.4%</w:t>
            </w:r>
          </w:p>
        </w:tc>
        <w:tc>
          <w:tcPr>
            <w:tcW w:type="dxa" w:w="3572"/>
          </w:tcPr>
          <w:p>
            <w:r/>
            <w:r>
              <w:rPr>
                <w:color w:val="1A1D21"/>
                <w:sz w:val="17"/>
              </w:rPr>
              <w:t>about 3,500 operating keys with a further 1,500 under construction, including Four Seasons and Sofitel properties</w:t>
            </w:r>
          </w:p>
        </w:tc>
      </w:tr>
      <w:tr>
        <w:trPr>
          <w:cantSplit/>
        </w:trPr>
        <w:tc>
          <w:tcPr>
            <w:tcW w:type="dxa" w:w="1814"/>
          </w:tcPr>
          <w:p>
            <w:r/>
            <w:r>
              <w:rPr>
                <w:color w:val="1A1D21"/>
                <w:sz w:val="17"/>
              </w:rPr>
              <w:t>Other recurring income</w:t>
            </w:r>
          </w:p>
        </w:tc>
        <w:tc>
          <w:tcPr>
            <w:tcW w:type="dxa" w:w="1247"/>
          </w:tcPr>
          <w:p>
            <w:pPr>
              <w:jc w:val="right"/>
            </w:pPr>
            <w:r/>
            <w:r>
              <w:rPr>
                <w:color w:val="1A1D21"/>
                <w:sz w:val="17"/>
              </w:rPr>
              <w:t>10,900</w:t>
            </w:r>
          </w:p>
        </w:tc>
        <w:tc>
          <w:tcPr>
            <w:tcW w:type="dxa" w:w="1077"/>
          </w:tcPr>
          <w:p>
            <w:pPr>
              <w:jc w:val="right"/>
            </w:pPr>
            <w:r/>
            <w:r>
              <w:rPr>
                <w:color w:val="1A1D21"/>
                <w:sz w:val="17"/>
              </w:rPr>
              <w:t>17%</w:t>
            </w:r>
          </w:p>
        </w:tc>
        <w:tc>
          <w:tcPr>
            <w:tcW w:type="dxa" w:w="1474"/>
          </w:tcPr>
          <w:p>
            <w:pPr>
              <w:jc w:val="right"/>
            </w:pPr>
            <w:r/>
            <w:r>
              <w:rPr>
                <w:color w:val="1A1D21"/>
                <w:sz w:val="17"/>
              </w:rPr>
              <w:t>31.9%</w:t>
            </w:r>
          </w:p>
        </w:tc>
        <w:tc>
          <w:tcPr>
            <w:tcW w:type="dxa" w:w="3572"/>
          </w:tcPr>
          <w:p>
            <w:r/>
            <w:r>
              <w:rPr>
                <w:color w:val="1A1D21"/>
                <w:sz w:val="17"/>
              </w:rPr>
              <w:t>commercial leasing and management, sporting clubs and integrated community services</w:t>
            </w:r>
          </w:p>
        </w:tc>
      </w:tr>
    </w:tbl>
    <w:p>
      <w:pPr>
        <w:spacing w:after="200"/>
      </w:pPr>
      <w:r>
        <w:rPr>
          <w:b w:val="0"/>
          <w:i/>
          <w:color w:val="5B6570"/>
          <w:sz w:val="16"/>
        </w:rPr>
        <w:t>Revenue in EGP million. Margins are outputs of the disclosed cost lines, not assumptions.</w:t>
      </w:r>
    </w:p>
    <w:p>
      <w:pPr>
        <w:spacing w:after="140"/>
      </w:pPr>
      <w:r>
        <w:rPr>
          <w:b w:val="0"/>
          <w:i w:val="0"/>
          <w:color w:val="1A1D21"/>
          <w:sz w:val="20"/>
        </w:rPr>
        <w:t>The scale that matters most is not the income statement. At 30 June 2026 the company held a sold-but-undelivered order book of EGP 491.0 billion, a landbank of about 20 million square metres, customer advances of EGP 134.0 billion already collected against undelivered homes, and a further EGP 210.4 billion of post-dated cheques held outside the balance sheet for the same purpose.</w:t>
      </w:r>
    </w:p>
    <w:p>
      <w:pPr>
        <w:pStyle w:val="Heading1"/>
      </w:pPr>
      <w:r>
        <w:t>1. Fundamental valuation</w:t>
      </w:r>
    </w:p>
    <w:p>
      <w:pPr>
        <w:pStyle w:val="Heading2"/>
      </w:pPr>
      <w:r>
        <w:t>1.1 The cash-flow model</w:t>
      </w:r>
    </w:p>
    <w:p>
      <w:pPr>
        <w:spacing w:after="140"/>
      </w:pPr>
      <w:r>
        <w:rPr>
          <w:b w:val="0"/>
          <w:i w:val="0"/>
          <w:color w:val="1A1D21"/>
          <w:sz w:val="20"/>
        </w:rPr>
        <w:t>The company is valued as a sum of its parts, because its three businesses need different treatment and forcing them into one model produces a number that describes none of them. One projection underlies everything: the same forecast feeds the value, the statements in Appendix A and the workbook.</w:t>
      </w:r>
    </w:p>
    <w:tbl>
      <w:tblPr>
        <w:tblStyle w:val="TableGrid"/>
        <w:tblW w:type="auto" w:w="0"/>
        <w:jc w:val="center"/>
        <w:tblLayout w:type="fixed"/>
        <w:tblLook w:firstColumn="1" w:firstRow="1" w:lastColumn="0" w:lastRow="0" w:noHBand="0" w:noVBand="1" w:val="04A0"/>
        <w:tblLayout w:type="fixed"/>
      </w:tblPr>
      <w:tblGrid>
        <w:gridCol w:w="3515"/>
        <w:gridCol w:w="1134"/>
        <w:gridCol w:w="1134"/>
        <w:gridCol w:w="1134"/>
        <w:gridCol w:w="1134"/>
        <w:gridCol w:w="1134"/>
      </w:tblGrid>
      <w:tr>
        <w:trPr>
          <w:tblHeader w:val="true"/>
        </w:trPr>
        <w:tc>
          <w:tcPr>
            <w:tcW w:type="dxa" w:w="3515"/>
          </w:tcPr>
          <w:p>
            <w:r/>
            <w:r>
              <w:rPr>
                <w:b/>
                <w:color w:val="5B6570"/>
                <w:sz w:val="17"/>
              </w:rPr>
              <w:t>EGP million</w:t>
            </w:r>
          </w:p>
        </w:tc>
        <w:tc>
          <w:tcPr>
            <w:tcW w:type="dxa" w:w="1134"/>
          </w:tcPr>
          <w:p>
            <w:r/>
            <w:r>
              <w:rPr>
                <w:b/>
                <w:color w:val="5B6570"/>
                <w:sz w:val="17"/>
              </w:rPr>
              <w:t>2026</w:t>
            </w:r>
          </w:p>
        </w:tc>
        <w:tc>
          <w:tcPr>
            <w:tcW w:type="dxa" w:w="1134"/>
          </w:tcPr>
          <w:p>
            <w:r/>
            <w:r>
              <w:rPr>
                <w:b/>
                <w:color w:val="5B6570"/>
                <w:sz w:val="17"/>
              </w:rPr>
              <w:t>2027</w:t>
            </w:r>
          </w:p>
        </w:tc>
        <w:tc>
          <w:tcPr>
            <w:tcW w:type="dxa" w:w="1134"/>
          </w:tcPr>
          <w:p>
            <w:r/>
            <w:r>
              <w:rPr>
                <w:b/>
                <w:color w:val="5B6570"/>
                <w:sz w:val="17"/>
              </w:rPr>
              <w:t>2028</w:t>
            </w:r>
          </w:p>
        </w:tc>
        <w:tc>
          <w:tcPr>
            <w:tcW w:type="dxa" w:w="1134"/>
          </w:tcPr>
          <w:p>
            <w:r/>
            <w:r>
              <w:rPr>
                <w:b/>
                <w:color w:val="5B6570"/>
                <w:sz w:val="17"/>
              </w:rPr>
              <w:t>2029</w:t>
            </w:r>
          </w:p>
        </w:tc>
        <w:tc>
          <w:tcPr>
            <w:tcW w:type="dxa" w:w="1134"/>
          </w:tcPr>
          <w:p>
            <w:r/>
            <w:r>
              <w:rPr>
                <w:b/>
                <w:color w:val="5B6570"/>
                <w:sz w:val="17"/>
              </w:rPr>
              <w:t>2030</w:t>
            </w:r>
          </w:p>
        </w:tc>
      </w:tr>
      <w:tr>
        <w:trPr>
          <w:cantSplit/>
        </w:trPr>
        <w:tc>
          <w:tcPr>
            <w:tcW w:type="dxa" w:w="3515"/>
          </w:tcPr>
          <w:p>
            <w:r/>
            <w:r>
              <w:rPr>
                <w:color w:val="1A1D21"/>
                <w:sz w:val="17"/>
              </w:rPr>
              <w:t>Revenue</w:t>
            </w:r>
          </w:p>
        </w:tc>
        <w:tc>
          <w:tcPr>
            <w:tcW w:type="dxa" w:w="1134"/>
          </w:tcPr>
          <w:p>
            <w:pPr>
              <w:jc w:val="right"/>
            </w:pPr>
            <w:r/>
            <w:r>
              <w:rPr>
                <w:color w:val="1A1D21"/>
                <w:sz w:val="17"/>
              </w:rPr>
              <w:t>80,502</w:t>
            </w:r>
          </w:p>
        </w:tc>
        <w:tc>
          <w:tcPr>
            <w:tcW w:type="dxa" w:w="1134"/>
          </w:tcPr>
          <w:p>
            <w:pPr>
              <w:jc w:val="right"/>
            </w:pPr>
            <w:r/>
            <w:r>
              <w:rPr>
                <w:color w:val="1A1D21"/>
                <w:sz w:val="17"/>
              </w:rPr>
              <w:t>96,869</w:t>
            </w:r>
          </w:p>
        </w:tc>
        <w:tc>
          <w:tcPr>
            <w:tcW w:type="dxa" w:w="1134"/>
          </w:tcPr>
          <w:p>
            <w:pPr>
              <w:jc w:val="right"/>
            </w:pPr>
            <w:r/>
            <w:r>
              <w:rPr>
                <w:color w:val="1A1D21"/>
                <w:sz w:val="17"/>
              </w:rPr>
              <w:t>116,567</w:t>
            </w:r>
          </w:p>
        </w:tc>
        <w:tc>
          <w:tcPr>
            <w:tcW w:type="dxa" w:w="1134"/>
          </w:tcPr>
          <w:p>
            <w:pPr>
              <w:jc w:val="right"/>
            </w:pPr>
            <w:r/>
            <w:r>
              <w:rPr>
                <w:color w:val="1A1D21"/>
                <w:sz w:val="17"/>
              </w:rPr>
              <w:t>140,276</w:t>
            </w:r>
          </w:p>
        </w:tc>
        <w:tc>
          <w:tcPr>
            <w:tcW w:type="dxa" w:w="1134"/>
          </w:tcPr>
          <w:p>
            <w:pPr>
              <w:jc w:val="right"/>
            </w:pPr>
            <w:r/>
            <w:r>
              <w:rPr>
                <w:color w:val="1A1D21"/>
                <w:sz w:val="17"/>
              </w:rPr>
              <w:t>168,815</w:t>
            </w:r>
          </w:p>
        </w:tc>
      </w:tr>
      <w:tr>
        <w:trPr>
          <w:cantSplit/>
        </w:trPr>
        <w:tc>
          <w:tcPr>
            <w:tcW w:type="dxa" w:w="3515"/>
          </w:tcPr>
          <w:p>
            <w:r/>
            <w:r>
              <w:rPr>
                <w:color w:val="1A1D21"/>
                <w:sz w:val="17"/>
              </w:rPr>
              <w:t>Cost of revenue</w:t>
            </w:r>
          </w:p>
        </w:tc>
        <w:tc>
          <w:tcPr>
            <w:tcW w:type="dxa" w:w="1134"/>
          </w:tcPr>
          <w:p>
            <w:pPr>
              <w:jc w:val="right"/>
            </w:pPr>
            <w:r/>
            <w:r>
              <w:rPr>
                <w:color w:val="1A1D21"/>
                <w:sz w:val="17"/>
              </w:rPr>
              <w:t>-55,039</w:t>
            </w:r>
          </w:p>
        </w:tc>
        <w:tc>
          <w:tcPr>
            <w:tcW w:type="dxa" w:w="1134"/>
          </w:tcPr>
          <w:p>
            <w:pPr>
              <w:jc w:val="right"/>
            </w:pPr>
            <w:r/>
            <w:r>
              <w:rPr>
                <w:color w:val="1A1D21"/>
                <w:sz w:val="17"/>
              </w:rPr>
              <w:t>-66,228</w:t>
            </w:r>
          </w:p>
        </w:tc>
        <w:tc>
          <w:tcPr>
            <w:tcW w:type="dxa" w:w="1134"/>
          </w:tcPr>
          <w:p>
            <w:pPr>
              <w:jc w:val="right"/>
            </w:pPr>
            <w:r/>
            <w:r>
              <w:rPr>
                <w:color w:val="1A1D21"/>
                <w:sz w:val="17"/>
              </w:rPr>
              <w:t>-79,694</w:t>
            </w:r>
          </w:p>
        </w:tc>
        <w:tc>
          <w:tcPr>
            <w:tcW w:type="dxa" w:w="1134"/>
          </w:tcPr>
          <w:p>
            <w:pPr>
              <w:jc w:val="right"/>
            </w:pPr>
            <w:r/>
            <w:r>
              <w:rPr>
                <w:color w:val="1A1D21"/>
                <w:sz w:val="17"/>
              </w:rPr>
              <w:t>-95,903</w:t>
            </w:r>
          </w:p>
        </w:tc>
        <w:tc>
          <w:tcPr>
            <w:tcW w:type="dxa" w:w="1134"/>
          </w:tcPr>
          <w:p>
            <w:pPr>
              <w:jc w:val="right"/>
            </w:pPr>
            <w:r/>
            <w:r>
              <w:rPr>
                <w:color w:val="1A1D21"/>
                <w:sz w:val="17"/>
              </w:rPr>
              <w:t>-115,412</w:t>
            </w:r>
          </w:p>
        </w:tc>
      </w:tr>
      <w:tr>
        <w:trPr>
          <w:cantSplit/>
        </w:trPr>
        <w:tc>
          <w:tcPr>
            <w:tcW w:type="dxa" w:w="3515"/>
          </w:tcPr>
          <w:p>
            <w:r/>
            <w:r>
              <w:rPr>
                <w:color w:val="1A1D21"/>
                <w:sz w:val="17"/>
              </w:rPr>
              <w:t>Gross profit</w:t>
            </w:r>
          </w:p>
        </w:tc>
        <w:tc>
          <w:tcPr>
            <w:tcW w:type="dxa" w:w="1134"/>
          </w:tcPr>
          <w:p>
            <w:pPr>
              <w:jc w:val="right"/>
            </w:pPr>
            <w:r/>
            <w:r>
              <w:rPr>
                <w:color w:val="1A1D21"/>
                <w:sz w:val="17"/>
              </w:rPr>
              <w:t>25,463</w:t>
            </w:r>
          </w:p>
        </w:tc>
        <w:tc>
          <w:tcPr>
            <w:tcW w:type="dxa" w:w="1134"/>
          </w:tcPr>
          <w:p>
            <w:pPr>
              <w:jc w:val="right"/>
            </w:pPr>
            <w:r/>
            <w:r>
              <w:rPr>
                <w:color w:val="1A1D21"/>
                <w:sz w:val="17"/>
              </w:rPr>
              <w:t>30,641</w:t>
            </w:r>
          </w:p>
        </w:tc>
        <w:tc>
          <w:tcPr>
            <w:tcW w:type="dxa" w:w="1134"/>
          </w:tcPr>
          <w:p>
            <w:pPr>
              <w:jc w:val="right"/>
            </w:pPr>
            <w:r/>
            <w:r>
              <w:rPr>
                <w:color w:val="1A1D21"/>
                <w:sz w:val="17"/>
              </w:rPr>
              <w:t>36,873</w:t>
            </w:r>
          </w:p>
        </w:tc>
        <w:tc>
          <w:tcPr>
            <w:tcW w:type="dxa" w:w="1134"/>
          </w:tcPr>
          <w:p>
            <w:pPr>
              <w:jc w:val="right"/>
            </w:pPr>
            <w:r/>
            <w:r>
              <w:rPr>
                <w:color w:val="1A1D21"/>
                <w:sz w:val="17"/>
              </w:rPr>
              <w:t>44,374</w:t>
            </w:r>
          </w:p>
        </w:tc>
        <w:tc>
          <w:tcPr>
            <w:tcW w:type="dxa" w:w="1134"/>
          </w:tcPr>
          <w:p>
            <w:pPr>
              <w:jc w:val="right"/>
            </w:pPr>
            <w:r/>
            <w:r>
              <w:rPr>
                <w:color w:val="1A1D21"/>
                <w:sz w:val="17"/>
              </w:rPr>
              <w:t>53,402</w:t>
            </w:r>
          </w:p>
        </w:tc>
      </w:tr>
      <w:tr>
        <w:trPr>
          <w:cantSplit/>
        </w:trPr>
        <w:tc>
          <w:tcPr>
            <w:tcW w:type="dxa" w:w="3515"/>
          </w:tcPr>
          <w:p>
            <w:r/>
            <w:r>
              <w:rPr>
                <w:color w:val="1A1D21"/>
                <w:sz w:val="17"/>
              </w:rPr>
              <w:t>Gross margin</w:t>
            </w:r>
          </w:p>
        </w:tc>
        <w:tc>
          <w:tcPr>
            <w:tcW w:type="dxa" w:w="1134"/>
          </w:tcPr>
          <w:p>
            <w:pPr>
              <w:jc w:val="right"/>
            </w:pPr>
            <w:r/>
            <w:r>
              <w:rPr>
                <w:color w:val="1A1D21"/>
                <w:sz w:val="17"/>
              </w:rPr>
              <w:t>31.6%</w:t>
            </w:r>
          </w:p>
        </w:tc>
        <w:tc>
          <w:tcPr>
            <w:tcW w:type="dxa" w:w="1134"/>
          </w:tcPr>
          <w:p>
            <w:pPr>
              <w:jc w:val="right"/>
            </w:pPr>
            <w:r/>
            <w:r>
              <w:rPr>
                <w:color w:val="1A1D21"/>
                <w:sz w:val="17"/>
              </w:rPr>
              <w:t>31.6%</w:t>
            </w:r>
          </w:p>
        </w:tc>
        <w:tc>
          <w:tcPr>
            <w:tcW w:type="dxa" w:w="1134"/>
          </w:tcPr>
          <w:p>
            <w:pPr>
              <w:jc w:val="right"/>
            </w:pPr>
            <w:r/>
            <w:r>
              <w:rPr>
                <w:color w:val="1A1D21"/>
                <w:sz w:val="17"/>
              </w:rPr>
              <w:t>31.6%</w:t>
            </w:r>
          </w:p>
        </w:tc>
        <w:tc>
          <w:tcPr>
            <w:tcW w:type="dxa" w:w="1134"/>
          </w:tcPr>
          <w:p>
            <w:pPr>
              <w:jc w:val="right"/>
            </w:pPr>
            <w:r/>
            <w:r>
              <w:rPr>
                <w:color w:val="1A1D21"/>
                <w:sz w:val="17"/>
              </w:rPr>
              <w:t>31.6%</w:t>
            </w:r>
          </w:p>
        </w:tc>
        <w:tc>
          <w:tcPr>
            <w:tcW w:type="dxa" w:w="1134"/>
          </w:tcPr>
          <w:p>
            <w:pPr>
              <w:jc w:val="right"/>
            </w:pPr>
            <w:r/>
            <w:r>
              <w:rPr>
                <w:color w:val="1A1D21"/>
                <w:sz w:val="17"/>
              </w:rPr>
              <w:t>31.6%</w:t>
            </w:r>
          </w:p>
        </w:tc>
      </w:tr>
      <w:tr>
        <w:trPr>
          <w:cantSplit/>
        </w:trPr>
        <w:tc>
          <w:tcPr>
            <w:tcW w:type="dxa" w:w="3515"/>
          </w:tcPr>
          <w:p>
            <w:r/>
            <w:r>
              <w:rPr>
                <w:color w:val="1A1D21"/>
                <w:sz w:val="17"/>
              </w:rPr>
              <w:t>Overheads</w:t>
            </w:r>
          </w:p>
        </w:tc>
        <w:tc>
          <w:tcPr>
            <w:tcW w:type="dxa" w:w="1134"/>
          </w:tcPr>
          <w:p>
            <w:pPr>
              <w:jc w:val="right"/>
            </w:pPr>
            <w:r/>
            <w:r>
              <w:rPr>
                <w:color w:val="1A1D21"/>
                <w:sz w:val="17"/>
              </w:rPr>
              <w:t>-5,435</w:t>
            </w:r>
          </w:p>
        </w:tc>
        <w:tc>
          <w:tcPr>
            <w:tcW w:type="dxa" w:w="1134"/>
          </w:tcPr>
          <w:p>
            <w:pPr>
              <w:jc w:val="right"/>
            </w:pPr>
            <w:r/>
            <w:r>
              <w:rPr>
                <w:color w:val="1A1D21"/>
                <w:sz w:val="17"/>
              </w:rPr>
              <w:t>-6,540</w:t>
            </w:r>
          </w:p>
        </w:tc>
        <w:tc>
          <w:tcPr>
            <w:tcW w:type="dxa" w:w="1134"/>
          </w:tcPr>
          <w:p>
            <w:pPr>
              <w:jc w:val="right"/>
            </w:pPr>
            <w:r/>
            <w:r>
              <w:rPr>
                <w:color w:val="1A1D21"/>
                <w:sz w:val="17"/>
              </w:rPr>
              <w:t>-7,870</w:t>
            </w:r>
          </w:p>
        </w:tc>
        <w:tc>
          <w:tcPr>
            <w:tcW w:type="dxa" w:w="1134"/>
          </w:tcPr>
          <w:p>
            <w:pPr>
              <w:jc w:val="right"/>
            </w:pPr>
            <w:r/>
            <w:r>
              <w:rPr>
                <w:color w:val="1A1D21"/>
                <w:sz w:val="17"/>
              </w:rPr>
              <w:t>-9,470</w:t>
            </w:r>
          </w:p>
        </w:tc>
        <w:tc>
          <w:tcPr>
            <w:tcW w:type="dxa" w:w="1134"/>
          </w:tcPr>
          <w:p>
            <w:pPr>
              <w:jc w:val="right"/>
            </w:pPr>
            <w:r/>
            <w:r>
              <w:rPr>
                <w:color w:val="1A1D21"/>
                <w:sz w:val="17"/>
              </w:rPr>
              <w:t>-11,397</w:t>
            </w:r>
          </w:p>
        </w:tc>
      </w:tr>
      <w:tr>
        <w:trPr>
          <w:cantSplit/>
        </w:trPr>
        <w:tc>
          <w:tcPr>
            <w:tcW w:type="dxa" w:w="3515"/>
          </w:tcPr>
          <w:p>
            <w:r/>
            <w:r>
              <w:rPr>
                <w:color w:val="1A1D21"/>
                <w:sz w:val="17"/>
              </w:rPr>
              <w:t>Depreciation and amortisation</w:t>
            </w:r>
          </w:p>
        </w:tc>
        <w:tc>
          <w:tcPr>
            <w:tcW w:type="dxa" w:w="1134"/>
          </w:tcPr>
          <w:p>
            <w:pPr>
              <w:jc w:val="right"/>
            </w:pPr>
            <w:r/>
            <w:r>
              <w:rPr>
                <w:color w:val="1A1D21"/>
                <w:sz w:val="17"/>
              </w:rPr>
              <w:t>-1,143</w:t>
            </w:r>
          </w:p>
        </w:tc>
        <w:tc>
          <w:tcPr>
            <w:tcW w:type="dxa" w:w="1134"/>
          </w:tcPr>
          <w:p>
            <w:pPr>
              <w:jc w:val="right"/>
            </w:pPr>
            <w:r/>
            <w:r>
              <w:rPr>
                <w:color w:val="1A1D21"/>
                <w:sz w:val="17"/>
              </w:rPr>
              <w:t>-1,157</w:t>
            </w:r>
          </w:p>
        </w:tc>
        <w:tc>
          <w:tcPr>
            <w:tcW w:type="dxa" w:w="1134"/>
          </w:tcPr>
          <w:p>
            <w:pPr>
              <w:jc w:val="right"/>
            </w:pPr>
            <w:r/>
            <w:r>
              <w:rPr>
                <w:color w:val="1A1D21"/>
                <w:sz w:val="17"/>
              </w:rPr>
              <w:t>-1,176</w:t>
            </w:r>
          </w:p>
        </w:tc>
        <w:tc>
          <w:tcPr>
            <w:tcW w:type="dxa" w:w="1134"/>
          </w:tcPr>
          <w:p>
            <w:pPr>
              <w:jc w:val="right"/>
            </w:pPr>
            <w:r/>
            <w:r>
              <w:rPr>
                <w:color w:val="1A1D21"/>
                <w:sz w:val="17"/>
              </w:rPr>
              <w:t>-1,203</w:t>
            </w:r>
          </w:p>
        </w:tc>
        <w:tc>
          <w:tcPr>
            <w:tcW w:type="dxa" w:w="1134"/>
          </w:tcPr>
          <w:p>
            <w:pPr>
              <w:jc w:val="right"/>
            </w:pPr>
            <w:r/>
            <w:r>
              <w:rPr>
                <w:color w:val="1A1D21"/>
                <w:sz w:val="17"/>
              </w:rPr>
              <w:t>-1,237</w:t>
            </w:r>
          </w:p>
        </w:tc>
      </w:tr>
      <w:tr>
        <w:trPr>
          <w:cantSplit/>
        </w:trPr>
        <w:tc>
          <w:tcPr>
            <w:tcW w:type="dxa" w:w="3515"/>
          </w:tcPr>
          <w:p>
            <w:r/>
            <w:r>
              <w:rPr>
                <w:color w:val="1A1D21"/>
                <w:sz w:val="17"/>
              </w:rPr>
              <w:t>Operating profit</w:t>
            </w:r>
          </w:p>
        </w:tc>
        <w:tc>
          <w:tcPr>
            <w:tcW w:type="dxa" w:w="1134"/>
          </w:tcPr>
          <w:p>
            <w:pPr>
              <w:jc w:val="right"/>
            </w:pPr>
            <w:r/>
            <w:r>
              <w:rPr>
                <w:color w:val="1A1D21"/>
                <w:sz w:val="17"/>
              </w:rPr>
              <w:t>18,886</w:t>
            </w:r>
          </w:p>
        </w:tc>
        <w:tc>
          <w:tcPr>
            <w:tcW w:type="dxa" w:w="1134"/>
          </w:tcPr>
          <w:p>
            <w:pPr>
              <w:jc w:val="right"/>
            </w:pPr>
            <w:r/>
            <w:r>
              <w:rPr>
                <w:color w:val="1A1D21"/>
                <w:sz w:val="17"/>
              </w:rPr>
              <w:t>22,944</w:t>
            </w:r>
          </w:p>
        </w:tc>
        <w:tc>
          <w:tcPr>
            <w:tcW w:type="dxa" w:w="1134"/>
          </w:tcPr>
          <w:p>
            <w:pPr>
              <w:jc w:val="right"/>
            </w:pPr>
            <w:r/>
            <w:r>
              <w:rPr>
                <w:color w:val="1A1D21"/>
                <w:sz w:val="17"/>
              </w:rPr>
              <w:t>27,827</w:t>
            </w:r>
          </w:p>
        </w:tc>
        <w:tc>
          <w:tcPr>
            <w:tcW w:type="dxa" w:w="1134"/>
          </w:tcPr>
          <w:p>
            <w:pPr>
              <w:jc w:val="right"/>
            </w:pPr>
            <w:r/>
            <w:r>
              <w:rPr>
                <w:color w:val="1A1D21"/>
                <w:sz w:val="17"/>
              </w:rPr>
              <w:t>33,701</w:t>
            </w:r>
          </w:p>
        </w:tc>
        <w:tc>
          <w:tcPr>
            <w:tcW w:type="dxa" w:w="1134"/>
          </w:tcPr>
          <w:p>
            <w:pPr>
              <w:jc w:val="right"/>
            </w:pPr>
            <w:r/>
            <w:r>
              <w:rPr>
                <w:color w:val="1A1D21"/>
                <w:sz w:val="17"/>
              </w:rPr>
              <w:t>40,769</w:t>
            </w:r>
          </w:p>
        </w:tc>
      </w:tr>
      <w:tr>
        <w:trPr>
          <w:cantSplit/>
        </w:trPr>
        <w:tc>
          <w:tcPr>
            <w:tcW w:type="dxa" w:w="3515"/>
          </w:tcPr>
          <w:p>
            <w:r/>
            <w:r>
              <w:rPr>
                <w:color w:val="1A1D21"/>
                <w:sz w:val="17"/>
              </w:rPr>
              <w:t>Tax on operating profit</w:t>
            </w:r>
          </w:p>
        </w:tc>
        <w:tc>
          <w:tcPr>
            <w:tcW w:type="dxa" w:w="1134"/>
          </w:tcPr>
          <w:p>
            <w:pPr>
              <w:jc w:val="right"/>
            </w:pPr>
            <w:r/>
            <w:r>
              <w:rPr>
                <w:color w:val="1A1D21"/>
                <w:sz w:val="17"/>
              </w:rPr>
              <w:t>-4,249</w:t>
            </w:r>
          </w:p>
        </w:tc>
        <w:tc>
          <w:tcPr>
            <w:tcW w:type="dxa" w:w="1134"/>
          </w:tcPr>
          <w:p>
            <w:pPr>
              <w:jc w:val="right"/>
            </w:pPr>
            <w:r/>
            <w:r>
              <w:rPr>
                <w:color w:val="1A1D21"/>
                <w:sz w:val="17"/>
              </w:rPr>
              <w:t>-5,163</w:t>
            </w:r>
          </w:p>
        </w:tc>
        <w:tc>
          <w:tcPr>
            <w:tcW w:type="dxa" w:w="1134"/>
          </w:tcPr>
          <w:p>
            <w:pPr>
              <w:jc w:val="right"/>
            </w:pPr>
            <w:r/>
            <w:r>
              <w:rPr>
                <w:color w:val="1A1D21"/>
                <w:sz w:val="17"/>
              </w:rPr>
              <w:t>-6,261</w:t>
            </w:r>
          </w:p>
        </w:tc>
        <w:tc>
          <w:tcPr>
            <w:tcW w:type="dxa" w:w="1134"/>
          </w:tcPr>
          <w:p>
            <w:pPr>
              <w:jc w:val="right"/>
            </w:pPr>
            <w:r/>
            <w:r>
              <w:rPr>
                <w:color w:val="1A1D21"/>
                <w:sz w:val="17"/>
              </w:rPr>
              <w:t>-7,583</w:t>
            </w:r>
          </w:p>
        </w:tc>
        <w:tc>
          <w:tcPr>
            <w:tcW w:type="dxa" w:w="1134"/>
          </w:tcPr>
          <w:p>
            <w:pPr>
              <w:jc w:val="right"/>
            </w:pPr>
            <w:r/>
            <w:r>
              <w:rPr>
                <w:color w:val="1A1D21"/>
                <w:sz w:val="17"/>
              </w:rPr>
              <w:t>-9,173</w:t>
            </w:r>
          </w:p>
        </w:tc>
      </w:tr>
      <w:tr>
        <w:trPr>
          <w:cantSplit/>
        </w:trPr>
        <w:tc>
          <w:tcPr>
            <w:tcW w:type="dxa" w:w="3515"/>
          </w:tcPr>
          <w:p>
            <w:r/>
            <w:r>
              <w:rPr>
                <w:color w:val="1A1D21"/>
                <w:sz w:val="17"/>
              </w:rPr>
              <w:t>Operating profit after tax</w:t>
            </w:r>
          </w:p>
        </w:tc>
        <w:tc>
          <w:tcPr>
            <w:tcW w:type="dxa" w:w="1134"/>
          </w:tcPr>
          <w:p>
            <w:pPr>
              <w:jc w:val="right"/>
            </w:pPr>
            <w:r/>
            <w:r>
              <w:rPr>
                <w:color w:val="1A1D21"/>
                <w:sz w:val="17"/>
              </w:rPr>
              <w:t>14,637</w:t>
            </w:r>
          </w:p>
        </w:tc>
        <w:tc>
          <w:tcPr>
            <w:tcW w:type="dxa" w:w="1134"/>
          </w:tcPr>
          <w:p>
            <w:pPr>
              <w:jc w:val="right"/>
            </w:pPr>
            <w:r/>
            <w:r>
              <w:rPr>
                <w:color w:val="1A1D21"/>
                <w:sz w:val="17"/>
              </w:rPr>
              <w:t>17,782</w:t>
            </w:r>
          </w:p>
        </w:tc>
        <w:tc>
          <w:tcPr>
            <w:tcW w:type="dxa" w:w="1134"/>
          </w:tcPr>
          <w:p>
            <w:pPr>
              <w:jc w:val="right"/>
            </w:pPr>
            <w:r/>
            <w:r>
              <w:rPr>
                <w:color w:val="1A1D21"/>
                <w:sz w:val="17"/>
              </w:rPr>
              <w:t>21,566</w:t>
            </w:r>
          </w:p>
        </w:tc>
        <w:tc>
          <w:tcPr>
            <w:tcW w:type="dxa" w:w="1134"/>
          </w:tcPr>
          <w:p>
            <w:pPr>
              <w:jc w:val="right"/>
            </w:pPr>
            <w:r/>
            <w:r>
              <w:rPr>
                <w:color w:val="1A1D21"/>
                <w:sz w:val="17"/>
              </w:rPr>
              <w:t>26,118</w:t>
            </w:r>
          </w:p>
        </w:tc>
        <w:tc>
          <w:tcPr>
            <w:tcW w:type="dxa" w:w="1134"/>
          </w:tcPr>
          <w:p>
            <w:pPr>
              <w:jc w:val="right"/>
            </w:pPr>
            <w:r/>
            <w:r>
              <w:rPr>
                <w:color w:val="1A1D21"/>
                <w:sz w:val="17"/>
              </w:rPr>
              <w:t>31,596</w:t>
            </w:r>
          </w:p>
        </w:tc>
      </w:tr>
      <w:tr>
        <w:trPr>
          <w:cantSplit/>
        </w:trPr>
        <w:tc>
          <w:tcPr>
            <w:tcW w:type="dxa" w:w="3515"/>
          </w:tcPr>
          <w:p>
            <w:r/>
            <w:r>
              <w:rPr>
                <w:color w:val="1A1D21"/>
                <w:sz w:val="17"/>
              </w:rPr>
              <w:t>add back depreciation and amortisation</w:t>
            </w:r>
          </w:p>
        </w:tc>
        <w:tc>
          <w:tcPr>
            <w:tcW w:type="dxa" w:w="1134"/>
          </w:tcPr>
          <w:p>
            <w:pPr>
              <w:jc w:val="right"/>
            </w:pPr>
            <w:r/>
            <w:r>
              <w:rPr>
                <w:color w:val="1A1D21"/>
                <w:sz w:val="17"/>
              </w:rPr>
              <w:t>1,143</w:t>
            </w:r>
          </w:p>
        </w:tc>
        <w:tc>
          <w:tcPr>
            <w:tcW w:type="dxa" w:w="1134"/>
          </w:tcPr>
          <w:p>
            <w:pPr>
              <w:jc w:val="right"/>
            </w:pPr>
            <w:r/>
            <w:r>
              <w:rPr>
                <w:color w:val="1A1D21"/>
                <w:sz w:val="17"/>
              </w:rPr>
              <w:t>1,157</w:t>
            </w:r>
          </w:p>
        </w:tc>
        <w:tc>
          <w:tcPr>
            <w:tcW w:type="dxa" w:w="1134"/>
          </w:tcPr>
          <w:p>
            <w:pPr>
              <w:jc w:val="right"/>
            </w:pPr>
            <w:r/>
            <w:r>
              <w:rPr>
                <w:color w:val="1A1D21"/>
                <w:sz w:val="17"/>
              </w:rPr>
              <w:t>1,176</w:t>
            </w:r>
          </w:p>
        </w:tc>
        <w:tc>
          <w:tcPr>
            <w:tcW w:type="dxa" w:w="1134"/>
          </w:tcPr>
          <w:p>
            <w:pPr>
              <w:jc w:val="right"/>
            </w:pPr>
            <w:r/>
            <w:r>
              <w:rPr>
                <w:color w:val="1A1D21"/>
                <w:sz w:val="17"/>
              </w:rPr>
              <w:t>1,203</w:t>
            </w:r>
          </w:p>
        </w:tc>
        <w:tc>
          <w:tcPr>
            <w:tcW w:type="dxa" w:w="1134"/>
          </w:tcPr>
          <w:p>
            <w:pPr>
              <w:jc w:val="right"/>
            </w:pPr>
            <w:r/>
            <w:r>
              <w:rPr>
                <w:color w:val="1A1D21"/>
                <w:sz w:val="17"/>
              </w:rPr>
              <w:t>1,237</w:t>
            </w:r>
          </w:p>
        </w:tc>
      </w:tr>
      <w:tr>
        <w:trPr>
          <w:cantSplit/>
        </w:trPr>
        <w:tc>
          <w:tcPr>
            <w:tcW w:type="dxa" w:w="3515"/>
          </w:tcPr>
          <w:p>
            <w:r/>
            <w:r>
              <w:rPr>
                <w:color w:val="1A1D21"/>
                <w:sz w:val="17"/>
              </w:rPr>
              <w:t>less capital spend</w:t>
            </w:r>
          </w:p>
        </w:tc>
        <w:tc>
          <w:tcPr>
            <w:tcW w:type="dxa" w:w="1134"/>
          </w:tcPr>
          <w:p>
            <w:pPr>
              <w:jc w:val="right"/>
            </w:pPr>
            <w:r/>
            <w:r>
              <w:rPr>
                <w:color w:val="1A1D21"/>
                <w:sz w:val="17"/>
              </w:rPr>
              <w:t>-2,319</w:t>
            </w:r>
          </w:p>
        </w:tc>
        <w:tc>
          <w:tcPr>
            <w:tcW w:type="dxa" w:w="1134"/>
          </w:tcPr>
          <w:p>
            <w:pPr>
              <w:jc w:val="right"/>
            </w:pPr>
            <w:r/>
            <w:r>
              <w:rPr>
                <w:color w:val="1A1D21"/>
                <w:sz w:val="17"/>
              </w:rPr>
              <w:t>-2,793</w:t>
            </w:r>
          </w:p>
        </w:tc>
        <w:tc>
          <w:tcPr>
            <w:tcW w:type="dxa" w:w="1134"/>
          </w:tcPr>
          <w:p>
            <w:pPr>
              <w:jc w:val="right"/>
            </w:pPr>
            <w:r/>
            <w:r>
              <w:rPr>
                <w:color w:val="1A1D21"/>
                <w:sz w:val="17"/>
              </w:rPr>
              <w:t>-3,365</w:t>
            </w:r>
          </w:p>
        </w:tc>
        <w:tc>
          <w:tcPr>
            <w:tcW w:type="dxa" w:w="1134"/>
          </w:tcPr>
          <w:p>
            <w:pPr>
              <w:jc w:val="right"/>
            </w:pPr>
            <w:r/>
            <w:r>
              <w:rPr>
                <w:color w:val="1A1D21"/>
                <w:sz w:val="17"/>
              </w:rPr>
              <w:t>-4,053</w:t>
            </w:r>
          </w:p>
        </w:tc>
        <w:tc>
          <w:tcPr>
            <w:tcW w:type="dxa" w:w="1134"/>
          </w:tcPr>
          <w:p>
            <w:pPr>
              <w:jc w:val="right"/>
            </w:pPr>
            <w:r/>
            <w:r>
              <w:rPr>
                <w:color w:val="1A1D21"/>
                <w:sz w:val="17"/>
              </w:rPr>
              <w:t>-4,883</w:t>
            </w:r>
          </w:p>
        </w:tc>
      </w:tr>
      <w:tr>
        <w:trPr>
          <w:cantSplit/>
        </w:trPr>
        <w:tc>
          <w:tcPr>
            <w:tcW w:type="dxa" w:w="3515"/>
          </w:tcPr>
          <w:p>
            <w:r/>
            <w:r>
              <w:rPr>
                <w:color w:val="1A1D21"/>
                <w:sz w:val="17"/>
              </w:rPr>
              <w:t>less increase in homes built ahead of handover</w:t>
            </w:r>
          </w:p>
        </w:tc>
        <w:tc>
          <w:tcPr>
            <w:tcW w:type="dxa" w:w="1134"/>
          </w:tcPr>
          <w:p>
            <w:pPr>
              <w:jc w:val="right"/>
            </w:pPr>
            <w:r/>
            <w:r>
              <w:rPr>
                <w:color w:val="1A1D21"/>
                <w:sz w:val="17"/>
              </w:rPr>
              <w:t>855</w:t>
            </w:r>
          </w:p>
        </w:tc>
        <w:tc>
          <w:tcPr>
            <w:tcW w:type="dxa" w:w="1134"/>
          </w:tcPr>
          <w:p>
            <w:pPr>
              <w:jc w:val="right"/>
            </w:pPr>
            <w:r/>
            <w:r>
              <w:rPr>
                <w:color w:val="1A1D21"/>
                <w:sz w:val="17"/>
              </w:rPr>
              <w:t>-6,604</w:t>
            </w:r>
          </w:p>
        </w:tc>
        <w:tc>
          <w:tcPr>
            <w:tcW w:type="dxa" w:w="1134"/>
          </w:tcPr>
          <w:p>
            <w:pPr>
              <w:jc w:val="right"/>
            </w:pPr>
            <w:r/>
            <w:r>
              <w:rPr>
                <w:color w:val="1A1D21"/>
                <w:sz w:val="17"/>
              </w:rPr>
              <w:t>-13,646</w:t>
            </w:r>
          </w:p>
        </w:tc>
        <w:tc>
          <w:tcPr>
            <w:tcW w:type="dxa" w:w="1134"/>
          </w:tcPr>
          <w:p>
            <w:pPr>
              <w:jc w:val="right"/>
            </w:pPr>
            <w:r/>
            <w:r>
              <w:rPr>
                <w:color w:val="1A1D21"/>
                <w:sz w:val="17"/>
              </w:rPr>
              <w:t>-20,667</w:t>
            </w:r>
          </w:p>
        </w:tc>
        <w:tc>
          <w:tcPr>
            <w:tcW w:type="dxa" w:w="1134"/>
          </w:tcPr>
          <w:p>
            <w:pPr>
              <w:jc w:val="right"/>
            </w:pPr>
            <w:r/>
            <w:r>
              <w:rPr>
                <w:color w:val="1A1D21"/>
                <w:sz w:val="17"/>
              </w:rPr>
              <w:t>-28,019</w:t>
            </w:r>
          </w:p>
        </w:tc>
      </w:tr>
      <w:tr>
        <w:trPr>
          <w:cantSplit/>
        </w:trPr>
        <w:tc>
          <w:tcPr>
            <w:tcW w:type="dxa" w:w="3515"/>
          </w:tcPr>
          <w:p>
            <w:r/>
            <w:r>
              <w:rPr>
                <w:color w:val="1A1D21"/>
                <w:sz w:val="17"/>
              </w:rPr>
              <w:t>add increase in money collected ahead of handover</w:t>
            </w:r>
          </w:p>
        </w:tc>
        <w:tc>
          <w:tcPr>
            <w:tcW w:type="dxa" w:w="1134"/>
          </w:tcPr>
          <w:p>
            <w:pPr>
              <w:jc w:val="right"/>
            </w:pPr>
            <w:r/>
            <w:r>
              <w:rPr>
                <w:color w:val="1A1D21"/>
                <w:sz w:val="17"/>
              </w:rPr>
              <w:t>-772</w:t>
            </w:r>
          </w:p>
        </w:tc>
        <w:tc>
          <w:tcPr>
            <w:tcW w:type="dxa" w:w="1134"/>
          </w:tcPr>
          <w:p>
            <w:pPr>
              <w:jc w:val="right"/>
            </w:pPr>
            <w:r/>
            <w:r>
              <w:rPr>
                <w:color w:val="1A1D21"/>
                <w:sz w:val="17"/>
              </w:rPr>
              <w:t>5,966</w:t>
            </w:r>
          </w:p>
        </w:tc>
        <w:tc>
          <w:tcPr>
            <w:tcW w:type="dxa" w:w="1134"/>
          </w:tcPr>
          <w:p>
            <w:pPr>
              <w:jc w:val="right"/>
            </w:pPr>
            <w:r/>
            <w:r>
              <w:rPr>
                <w:color w:val="1A1D21"/>
                <w:sz w:val="17"/>
              </w:rPr>
              <w:t>12,329</w:t>
            </w:r>
          </w:p>
        </w:tc>
        <w:tc>
          <w:tcPr>
            <w:tcW w:type="dxa" w:w="1134"/>
          </w:tcPr>
          <w:p>
            <w:pPr>
              <w:jc w:val="right"/>
            </w:pPr>
            <w:r/>
            <w:r>
              <w:rPr>
                <w:color w:val="1A1D21"/>
                <w:sz w:val="17"/>
              </w:rPr>
              <w:t>18,672</w:t>
            </w:r>
          </w:p>
        </w:tc>
        <w:tc>
          <w:tcPr>
            <w:tcW w:type="dxa" w:w="1134"/>
          </w:tcPr>
          <w:p>
            <w:pPr>
              <w:jc w:val="right"/>
            </w:pPr>
            <w:r/>
            <w:r>
              <w:rPr>
                <w:color w:val="1A1D21"/>
                <w:sz w:val="17"/>
              </w:rPr>
              <w:t>25,314</w:t>
            </w:r>
          </w:p>
        </w:tc>
      </w:tr>
      <w:tr>
        <w:trPr>
          <w:cantSplit/>
        </w:trPr>
        <w:tc>
          <w:tcPr>
            <w:tcW w:type="dxa" w:w="3515"/>
          </w:tcPr>
          <w:p>
            <w:r/>
            <w:r>
              <w:rPr>
                <w:color w:val="1A1D21"/>
                <w:sz w:val="17"/>
              </w:rPr>
              <w:t>Free cash flow to the firm</w:t>
            </w:r>
          </w:p>
        </w:tc>
        <w:tc>
          <w:tcPr>
            <w:tcW w:type="dxa" w:w="1134"/>
          </w:tcPr>
          <w:p>
            <w:pPr>
              <w:jc w:val="right"/>
            </w:pPr>
            <w:r/>
            <w:r>
              <w:rPr>
                <w:color w:val="1A1D21"/>
                <w:sz w:val="17"/>
              </w:rPr>
              <w:t>13,543</w:t>
            </w:r>
          </w:p>
        </w:tc>
        <w:tc>
          <w:tcPr>
            <w:tcW w:type="dxa" w:w="1134"/>
          </w:tcPr>
          <w:p>
            <w:pPr>
              <w:jc w:val="right"/>
            </w:pPr>
            <w:r/>
            <w:r>
              <w:rPr>
                <w:color w:val="1A1D21"/>
                <w:sz w:val="17"/>
              </w:rPr>
              <w:t>15,508</w:t>
            </w:r>
          </w:p>
        </w:tc>
        <w:tc>
          <w:tcPr>
            <w:tcW w:type="dxa" w:w="1134"/>
          </w:tcPr>
          <w:p>
            <w:pPr>
              <w:jc w:val="right"/>
            </w:pPr>
            <w:r/>
            <w:r>
              <w:rPr>
                <w:color w:val="1A1D21"/>
                <w:sz w:val="17"/>
              </w:rPr>
              <w:t>18,060</w:t>
            </w:r>
          </w:p>
        </w:tc>
        <w:tc>
          <w:tcPr>
            <w:tcW w:type="dxa" w:w="1134"/>
          </w:tcPr>
          <w:p>
            <w:pPr>
              <w:jc w:val="right"/>
            </w:pPr>
            <w:r/>
            <w:r>
              <w:rPr>
                <w:color w:val="1A1D21"/>
                <w:sz w:val="17"/>
              </w:rPr>
              <w:t>21,272</w:t>
            </w:r>
          </w:p>
        </w:tc>
        <w:tc>
          <w:tcPr>
            <w:tcW w:type="dxa" w:w="1134"/>
          </w:tcPr>
          <w:p>
            <w:pPr>
              <w:jc w:val="right"/>
            </w:pPr>
            <w:r/>
            <w:r>
              <w:rPr>
                <w:color w:val="1A1D21"/>
                <w:sz w:val="17"/>
              </w:rPr>
              <w:t>25,244</w:t>
            </w:r>
          </w:p>
        </w:tc>
      </w:tr>
      <w:tr>
        <w:trPr>
          <w:cantSplit/>
        </w:trPr>
        <w:tc>
          <w:tcPr>
            <w:tcW w:type="dxa" w:w="3515"/>
          </w:tcPr>
          <w:p>
            <w:r/>
            <w:r>
              <w:rPr>
                <w:color w:val="1A1D21"/>
                <w:sz w:val="17"/>
              </w:rPr>
              <w:t>Discount factor</w:t>
            </w:r>
          </w:p>
        </w:tc>
        <w:tc>
          <w:tcPr>
            <w:tcW w:type="dxa" w:w="1134"/>
          </w:tcPr>
          <w:p>
            <w:pPr>
              <w:jc w:val="right"/>
            </w:pPr>
            <w:r/>
            <w:r>
              <w:rPr>
                <w:color w:val="1A1D21"/>
                <w:sz w:val="17"/>
              </w:rPr>
              <w:t>0.7364</w:t>
            </w:r>
          </w:p>
        </w:tc>
        <w:tc>
          <w:tcPr>
            <w:tcW w:type="dxa" w:w="1134"/>
          </w:tcPr>
          <w:p>
            <w:pPr>
              <w:jc w:val="right"/>
            </w:pPr>
            <w:r/>
            <w:r>
              <w:rPr>
                <w:color w:val="1A1D21"/>
                <w:sz w:val="17"/>
              </w:rPr>
              <w:t>0.5423</w:t>
            </w:r>
          </w:p>
        </w:tc>
        <w:tc>
          <w:tcPr>
            <w:tcW w:type="dxa" w:w="1134"/>
          </w:tcPr>
          <w:p>
            <w:pPr>
              <w:jc w:val="right"/>
            </w:pPr>
            <w:r/>
            <w:r>
              <w:rPr>
                <w:color w:val="1A1D21"/>
                <w:sz w:val="17"/>
              </w:rPr>
              <w:t>0.3994</w:t>
            </w:r>
          </w:p>
        </w:tc>
        <w:tc>
          <w:tcPr>
            <w:tcW w:type="dxa" w:w="1134"/>
          </w:tcPr>
          <w:p>
            <w:pPr>
              <w:jc w:val="right"/>
            </w:pPr>
            <w:r/>
            <w:r>
              <w:rPr>
                <w:color w:val="1A1D21"/>
                <w:sz w:val="17"/>
              </w:rPr>
              <w:t>0.2941</w:t>
            </w:r>
          </w:p>
        </w:tc>
        <w:tc>
          <w:tcPr>
            <w:tcW w:type="dxa" w:w="1134"/>
          </w:tcPr>
          <w:p>
            <w:pPr>
              <w:jc w:val="right"/>
            </w:pPr>
            <w:r/>
            <w:r>
              <w:rPr>
                <w:color w:val="1A1D21"/>
                <w:sz w:val="17"/>
              </w:rPr>
              <w:t>0.2166</w:t>
            </w:r>
          </w:p>
        </w:tc>
      </w:tr>
      <w:tr>
        <w:trPr>
          <w:cantSplit/>
        </w:trPr>
        <w:tc>
          <w:tcPr>
            <w:tcW w:type="dxa" w:w="3515"/>
          </w:tcPr>
          <w:p>
            <w:r/>
            <w:r>
              <w:rPr>
                <w:color w:val="1A1D21"/>
                <w:sz w:val="17"/>
              </w:rPr>
              <w:t>Present value of free cash flow</w:t>
            </w:r>
          </w:p>
        </w:tc>
        <w:tc>
          <w:tcPr>
            <w:tcW w:type="dxa" w:w="1134"/>
          </w:tcPr>
          <w:p>
            <w:pPr>
              <w:jc w:val="right"/>
            </w:pPr>
            <w:r/>
            <w:r>
              <w:rPr>
                <w:color w:val="1A1D21"/>
                <w:sz w:val="17"/>
              </w:rPr>
              <w:t>9,973</w:t>
            </w:r>
          </w:p>
        </w:tc>
        <w:tc>
          <w:tcPr>
            <w:tcW w:type="dxa" w:w="1134"/>
          </w:tcPr>
          <w:p>
            <w:pPr>
              <w:jc w:val="right"/>
            </w:pPr>
            <w:r/>
            <w:r>
              <w:rPr>
                <w:color w:val="1A1D21"/>
                <w:sz w:val="17"/>
              </w:rPr>
              <w:t>8,410</w:t>
            </w:r>
          </w:p>
        </w:tc>
        <w:tc>
          <w:tcPr>
            <w:tcW w:type="dxa" w:w="1134"/>
          </w:tcPr>
          <w:p>
            <w:pPr>
              <w:jc w:val="right"/>
            </w:pPr>
            <w:r/>
            <w:r>
              <w:rPr>
                <w:color w:val="1A1D21"/>
                <w:sz w:val="17"/>
              </w:rPr>
              <w:t>7,212</w:t>
            </w:r>
          </w:p>
        </w:tc>
        <w:tc>
          <w:tcPr>
            <w:tcW w:type="dxa" w:w="1134"/>
          </w:tcPr>
          <w:p>
            <w:pPr>
              <w:jc w:val="right"/>
            </w:pPr>
            <w:r/>
            <w:r>
              <w:rPr>
                <w:color w:val="1A1D21"/>
                <w:sz w:val="17"/>
              </w:rPr>
              <w:t>6,256</w:t>
            </w:r>
          </w:p>
        </w:tc>
        <w:tc>
          <w:tcPr>
            <w:tcW w:type="dxa" w:w="1134"/>
          </w:tcPr>
          <w:p>
            <w:pPr>
              <w:jc w:val="right"/>
            </w:pPr>
            <w:r/>
            <w:r>
              <w:rPr>
                <w:color w:val="1A1D21"/>
                <w:sz w:val="17"/>
              </w:rPr>
              <w:t>5,467</w:t>
            </w:r>
          </w:p>
        </w:tc>
      </w:tr>
    </w:tbl>
    <w:p>
      <w:pPr>
        <w:spacing w:after="200"/>
      </w:pPr>
      <w:r>
        <w:rPr>
          <w:b w:val="0"/>
          <w:i/>
          <w:color w:val="5B6570"/>
          <w:sz w:val="16"/>
        </w:rPr>
        <w:t>The first five of the ten explicit years, on the slower-conversion case; the full waterfall is in the workbook. The two working-capital lines are the movement in the positions a developer carries at once — money collected ahead of handover, and homes built ahead of handover.</w:t>
      </w:r>
    </w:p>
    <w:p>
      <w:pPr>
        <w:spacing w:after="140"/>
      </w:pPr>
      <w:r>
        <w:rPr>
          <w:b w:val="0"/>
          <w:i w:val="0"/>
          <w:color w:val="1A1D21"/>
          <w:sz w:val="20"/>
        </w:rPr>
        <w:t>From enterprise value to what the shareholder owns:</w:t>
      </w:r>
    </w:p>
    <w:tbl>
      <w:tblPr>
        <w:tblStyle w:val="TableGrid"/>
        <w:tblW w:type="auto" w:w="0"/>
        <w:jc w:val="center"/>
        <w:tblLayout w:type="fixed"/>
        <w:tblLook w:firstColumn="1" w:firstRow="1" w:lastColumn="0" w:lastRow="0" w:noHBand="0" w:noVBand="1" w:val="04A0"/>
        <w:tblLayout w:type="fixed"/>
      </w:tblPr>
      <w:tblGrid>
        <w:gridCol w:w="6237"/>
        <w:gridCol w:w="2948"/>
      </w:tblGrid>
      <w:tr>
        <w:trPr>
          <w:tblHeader w:val="true"/>
        </w:trPr>
        <w:tc>
          <w:tcPr>
            <w:tcW w:type="dxa" w:w="6236"/>
          </w:tcPr>
          <w:p>
            <w:r/>
            <w:r>
              <w:rPr>
                <w:b/>
                <w:color w:val="5B6570"/>
                <w:sz w:val="17"/>
              </w:rPr>
              <w:t>Bridge from enterprise value to equity</w:t>
            </w:r>
          </w:p>
        </w:tc>
        <w:tc>
          <w:tcPr>
            <w:tcW w:type="dxa" w:w="2948"/>
          </w:tcPr>
          <w:p>
            <w:r/>
            <w:r>
              <w:rPr>
                <w:b/>
                <w:color w:val="5B6570"/>
                <w:sz w:val="17"/>
              </w:rPr>
              <w:t>EGP million</w:t>
            </w:r>
          </w:p>
        </w:tc>
      </w:tr>
      <w:tr>
        <w:trPr>
          <w:cantSplit/>
        </w:trPr>
        <w:tc>
          <w:tcPr>
            <w:tcW w:type="dxa" w:w="6236"/>
          </w:tcPr>
          <w:p>
            <w:r/>
            <w:r>
              <w:rPr>
                <w:color w:val="1A1D21"/>
                <w:sz w:val="17"/>
              </w:rPr>
              <w:t>Present value of the explicit ten years</w:t>
            </w:r>
          </w:p>
        </w:tc>
        <w:tc>
          <w:tcPr>
            <w:tcW w:type="dxa" w:w="2948"/>
          </w:tcPr>
          <w:p>
            <w:pPr>
              <w:jc w:val="right"/>
            </w:pPr>
            <w:r/>
            <w:r>
              <w:rPr>
                <w:color w:val="1A1D21"/>
                <w:sz w:val="17"/>
              </w:rPr>
              <w:t>72,256</w:t>
            </w:r>
          </w:p>
        </w:tc>
      </w:tr>
      <w:tr>
        <w:trPr>
          <w:cantSplit/>
        </w:trPr>
        <w:tc>
          <w:tcPr>
            <w:tcW w:type="dxa" w:w="6236"/>
          </w:tcPr>
          <w:p>
            <w:r/>
            <w:r>
              <w:rPr>
                <w:color w:val="1A1D21"/>
                <w:sz w:val="17"/>
              </w:rPr>
              <w:t>Present value of the order book still unconverted after that</w:t>
            </w:r>
          </w:p>
        </w:tc>
        <w:tc>
          <w:tcPr>
            <w:tcW w:type="dxa" w:w="2948"/>
          </w:tcPr>
          <w:p>
            <w:pPr>
              <w:jc w:val="right"/>
            </w:pPr>
            <w:r/>
            <w:r>
              <w:rPr>
                <w:color w:val="1A1D21"/>
                <w:sz w:val="17"/>
              </w:rPr>
              <w:t>0</w:t>
            </w:r>
          </w:p>
        </w:tc>
      </w:tr>
      <w:tr>
        <w:trPr>
          <w:cantSplit/>
        </w:trPr>
        <w:tc>
          <w:tcPr>
            <w:tcW w:type="dxa" w:w="6236"/>
          </w:tcPr>
          <w:p>
            <w:r/>
            <w:r>
              <w:rPr>
                <w:color w:val="1A1D21"/>
                <w:sz w:val="17"/>
              </w:rPr>
              <w:t>Present value of the recurring businesses beyond the window</w:t>
            </w:r>
          </w:p>
        </w:tc>
        <w:tc>
          <w:tcPr>
            <w:tcW w:type="dxa" w:w="2948"/>
          </w:tcPr>
          <w:p>
            <w:pPr>
              <w:jc w:val="right"/>
            </w:pPr>
            <w:r/>
            <w:r>
              <w:rPr>
                <w:color w:val="1A1D21"/>
                <w:sz w:val="17"/>
              </w:rPr>
              <w:t>6,647</w:t>
            </w:r>
          </w:p>
        </w:tc>
      </w:tr>
      <w:tr>
        <w:trPr>
          <w:cantSplit/>
        </w:trPr>
        <w:tc>
          <w:tcPr>
            <w:tcW w:type="dxa" w:w="6236"/>
          </w:tcPr>
          <w:p>
            <w:r/>
            <w:r>
              <w:rPr>
                <w:color w:val="1A1D21"/>
                <w:sz w:val="17"/>
              </w:rPr>
              <w:t>Enterprise value</w:t>
            </w:r>
          </w:p>
        </w:tc>
        <w:tc>
          <w:tcPr>
            <w:tcW w:type="dxa" w:w="2948"/>
          </w:tcPr>
          <w:p>
            <w:pPr>
              <w:jc w:val="right"/>
            </w:pPr>
            <w:r/>
            <w:r>
              <w:rPr>
                <w:color w:val="1A1D21"/>
                <w:sz w:val="17"/>
              </w:rPr>
              <w:t>78,903</w:t>
            </w:r>
          </w:p>
        </w:tc>
      </w:tr>
      <w:tr>
        <w:trPr>
          <w:cantSplit/>
        </w:trPr>
        <w:tc>
          <w:tcPr>
            <w:tcW w:type="dxa" w:w="6236"/>
          </w:tcPr>
          <w:p>
            <w:r/>
            <w:r>
              <w:rPr>
                <w:color w:val="1A1D21"/>
                <w:sz w:val="17"/>
              </w:rPr>
              <w:t>Cash, deposits and amortised-cost financial assets</w:t>
            </w:r>
          </w:p>
        </w:tc>
        <w:tc>
          <w:tcPr>
            <w:tcW w:type="dxa" w:w="2948"/>
          </w:tcPr>
          <w:p>
            <w:pPr>
              <w:jc w:val="right"/>
            </w:pPr>
            <w:r/>
            <w:r>
              <w:rPr>
                <w:color w:val="1A1D21"/>
                <w:sz w:val="17"/>
              </w:rPr>
              <w:t>75,773</w:t>
            </w:r>
          </w:p>
        </w:tc>
      </w:tr>
      <w:tr>
        <w:trPr>
          <w:cantSplit/>
        </w:trPr>
        <w:tc>
          <w:tcPr>
            <w:tcW w:type="dxa" w:w="6236"/>
          </w:tcPr>
          <w:p>
            <w:r/>
            <w:r>
              <w:rPr>
                <w:color w:val="1A1D21"/>
                <w:sz w:val="17"/>
              </w:rPr>
              <w:t>Borrowings</w:t>
            </w:r>
          </w:p>
        </w:tc>
        <w:tc>
          <w:tcPr>
            <w:tcW w:type="dxa" w:w="2948"/>
          </w:tcPr>
          <w:p>
            <w:pPr>
              <w:jc w:val="right"/>
            </w:pPr>
            <w:r/>
            <w:r>
              <w:rPr>
                <w:color w:val="1A1D21"/>
                <w:sz w:val="17"/>
              </w:rPr>
              <w:t>(16,493)</w:t>
            </w:r>
          </w:p>
        </w:tc>
      </w:tr>
      <w:tr>
        <w:trPr>
          <w:cantSplit/>
        </w:trPr>
        <w:tc>
          <w:tcPr>
            <w:tcW w:type="dxa" w:w="6236"/>
          </w:tcPr>
          <w:p>
            <w:r/>
            <w:r>
              <w:rPr>
                <w:color w:val="1A1D21"/>
                <w:sz w:val="17"/>
              </w:rPr>
              <w:t>Lease liabilities</w:t>
            </w:r>
          </w:p>
        </w:tc>
        <w:tc>
          <w:tcPr>
            <w:tcW w:type="dxa" w:w="2948"/>
          </w:tcPr>
          <w:p>
            <w:pPr>
              <w:jc w:val="right"/>
            </w:pPr>
            <w:r/>
            <w:r>
              <w:rPr>
                <w:color w:val="1A1D21"/>
                <w:sz w:val="17"/>
              </w:rPr>
              <w:t>(514)</w:t>
            </w:r>
          </w:p>
        </w:tc>
      </w:tr>
      <w:tr>
        <w:trPr>
          <w:cantSplit/>
        </w:trPr>
        <w:tc>
          <w:tcPr>
            <w:tcW w:type="dxa" w:w="6236"/>
          </w:tcPr>
          <w:p>
            <w:r/>
            <w:r>
              <w:rPr>
                <w:color w:val="1A1D21"/>
                <w:sz w:val="17"/>
              </w:rPr>
              <w:t>Investment property, held separately</w:t>
            </w:r>
          </w:p>
        </w:tc>
        <w:tc>
          <w:tcPr>
            <w:tcW w:type="dxa" w:w="2948"/>
          </w:tcPr>
          <w:p>
            <w:pPr>
              <w:jc w:val="right"/>
            </w:pPr>
            <w:r/>
            <w:r>
              <w:rPr>
                <w:color w:val="1A1D21"/>
                <w:sz w:val="17"/>
              </w:rPr>
              <w:t>25,228</w:t>
            </w:r>
          </w:p>
        </w:tc>
      </w:tr>
      <w:tr>
        <w:trPr>
          <w:cantSplit/>
        </w:trPr>
        <w:tc>
          <w:tcPr>
            <w:tcW w:type="dxa" w:w="6236"/>
          </w:tcPr>
          <w:p>
            <w:r/>
            <w:r>
              <w:rPr>
                <w:color w:val="1A1D21"/>
                <w:sz w:val="17"/>
              </w:rPr>
              <w:t>Investments in associates and other financial assets</w:t>
            </w:r>
          </w:p>
        </w:tc>
        <w:tc>
          <w:tcPr>
            <w:tcW w:type="dxa" w:w="2948"/>
          </w:tcPr>
          <w:p>
            <w:pPr>
              <w:jc w:val="right"/>
            </w:pPr>
            <w:r/>
            <w:r>
              <w:rPr>
                <w:color w:val="1A1D21"/>
                <w:sz w:val="17"/>
              </w:rPr>
              <w:t>3,299</w:t>
            </w:r>
          </w:p>
        </w:tc>
      </w:tr>
      <w:tr>
        <w:trPr>
          <w:cantSplit/>
        </w:trPr>
        <w:tc>
          <w:tcPr>
            <w:tcW w:type="dxa" w:w="6236"/>
          </w:tcPr>
          <w:p>
            <w:r/>
            <w:r>
              <w:rPr>
                <w:color w:val="1A1D21"/>
                <w:sz w:val="17"/>
              </w:rPr>
              <w:t>Value of the whole group's equity</w:t>
            </w:r>
          </w:p>
        </w:tc>
        <w:tc>
          <w:tcPr>
            <w:tcW w:type="dxa" w:w="2948"/>
          </w:tcPr>
          <w:p>
            <w:pPr>
              <w:jc w:val="right"/>
            </w:pPr>
            <w:r/>
            <w:r>
              <w:rPr>
                <w:color w:val="1A1D21"/>
                <w:sz w:val="17"/>
              </w:rPr>
              <w:t>166,197</w:t>
            </w:r>
          </w:p>
        </w:tc>
      </w:tr>
      <w:tr>
        <w:trPr>
          <w:cantSplit/>
        </w:trPr>
        <w:tc>
          <w:tcPr>
            <w:tcW w:type="dxa" w:w="6236"/>
          </w:tcPr>
          <w:p>
            <w:r/>
            <w:r>
              <w:rPr>
                <w:color w:val="1A1D21"/>
                <w:sz w:val="17"/>
              </w:rPr>
              <w:t>Non-controlling interests, at book</w:t>
            </w:r>
          </w:p>
        </w:tc>
        <w:tc>
          <w:tcPr>
            <w:tcW w:type="dxa" w:w="2948"/>
          </w:tcPr>
          <w:p>
            <w:pPr>
              <w:jc w:val="right"/>
            </w:pPr>
            <w:r/>
            <w:r>
              <w:rPr>
                <w:color w:val="1A1D21"/>
                <w:sz w:val="17"/>
              </w:rPr>
              <w:t>(75,653)</w:t>
            </w:r>
          </w:p>
        </w:tc>
      </w:tr>
      <w:tr>
        <w:trPr>
          <w:cantSplit/>
        </w:trPr>
        <w:tc>
          <w:tcPr>
            <w:tcW w:type="dxa" w:w="6236"/>
          </w:tcPr>
          <w:p>
            <w:r/>
            <w:r>
              <w:rPr>
                <w:color w:val="1A1D21"/>
                <w:sz w:val="17"/>
              </w:rPr>
              <w:t>Equity attributable to TMG's own shareholders</w:t>
            </w:r>
          </w:p>
        </w:tc>
        <w:tc>
          <w:tcPr>
            <w:tcW w:type="dxa" w:w="2948"/>
          </w:tcPr>
          <w:p>
            <w:pPr>
              <w:jc w:val="right"/>
            </w:pPr>
            <w:r/>
            <w:r>
              <w:rPr>
                <w:color w:val="1A1D21"/>
                <w:sz w:val="17"/>
              </w:rPr>
              <w:t>90,544</w:t>
            </w:r>
          </w:p>
        </w:tc>
      </w:tr>
      <w:tr>
        <w:trPr>
          <w:cantSplit/>
        </w:trPr>
        <w:tc>
          <w:tcPr>
            <w:tcW w:type="dxa" w:w="6236"/>
          </w:tcPr>
          <w:p>
            <w:r/>
            <w:r>
              <w:rPr>
                <w:color w:val="1A1D21"/>
                <w:sz w:val="17"/>
              </w:rPr>
              <w:t>Shares in issue, million</w:t>
            </w:r>
          </w:p>
        </w:tc>
        <w:tc>
          <w:tcPr>
            <w:tcW w:type="dxa" w:w="2948"/>
          </w:tcPr>
          <w:p>
            <w:pPr>
              <w:jc w:val="right"/>
            </w:pPr>
            <w:r/>
            <w:r>
              <w:rPr>
                <w:color w:val="1A1D21"/>
                <w:sz w:val="17"/>
              </w:rPr>
              <w:t>2,060.7</w:t>
            </w:r>
          </w:p>
        </w:tc>
      </w:tr>
      <w:tr>
        <w:trPr>
          <w:cantSplit/>
        </w:trPr>
        <w:tc>
          <w:tcPr>
            <w:tcW w:type="dxa" w:w="6236"/>
          </w:tcPr>
          <w:p>
            <w:r/>
            <w:r>
              <w:rPr>
                <w:color w:val="1A1D21"/>
                <w:sz w:val="17"/>
              </w:rPr>
              <w:t>Value per share, EGP</w:t>
            </w:r>
          </w:p>
        </w:tc>
        <w:tc>
          <w:tcPr>
            <w:tcW w:type="dxa" w:w="2948"/>
          </w:tcPr>
          <w:p>
            <w:pPr>
              <w:jc w:val="right"/>
            </w:pPr>
            <w:r/>
            <w:r>
              <w:rPr>
                <w:color w:val="1A1D21"/>
                <w:sz w:val="17"/>
              </w:rPr>
              <w:t>43.94</w:t>
            </w:r>
          </w:p>
        </w:tc>
      </w:tr>
    </w:tbl>
    <w:p>
      <w:pPr>
        <w:spacing w:after="200"/>
      </w:pPr>
      <w:r>
        <w:rPr>
          <w:b w:val="0"/>
          <w:i/>
          <w:color w:val="5B6570"/>
          <w:sz w:val="16"/>
        </w:rPr>
        <w:t>The slower-conversion case on the rating-based premium. The other three cases run the same bridge on their own numbers.</w:t>
      </w:r>
    </w:p>
    <w:p>
      <w:pPr>
        <w:pStyle w:val="Heading2"/>
      </w:pPr>
      <w:r>
        <w:t>1.2 Book value and the return earned on it</w:t>
      </w:r>
    </w:p>
    <w:p>
      <w:pPr>
        <w:spacing w:after="140"/>
      </w:pPr>
      <w:r>
        <w:rPr>
          <w:b w:val="0"/>
          <w:i w:val="0"/>
          <w:color w:val="1A1D21"/>
          <w:sz w:val="20"/>
        </w:rPr>
        <w:t>Book value attributable to TMG's shareholders is EGP 44.49 a share. The company earned 16.7% on that book in 2025. Its cost of equity on this method is 37.1%. A business earning less on its capital than the capital costs is worth less than its book, and the arithmetic says so plainly: at a long-run growth rate of 10% the justified multiple of book is 0.25 times, giving EGP 10.91 a share.</w:t>
      </w:r>
    </w:p>
    <w:p>
      <w:pPr>
        <w:spacing w:after="140"/>
      </w:pPr>
      <w:r>
        <w:rPr>
          <w:b w:val="0"/>
          <w:i w:val="0"/>
          <w:color w:val="1A1D21"/>
          <w:sz w:val="20"/>
        </w:rPr>
        <w:t>That is the most severe reading in this study and it should be treated with care. It is entirely a statement about the discount rate: at the rate the market appears to use, the same arithmetic gives a multiple above one. It is included because a lens that only ever agrees with the others is not a lens.</w:t>
      </w:r>
    </w:p>
    <w:p>
      <w:pPr>
        <w:pStyle w:val="Heading2"/>
      </w:pPr>
      <w:r>
        <w:t>1.3 What the shares have been worth before</w:t>
      </w:r>
    </w:p>
    <w:tbl>
      <w:tblPr>
        <w:tblStyle w:val="TableGrid"/>
        <w:tblW w:type="auto" w:w="0"/>
        <w:jc w:val="center"/>
        <w:tblLayout w:type="fixed"/>
        <w:tblLook w:firstColumn="1" w:firstRow="1" w:lastColumn="0" w:lastRow="0" w:noHBand="0" w:noVBand="1" w:val="04A0"/>
        <w:tblLayout w:type="fixed"/>
      </w:tblPr>
      <w:tblGrid>
        <w:gridCol w:w="1134"/>
        <w:gridCol w:w="1247"/>
        <w:gridCol w:w="1701"/>
        <w:gridCol w:w="1361"/>
        <w:gridCol w:w="1814"/>
        <w:gridCol w:w="1247"/>
      </w:tblGrid>
      <w:tr>
        <w:trPr>
          <w:tblHeader w:val="true"/>
        </w:trPr>
        <w:tc>
          <w:tcPr>
            <w:tcW w:type="dxa" w:w="1134"/>
          </w:tcPr>
          <w:p>
            <w:r/>
            <w:r>
              <w:rPr>
                <w:b/>
                <w:color w:val="5B6570"/>
                <w:sz w:val="17"/>
              </w:rPr>
              <w:t>Year end</w:t>
            </w:r>
          </w:p>
        </w:tc>
        <w:tc>
          <w:tcPr>
            <w:tcW w:type="dxa" w:w="1247"/>
          </w:tcPr>
          <w:p>
            <w:r/>
            <w:r>
              <w:rPr>
                <w:b/>
                <w:color w:val="5B6570"/>
                <w:sz w:val="17"/>
              </w:rPr>
              <w:t>Close, EGP</w:t>
            </w:r>
          </w:p>
        </w:tc>
        <w:tc>
          <w:tcPr>
            <w:tcW w:type="dxa" w:w="1701"/>
          </w:tcPr>
          <w:p>
            <w:r/>
            <w:r>
              <w:rPr>
                <w:b/>
                <w:color w:val="5B6570"/>
                <w:sz w:val="17"/>
              </w:rPr>
              <w:t>Earnings per share, EGP</w:t>
            </w:r>
          </w:p>
        </w:tc>
        <w:tc>
          <w:tcPr>
            <w:tcW w:type="dxa" w:w="1361"/>
          </w:tcPr>
          <w:p>
            <w:r/>
            <w:r>
              <w:rPr>
                <w:b/>
                <w:color w:val="5B6570"/>
                <w:sz w:val="17"/>
              </w:rPr>
              <w:t>Price to earnings</w:t>
            </w:r>
          </w:p>
        </w:tc>
        <w:tc>
          <w:tcPr>
            <w:tcW w:type="dxa" w:w="1814"/>
          </w:tcPr>
          <w:p>
            <w:r/>
            <w:r>
              <w:rPr>
                <w:b/>
                <w:color w:val="5B6570"/>
                <w:sz w:val="17"/>
              </w:rPr>
              <w:t>Book value per share, EGP</w:t>
            </w:r>
          </w:p>
        </w:tc>
        <w:tc>
          <w:tcPr>
            <w:tcW w:type="dxa" w:w="1247"/>
          </w:tcPr>
          <w:p>
            <w:r/>
            <w:r>
              <w:rPr>
                <w:b/>
                <w:color w:val="5B6570"/>
                <w:sz w:val="17"/>
              </w:rPr>
              <w:t>Price to book</w:t>
            </w:r>
          </w:p>
        </w:tc>
      </w:tr>
      <w:tr>
        <w:trPr>
          <w:cantSplit/>
        </w:trPr>
        <w:tc>
          <w:tcPr>
            <w:tcW w:type="dxa" w:w="1134"/>
          </w:tcPr>
          <w:p>
            <w:r/>
            <w:r>
              <w:rPr>
                <w:color w:val="1A1D21"/>
                <w:sz w:val="17"/>
              </w:rPr>
              <w:t>2017</w:t>
            </w:r>
          </w:p>
        </w:tc>
        <w:tc>
          <w:tcPr>
            <w:tcW w:type="dxa" w:w="1247"/>
          </w:tcPr>
          <w:p>
            <w:pPr>
              <w:jc w:val="right"/>
            </w:pPr>
            <w:r/>
            <w:r>
              <w:rPr>
                <w:color w:val="1A1D21"/>
                <w:sz w:val="17"/>
              </w:rPr>
              <w:t>9.80</w:t>
            </w:r>
          </w:p>
        </w:tc>
        <w:tc>
          <w:tcPr>
            <w:tcW w:type="dxa" w:w="1701"/>
          </w:tcPr>
          <w:p>
            <w:pPr>
              <w:jc w:val="right"/>
            </w:pPr>
            <w:r/>
            <w:r>
              <w:rPr>
                <w:color w:val="1A1D21"/>
                <w:sz w:val="17"/>
              </w:rPr>
              <w:t>0.64</w:t>
            </w:r>
          </w:p>
        </w:tc>
        <w:tc>
          <w:tcPr>
            <w:tcW w:type="dxa" w:w="1361"/>
          </w:tcPr>
          <w:p>
            <w:pPr>
              <w:jc w:val="right"/>
            </w:pPr>
            <w:r/>
            <w:r>
              <w:rPr>
                <w:color w:val="1A1D21"/>
                <w:sz w:val="17"/>
              </w:rPr>
              <w:t>15.2</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2018</w:t>
            </w:r>
          </w:p>
        </w:tc>
        <w:tc>
          <w:tcPr>
            <w:tcW w:type="dxa" w:w="1247"/>
          </w:tcPr>
          <w:p>
            <w:pPr>
              <w:jc w:val="right"/>
            </w:pPr>
            <w:r/>
            <w:r>
              <w:rPr>
                <w:color w:val="1A1D21"/>
                <w:sz w:val="17"/>
              </w:rPr>
              <w:t>9.89</w:t>
            </w:r>
          </w:p>
        </w:tc>
        <w:tc>
          <w:tcPr>
            <w:tcW w:type="dxa" w:w="1701"/>
          </w:tcPr>
          <w:p>
            <w:pPr>
              <w:jc w:val="right"/>
            </w:pPr>
            <w:r/>
            <w:r>
              <w:rPr>
                <w:color w:val="1A1D21"/>
                <w:sz w:val="17"/>
              </w:rPr>
              <w:t>0.83</w:t>
            </w:r>
          </w:p>
        </w:tc>
        <w:tc>
          <w:tcPr>
            <w:tcW w:type="dxa" w:w="1361"/>
          </w:tcPr>
          <w:p>
            <w:pPr>
              <w:jc w:val="right"/>
            </w:pPr>
            <w:r/>
            <w:r>
              <w:rPr>
                <w:color w:val="1A1D21"/>
                <w:sz w:val="17"/>
              </w:rPr>
              <w:t>12.0</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2019</w:t>
            </w:r>
          </w:p>
        </w:tc>
        <w:tc>
          <w:tcPr>
            <w:tcW w:type="dxa" w:w="1247"/>
          </w:tcPr>
          <w:p>
            <w:pPr>
              <w:jc w:val="right"/>
            </w:pPr>
            <w:r/>
            <w:r>
              <w:rPr>
                <w:color w:val="1A1D21"/>
                <w:sz w:val="17"/>
              </w:rPr>
              <w:t>8.17</w:t>
            </w:r>
          </w:p>
        </w:tc>
        <w:tc>
          <w:tcPr>
            <w:tcW w:type="dxa" w:w="1701"/>
          </w:tcPr>
          <w:p>
            <w:pPr>
              <w:jc w:val="right"/>
            </w:pPr>
            <w:r/>
            <w:r>
              <w:rPr>
                <w:color w:val="1A1D21"/>
                <w:sz w:val="17"/>
              </w:rPr>
              <w:t>0.91</w:t>
            </w:r>
          </w:p>
        </w:tc>
        <w:tc>
          <w:tcPr>
            <w:tcW w:type="dxa" w:w="1361"/>
          </w:tcPr>
          <w:p>
            <w:pPr>
              <w:jc w:val="right"/>
            </w:pPr>
            <w:r/>
            <w:r>
              <w:rPr>
                <w:color w:val="1A1D21"/>
                <w:sz w:val="17"/>
              </w:rPr>
              <w:t>9.0</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2020</w:t>
            </w:r>
          </w:p>
        </w:tc>
        <w:tc>
          <w:tcPr>
            <w:tcW w:type="dxa" w:w="1247"/>
          </w:tcPr>
          <w:p>
            <w:pPr>
              <w:jc w:val="right"/>
            </w:pPr>
            <w:r/>
            <w:r>
              <w:rPr>
                <w:color w:val="1A1D21"/>
                <w:sz w:val="17"/>
              </w:rPr>
              <w:t>6.57</w:t>
            </w:r>
          </w:p>
        </w:tc>
        <w:tc>
          <w:tcPr>
            <w:tcW w:type="dxa" w:w="1701"/>
          </w:tcPr>
          <w:p>
            <w:r/>
            <w:r>
              <w:rPr>
                <w:color w:val="1A1D21"/>
                <w:sz w:val="17"/>
              </w:rPr>
              <w:t>not stated</w:t>
            </w:r>
          </w:p>
        </w:tc>
        <w:tc>
          <w:tcPr>
            <w:tcW w:type="dxa" w:w="1361"/>
          </w:tcPr>
          <w:p>
            <w:r/>
            <w:r>
              <w:rPr>
                <w:color w:val="1A1D21"/>
                <w:sz w:val="17"/>
              </w:rPr>
              <w:t>–</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2021</w:t>
            </w:r>
          </w:p>
        </w:tc>
        <w:tc>
          <w:tcPr>
            <w:tcW w:type="dxa" w:w="1247"/>
          </w:tcPr>
          <w:p>
            <w:pPr>
              <w:jc w:val="right"/>
            </w:pPr>
            <w:r/>
            <w:r>
              <w:rPr>
                <w:color w:val="1A1D21"/>
                <w:sz w:val="17"/>
              </w:rPr>
              <w:t>9.07</w:t>
            </w:r>
          </w:p>
        </w:tc>
        <w:tc>
          <w:tcPr>
            <w:tcW w:type="dxa" w:w="1701"/>
          </w:tcPr>
          <w:p>
            <w:pPr>
              <w:jc w:val="right"/>
            </w:pPr>
            <w:r/>
            <w:r>
              <w:rPr>
                <w:color w:val="1A1D21"/>
                <w:sz w:val="17"/>
              </w:rPr>
              <w:t>0.85</w:t>
            </w:r>
          </w:p>
        </w:tc>
        <w:tc>
          <w:tcPr>
            <w:tcW w:type="dxa" w:w="1361"/>
          </w:tcPr>
          <w:p>
            <w:pPr>
              <w:jc w:val="right"/>
            </w:pPr>
            <w:r/>
            <w:r>
              <w:rPr>
                <w:color w:val="1A1D21"/>
                <w:sz w:val="17"/>
              </w:rPr>
              <w:t>10.6</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2022</w:t>
            </w:r>
          </w:p>
        </w:tc>
        <w:tc>
          <w:tcPr>
            <w:tcW w:type="dxa" w:w="1247"/>
          </w:tcPr>
          <w:p>
            <w:pPr>
              <w:jc w:val="right"/>
            </w:pPr>
            <w:r/>
            <w:r>
              <w:rPr>
                <w:color w:val="1A1D21"/>
                <w:sz w:val="17"/>
              </w:rPr>
              <w:t>9.99</w:t>
            </w:r>
          </w:p>
        </w:tc>
        <w:tc>
          <w:tcPr>
            <w:tcW w:type="dxa" w:w="1701"/>
          </w:tcPr>
          <w:p>
            <w:pPr>
              <w:jc w:val="right"/>
            </w:pPr>
            <w:r/>
            <w:r>
              <w:rPr>
                <w:color w:val="1A1D21"/>
                <w:sz w:val="17"/>
              </w:rPr>
              <w:t>1.12</w:t>
            </w:r>
          </w:p>
        </w:tc>
        <w:tc>
          <w:tcPr>
            <w:tcW w:type="dxa" w:w="1361"/>
          </w:tcPr>
          <w:p>
            <w:pPr>
              <w:jc w:val="right"/>
            </w:pPr>
            <w:r/>
            <w:r>
              <w:rPr>
                <w:color w:val="1A1D21"/>
                <w:sz w:val="17"/>
              </w:rPr>
              <w:t>8.9</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2023</w:t>
            </w:r>
          </w:p>
        </w:tc>
        <w:tc>
          <w:tcPr>
            <w:tcW w:type="dxa" w:w="1247"/>
          </w:tcPr>
          <w:p>
            <w:pPr>
              <w:jc w:val="right"/>
            </w:pPr>
            <w:r/>
            <w:r>
              <w:rPr>
                <w:color w:val="1A1D21"/>
                <w:sz w:val="17"/>
              </w:rPr>
              <w:t>24.15</w:t>
            </w:r>
          </w:p>
        </w:tc>
        <w:tc>
          <w:tcPr>
            <w:tcW w:type="dxa" w:w="1701"/>
          </w:tcPr>
          <w:p>
            <w:pPr>
              <w:jc w:val="right"/>
            </w:pPr>
            <w:r/>
            <w:r>
              <w:rPr>
                <w:color w:val="1A1D21"/>
                <w:sz w:val="17"/>
              </w:rPr>
              <w:t>1.61</w:t>
            </w:r>
          </w:p>
        </w:tc>
        <w:tc>
          <w:tcPr>
            <w:tcW w:type="dxa" w:w="1361"/>
          </w:tcPr>
          <w:p>
            <w:pPr>
              <w:jc w:val="right"/>
            </w:pPr>
            <w:r/>
            <w:r>
              <w:rPr>
                <w:color w:val="1A1D21"/>
                <w:sz w:val="17"/>
              </w:rPr>
              <w:t>15.0</w:t>
            </w:r>
          </w:p>
        </w:tc>
        <w:tc>
          <w:tcPr>
            <w:tcW w:type="dxa" w:w="1814"/>
          </w:tcPr>
          <w:p>
            <w:pPr>
              <w:jc w:val="right"/>
            </w:pPr>
            <w:r/>
            <w:r>
              <w:rPr>
                <w:color w:val="1A1D21"/>
                <w:sz w:val="17"/>
              </w:rPr>
              <w:t>18.61</w:t>
            </w:r>
          </w:p>
        </w:tc>
        <w:tc>
          <w:tcPr>
            <w:tcW w:type="dxa" w:w="1247"/>
          </w:tcPr>
          <w:p>
            <w:pPr>
              <w:jc w:val="right"/>
            </w:pPr>
            <w:r/>
            <w:r>
              <w:rPr>
                <w:color w:val="1A1D21"/>
                <w:sz w:val="17"/>
              </w:rPr>
              <w:t>1.30</w:t>
            </w:r>
          </w:p>
        </w:tc>
      </w:tr>
      <w:tr>
        <w:trPr>
          <w:cantSplit/>
        </w:trPr>
        <w:tc>
          <w:tcPr>
            <w:tcW w:type="dxa" w:w="1134"/>
          </w:tcPr>
          <w:p>
            <w:r/>
            <w:r>
              <w:rPr>
                <w:color w:val="1A1D21"/>
                <w:sz w:val="17"/>
              </w:rPr>
              <w:t>2024</w:t>
            </w:r>
          </w:p>
        </w:tc>
        <w:tc>
          <w:tcPr>
            <w:tcW w:type="dxa" w:w="1247"/>
          </w:tcPr>
          <w:p>
            <w:pPr>
              <w:jc w:val="right"/>
            </w:pPr>
            <w:r/>
            <w:r>
              <w:rPr>
                <w:color w:val="1A1D21"/>
                <w:sz w:val="17"/>
              </w:rPr>
              <w:t>56.00</w:t>
            </w:r>
          </w:p>
        </w:tc>
        <w:tc>
          <w:tcPr>
            <w:tcW w:type="dxa" w:w="1701"/>
          </w:tcPr>
          <w:p>
            <w:pPr>
              <w:jc w:val="right"/>
            </w:pPr>
            <w:r/>
            <w:r>
              <w:rPr>
                <w:color w:val="1A1D21"/>
                <w:sz w:val="17"/>
              </w:rPr>
              <w:t>5.20</w:t>
            </w:r>
          </w:p>
        </w:tc>
        <w:tc>
          <w:tcPr>
            <w:tcW w:type="dxa" w:w="1361"/>
          </w:tcPr>
          <w:p>
            <w:pPr>
              <w:jc w:val="right"/>
            </w:pPr>
            <w:r/>
            <w:r>
              <w:rPr>
                <w:color w:val="1A1D21"/>
                <w:sz w:val="17"/>
              </w:rPr>
              <w:t>10.8</w:t>
            </w:r>
          </w:p>
        </w:tc>
        <w:tc>
          <w:tcPr>
            <w:tcW w:type="dxa" w:w="1814"/>
          </w:tcPr>
          <w:p>
            <w:r/>
            <w:r>
              <w:rPr>
                <w:color w:val="1A1D21"/>
                <w:sz w:val="17"/>
              </w:rPr>
              <w:t>not stated</w:t>
            </w:r>
          </w:p>
        </w:tc>
        <w:tc>
          <w:tcPr>
            <w:tcW w:type="dxa" w:w="1247"/>
          </w:tcPr>
          <w:p>
            <w:r/>
            <w:r>
              <w:rPr>
                <w:color w:val="1A1D21"/>
                <w:sz w:val="17"/>
              </w:rPr>
              <w:t>–</w:t>
            </w:r>
          </w:p>
        </w:tc>
      </w:tr>
      <w:tr>
        <w:trPr>
          <w:cantSplit/>
        </w:trPr>
        <w:tc>
          <w:tcPr>
            <w:tcW w:type="dxa" w:w="1134"/>
          </w:tcPr>
          <w:p>
            <w:r/>
            <w:r>
              <w:rPr>
                <w:color w:val="1A1D21"/>
                <w:sz w:val="17"/>
              </w:rPr>
              <w:t>2025</w:t>
            </w:r>
          </w:p>
        </w:tc>
        <w:tc>
          <w:tcPr>
            <w:tcW w:type="dxa" w:w="1247"/>
          </w:tcPr>
          <w:p>
            <w:pPr>
              <w:jc w:val="right"/>
            </w:pPr>
            <w:r/>
            <w:r>
              <w:rPr>
                <w:color w:val="1A1D21"/>
                <w:sz w:val="17"/>
              </w:rPr>
              <w:t>80.00</w:t>
            </w:r>
          </w:p>
        </w:tc>
        <w:tc>
          <w:tcPr>
            <w:tcW w:type="dxa" w:w="1701"/>
          </w:tcPr>
          <w:p>
            <w:pPr>
              <w:jc w:val="right"/>
            </w:pPr>
            <w:r/>
            <w:r>
              <w:rPr>
                <w:color w:val="1A1D21"/>
                <w:sz w:val="17"/>
              </w:rPr>
              <w:t>6.98</w:t>
            </w:r>
          </w:p>
        </w:tc>
        <w:tc>
          <w:tcPr>
            <w:tcW w:type="dxa" w:w="1361"/>
          </w:tcPr>
          <w:p>
            <w:pPr>
              <w:jc w:val="right"/>
            </w:pPr>
            <w:r/>
            <w:r>
              <w:rPr>
                <w:color w:val="1A1D21"/>
                <w:sz w:val="17"/>
              </w:rPr>
              <w:t>11.5</w:t>
            </w:r>
          </w:p>
        </w:tc>
        <w:tc>
          <w:tcPr>
            <w:tcW w:type="dxa" w:w="1814"/>
          </w:tcPr>
          <w:p>
            <w:pPr>
              <w:jc w:val="right"/>
            </w:pPr>
            <w:r/>
            <w:r>
              <w:rPr>
                <w:color w:val="1A1D21"/>
                <w:sz w:val="17"/>
              </w:rPr>
              <w:t>39.33</w:t>
            </w:r>
          </w:p>
        </w:tc>
        <w:tc>
          <w:tcPr>
            <w:tcW w:type="dxa" w:w="1247"/>
          </w:tcPr>
          <w:p>
            <w:pPr>
              <w:jc w:val="right"/>
            </w:pPr>
            <w:r/>
            <w:r>
              <w:rPr>
                <w:color w:val="1A1D21"/>
                <w:sz w:val="17"/>
              </w:rPr>
              <w:t>2.03</w:t>
            </w:r>
          </w:p>
        </w:tc>
      </w:tr>
    </w:tbl>
    <w:p>
      <w:pPr>
        <w:spacing w:after="200"/>
      </w:pPr>
      <w:r>
        <w:rPr>
          <w:b w:val="0"/>
          <w:i/>
          <w:color w:val="5B6570"/>
          <w:sz w:val="16"/>
        </w:rPr>
        <w:t>Earnings are those attributable to TMG's own shareholders. Book value is shown only for years where the split between TMG's shareholders and the minority is disclosed; carrying group equity in the same column would compare two different things.</w:t>
      </w:r>
    </w:p>
    <w:p>
      <w:pPr>
        <w:spacing w:after="140"/>
      </w:pPr>
      <w:r>
        <w:rPr>
          <w:b w:val="0"/>
          <w:i w:val="0"/>
          <w:color w:val="1A1D21"/>
          <w:sz w:val="20"/>
        </w:rPr>
        <w:t>Priced against its own history the company looks ordinary. It has traded between 8.9 and 15.2 times earnings over the period, and at the last close it is on 14.0 times its 2025 result. Nothing in the relative record suggests the shares are unusually priced; what the cash-flow lens disputes is whether that historical range was ever right, not whether today sits inside it.</w:t>
      </w:r>
    </w:p>
    <w:p>
      <w:pPr>
        <w:spacing w:after="140"/>
      </w:pPr>
      <w:r>
        <w:rPr>
          <w:b w:val="0"/>
          <w:i/>
          <w:color w:val="5B6570"/>
          <w:sz w:val="20"/>
        </w:rPr>
        <w:t>A table of competitors' multiples is deliberately not shown. This study holds price histories for the Egyptian names listed in Appendix B but has not sourced their financial statements, and a competitor multiple built on a denominator nobody sourced is a number wearing a decimal point.</w:t>
      </w:r>
    </w:p>
    <w:p>
      <w:pPr>
        <w:pStyle w:val="Heading2"/>
      </w:pPr>
      <w:r>
        <w:t>1.4 Normalised earnings power</w:t>
      </w:r>
    </w:p>
    <w:tbl>
      <w:tblPr>
        <w:tblStyle w:val="TableGrid"/>
        <w:tblW w:type="auto" w:w="0"/>
        <w:jc w:val="center"/>
        <w:tblLayout w:type="fixed"/>
        <w:tblLook w:firstColumn="1" w:firstRow="1" w:lastColumn="0" w:lastRow="0" w:noHBand="0" w:noVBand="1" w:val="04A0"/>
        <w:tblLayout w:type="fixed"/>
      </w:tblPr>
      <w:tblGrid>
        <w:gridCol w:w="1021"/>
        <w:gridCol w:w="2608"/>
        <w:gridCol w:w="2495"/>
        <w:gridCol w:w="2495"/>
      </w:tblGrid>
      <w:tr>
        <w:trPr>
          <w:tblHeader w:val="true"/>
        </w:trPr>
        <w:tc>
          <w:tcPr>
            <w:tcW w:type="dxa" w:w="1020"/>
          </w:tcPr>
          <w:p>
            <w:r/>
            <w:r>
              <w:rPr>
                <w:b/>
                <w:color w:val="5B6570"/>
                <w:sz w:val="17"/>
              </w:rPr>
              <w:t>Year</w:t>
            </w:r>
          </w:p>
        </w:tc>
        <w:tc>
          <w:tcPr>
            <w:tcW w:type="dxa" w:w="2608"/>
          </w:tcPr>
          <w:p>
            <w:r/>
            <w:r>
              <w:rPr>
                <w:b/>
                <w:color w:val="5B6570"/>
                <w:sz w:val="17"/>
              </w:rPr>
              <w:t>Attributable profit as reported</w:t>
            </w:r>
          </w:p>
        </w:tc>
        <w:tc>
          <w:tcPr>
            <w:tcW w:type="dxa" w:w="2494"/>
          </w:tcPr>
          <w:p>
            <w:r/>
            <w:r>
              <w:rPr>
                <w:b/>
                <w:color w:val="5B6570"/>
                <w:sz w:val="17"/>
              </w:rPr>
              <w:t>Revaluation gain at group level</w:t>
            </w:r>
          </w:p>
        </w:tc>
        <w:tc>
          <w:tcPr>
            <w:tcW w:type="dxa" w:w="2494"/>
          </w:tcPr>
          <w:p>
            <w:r/>
            <w:r>
              <w:rPr>
                <w:b/>
                <w:color w:val="5B6570"/>
                <w:sz w:val="17"/>
              </w:rPr>
              <w:t>Cleaned attributable profit</w:t>
            </w:r>
          </w:p>
        </w:tc>
      </w:tr>
      <w:tr>
        <w:trPr>
          <w:cantSplit/>
        </w:trPr>
        <w:tc>
          <w:tcPr>
            <w:tcW w:type="dxa" w:w="1020"/>
          </w:tcPr>
          <w:p>
            <w:r/>
            <w:r>
              <w:rPr>
                <w:color w:val="1A1D21"/>
                <w:sz w:val="17"/>
              </w:rPr>
              <w:t>2023</w:t>
            </w:r>
          </w:p>
        </w:tc>
        <w:tc>
          <w:tcPr>
            <w:tcW w:type="dxa" w:w="2608"/>
          </w:tcPr>
          <w:p>
            <w:pPr>
              <w:jc w:val="right"/>
            </w:pPr>
            <w:r/>
            <w:r>
              <w:rPr>
                <w:color w:val="1A1D21"/>
                <w:sz w:val="17"/>
              </w:rPr>
              <w:t>3,313</w:t>
            </w:r>
          </w:p>
        </w:tc>
        <w:tc>
          <w:tcPr>
            <w:tcW w:type="dxa" w:w="2494"/>
          </w:tcPr>
          <w:p>
            <w:pPr>
              <w:jc w:val="right"/>
            </w:pPr>
            <w:r/>
            <w:r>
              <w:rPr>
                <w:color w:val="1A1D21"/>
                <w:sz w:val="17"/>
              </w:rPr>
              <w:t>0</w:t>
            </w:r>
          </w:p>
        </w:tc>
        <w:tc>
          <w:tcPr>
            <w:tcW w:type="dxa" w:w="2494"/>
          </w:tcPr>
          <w:p>
            <w:pPr>
              <w:jc w:val="right"/>
            </w:pPr>
            <w:r/>
            <w:r>
              <w:rPr>
                <w:color w:val="1A1D21"/>
                <w:sz w:val="17"/>
              </w:rPr>
              <w:t>3,313</w:t>
            </w:r>
          </w:p>
        </w:tc>
      </w:tr>
      <w:tr>
        <w:trPr>
          <w:cantSplit/>
        </w:trPr>
        <w:tc>
          <w:tcPr>
            <w:tcW w:type="dxa" w:w="1020"/>
          </w:tcPr>
          <w:p>
            <w:r/>
            <w:r>
              <w:rPr>
                <w:color w:val="1A1D21"/>
                <w:sz w:val="17"/>
              </w:rPr>
              <w:t>2024</w:t>
            </w:r>
          </w:p>
        </w:tc>
        <w:tc>
          <w:tcPr>
            <w:tcW w:type="dxa" w:w="2608"/>
          </w:tcPr>
          <w:p>
            <w:pPr>
              <w:jc w:val="right"/>
            </w:pPr>
            <w:r/>
            <w:r>
              <w:rPr>
                <w:color w:val="1A1D21"/>
                <w:sz w:val="17"/>
              </w:rPr>
              <w:t>10,723</w:t>
            </w:r>
          </w:p>
        </w:tc>
        <w:tc>
          <w:tcPr>
            <w:tcW w:type="dxa" w:w="2494"/>
          </w:tcPr>
          <w:p>
            <w:pPr>
              <w:jc w:val="right"/>
            </w:pPr>
            <w:r/>
            <w:r>
              <w:rPr>
                <w:color w:val="1A1D21"/>
                <w:sz w:val="17"/>
              </w:rPr>
              <w:t>4,924</w:t>
            </w:r>
          </w:p>
        </w:tc>
        <w:tc>
          <w:tcPr>
            <w:tcW w:type="dxa" w:w="2494"/>
          </w:tcPr>
          <w:p>
            <w:pPr>
              <w:jc w:val="right"/>
            </w:pPr>
            <w:r/>
            <w:r>
              <w:rPr>
                <w:color w:val="1A1D21"/>
                <w:sz w:val="17"/>
              </w:rPr>
              <w:t>8,025</w:t>
            </w:r>
          </w:p>
        </w:tc>
      </w:tr>
      <w:tr>
        <w:trPr>
          <w:cantSplit/>
        </w:trPr>
        <w:tc>
          <w:tcPr>
            <w:tcW w:type="dxa" w:w="1020"/>
          </w:tcPr>
          <w:p>
            <w:r/>
            <w:r>
              <w:rPr>
                <w:color w:val="1A1D21"/>
                <w:sz w:val="17"/>
              </w:rPr>
              <w:t>2025</w:t>
            </w:r>
          </w:p>
        </w:tc>
        <w:tc>
          <w:tcPr>
            <w:tcW w:type="dxa" w:w="2608"/>
          </w:tcPr>
          <w:p>
            <w:pPr>
              <w:jc w:val="right"/>
            </w:pPr>
            <w:r/>
            <w:r>
              <w:rPr>
                <w:color w:val="1A1D21"/>
                <w:sz w:val="17"/>
              </w:rPr>
              <w:t>14,384</w:t>
            </w:r>
          </w:p>
        </w:tc>
        <w:tc>
          <w:tcPr>
            <w:tcW w:type="dxa" w:w="2494"/>
          </w:tcPr>
          <w:p>
            <w:pPr>
              <w:jc w:val="right"/>
            </w:pPr>
            <w:r/>
            <w:r>
              <w:rPr>
                <w:color w:val="1A1D21"/>
                <w:sz w:val="17"/>
              </w:rPr>
              <w:t>3,952</w:t>
            </w:r>
          </w:p>
        </w:tc>
        <w:tc>
          <w:tcPr>
            <w:tcW w:type="dxa" w:w="2494"/>
          </w:tcPr>
          <w:p>
            <w:pPr>
              <w:jc w:val="right"/>
            </w:pPr>
            <w:r/>
            <w:r>
              <w:rPr>
                <w:color w:val="1A1D21"/>
                <w:sz w:val="17"/>
              </w:rPr>
              <w:t>12,218</w:t>
            </w:r>
          </w:p>
        </w:tc>
      </w:tr>
    </w:tbl>
    <w:p>
      <w:pPr>
        <w:spacing w:after="200"/>
      </w:pPr>
      <w:r>
        <w:rPr>
          <w:b w:val="0"/>
          <w:i/>
          <w:color w:val="5B6570"/>
          <w:sz w:val="16"/>
        </w:rPr>
        <w:t>EGP million. The revaluation gains are non-cash and are not forecast; capitalising them would capitalise a valuation opinion rather than a business.</w:t>
      </w:r>
    </w:p>
    <w:p>
      <w:pPr>
        <w:spacing w:after="140"/>
      </w:pPr>
      <w:r>
        <w:rPr>
          <w:b w:val="0"/>
          <w:i w:val="0"/>
          <w:color w:val="1A1D21"/>
          <w:sz w:val="20"/>
        </w:rPr>
        <w:t>Averaged over the three years, cleaned attributable profit is EGP 7,852 million, or EGP 3.81 a share. Capitalised at the cost of equity less long-run growth, that is EGP 15.44 to EGP 23.77 a share.</w:t>
      </w:r>
    </w:p>
    <w:p>
      <w:pPr>
        <w:pStyle w:val="Heading2"/>
      </w:pPr>
      <w:r>
        <w:t>1.5 Synthesis — four lenses, one field</w:t>
      </w:r>
    </w:p>
    <w:p>
      <w:pPr>
        <w:spacing w:after="140"/>
      </w:pPr>
      <w:r>
        <w:rPr>
          <w:b w:val="0"/>
          <w:i w:val="0"/>
          <w:color w:val="1A1D21"/>
          <w:sz w:val="20"/>
        </w:rPr>
        <w:t>The four lenses do not agree, and the pattern of disagreement is informative. The cash-flow model and the earnings-power model land in the twenties to sixties. The book-value model lands far below them, for one reason: it is the lens most exposed to the discount rate, and this study's discount rate is high. The relative lens lands closest to the traded price, for the opposite reason: it contains no discount rate at all, and simply records what buyers have paid before.</w:t>
      </w:r>
    </w:p>
    <w:p>
      <w:pPr>
        <w:spacing w:after="140"/>
      </w:pPr>
      <w:r>
        <w:rPr>
          <w:b w:val="0"/>
          <w:i w:val="0"/>
          <w:color w:val="1A1D21"/>
          <w:sz w:val="20"/>
        </w:rPr>
        <w:t>Read together they say something a single number could not. The shares are priced roughly where they have always been priced relative to earnings, and that price implies a required return close to what the Egyptian government pays to borrow. Whether that is enough compensation for owning a levered developer in this currency is the question, and it is one a reader can answer for themselves from figure 2.</w:t>
      </w:r>
    </w:p>
    <w:p>
      <w:pPr>
        <w:pStyle w:val="Heading2"/>
      </w:pPr>
      <w:r>
        <w:t>1.6 The drivers, and how well this method has forecast them</w:t>
      </w:r>
    </w:p>
    <w:p>
      <w:pPr>
        <w:spacing w:after="140"/>
      </w:pPr>
      <w:r>
        <w:rPr>
          <w:b w:val="0"/>
          <w:i w:val="0"/>
          <w:color w:val="1A1D21"/>
          <w:sz w:val="20"/>
        </w:rPr>
        <w:t>Revenue is not projected as a growth rate. Each segment is built on its own driver and each cost line is a disclosed ratio of that segment's revenue, so the margin is an output rather than an assumption.</w:t>
      </w:r>
    </w:p>
    <w:tbl>
      <w:tblPr>
        <w:tblStyle w:val="TableGrid"/>
        <w:tblW w:type="auto" w:w="0"/>
        <w:jc w:val="center"/>
        <w:tblLayout w:type="fixed"/>
        <w:tblLook w:firstColumn="1" w:firstRow="1" w:lastColumn="0" w:lastRow="0" w:noHBand="0" w:noVBand="1" w:val="04A0"/>
        <w:tblLayout w:type="fixed"/>
      </w:tblPr>
      <w:tblGrid>
        <w:gridCol w:w="1928"/>
        <w:gridCol w:w="4309"/>
        <w:gridCol w:w="2948"/>
      </w:tblGrid>
      <w:tr>
        <w:trPr>
          <w:tblHeader w:val="true"/>
        </w:trPr>
        <w:tc>
          <w:tcPr>
            <w:tcW w:type="dxa" w:w="1928"/>
          </w:tcPr>
          <w:p>
            <w:r/>
            <w:r>
              <w:rPr>
                <w:b/>
                <w:color w:val="5B6570"/>
                <w:sz w:val="17"/>
              </w:rPr>
              <w:t>Driver</w:t>
            </w:r>
          </w:p>
        </w:tc>
        <w:tc>
          <w:tcPr>
            <w:tcW w:type="dxa" w:w="4309"/>
          </w:tcPr>
          <w:p>
            <w:r/>
            <w:r>
              <w:rPr>
                <w:b/>
                <w:color w:val="5B6570"/>
                <w:sz w:val="17"/>
              </w:rPr>
              <w:t>How it is built</w:t>
            </w:r>
          </w:p>
        </w:tc>
        <w:tc>
          <w:tcPr>
            <w:tcW w:type="dxa" w:w="2948"/>
          </w:tcPr>
          <w:p>
            <w:r/>
            <w:r>
              <w:rPr>
                <w:b/>
                <w:color w:val="5B6570"/>
                <w:sz w:val="17"/>
              </w:rPr>
              <w:t>Value used</w:t>
            </w:r>
          </w:p>
        </w:tc>
      </w:tr>
      <w:tr>
        <w:trPr>
          <w:cantSplit/>
        </w:trPr>
        <w:tc>
          <w:tcPr>
            <w:tcW w:type="dxa" w:w="1928"/>
          </w:tcPr>
          <w:p>
            <w:r/>
            <w:r>
              <w:rPr>
                <w:color w:val="1A1D21"/>
                <w:sz w:val="17"/>
              </w:rPr>
              <w:t>Development revenue</w:t>
            </w:r>
          </w:p>
        </w:tc>
        <w:tc>
          <w:tcPr>
            <w:tcW w:type="dxa" w:w="4309"/>
          </w:tcPr>
          <w:p>
            <w:r/>
            <w:r>
              <w:rPr>
                <w:color w:val="1A1D21"/>
                <w:sz w:val="17"/>
              </w:rPr>
              <w:t>the disclosed order book converted at a stated rate, capped by what has actually been sold</w:t>
            </w:r>
          </w:p>
        </w:tc>
        <w:tc>
          <w:tcPr>
            <w:tcW w:type="dxa" w:w="2948"/>
          </w:tcPr>
          <w:p>
            <w:r/>
            <w:r>
              <w:rPr>
                <w:color w:val="1A1D21"/>
                <w:sz w:val="17"/>
              </w:rPr>
              <w:t>book of EGP 491.0 bn at 30 June 2026</w:t>
            </w:r>
          </w:p>
        </w:tc>
      </w:tr>
      <w:tr>
        <w:trPr>
          <w:cantSplit/>
        </w:trPr>
        <w:tc>
          <w:tcPr>
            <w:tcW w:type="dxa" w:w="1928"/>
          </w:tcPr>
          <w:p>
            <w:r/>
            <w:r>
              <w:rPr>
                <w:color w:val="1A1D21"/>
                <w:sz w:val="17"/>
              </w:rPr>
              <w:t>Development cost</w:t>
            </w:r>
          </w:p>
        </w:tc>
        <w:tc>
          <w:tcPr>
            <w:tcW w:type="dxa" w:w="4309"/>
          </w:tcPr>
          <w:p>
            <w:r/>
            <w:r>
              <w:rPr>
                <w:color w:val="1A1D21"/>
                <w:sz w:val="17"/>
              </w:rPr>
              <w:t>a ratio of development revenue, from the reviewed first half of 2026</w:t>
            </w:r>
          </w:p>
        </w:tc>
        <w:tc>
          <w:tcPr>
            <w:tcW w:type="dxa" w:w="2948"/>
          </w:tcPr>
          <w:p>
            <w:r/>
            <w:r>
              <w:rPr>
                <w:color w:val="1A1D21"/>
                <w:sz w:val="17"/>
              </w:rPr>
              <w:t>73.4% of revenue</w:t>
            </w:r>
          </w:p>
        </w:tc>
      </w:tr>
      <w:tr>
        <w:trPr>
          <w:cantSplit/>
        </w:trPr>
        <w:tc>
          <w:tcPr>
            <w:tcW w:type="dxa" w:w="1928"/>
          </w:tcPr>
          <w:p>
            <w:r/>
            <w:r>
              <w:rPr>
                <w:color w:val="1A1D21"/>
                <w:sz w:val="17"/>
              </w:rPr>
              <w:t>Hospitality revenue</w:t>
            </w:r>
          </w:p>
        </w:tc>
        <w:tc>
          <w:tcPr>
            <w:tcW w:type="dxa" w:w="4309"/>
          </w:tcPr>
          <w:p>
            <w:r/>
            <w:r>
              <w:rPr>
                <w:color w:val="1A1D21"/>
                <w:sz w:val="17"/>
              </w:rPr>
              <w:t>grown on its own rate</w:t>
            </w:r>
          </w:p>
        </w:tc>
        <w:tc>
          <w:tcPr>
            <w:tcW w:type="dxa" w:w="2948"/>
          </w:tcPr>
          <w:p>
            <w:r/>
            <w:r>
              <w:rPr>
                <w:color w:val="1A1D21"/>
                <w:sz w:val="17"/>
              </w:rPr>
              <w:t>20% a year</w:t>
            </w:r>
          </w:p>
        </w:tc>
      </w:tr>
      <w:tr>
        <w:trPr>
          <w:cantSplit/>
        </w:trPr>
        <w:tc>
          <w:tcPr>
            <w:tcW w:type="dxa" w:w="1928"/>
          </w:tcPr>
          <w:p>
            <w:r/>
            <w:r>
              <w:rPr>
                <w:color w:val="1A1D21"/>
                <w:sz w:val="17"/>
              </w:rPr>
              <w:t>Other recurring revenue</w:t>
            </w:r>
          </w:p>
        </w:tc>
        <w:tc>
          <w:tcPr>
            <w:tcW w:type="dxa" w:w="4309"/>
          </w:tcPr>
          <w:p>
            <w:r/>
            <w:r>
              <w:rPr>
                <w:color w:val="1A1D21"/>
                <w:sz w:val="17"/>
              </w:rPr>
              <w:t>grown on its own rate</w:t>
            </w:r>
          </w:p>
        </w:tc>
        <w:tc>
          <w:tcPr>
            <w:tcW w:type="dxa" w:w="2948"/>
          </w:tcPr>
          <w:p>
            <w:r/>
            <w:r>
              <w:rPr>
                <w:color w:val="1A1D21"/>
                <w:sz w:val="17"/>
              </w:rPr>
              <w:t>22% a year</w:t>
            </w:r>
          </w:p>
        </w:tc>
      </w:tr>
      <w:tr>
        <w:trPr>
          <w:cantSplit/>
        </w:trPr>
        <w:tc>
          <w:tcPr>
            <w:tcW w:type="dxa" w:w="1928"/>
          </w:tcPr>
          <w:p>
            <w:r/>
            <w:r>
              <w:rPr>
                <w:color w:val="1A1D21"/>
                <w:sz w:val="17"/>
              </w:rPr>
              <w:t>Overheads</w:t>
            </w:r>
          </w:p>
        </w:tc>
        <w:tc>
          <w:tcPr>
            <w:tcW w:type="dxa" w:w="4309"/>
          </w:tcPr>
          <w:p>
            <w:r/>
            <w:r>
              <w:rPr>
                <w:color w:val="1A1D21"/>
                <w:sz w:val="17"/>
              </w:rPr>
              <w:t>a ratio of group revenue, from 2025</w:t>
            </w:r>
          </w:p>
        </w:tc>
        <w:tc>
          <w:tcPr>
            <w:tcW w:type="dxa" w:w="2948"/>
          </w:tcPr>
          <w:p>
            <w:pPr>
              <w:jc w:val="right"/>
            </w:pPr>
            <w:r/>
            <w:r>
              <w:rPr>
                <w:color w:val="1A1D21"/>
                <w:sz w:val="17"/>
              </w:rPr>
              <w:t>6.75%</w:t>
            </w:r>
          </w:p>
        </w:tc>
      </w:tr>
      <w:tr>
        <w:trPr>
          <w:cantSplit/>
        </w:trPr>
        <w:tc>
          <w:tcPr>
            <w:tcW w:type="dxa" w:w="1928"/>
          </w:tcPr>
          <w:p>
            <w:r/>
            <w:r>
              <w:rPr>
                <w:color w:val="1A1D21"/>
                <w:sz w:val="17"/>
              </w:rPr>
              <w:t>Money collected ahead of handover</w:t>
            </w:r>
          </w:p>
        </w:tc>
        <w:tc>
          <w:tcPr>
            <w:tcW w:type="dxa" w:w="4309"/>
          </w:tcPr>
          <w:p>
            <w:r/>
            <w:r>
              <w:rPr>
                <w:color w:val="1A1D21"/>
                <w:sz w:val="17"/>
              </w:rPr>
              <w:t>a rate on the order book plus the year's sales, taken from the movement in customer advances in the first half of 2026</w:t>
            </w:r>
          </w:p>
        </w:tc>
        <w:tc>
          <w:tcPr>
            <w:tcW w:type="dxa" w:w="2948"/>
          </w:tcPr>
          <w:p>
            <w:pPr>
              <w:jc w:val="right"/>
            </w:pPr>
            <w:r/>
            <w:r>
              <w:rPr>
                <w:color w:val="1A1D21"/>
                <w:sz w:val="17"/>
              </w:rPr>
              <w:t>7.57%</w:t>
            </w:r>
          </w:p>
        </w:tc>
      </w:tr>
      <w:tr>
        <w:trPr>
          <w:cantSplit/>
        </w:trPr>
        <w:tc>
          <w:tcPr>
            <w:tcW w:type="dxa" w:w="1928"/>
          </w:tcPr>
          <w:p>
            <w:r/>
            <w:r>
              <w:rPr>
                <w:color w:val="1A1D21"/>
                <w:sz w:val="17"/>
              </w:rPr>
              <w:t>Homes built ahead of handover</w:t>
            </w:r>
          </w:p>
        </w:tc>
        <w:tc>
          <w:tcPr>
            <w:tcW w:type="dxa" w:w="4309"/>
          </w:tcPr>
          <w:p>
            <w:r/>
            <w:r>
              <w:rPr>
                <w:color w:val="1A1D21"/>
                <w:sz w:val="17"/>
              </w:rPr>
              <w:t>work in progress moved toward the cover the build programme needs</w:t>
            </w:r>
          </w:p>
        </w:tc>
        <w:tc>
          <w:tcPr>
            <w:tcW w:type="dxa" w:w="2948"/>
          </w:tcPr>
          <w:p>
            <w:r/>
            <w:r>
              <w:rPr>
                <w:color w:val="1A1D21"/>
                <w:sz w:val="17"/>
              </w:rPr>
              <w:t>4.0 years of cost</w:t>
            </w:r>
          </w:p>
        </w:tc>
      </w:tr>
      <w:tr>
        <w:trPr>
          <w:cantSplit/>
        </w:trPr>
        <w:tc>
          <w:tcPr>
            <w:tcW w:type="dxa" w:w="1928"/>
          </w:tcPr>
          <w:p>
            <w:r/>
            <w:r>
              <w:rPr>
                <w:color w:val="1A1D21"/>
                <w:sz w:val="17"/>
              </w:rPr>
              <w:t>Interest</w:t>
            </w:r>
          </w:p>
        </w:tc>
        <w:tc>
          <w:tcPr>
            <w:tcW w:type="dxa" w:w="4309"/>
          </w:tcPr>
          <w:p>
            <w:r/>
            <w:r>
              <w:rPr>
                <w:color w:val="1A1D21"/>
                <w:sz w:val="17"/>
              </w:rPr>
              <w:t>the marginal borrowing rate applied to borrowings, and to nothing else</w:t>
            </w:r>
          </w:p>
        </w:tc>
        <w:tc>
          <w:tcPr>
            <w:tcW w:type="dxa" w:w="2948"/>
          </w:tcPr>
          <w:p>
            <w:pPr>
              <w:jc w:val="right"/>
            </w:pPr>
            <w:r/>
            <w:r>
              <w:rPr>
                <w:color w:val="1A1D21"/>
                <w:sz w:val="17"/>
              </w:rPr>
              <w:t>25.50%</w:t>
            </w:r>
          </w:p>
        </w:tc>
      </w:tr>
    </w:tbl>
    <w:p>
      <w:pPr>
        <w:spacing w:after="200"/>
      </w:pPr>
      <w:r>
        <w:rPr>
          <w:b w:val="0"/>
          <w:i/>
          <w:color w:val="5B6570"/>
          <w:sz w:val="16"/>
        </w:rPr>
        <w:t>Customer advances, supplier balances and obligations against cheques received are funding, but none of them pays interest, so none of them is in the denominator of the borrowing rate.</w:t>
      </w:r>
    </w:p>
    <w:p>
      <w:pPr>
        <w:spacing w:after="140"/>
      </w:pPr>
      <w:r>
        <w:rPr>
          <w:b w:val="0"/>
          <w:i w:val="0"/>
          <w:color w:val="1A1D21"/>
          <w:sz w:val="20"/>
        </w:rPr>
        <w:t>This method was then tested against the company's own history. The driver model was rebuilt as it would have stood at each year end from 2015 to 2024, projected forward one to five years, and each driver scored against what the company actually reported. The results decided which of the model's habits were corrected and which were left alone.</w:t>
      </w:r>
    </w:p>
    <w:tbl>
      <w:tblPr>
        <w:tblStyle w:val="TableGrid"/>
        <w:tblW w:type="auto" w:w="0"/>
        <w:jc w:val="center"/>
        <w:tblLayout w:type="fixed"/>
        <w:tblLook w:firstColumn="1" w:firstRow="1" w:lastColumn="0" w:lastRow="0" w:noHBand="0" w:noVBand="1" w:val="04A0"/>
        <w:tblLayout w:type="fixed"/>
      </w:tblPr>
      <w:tblGrid>
        <w:gridCol w:w="2268"/>
        <w:gridCol w:w="1361"/>
        <w:gridCol w:w="1474"/>
        <w:gridCol w:w="1814"/>
        <w:gridCol w:w="2268"/>
      </w:tblGrid>
      <w:tr>
        <w:trPr>
          <w:tblHeader w:val="true"/>
        </w:trPr>
        <w:tc>
          <w:tcPr>
            <w:tcW w:type="dxa" w:w="2268"/>
          </w:tcPr>
          <w:p>
            <w:r/>
            <w:r>
              <w:rPr>
                <w:b/>
                <w:color w:val="5B6570"/>
                <w:sz w:val="17"/>
              </w:rPr>
              <w:t>Driver</w:t>
            </w:r>
          </w:p>
        </w:tc>
        <w:tc>
          <w:tcPr>
            <w:tcW w:type="dxa" w:w="1361"/>
          </w:tcPr>
          <w:p>
            <w:r/>
            <w:r>
              <w:rPr>
                <w:b/>
                <w:color w:val="5B6570"/>
                <w:sz w:val="17"/>
              </w:rPr>
              <w:t>Observations</w:t>
            </w:r>
          </w:p>
        </w:tc>
        <w:tc>
          <w:tcPr>
            <w:tcW w:type="dxa" w:w="1474"/>
          </w:tcPr>
          <w:p>
            <w:r/>
            <w:r>
              <w:rPr>
                <w:b/>
                <w:color w:val="5B6570"/>
                <w:sz w:val="17"/>
              </w:rPr>
              <w:t>Average error</w:t>
            </w:r>
          </w:p>
        </w:tc>
        <w:tc>
          <w:tcPr>
            <w:tcW w:type="dxa" w:w="1814"/>
          </w:tcPr>
          <w:p>
            <w:r/>
            <w:r>
              <w:rPr>
                <w:b/>
                <w:color w:val="5B6570"/>
                <w:sz w:val="17"/>
              </w:rPr>
              <w:t>Average size of error</w:t>
            </w:r>
          </w:p>
        </w:tc>
        <w:tc>
          <w:tcPr>
            <w:tcW w:type="dxa" w:w="2268"/>
          </w:tcPr>
          <w:p>
            <w:r/>
            <w:r>
              <w:rPr>
                <w:b/>
                <w:color w:val="5B6570"/>
                <w:sz w:val="17"/>
              </w:rPr>
              <w:t>Consistent across the record</w:t>
            </w:r>
          </w:p>
        </w:tc>
      </w:tr>
    </w:tbl>
    <w:p>
      <w:pPr>
        <w:spacing w:after="200"/>
      </w:pPr>
      <w:r>
        <w:rPr>
          <w:b w:val="0"/>
          <w:i/>
          <w:color w:val="5B6570"/>
          <w:sz w:val="16"/>
        </w:rPr>
        <w:t>Errors are in natural logarithms, so −0.06 means the forecast came in about 6% below the outcome. A negative average error means this method has tended to forecast low.</w:t>
      </w:r>
    </w:p>
    <w:p>
      <w:pPr>
        <w:spacing w:after="140"/>
      </w:pPr>
      <w:r>
        <w:rPr>
          <w:b w:val="0"/>
          <w:i w:val="0"/>
          <w:color w:val="1A1D21"/>
          <w:sz w:val="20"/>
        </w:rPr>
        <w:t>Two findings shaped this study.</w:t>
      </w:r>
    </w:p>
    <w:p>
      <w:pPr>
        <w:pStyle w:val="ListBullet"/>
        <w:spacing w:after="60"/>
      </w:pPr>
      <w:r>
        <w:rPr>
          <w:color w:val="1A1D21"/>
          <w:sz w:val="20"/>
        </w:rPr>
        <w:t>Converting a disclosed order book is forecastable. Development revenue came back with an average error of about 6% low and a typical error of 28%, across 35 tests. That is why the valuation is built on the order book rather than on a revenue growth rate.</w:t>
      </w:r>
    </w:p>
    <w:p>
      <w:pPr>
        <w:pStyle w:val="ListBullet"/>
        <w:spacing w:after="60"/>
      </w:pPr>
      <w:r>
        <w:rPr>
          <w:color w:val="1A1D21"/>
          <w:sz w:val="20"/>
        </w:rPr>
        <w:t>Forecasting new sales from population and inflation is not. New contracted sales came back about 58% low, consistently, in every part of the record. The reason is plain in the company's own numbers: sales went from EGP 33 billion in 2022 to EGP 143 billion, then EGP 504 billion, then EGP 382 billion, on the launches of SouthMed and The Spine. No demographic anchor can see a launch calendar. This study therefore does not forecast sales that way; it uses the company's own disclosed sales and lets them converge on the delivery rate.</w:t>
      </w:r>
    </w:p>
    <w:p>
      <w:pPr>
        <w:spacing w:after="140"/>
      </w:pPr>
      <w:r>
        <w:rPr>
          <w:b w:val="0"/>
          <w:i w:val="0"/>
          <w:color w:val="1A1D21"/>
          <w:sz w:val="20"/>
        </w:rPr>
        <w:t>The same testing found a habit worth naming and NOT correcting. The method under-forecasts finance cost badly and consistently, and a correction for it passed every statistical test applied. It was rejected anyway. TMG's reported finance charge of EGP 3,936 million against borrowings of EGP 16,493 million implies a rate of about 44%, against an Egyptian policy rate that peaked near 27.25%. The excess is the unwinding of the financing component the company recognises on its customer contracts, which is not interest on a loan and is not disclosed separately. Correcting a figure whose numerator and denominator describe different things would have hidden that rather than fixed it.</w:t>
      </w:r>
    </w:p>
    <w:p>
      <w:pPr>
        <w:pStyle w:val="Heading2"/>
      </w:pPr>
      <w:r>
        <w:t>1.7 The crux</w:t>
      </w:r>
    </w:p>
    <w:p>
      <w:pPr>
        <w:spacing w:after="140"/>
      </w:pPr>
      <w:r>
        <w:rPr>
          <w:b w:val="0"/>
          <w:i w:val="0"/>
          <w:color w:val="1A1D21"/>
          <w:sz w:val="20"/>
        </w:rPr>
        <w:t>Everything in this study turns on one number that the company does not publish: how long its order book takes to convert into handovers.</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Years to convert the order book</w:t>
            </w:r>
          </w:p>
        </w:tc>
        <w:tc>
          <w:tcPr>
            <w:tcW w:type="dxa" w:w="2268"/>
          </w:tcPr>
          <w:p>
            <w:r/>
            <w:r>
              <w:rPr>
                <w:b/>
                <w:color w:val="5B6570"/>
                <w:sz w:val="17"/>
              </w:rPr>
              <w:t>EGP per share</w:t>
            </w:r>
          </w:p>
        </w:tc>
      </w:tr>
      <w:tr>
        <w:trPr>
          <w:cantSplit/>
        </w:trPr>
        <w:tc>
          <w:tcPr>
            <w:tcW w:type="dxa" w:w="3969"/>
          </w:tcPr>
          <w:p>
            <w:r/>
            <w:r>
              <w:rPr>
                <w:color w:val="1A1D21"/>
                <w:sz w:val="17"/>
              </w:rPr>
              <w:t>8</w:t>
            </w:r>
          </w:p>
        </w:tc>
        <w:tc>
          <w:tcPr>
            <w:tcW w:type="dxa" w:w="2268"/>
          </w:tcPr>
          <w:p>
            <w:pPr>
              <w:jc w:val="right"/>
            </w:pPr>
            <w:r/>
            <w:r>
              <w:rPr>
                <w:color w:val="1A1D21"/>
                <w:sz w:val="17"/>
              </w:rPr>
              <w:t>43.94</w:t>
            </w:r>
          </w:p>
        </w:tc>
      </w:tr>
      <w:tr>
        <w:trPr>
          <w:cantSplit/>
        </w:trPr>
        <w:tc>
          <w:tcPr>
            <w:tcW w:type="dxa" w:w="3969"/>
          </w:tcPr>
          <w:p>
            <w:r/>
            <w:r>
              <w:rPr>
                <w:color w:val="1A1D21"/>
                <w:sz w:val="17"/>
              </w:rPr>
              <w:t>10</w:t>
            </w:r>
          </w:p>
        </w:tc>
        <w:tc>
          <w:tcPr>
            <w:tcW w:type="dxa" w:w="2268"/>
          </w:tcPr>
          <w:p>
            <w:pPr>
              <w:jc w:val="right"/>
            </w:pPr>
            <w:r/>
            <w:r>
              <w:rPr>
                <w:color w:val="1A1D21"/>
                <w:sz w:val="17"/>
              </w:rPr>
              <w:t>43.94</w:t>
            </w:r>
          </w:p>
        </w:tc>
      </w:tr>
      <w:tr>
        <w:trPr>
          <w:cantSplit/>
        </w:trPr>
        <w:tc>
          <w:tcPr>
            <w:tcW w:type="dxa" w:w="3969"/>
          </w:tcPr>
          <w:p>
            <w:r/>
            <w:r>
              <w:rPr>
                <w:color w:val="1A1D21"/>
                <w:sz w:val="17"/>
              </w:rPr>
              <w:t>12</w:t>
            </w:r>
          </w:p>
        </w:tc>
        <w:tc>
          <w:tcPr>
            <w:tcW w:type="dxa" w:w="2268"/>
          </w:tcPr>
          <w:p>
            <w:pPr>
              <w:jc w:val="right"/>
            </w:pPr>
            <w:r/>
            <w:r>
              <w:rPr>
                <w:color w:val="1A1D21"/>
                <w:sz w:val="17"/>
              </w:rPr>
              <w:t>43.94</w:t>
            </w:r>
          </w:p>
        </w:tc>
      </w:tr>
      <w:tr>
        <w:trPr>
          <w:cantSplit/>
        </w:trPr>
        <w:tc>
          <w:tcPr>
            <w:tcW w:type="dxa" w:w="3969"/>
          </w:tcPr>
          <w:p>
            <w:r/>
            <w:r>
              <w:rPr>
                <w:color w:val="1A1D21"/>
                <w:sz w:val="17"/>
              </w:rPr>
              <w:t>14</w:t>
            </w:r>
          </w:p>
        </w:tc>
        <w:tc>
          <w:tcPr>
            <w:tcW w:type="dxa" w:w="2268"/>
          </w:tcPr>
          <w:p>
            <w:pPr>
              <w:jc w:val="right"/>
            </w:pPr>
            <w:r/>
            <w:r>
              <w:rPr>
                <w:color w:val="1A1D21"/>
                <w:sz w:val="17"/>
              </w:rPr>
              <w:t>43.94</w:t>
            </w:r>
          </w:p>
        </w:tc>
      </w:tr>
      <w:tr>
        <w:trPr>
          <w:cantSplit/>
        </w:trPr>
        <w:tc>
          <w:tcPr>
            <w:tcW w:type="dxa" w:w="3969"/>
          </w:tcPr>
          <w:p>
            <w:r/>
            <w:r>
              <w:rPr>
                <w:color w:val="1A1D21"/>
                <w:sz w:val="17"/>
              </w:rPr>
              <w:t>16</w:t>
            </w:r>
          </w:p>
        </w:tc>
        <w:tc>
          <w:tcPr>
            <w:tcW w:type="dxa" w:w="2268"/>
          </w:tcPr>
          <w:p>
            <w:pPr>
              <w:jc w:val="right"/>
            </w:pPr>
            <w:r/>
            <w:r>
              <w:rPr>
                <w:color w:val="1A1D21"/>
                <w:sz w:val="17"/>
              </w:rPr>
              <w:t>43.94</w:t>
            </w:r>
          </w:p>
        </w:tc>
      </w:tr>
      <w:tr>
        <w:trPr>
          <w:cantSplit/>
        </w:trPr>
        <w:tc>
          <w:tcPr>
            <w:tcW w:type="dxa" w:w="3969"/>
          </w:tcPr>
          <w:p>
            <w:r/>
            <w:r>
              <w:rPr>
                <w:color w:val="1A1D21"/>
                <w:sz w:val="17"/>
              </w:rPr>
              <w:t>20</w:t>
            </w:r>
          </w:p>
        </w:tc>
        <w:tc>
          <w:tcPr>
            <w:tcW w:type="dxa" w:w="2268"/>
          </w:tcPr>
          <w:p>
            <w:pPr>
              <w:jc w:val="right"/>
            </w:pPr>
            <w:r/>
            <w:r>
              <w:rPr>
                <w:color w:val="1A1D21"/>
                <w:sz w:val="17"/>
              </w:rPr>
              <w:t>43.94</w:t>
            </w:r>
          </w:p>
        </w:tc>
      </w:tr>
    </w:tbl>
    <w:p>
      <w:pPr>
        <w:spacing w:after="200"/>
      </w:pPr>
      <w:r>
        <w:rPr>
          <w:b w:val="0"/>
          <w:i/>
          <w:color w:val="5B6570"/>
          <w:sz w:val="16"/>
        </w:rPr>
        <w:t>At this study's discount rate, with the minority deducted at book. The company's own record over the last three years is consistent with the slower end of this table.</w:t>
      </w:r>
    </w:p>
    <w:p>
      <w:pPr>
        <w:spacing w:after="140"/>
      </w:pPr>
      <w:r>
        <w:rPr>
          <w:b w:val="0"/>
          <w:i w:val="0"/>
          <w:color w:val="1A1D21"/>
          <w:sz w:val="20"/>
        </w:rPr>
        <w:t>The evidence for the slower reading is the company's own arithmetic. Development revenue as a share of the opening order book plus the year's sales ran near 15% before 2023. It was 9.8% in 2023, 3.8% in 2024 and 5.4% in 2025 — not because demand weakened, but because the book quadrupled while the ability to build did not. The constraint is construction capacity, not the order book.</w:t>
      </w:r>
    </w:p>
    <w:p>
      <w:pPr>
        <w:spacing w:after="140"/>
      </w:pPr>
      <w:r>
        <w:rPr>
          <w:b w:val="0"/>
          <w:i w:val="0"/>
          <w:color w:val="1A1D21"/>
          <w:sz w:val="20"/>
        </w:rPr>
        <w:t>The evidence for the faster reading is that TMG is investing heavily in exactly that capacity: work in progress rose from EGP 130.1 billion to EGP 148.3 billion in the first half of 2026 alone, and assets under construction rose alongside it. A company spending at that rate expects to hand over faster.</w:t>
      </w:r>
    </w:p>
    <w:p>
      <w:pPr>
        <w:spacing w:after="140"/>
      </w:pPr>
      <w:r>
        <w:rPr>
          <w:b w:val="0"/>
          <w:i w:val="0"/>
          <w:color w:val="1A1D21"/>
          <w:sz w:val="20"/>
        </w:rPr>
        <w:t>Here is the part that is not obvious. Faster conversion is worth LESS, not more. A developer that accelerates handovers has to build before it collects, and at a discount rate near 36% that investment does not pay back inside the window. The slower reading is worth EGP 43.94 a share and the faster one EGP 54.08. Both are published, and a reader who believes in the build-out should note that believing in it does not make the shares cheaper.</w:t>
      </w:r>
    </w:p>
    <w:p>
      <w:pPr>
        <w:pStyle w:val="Heading2"/>
      </w:pPr>
      <w:r>
        <w:t>1.8 The cost of capital, priced line by line</w:t>
      </w:r>
    </w:p>
    <w:tbl>
      <w:tblPr>
        <w:tblStyle w:val="TableGrid"/>
        <w:tblW w:type="auto" w:w="0"/>
        <w:jc w:val="center"/>
        <w:tblLayout w:type="fixed"/>
        <w:tblLook w:firstColumn="1" w:firstRow="1" w:lastColumn="0" w:lastRow="0" w:noHBand="0" w:noVBand="1" w:val="04A0"/>
        <w:tblLayout w:type="fixed"/>
      </w:tblPr>
      <w:tblGrid>
        <w:gridCol w:w="2495"/>
        <w:gridCol w:w="1474"/>
        <w:gridCol w:w="5216"/>
      </w:tblGrid>
      <w:tr>
        <w:trPr>
          <w:tblHeader w:val="true"/>
        </w:trPr>
        <w:tc>
          <w:tcPr>
            <w:tcW w:type="dxa" w:w="2494"/>
          </w:tcPr>
          <w:p>
            <w:r/>
            <w:r>
              <w:rPr>
                <w:b/>
                <w:color w:val="5B6570"/>
                <w:sz w:val="17"/>
              </w:rPr>
              <w:t>Input</w:t>
            </w:r>
          </w:p>
        </w:tc>
        <w:tc>
          <w:tcPr>
            <w:tcW w:type="dxa" w:w="1474"/>
          </w:tcPr>
          <w:p>
            <w:r/>
            <w:r>
              <w:rPr>
                <w:b/>
                <w:color w:val="5B6570"/>
                <w:sz w:val="17"/>
              </w:rPr>
              <w:t>Value</w:t>
            </w:r>
          </w:p>
        </w:tc>
        <w:tc>
          <w:tcPr>
            <w:tcW w:type="dxa" w:w="5216"/>
          </w:tcPr>
          <w:p>
            <w:r/>
            <w:r>
              <w:rPr>
                <w:b/>
                <w:color w:val="5B6570"/>
                <w:sz w:val="17"/>
              </w:rPr>
              <w:t>Where it comes from</w:t>
            </w:r>
          </w:p>
        </w:tc>
      </w:tr>
      <w:tr>
        <w:trPr>
          <w:cantSplit/>
        </w:trPr>
        <w:tc>
          <w:tcPr>
            <w:tcW w:type="dxa" w:w="2494"/>
          </w:tcPr>
          <w:p>
            <w:r/>
            <w:r>
              <w:rPr>
                <w:color w:val="1A1D21"/>
                <w:sz w:val="17"/>
              </w:rPr>
              <w:t>Egyptian ten-year government bond yield</w:t>
            </w:r>
          </w:p>
        </w:tc>
        <w:tc>
          <w:tcPr>
            <w:tcW w:type="dxa" w:w="1474"/>
          </w:tcPr>
          <w:p>
            <w:pPr>
              <w:jc w:val="right"/>
            </w:pPr>
            <w:r/>
            <w:r>
              <w:rPr>
                <w:color w:val="1A1D21"/>
                <w:sz w:val="17"/>
              </w:rPr>
              <w:t>23.00%</w:t>
            </w:r>
          </w:p>
        </w:tc>
        <w:tc>
          <w:tcPr>
            <w:tcW w:type="dxa" w:w="5216"/>
          </w:tcPr>
          <w:p>
            <w:r/>
            <w:r>
              <w:rPr>
                <w:color w:val="1A1D21"/>
                <w:sz w:val="17"/>
              </w:rPr>
              <w:t>market quote dated 6 August 2026, cross-checked against a policy rate of 19.00%, an overnight lending rate of 20.00% and an interbank rate of 19.51% at the central bank's August 2026 meeting</w:t>
            </w:r>
          </w:p>
        </w:tc>
      </w:tr>
      <w:tr>
        <w:trPr>
          <w:cantSplit/>
        </w:trPr>
        <w:tc>
          <w:tcPr>
            <w:tcW w:type="dxa" w:w="2494"/>
          </w:tcPr>
          <w:p>
            <w:r/>
            <w:r>
              <w:rPr>
                <w:color w:val="1A1D21"/>
                <w:sz w:val="17"/>
              </w:rPr>
              <w:t>Egypt's own default spread</w:t>
            </w:r>
          </w:p>
        </w:tc>
        <w:tc>
          <w:tcPr>
            <w:tcW w:type="dxa" w:w="1474"/>
          </w:tcPr>
          <w:p>
            <w:pPr>
              <w:jc w:val="right"/>
            </w:pPr>
            <w:r/>
            <w:r>
              <w:rPr>
                <w:color w:val="1A1D21"/>
                <w:sz w:val="17"/>
              </w:rPr>
              <w:t>6.37%</w:t>
            </w:r>
          </w:p>
        </w:tc>
        <w:tc>
          <w:tcPr>
            <w:tcW w:type="dxa" w:w="5216"/>
          </w:tcPr>
          <w:p>
            <w:r/>
            <w:r>
              <w:rPr>
                <w:color w:val="1A1D21"/>
                <w:sz w:val="17"/>
              </w:rPr>
              <w:t>the sovereign's own row in the published country-premium file, read fresh on 1 September 2026</w:t>
            </w:r>
          </w:p>
        </w:tc>
      </w:tr>
      <w:tr>
        <w:trPr>
          <w:cantSplit/>
        </w:trPr>
        <w:tc>
          <w:tcPr>
            <w:tcW w:type="dxa" w:w="2494"/>
          </w:tcPr>
          <w:p>
            <w:r/>
            <w:r>
              <w:rPr>
                <w:color w:val="1A1D21"/>
                <w:sz w:val="17"/>
              </w:rPr>
              <w:t>Risk-free rate, normalised</w:t>
            </w:r>
          </w:p>
        </w:tc>
        <w:tc>
          <w:tcPr>
            <w:tcW w:type="dxa" w:w="1474"/>
          </w:tcPr>
          <w:p>
            <w:pPr>
              <w:jc w:val="right"/>
            </w:pPr>
            <w:r/>
            <w:r>
              <w:rPr>
                <w:color w:val="1A1D21"/>
                <w:sz w:val="17"/>
              </w:rPr>
              <w:t>16.63%</w:t>
            </w:r>
          </w:p>
        </w:tc>
        <w:tc>
          <w:tcPr>
            <w:tcW w:type="dxa" w:w="5216"/>
          </w:tcPr>
          <w:p>
            <w:r/>
            <w:r>
              <w:rPr>
                <w:color w:val="1A1D21"/>
                <w:sz w:val="17"/>
              </w:rPr>
              <w:t>the bond yield less that default spread, so country risk is charged once and not twice</w:t>
            </w:r>
          </w:p>
        </w:tc>
      </w:tr>
      <w:tr>
        <w:trPr>
          <w:cantSplit/>
        </w:trPr>
        <w:tc>
          <w:tcPr>
            <w:tcW w:type="dxa" w:w="2494"/>
          </w:tcPr>
          <w:p>
            <w:r/>
            <w:r>
              <w:rPr>
                <w:color w:val="1A1D21"/>
                <w:sz w:val="17"/>
              </w:rPr>
              <w:t>Equity risk premium, rating basis</w:t>
            </w:r>
          </w:p>
        </w:tc>
        <w:tc>
          <w:tcPr>
            <w:tcW w:type="dxa" w:w="1474"/>
          </w:tcPr>
          <w:p>
            <w:pPr>
              <w:jc w:val="right"/>
            </w:pPr>
            <w:r/>
            <w:r>
              <w:rPr>
                <w:color w:val="1A1D21"/>
                <w:sz w:val="17"/>
              </w:rPr>
              <w:t>13.94%</w:t>
            </w:r>
          </w:p>
        </w:tc>
        <w:tc>
          <w:tcPr>
            <w:tcW w:type="dxa" w:w="5216"/>
          </w:tcPr>
          <w:p>
            <w:r/>
            <w:r>
              <w:rPr>
                <w:color w:val="1A1D21"/>
                <w:sz w:val="17"/>
              </w:rPr>
              <w:t>the same published file, Egypt's own row</w:t>
            </w:r>
          </w:p>
        </w:tc>
      </w:tr>
      <w:tr>
        <w:trPr>
          <w:cantSplit/>
        </w:trPr>
        <w:tc>
          <w:tcPr>
            <w:tcW w:type="dxa" w:w="2494"/>
          </w:tcPr>
          <w:p>
            <w:r/>
            <w:r>
              <w:rPr>
                <w:color w:val="1A1D21"/>
                <w:sz w:val="17"/>
              </w:rPr>
              <w:t>Equity risk premium, swap basis</w:t>
            </w:r>
          </w:p>
        </w:tc>
        <w:tc>
          <w:tcPr>
            <w:tcW w:type="dxa" w:w="1474"/>
          </w:tcPr>
          <w:p>
            <w:pPr>
              <w:jc w:val="right"/>
            </w:pPr>
            <w:r/>
            <w:r>
              <w:rPr>
                <w:color w:val="1A1D21"/>
                <w:sz w:val="17"/>
              </w:rPr>
              <w:t>9.41%</w:t>
            </w:r>
          </w:p>
        </w:tc>
        <w:tc>
          <w:tcPr>
            <w:tcW w:type="dxa" w:w="5216"/>
          </w:tcPr>
          <w:p>
            <w:r/>
            <w:r>
              <w:rPr>
                <w:color w:val="1A1D21"/>
                <w:sz w:val="17"/>
              </w:rPr>
              <w:t>the same file, on the alternative measure</w:t>
            </w:r>
          </w:p>
        </w:tc>
      </w:tr>
      <w:tr>
        <w:trPr>
          <w:cantSplit/>
        </w:trPr>
        <w:tc>
          <w:tcPr>
            <w:tcW w:type="dxa" w:w="2494"/>
          </w:tcPr>
          <w:p>
            <w:r/>
            <w:r>
              <w:rPr>
                <w:color w:val="1A1D21"/>
                <w:sz w:val="17"/>
              </w:rPr>
              <w:t>Beta</w:t>
            </w:r>
          </w:p>
        </w:tc>
        <w:tc>
          <w:tcPr>
            <w:tcW w:type="dxa" w:w="1474"/>
          </w:tcPr>
          <w:p>
            <w:pPr>
              <w:jc w:val="right"/>
            </w:pPr>
            <w:r/>
            <w:r>
              <w:rPr>
                <w:color w:val="1A1D21"/>
                <w:sz w:val="17"/>
              </w:rPr>
              <w:t>1.4718</w:t>
            </w:r>
          </w:p>
        </w:tc>
        <w:tc>
          <w:tcPr>
            <w:tcW w:type="dxa" w:w="5216"/>
          </w:tcPr>
          <w:p>
            <w:r/>
            <w:r>
              <w:rPr>
                <w:color w:val="1A1D21"/>
                <w:sz w:val="17"/>
              </w:rPr>
              <w:t>TMGH's own weekly returns regressed against the Egyptian Exchange's published index over 4.85 years, 251 observations, explaining 32.6% of the variation, standard error 0.185</w:t>
            </w:r>
          </w:p>
        </w:tc>
      </w:tr>
      <w:tr>
        <w:trPr>
          <w:cantSplit/>
        </w:trPr>
        <w:tc>
          <w:tcPr>
            <w:tcW w:type="dxa" w:w="2494"/>
          </w:tcPr>
          <w:p>
            <w:r/>
            <w:r>
              <w:rPr>
                <w:color w:val="1A1D21"/>
                <w:sz w:val="17"/>
              </w:rPr>
              <w:t>Cost of equity</w:t>
            </w:r>
          </w:p>
        </w:tc>
        <w:tc>
          <w:tcPr>
            <w:tcW w:type="dxa" w:w="1474"/>
          </w:tcPr>
          <w:p>
            <w:r/>
            <w:r>
              <w:rPr>
                <w:color w:val="1A1D21"/>
                <w:sz w:val="17"/>
              </w:rPr>
              <w:t>37.15% / 33.44%</w:t>
            </w:r>
          </w:p>
        </w:tc>
        <w:tc>
          <w:tcPr>
            <w:tcW w:type="dxa" w:w="5216"/>
          </w:tcPr>
          <w:p>
            <w:r/>
            <w:r>
              <w:rPr>
                <w:color w:val="1A1D21"/>
                <w:sz w:val="17"/>
              </w:rPr>
              <w:t>the normalised risk-free rate plus beta times each premium</w:t>
            </w:r>
          </w:p>
        </w:tc>
      </w:tr>
      <w:tr>
        <w:trPr>
          <w:cantSplit/>
        </w:trPr>
        <w:tc>
          <w:tcPr>
            <w:tcW w:type="dxa" w:w="2494"/>
          </w:tcPr>
          <w:p>
            <w:r/>
            <w:r>
              <w:rPr>
                <w:color w:val="1A1D21"/>
                <w:sz w:val="17"/>
              </w:rPr>
              <w:t>Marginal cost of debt, before tax</w:t>
            </w:r>
          </w:p>
        </w:tc>
        <w:tc>
          <w:tcPr>
            <w:tcW w:type="dxa" w:w="1474"/>
          </w:tcPr>
          <w:p>
            <w:pPr>
              <w:jc w:val="right"/>
            </w:pPr>
            <w:r/>
            <w:r>
              <w:rPr>
                <w:color w:val="1A1D21"/>
                <w:sz w:val="17"/>
              </w:rPr>
              <w:t>25.50%</w:t>
            </w:r>
          </w:p>
        </w:tc>
        <w:tc>
          <w:tcPr>
            <w:tcW w:type="dxa" w:w="5216"/>
          </w:tcPr>
          <w:p>
            <w:r/>
            <w:r>
              <w:rPr>
                <w:color w:val="1A1D21"/>
                <w:sz w:val="17"/>
              </w:rPr>
              <w:t>the sovereign yield plus a 250 basis-point corporate spread. TMG does not disclose the rate on any of its own facilities, so its own borrowing cost cannot be used and this is labelled rather than presented as the company's rate</w:t>
            </w:r>
          </w:p>
        </w:tc>
      </w:tr>
      <w:tr>
        <w:trPr>
          <w:cantSplit/>
        </w:trPr>
        <w:tc>
          <w:tcPr>
            <w:tcW w:type="dxa" w:w="2494"/>
          </w:tcPr>
          <w:p>
            <w:r/>
            <w:r>
              <w:rPr>
                <w:color w:val="1A1D21"/>
                <w:sz w:val="17"/>
              </w:rPr>
              <w:t>Weights</w:t>
            </w:r>
          </w:p>
        </w:tc>
        <w:tc>
          <w:tcPr>
            <w:tcW w:type="dxa" w:w="1474"/>
          </w:tcPr>
          <w:p>
            <w:r/>
            <w:r>
              <w:rPr>
                <w:color w:val="1A1D21"/>
                <w:sz w:val="17"/>
              </w:rPr>
              <w:t>92.2% equity / 7.8% debt</w:t>
            </w:r>
          </w:p>
        </w:tc>
        <w:tc>
          <w:tcPr>
            <w:tcW w:type="dxa" w:w="5216"/>
          </w:tcPr>
          <w:p>
            <w:r/>
            <w:r>
              <w:rPr>
                <w:color w:val="1A1D21"/>
                <w:sz w:val="17"/>
              </w:rPr>
              <w:t>market value of equity at the last close; borrowings at book</w:t>
            </w:r>
          </w:p>
        </w:tc>
      </w:tr>
      <w:tr>
        <w:trPr>
          <w:cantSplit/>
        </w:trPr>
        <w:tc>
          <w:tcPr>
            <w:tcW w:type="dxa" w:w="2494"/>
          </w:tcPr>
          <w:p>
            <w:r/>
            <w:r>
              <w:rPr>
                <w:color w:val="1A1D21"/>
                <w:sz w:val="17"/>
              </w:rPr>
              <w:t>Discount rate</w:t>
            </w:r>
          </w:p>
        </w:tc>
        <w:tc>
          <w:tcPr>
            <w:tcW w:type="dxa" w:w="1474"/>
          </w:tcPr>
          <w:p>
            <w:r/>
            <w:r>
              <w:rPr>
                <w:color w:val="1A1D21"/>
                <w:sz w:val="17"/>
              </w:rPr>
              <w:t>35.79% / 32.37%</w:t>
            </w:r>
          </w:p>
        </w:tc>
        <w:tc>
          <w:tcPr>
            <w:tcW w:type="dxa" w:w="5216"/>
          </w:tcPr>
          <w:p>
            <w:r/>
            <w:r>
              <w:rPr>
                <w:color w:val="1A1D21"/>
                <w:sz w:val="17"/>
              </w:rPr>
              <w:t>both bases published, neither averaged</w:t>
            </w:r>
          </w:p>
        </w:tc>
      </w:tr>
    </w:tbl>
    <w:p>
      <w:pPr>
        <w:spacing w:after="80"/>
      </w:pPr>
      <w:r>
        <w:rPr>
          <w:b w:val="0"/>
          <w:i w:val="0"/>
          <w:color w:val="1A1D21"/>
          <w:sz w:val="8"/>
        </w:rPr>
      </w:r>
    </w:p>
    <w:p>
      <w:pPr>
        <w:spacing w:after="140"/>
      </w:pPr>
      <w:r>
        <w:rPr>
          <w:b w:val="0"/>
          <w:i/>
          <w:color w:val="5B6570"/>
          <w:sz w:val="20"/>
        </w:rPr>
        <w:t>One caveat on the risk-free rate. The quote adopted is 26 days old at the date of this study. It was cross-checked against three current central-bank rates rather than accepted alone, and its effect is priced across the whole plausible range in the next section. It should be refreshed before this study is relied on.</w:t>
      </w:r>
    </w:p>
    <w:p>
      <w:pPr>
        <w:pStyle w:val="Heading2"/>
      </w:pPr>
      <w:r>
        <w:t>1.9 Sensitivity</w:t>
      </w:r>
    </w:p>
    <w:p>
      <w:pPr>
        <w:jc w:val="center"/>
      </w:pPr>
      <w:r>
        <w:drawing>
          <wp:inline xmlns:a="http://schemas.openxmlformats.org/drawingml/2006/main" xmlns:pic="http://schemas.openxmlformats.org/drawingml/2006/picture">
            <wp:extent cx="5832000" cy="2712558"/>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2712558"/>
                    </a:xfrm>
                    <a:prstGeom prst="rect"/>
                  </pic:spPr>
                </pic:pic>
              </a:graphicData>
            </a:graphic>
          </wp:inline>
        </w:drawing>
      </w:r>
    </w:p>
    <w:p>
      <w:pPr>
        <w:spacing w:after="240"/>
        <w:jc w:val="center"/>
      </w:pPr>
      <w:r>
        <w:rPr>
          <w:b w:val="0"/>
          <w:i/>
          <w:color w:val="5B6570"/>
          <w:sz w:val="16"/>
        </w:rPr>
        <w:t>The discount rate against value per share, on both readings of the order book. The dotted lines mark this study's rate and the 18% the June 2026 edition used.</w:t>
      </w:r>
    </w:p>
    <w:tbl>
      <w:tblPr>
        <w:tblStyle w:val="TableGrid"/>
        <w:tblW w:type="auto" w:w="0"/>
        <w:jc w:val="center"/>
        <w:tblLayout w:type="fixed"/>
        <w:tblLook w:firstColumn="1" w:firstRow="1" w:lastColumn="0" w:lastRow="0" w:noHBand="0" w:noVBand="1" w:val="04A0"/>
        <w:tblLayout w:type="fixed"/>
      </w:tblPr>
      <w:tblGrid>
        <w:gridCol w:w="1814"/>
        <w:gridCol w:w="2495"/>
        <w:gridCol w:w="2495"/>
        <w:gridCol w:w="2381"/>
      </w:tblGrid>
      <w:tr>
        <w:trPr>
          <w:tblHeader w:val="true"/>
        </w:trPr>
        <w:tc>
          <w:tcPr>
            <w:tcW w:type="dxa" w:w="1814"/>
          </w:tcPr>
          <w:p>
            <w:r/>
            <w:r>
              <w:rPr>
                <w:b/>
                <w:color w:val="5B6570"/>
                <w:sz w:val="17"/>
              </w:rPr>
              <w:t>Discount rate</w:t>
            </w:r>
          </w:p>
        </w:tc>
        <w:tc>
          <w:tcPr>
            <w:tcW w:type="dxa" w:w="2494"/>
          </w:tcPr>
          <w:p>
            <w:r/>
            <w:r>
              <w:rPr>
                <w:b/>
                <w:color w:val="5B6570"/>
                <w:sz w:val="17"/>
              </w:rPr>
              <w:t>Slower conversion, EGP/share</w:t>
            </w:r>
          </w:p>
        </w:tc>
        <w:tc>
          <w:tcPr>
            <w:tcW w:type="dxa" w:w="2494"/>
          </w:tcPr>
          <w:p>
            <w:r/>
            <w:r>
              <w:rPr>
                <w:b/>
                <w:color w:val="5B6570"/>
                <w:sz w:val="17"/>
              </w:rPr>
              <w:t>Faster conversion, EGP/share</w:t>
            </w:r>
          </w:p>
        </w:tc>
        <w:tc>
          <w:tcPr>
            <w:tcW w:type="dxa" w:w="2381"/>
          </w:tcPr>
          <w:p>
            <w:r/>
            <w:r>
              <w:rPr>
                <w:b/>
                <w:color w:val="5B6570"/>
                <w:sz w:val="17"/>
              </w:rPr>
              <w:t>Against the traded price</w:t>
            </w:r>
          </w:p>
        </w:tc>
      </w:tr>
      <w:tr>
        <w:trPr>
          <w:cantSplit/>
        </w:trPr>
        <w:tc>
          <w:tcPr>
            <w:tcW w:type="dxa" w:w="1814"/>
          </w:tcPr>
          <w:p>
            <w:r/>
            <w:r>
              <w:rPr>
                <w:color w:val="1A1D21"/>
                <w:sz w:val="17"/>
              </w:rPr>
              <w:t>24.00%</w:t>
            </w:r>
          </w:p>
        </w:tc>
        <w:tc>
          <w:tcPr>
            <w:tcW w:type="dxa" w:w="2494"/>
          </w:tcPr>
          <w:p>
            <w:pPr>
              <w:jc w:val="right"/>
            </w:pPr>
            <w:r/>
            <w:r>
              <w:rPr>
                <w:color w:val="1A1D21"/>
                <w:sz w:val="17"/>
              </w:rPr>
              <w:t>156.08</w:t>
            </w:r>
          </w:p>
        </w:tc>
        <w:tc>
          <w:tcPr>
            <w:tcW w:type="dxa" w:w="2494"/>
          </w:tcPr>
          <w:p>
            <w:pPr>
              <w:jc w:val="right"/>
            </w:pPr>
            <w:r/>
            <w:r>
              <w:rPr>
                <w:color w:val="1A1D21"/>
                <w:sz w:val="17"/>
              </w:rPr>
              <w:t>237.82</w:t>
            </w:r>
          </w:p>
        </w:tc>
        <w:tc>
          <w:tcPr>
            <w:tcW w:type="dxa" w:w="2381"/>
          </w:tcPr>
          <w:p>
            <w:pPr>
              <w:jc w:val="right"/>
            </w:pPr>
            <w:r/>
            <w:r>
              <w:rPr>
                <w:color w:val="1A1D21"/>
                <w:sz w:val="17"/>
              </w:rPr>
              <w:t>60%</w:t>
            </w:r>
          </w:p>
        </w:tc>
      </w:tr>
      <w:tr>
        <w:trPr>
          <w:cantSplit/>
        </w:trPr>
        <w:tc>
          <w:tcPr>
            <w:tcW w:type="dxa" w:w="1814"/>
          </w:tcPr>
          <w:p>
            <w:r/>
            <w:r>
              <w:rPr>
                <w:color w:val="1A1D21"/>
                <w:sz w:val="17"/>
              </w:rPr>
              <w:t>26.00%</w:t>
            </w:r>
          </w:p>
        </w:tc>
        <w:tc>
          <w:tcPr>
            <w:tcW w:type="dxa" w:w="2494"/>
          </w:tcPr>
          <w:p>
            <w:pPr>
              <w:jc w:val="right"/>
            </w:pPr>
            <w:r/>
            <w:r>
              <w:rPr>
                <w:color w:val="1A1D21"/>
                <w:sz w:val="17"/>
              </w:rPr>
              <w:t>105.91</w:t>
            </w:r>
          </w:p>
        </w:tc>
        <w:tc>
          <w:tcPr>
            <w:tcW w:type="dxa" w:w="2494"/>
          </w:tcPr>
          <w:p>
            <w:pPr>
              <w:jc w:val="right"/>
            </w:pPr>
            <w:r/>
            <w:r>
              <w:rPr>
                <w:color w:val="1A1D21"/>
                <w:sz w:val="17"/>
              </w:rPr>
              <w:t>153.41</w:t>
            </w:r>
          </w:p>
        </w:tc>
        <w:tc>
          <w:tcPr>
            <w:tcW w:type="dxa" w:w="2381"/>
          </w:tcPr>
          <w:p>
            <w:pPr>
              <w:jc w:val="right"/>
            </w:pPr>
            <w:r/>
            <w:r>
              <w:rPr>
                <w:color w:val="1A1D21"/>
                <w:sz w:val="17"/>
              </w:rPr>
              <w:t>8%</w:t>
            </w:r>
          </w:p>
        </w:tc>
      </w:tr>
      <w:tr>
        <w:trPr>
          <w:cantSplit/>
        </w:trPr>
        <w:tc>
          <w:tcPr>
            <w:tcW w:type="dxa" w:w="1814"/>
          </w:tcPr>
          <w:p>
            <w:r/>
            <w:r>
              <w:rPr>
                <w:color w:val="1A1D21"/>
                <w:sz w:val="17"/>
              </w:rPr>
              <w:t>28.00%</w:t>
            </w:r>
          </w:p>
        </w:tc>
        <w:tc>
          <w:tcPr>
            <w:tcW w:type="dxa" w:w="2494"/>
          </w:tcPr>
          <w:p>
            <w:pPr>
              <w:jc w:val="right"/>
            </w:pPr>
            <w:r/>
            <w:r>
              <w:rPr>
                <w:color w:val="1A1D21"/>
                <w:sz w:val="17"/>
              </w:rPr>
              <w:t>80.87</w:t>
            </w:r>
          </w:p>
        </w:tc>
        <w:tc>
          <w:tcPr>
            <w:tcW w:type="dxa" w:w="2494"/>
          </w:tcPr>
          <w:p>
            <w:pPr>
              <w:jc w:val="right"/>
            </w:pPr>
            <w:r/>
            <w:r>
              <w:rPr>
                <w:color w:val="1A1D21"/>
                <w:sz w:val="17"/>
              </w:rPr>
              <w:t>112.15</w:t>
            </w:r>
          </w:p>
        </w:tc>
        <w:tc>
          <w:tcPr>
            <w:tcW w:type="dxa" w:w="2381"/>
          </w:tcPr>
          <w:p>
            <w:pPr>
              <w:jc w:val="right"/>
            </w:pPr>
            <w:r/>
            <w:r>
              <w:rPr>
                <w:color w:val="1A1D21"/>
                <w:sz w:val="17"/>
              </w:rPr>
              <w:t>-17%</w:t>
            </w:r>
          </w:p>
        </w:tc>
      </w:tr>
      <w:tr>
        <w:trPr>
          <w:cantSplit/>
        </w:trPr>
        <w:tc>
          <w:tcPr>
            <w:tcW w:type="dxa" w:w="1814"/>
          </w:tcPr>
          <w:p>
            <w:r/>
            <w:r>
              <w:rPr>
                <w:color w:val="1A1D21"/>
                <w:sz w:val="17"/>
              </w:rPr>
              <w:t>31.57%</w:t>
            </w:r>
          </w:p>
        </w:tc>
        <w:tc>
          <w:tcPr>
            <w:tcW w:type="dxa" w:w="2494"/>
          </w:tcPr>
          <w:p>
            <w:pPr>
              <w:jc w:val="right"/>
            </w:pPr>
            <w:r/>
            <w:r>
              <w:rPr>
                <w:color w:val="1A1D21"/>
                <w:sz w:val="17"/>
              </w:rPr>
              <w:t>57.76</w:t>
            </w:r>
          </w:p>
        </w:tc>
        <w:tc>
          <w:tcPr>
            <w:tcW w:type="dxa" w:w="2494"/>
          </w:tcPr>
          <w:p>
            <w:pPr>
              <w:jc w:val="right"/>
            </w:pPr>
            <w:r/>
            <w:r>
              <w:rPr>
                <w:color w:val="1A1D21"/>
                <w:sz w:val="17"/>
              </w:rPr>
              <w:t>75.18</w:t>
            </w:r>
          </w:p>
        </w:tc>
        <w:tc>
          <w:tcPr>
            <w:tcW w:type="dxa" w:w="2381"/>
          </w:tcPr>
          <w:p>
            <w:pPr>
              <w:jc w:val="right"/>
            </w:pPr>
            <w:r/>
            <w:r>
              <w:rPr>
                <w:color w:val="1A1D21"/>
                <w:sz w:val="17"/>
              </w:rPr>
              <w:t>-41%</w:t>
            </w:r>
          </w:p>
        </w:tc>
      </w:tr>
      <w:tr>
        <w:trPr>
          <w:cantSplit/>
        </w:trPr>
        <w:tc>
          <w:tcPr>
            <w:tcW w:type="dxa" w:w="1814"/>
          </w:tcPr>
          <w:p>
            <w:r/>
            <w:r>
              <w:rPr>
                <w:color w:val="1A1D21"/>
                <w:sz w:val="17"/>
              </w:rPr>
              <w:t>32.37%</w:t>
            </w:r>
          </w:p>
        </w:tc>
        <w:tc>
          <w:tcPr>
            <w:tcW w:type="dxa" w:w="2494"/>
          </w:tcPr>
          <w:p>
            <w:pPr>
              <w:jc w:val="right"/>
            </w:pPr>
            <w:r/>
            <w:r>
              <w:rPr>
                <w:color w:val="1A1D21"/>
                <w:sz w:val="17"/>
              </w:rPr>
              <w:t>54.41</w:t>
            </w:r>
          </w:p>
        </w:tc>
        <w:tc>
          <w:tcPr>
            <w:tcW w:type="dxa" w:w="2494"/>
          </w:tcPr>
          <w:p>
            <w:pPr>
              <w:jc w:val="right"/>
            </w:pPr>
            <w:r/>
            <w:r>
              <w:rPr>
                <w:color w:val="1A1D21"/>
                <w:sz w:val="17"/>
              </w:rPr>
              <w:t>69.98</w:t>
            </w:r>
          </w:p>
        </w:tc>
        <w:tc>
          <w:tcPr>
            <w:tcW w:type="dxa" w:w="2381"/>
          </w:tcPr>
          <w:p>
            <w:pPr>
              <w:jc w:val="right"/>
            </w:pPr>
            <w:r/>
            <w:r>
              <w:rPr>
                <w:color w:val="1A1D21"/>
                <w:sz w:val="17"/>
              </w:rPr>
              <w:t>-44%</w:t>
            </w:r>
          </w:p>
        </w:tc>
      </w:tr>
      <w:tr>
        <w:trPr>
          <w:cantSplit/>
        </w:trPr>
        <w:tc>
          <w:tcPr>
            <w:tcW w:type="dxa" w:w="1814"/>
          </w:tcPr>
          <w:p>
            <w:r/>
            <w:r>
              <w:rPr>
                <w:color w:val="1A1D21"/>
                <w:sz w:val="17"/>
              </w:rPr>
              <w:t>35.79%</w:t>
            </w:r>
          </w:p>
        </w:tc>
        <w:tc>
          <w:tcPr>
            <w:tcW w:type="dxa" w:w="2494"/>
          </w:tcPr>
          <w:p>
            <w:pPr>
              <w:jc w:val="right"/>
            </w:pPr>
            <w:r/>
            <w:r>
              <w:rPr>
                <w:color w:val="1A1D21"/>
                <w:sz w:val="17"/>
              </w:rPr>
              <w:t>43.95</w:t>
            </w:r>
          </w:p>
        </w:tc>
        <w:tc>
          <w:tcPr>
            <w:tcW w:type="dxa" w:w="2494"/>
          </w:tcPr>
          <w:p>
            <w:pPr>
              <w:jc w:val="right"/>
            </w:pPr>
            <w:r/>
            <w:r>
              <w:rPr>
                <w:color w:val="1A1D21"/>
                <w:sz w:val="17"/>
              </w:rPr>
              <w:t>54.09</w:t>
            </w:r>
          </w:p>
        </w:tc>
        <w:tc>
          <w:tcPr>
            <w:tcW w:type="dxa" w:w="2381"/>
          </w:tcPr>
          <w:p>
            <w:pPr>
              <w:jc w:val="right"/>
            </w:pPr>
            <w:r/>
            <w:r>
              <w:rPr>
                <w:color w:val="1A1D21"/>
                <w:sz w:val="17"/>
              </w:rPr>
              <w:t>-55%</w:t>
            </w:r>
          </w:p>
        </w:tc>
      </w:tr>
      <w:tr>
        <w:trPr>
          <w:cantSplit/>
        </w:trPr>
        <w:tc>
          <w:tcPr>
            <w:tcW w:type="dxa" w:w="1814"/>
          </w:tcPr>
          <w:p>
            <w:r/>
            <w:r>
              <w:rPr>
                <w:color w:val="1A1D21"/>
                <w:sz w:val="17"/>
              </w:rPr>
              <w:t>40.00%</w:t>
            </w:r>
          </w:p>
        </w:tc>
        <w:tc>
          <w:tcPr>
            <w:tcW w:type="dxa" w:w="2494"/>
          </w:tcPr>
          <w:p>
            <w:pPr>
              <w:jc w:val="right"/>
            </w:pPr>
            <w:r/>
            <w:r>
              <w:rPr>
                <w:color w:val="1A1D21"/>
                <w:sz w:val="17"/>
              </w:rPr>
              <w:t>35.99</w:t>
            </w:r>
          </w:p>
        </w:tc>
        <w:tc>
          <w:tcPr>
            <w:tcW w:type="dxa" w:w="2494"/>
          </w:tcPr>
          <w:p>
            <w:pPr>
              <w:jc w:val="right"/>
            </w:pPr>
            <w:r/>
            <w:r>
              <w:rPr>
                <w:color w:val="1A1D21"/>
                <w:sz w:val="17"/>
              </w:rPr>
              <w:t>42.51</w:t>
            </w:r>
          </w:p>
        </w:tc>
        <w:tc>
          <w:tcPr>
            <w:tcW w:type="dxa" w:w="2381"/>
          </w:tcPr>
          <w:p>
            <w:pPr>
              <w:jc w:val="right"/>
            </w:pPr>
            <w:r/>
            <w:r>
              <w:rPr>
                <w:color w:val="1A1D21"/>
                <w:sz w:val="17"/>
              </w:rPr>
              <w:t>-63%</w:t>
            </w:r>
          </w:p>
        </w:tc>
      </w:tr>
    </w:tbl>
    <w:p>
      <w:pPr>
        <w:spacing w:after="200"/>
      </w:pPr>
      <w:r>
        <w:rPr>
          <w:b w:val="0"/>
          <w:i/>
          <w:color w:val="5B6570"/>
          <w:sz w:val="16"/>
        </w:rPr>
        <w:t>The last column compares the slower reading with the last traded price of EGP 97.80.</w:t>
      </w:r>
    </w:p>
    <w:p>
      <w:pPr>
        <w:spacing w:after="140"/>
      </w:pPr>
      <w:r>
        <w:rPr>
          <w:b w:val="0"/>
          <w:i w:val="0"/>
          <w:color w:val="1A1D21"/>
          <w:sz w:val="20"/>
        </w:rPr>
        <w:t>Read the table from the bottom up and the point is unmistakable. Nothing about this company's business changes across those rows. The value changes by a factor of four, and the whole of that is one input. Anyone using this study should decide what they think the right discount rate is before they decide what they think of the shares.</w:t>
      </w:r>
    </w:p>
    <w:p>
      <w:r>
        <w:br w:type="page"/>
      </w:r>
    </w:p>
    <w:p>
      <w:pPr>
        <w:pStyle w:val="Heading1"/>
      </w:pPr>
      <w:r>
        <w:t>2. Technical and price structure</w:t>
      </w:r>
    </w:p>
    <w:p>
      <w:pPr>
        <w:spacing w:after="140"/>
      </w:pPr>
      <w:r>
        <w:rPr>
          <w:b w:val="0"/>
          <w:i w:val="0"/>
          <w:color w:val="1A1D21"/>
          <w:sz w:val="20"/>
        </w:rPr>
        <w:t>The price closed 97.80 above a flat 50-day (97.45) and a rising 200-day (86.12), but below a falling 20-day (98.17). Momentum is neutral: RSI(14) is ~49 and the daily ATR near 1.97 (~2.0%) points to a normal tape. MACD (12·26·9) is negative and still falling (−0.18 / +0.01 / −0.19). Over the last year it has ranged 52.25–103.87; the last close sits 6% below that high and 87% above that low.</w:t>
      </w:r>
    </w:p>
    <w:p>
      <w:pPr>
        <w:spacing w:after="140"/>
      </w:pPr>
      <w:r>
        <w:rPr>
          <w:b w:val="0"/>
          <w:i w:val="0"/>
          <w:color w:val="1A1D21"/>
          <w:sz w:val="20"/>
        </w:rPr>
        <w:t>Trend: Consolidating below the near-term moving averages, above a rising 200-day</w:t>
      </w:r>
    </w:p>
    <w:tbl>
      <w:tblPr>
        <w:tblStyle w:val="TableGrid"/>
        <w:tblW w:type="auto" w:w="0"/>
        <w:jc w:val="center"/>
        <w:tblLayout w:type="fixed"/>
        <w:tblLook w:firstColumn="1" w:firstRow="1" w:lastColumn="0" w:lastRow="0" w:noHBand="0" w:noVBand="1" w:val="04A0"/>
        <w:tblLayout w:type="fixed"/>
      </w:tblPr>
      <w:tblGrid>
        <w:gridCol w:w="2495"/>
        <w:gridCol w:w="1361"/>
        <w:gridCol w:w="2495"/>
        <w:gridCol w:w="1361"/>
      </w:tblGrid>
      <w:tr>
        <w:trPr>
          <w:tblHeader w:val="true"/>
        </w:trPr>
        <w:tc>
          <w:tcPr>
            <w:tcW w:type="dxa" w:w="2494"/>
          </w:tcPr>
          <w:p>
            <w:r/>
            <w:r>
              <w:rPr>
                <w:b/>
                <w:color w:val="5B6570"/>
                <w:sz w:val="17"/>
              </w:rPr>
              <w:t>Charted levels above the close</w:t>
            </w:r>
          </w:p>
        </w:tc>
        <w:tc>
          <w:tcPr>
            <w:tcW w:type="dxa" w:w="1361"/>
          </w:tcPr>
          <w:p>
            <w:r/>
            <w:r>
              <w:rPr>
                <w:b/>
                <w:color w:val="5B6570"/>
                <w:sz w:val="17"/>
              </w:rPr>
              <w:t>EGP</w:t>
            </w:r>
          </w:p>
        </w:tc>
        <w:tc>
          <w:tcPr>
            <w:tcW w:type="dxa" w:w="2494"/>
          </w:tcPr>
          <w:p>
            <w:r/>
            <w:r>
              <w:rPr>
                <w:b/>
                <w:color w:val="5B6570"/>
                <w:sz w:val="17"/>
              </w:rPr>
              <w:t>Charted levels below the close</w:t>
            </w:r>
          </w:p>
        </w:tc>
        <w:tc>
          <w:tcPr>
            <w:tcW w:type="dxa" w:w="1361"/>
          </w:tcPr>
          <w:p>
            <w:r/>
            <w:r>
              <w:rPr>
                <w:b/>
                <w:color w:val="5B6570"/>
                <w:sz w:val="17"/>
              </w:rPr>
              <w:t>EGP</w:t>
            </w:r>
          </w:p>
        </w:tc>
      </w:tr>
      <w:tr>
        <w:trPr>
          <w:cantSplit/>
        </w:trPr>
        <w:tc>
          <w:tcPr>
            <w:tcW w:type="dxa" w:w="2494"/>
          </w:tcPr>
          <w:p>
            <w:r/>
            <w:r>
              <w:rPr>
                <w:color w:val="1A1D21"/>
                <w:sz w:val="17"/>
              </w:rPr>
              <w:t>Nearest</w:t>
            </w:r>
          </w:p>
        </w:tc>
        <w:tc>
          <w:tcPr>
            <w:tcW w:type="dxa" w:w="1361"/>
          </w:tcPr>
          <w:p>
            <w:pPr>
              <w:jc w:val="right"/>
            </w:pPr>
            <w:r/>
            <w:r>
              <w:rPr>
                <w:color w:val="1A1D21"/>
                <w:sz w:val="17"/>
              </w:rPr>
              <w:t>100.12</w:t>
            </w:r>
          </w:p>
        </w:tc>
        <w:tc>
          <w:tcPr>
            <w:tcW w:type="dxa" w:w="2494"/>
          </w:tcPr>
          <w:p>
            <w:r/>
            <w:r>
              <w:rPr>
                <w:color w:val="1A1D21"/>
                <w:sz w:val="17"/>
              </w:rPr>
              <w:t>Nearest</w:t>
            </w:r>
          </w:p>
        </w:tc>
        <w:tc>
          <w:tcPr>
            <w:tcW w:type="dxa" w:w="1361"/>
          </w:tcPr>
          <w:p>
            <w:pPr>
              <w:jc w:val="right"/>
            </w:pPr>
            <w:r/>
            <w:r>
              <w:rPr>
                <w:color w:val="1A1D21"/>
                <w:sz w:val="17"/>
              </w:rPr>
              <w:t>92.39</w:t>
            </w:r>
          </w:p>
        </w:tc>
      </w:tr>
      <w:tr>
        <w:trPr>
          <w:cantSplit/>
        </w:trPr>
        <w:tc>
          <w:tcPr>
            <w:tcW w:type="dxa" w:w="2494"/>
          </w:tcPr>
          <w:p>
            <w:r/>
            <w:r>
              <w:rPr>
                <w:color w:val="1A1D21"/>
                <w:sz w:val="17"/>
              </w:rPr>
              <w:t>Second</w:t>
            </w:r>
          </w:p>
        </w:tc>
        <w:tc>
          <w:tcPr>
            <w:tcW w:type="dxa" w:w="1361"/>
          </w:tcPr>
          <w:p>
            <w:pPr>
              <w:jc w:val="right"/>
            </w:pPr>
            <w:r/>
            <w:r>
              <w:rPr>
                <w:color w:val="1A1D21"/>
                <w:sz w:val="17"/>
              </w:rPr>
              <w:t>102.00</w:t>
            </w:r>
          </w:p>
        </w:tc>
        <w:tc>
          <w:tcPr>
            <w:tcW w:type="dxa" w:w="2494"/>
          </w:tcPr>
          <w:p>
            <w:r/>
            <w:r>
              <w:rPr>
                <w:color w:val="1A1D21"/>
                <w:sz w:val="17"/>
              </w:rPr>
              <w:t>Second</w:t>
            </w:r>
          </w:p>
        </w:tc>
        <w:tc>
          <w:tcPr>
            <w:tcW w:type="dxa" w:w="1361"/>
          </w:tcPr>
          <w:p>
            <w:pPr>
              <w:jc w:val="right"/>
            </w:pPr>
            <w:r/>
            <w:r>
              <w:rPr>
                <w:color w:val="1A1D21"/>
                <w:sz w:val="17"/>
              </w:rPr>
              <w:t>80.96</w:t>
            </w:r>
          </w:p>
        </w:tc>
      </w:tr>
      <w:tr>
        <w:trPr>
          <w:cantSplit/>
        </w:trPr>
        <w:tc>
          <w:tcPr>
            <w:tcW w:type="dxa" w:w="2494"/>
          </w:tcPr>
          <w:p>
            <w:r/>
            <w:r>
              <w:rPr>
                <w:color w:val="1A1D21"/>
                <w:sz w:val="17"/>
              </w:rPr>
              <w:t>Third</w:t>
            </w:r>
          </w:p>
        </w:tc>
        <w:tc>
          <w:tcPr>
            <w:tcW w:type="dxa" w:w="1361"/>
          </w:tcPr>
          <w:p>
            <w:pPr>
              <w:jc w:val="right"/>
            </w:pPr>
            <w:r/>
            <w:r>
              <w:rPr>
                <w:color w:val="1A1D21"/>
                <w:sz w:val="17"/>
              </w:rPr>
              <w:t>103.87</w:t>
            </w:r>
          </w:p>
        </w:tc>
        <w:tc>
          <w:tcPr>
            <w:tcW w:type="dxa" w:w="2494"/>
          </w:tcPr>
          <w:p>
            <w:r/>
            <w:r>
              <w:rPr>
                <w:color w:val="1A1D21"/>
                <w:sz w:val="17"/>
              </w:rPr>
              <w:t>Third</w:t>
            </w:r>
          </w:p>
        </w:tc>
        <w:tc>
          <w:tcPr>
            <w:tcW w:type="dxa" w:w="1361"/>
          </w:tcPr>
          <w:p>
            <w:pPr>
              <w:jc w:val="right"/>
            </w:pPr>
            <w:r/>
            <w:r>
              <w:rPr>
                <w:color w:val="1A1D21"/>
                <w:sz w:val="17"/>
              </w:rPr>
              <w:t>74.19</w:t>
            </w:r>
          </w:p>
        </w:tc>
      </w:tr>
    </w:tbl>
    <w:p>
      <w:pPr>
        <w:spacing w:after="200"/>
      </w:pPr>
      <w:r>
        <w:rPr>
          <w:b w:val="0"/>
          <w:i/>
          <w:color w:val="5B6570"/>
          <w:sz w:val="16"/>
        </w:rPr>
        <w:t>Levels are computed from the same cleaned price history the distribution in section 3 is built on.</w:t>
      </w:r>
    </w:p>
    <w:p>
      <w:pPr>
        <w:pStyle w:val="ListBullet"/>
        <w:spacing w:after="60"/>
      </w:pPr>
      <w:r>
        <w:rPr>
          <w:color w:val="1A1D21"/>
          <w:sz w:val="20"/>
        </w:rPr>
        <w:t>A daily close back above 100.12 would clear the nearest resistance; the next charted level above it is 103.87.</w:t>
      </w:r>
    </w:p>
    <w:p>
      <w:pPr>
        <w:pStyle w:val="ListBullet"/>
        <w:spacing w:after="60"/>
      </w:pPr>
      <w:r>
        <w:rPr>
          <w:color w:val="1A1D21"/>
          <w:sz w:val="20"/>
        </w:rPr>
        <w:t>A close below 92.39 would break the nearest support; the next charted level below it is 74.19.</w:t>
      </w:r>
    </w:p>
    <w:p>
      <w:pPr>
        <w:spacing w:after="140"/>
      </w:pPr>
      <w:r>
        <w:rPr>
          <w:b w:val="0"/>
          <w:i/>
          <w:color w:val="5B6570"/>
          <w:sz w:val="20"/>
        </w:rPr>
        <w:t>This section describes the chart and nothing else. It carries no view on the business and it is not an input to the valuation; it is shown beside the other work so that agreement between them is information rather than an echo.</w:t>
      </w:r>
    </w:p>
    <w:p>
      <w:pPr>
        <w:pStyle w:val="Heading1"/>
      </w:pPr>
      <w:r>
        <w:t>3. Where the price itself could be</w:t>
      </w:r>
    </w:p>
    <w:p>
      <w:pPr>
        <w:jc w:val="center"/>
      </w:pPr>
      <w:r>
        <w:drawing>
          <wp:inline xmlns:a="http://schemas.openxmlformats.org/drawingml/2006/main" xmlns:pic="http://schemas.openxmlformats.org/drawingml/2006/picture">
            <wp:extent cx="5832000" cy="2644744"/>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2644744"/>
                    </a:xfrm>
                    <a:prstGeom prst="rect"/>
                  </pic:spPr>
                </pic:pic>
              </a:graphicData>
            </a:graphic>
          </wp:inline>
        </w:drawing>
      </w:r>
    </w:p>
    <w:p>
      <w:pPr>
        <w:spacing w:after="240"/>
        <w:jc w:val="center"/>
      </w:pPr>
      <w:r>
        <w:rPr>
          <w:b w:val="0"/>
          <w:i/>
          <w:color w:val="5B6570"/>
          <w:sz w:val="16"/>
        </w:rPr>
        <w:t>The published distribution of where the share price could be at one and three months, against the last close.</w:t>
      </w:r>
    </w:p>
    <w:tbl>
      <w:tblPr>
        <w:tblStyle w:val="TableGrid"/>
        <w:tblW w:type="auto" w:w="0"/>
        <w:jc w:val="center"/>
        <w:tblLayout w:type="fixed"/>
        <w:tblLook w:firstColumn="1" w:firstRow="1" w:lastColumn="0" w:lastRow="0" w:noHBand="0" w:noVBand="1" w:val="04A0"/>
        <w:tblLayout w:type="fixed"/>
      </w:tblPr>
      <w:tblGrid>
        <w:gridCol w:w="1361"/>
        <w:gridCol w:w="1077"/>
        <w:gridCol w:w="1077"/>
        <w:gridCol w:w="1077"/>
        <w:gridCol w:w="1077"/>
        <w:gridCol w:w="1077"/>
        <w:gridCol w:w="1361"/>
      </w:tblGrid>
      <w:tr>
        <w:trPr>
          <w:tblHeader w:val="true"/>
        </w:trPr>
        <w:tc>
          <w:tcPr>
            <w:tcW w:type="dxa" w:w="1361"/>
          </w:tcPr>
          <w:p>
            <w:r/>
            <w:r>
              <w:rPr>
                <w:b/>
                <w:color w:val="5B6570"/>
                <w:sz w:val="17"/>
              </w:rPr>
              <w:t>Horizon</w:t>
            </w:r>
          </w:p>
        </w:tc>
        <w:tc>
          <w:tcPr>
            <w:tcW w:type="dxa" w:w="1077"/>
          </w:tcPr>
          <w:p>
            <w:r/>
            <w:r>
              <w:rPr>
                <w:b/>
                <w:color w:val="5B6570"/>
                <w:sz w:val="17"/>
              </w:rPr>
              <w:t>5th</w:t>
            </w:r>
          </w:p>
        </w:tc>
        <w:tc>
          <w:tcPr>
            <w:tcW w:type="dxa" w:w="1077"/>
          </w:tcPr>
          <w:p>
            <w:r/>
            <w:r>
              <w:rPr>
                <w:b/>
                <w:color w:val="5B6570"/>
                <w:sz w:val="17"/>
              </w:rPr>
              <w:t>25th</w:t>
            </w:r>
          </w:p>
        </w:tc>
        <w:tc>
          <w:tcPr>
            <w:tcW w:type="dxa" w:w="1077"/>
          </w:tcPr>
          <w:p>
            <w:r/>
            <w:r>
              <w:rPr>
                <w:b/>
                <w:color w:val="5B6570"/>
                <w:sz w:val="17"/>
              </w:rPr>
              <w:t>50th</w:t>
            </w:r>
          </w:p>
        </w:tc>
        <w:tc>
          <w:tcPr>
            <w:tcW w:type="dxa" w:w="1077"/>
          </w:tcPr>
          <w:p>
            <w:r/>
            <w:r>
              <w:rPr>
                <w:b/>
                <w:color w:val="5B6570"/>
                <w:sz w:val="17"/>
              </w:rPr>
              <w:t>75th</w:t>
            </w:r>
          </w:p>
        </w:tc>
        <w:tc>
          <w:tcPr>
            <w:tcW w:type="dxa" w:w="1077"/>
          </w:tcPr>
          <w:p>
            <w:r/>
            <w:r>
              <w:rPr>
                <w:b/>
                <w:color w:val="5B6570"/>
                <w:sz w:val="17"/>
              </w:rPr>
              <w:t>95th</w:t>
            </w:r>
          </w:p>
        </w:tc>
        <w:tc>
          <w:tcPr>
            <w:tcW w:type="dxa" w:w="1361"/>
          </w:tcPr>
          <w:p>
            <w:r/>
            <w:r>
              <w:rPr>
                <w:b/>
                <w:color w:val="5B6570"/>
                <w:sz w:val="17"/>
              </w:rPr>
              <w:t>Resolves</w:t>
            </w:r>
          </w:p>
        </w:tc>
      </w:tr>
      <w:tr>
        <w:trPr>
          <w:cantSplit/>
        </w:trPr>
        <w:tc>
          <w:tcPr>
            <w:tcW w:type="dxa" w:w="1361"/>
          </w:tcPr>
          <w:p>
            <w:r/>
            <w:r>
              <w:rPr>
                <w:color w:val="1A1D21"/>
                <w:sz w:val="17"/>
              </w:rPr>
              <w:t>1 month</w:t>
            </w:r>
          </w:p>
        </w:tc>
        <w:tc>
          <w:tcPr>
            <w:tcW w:type="dxa" w:w="1077"/>
          </w:tcPr>
          <w:p>
            <w:pPr>
              <w:jc w:val="right"/>
            </w:pPr>
            <w:r/>
            <w:r>
              <w:rPr>
                <w:color w:val="1A1D21"/>
                <w:sz w:val="17"/>
              </w:rPr>
              <w:t>86.73</w:t>
            </w:r>
          </w:p>
        </w:tc>
        <w:tc>
          <w:tcPr>
            <w:tcW w:type="dxa" w:w="1077"/>
          </w:tcPr>
          <w:p>
            <w:pPr>
              <w:jc w:val="right"/>
            </w:pPr>
            <w:r/>
            <w:r>
              <w:rPr>
                <w:color w:val="1A1D21"/>
                <w:sz w:val="17"/>
              </w:rPr>
              <w:t>95.00</w:t>
            </w:r>
          </w:p>
        </w:tc>
        <w:tc>
          <w:tcPr>
            <w:tcW w:type="dxa" w:w="1077"/>
          </w:tcPr>
          <w:p>
            <w:pPr>
              <w:jc w:val="right"/>
            </w:pPr>
            <w:r/>
            <w:r>
              <w:rPr>
                <w:color w:val="1A1D21"/>
                <w:sz w:val="17"/>
              </w:rPr>
              <w:t>99.95</w:t>
            </w:r>
          </w:p>
        </w:tc>
        <w:tc>
          <w:tcPr>
            <w:tcW w:type="dxa" w:w="1077"/>
          </w:tcPr>
          <w:p>
            <w:pPr>
              <w:jc w:val="right"/>
            </w:pPr>
            <w:r/>
            <w:r>
              <w:rPr>
                <w:color w:val="1A1D21"/>
                <w:sz w:val="17"/>
              </w:rPr>
              <w:t>105.22</w:t>
            </w:r>
          </w:p>
        </w:tc>
        <w:tc>
          <w:tcPr>
            <w:tcW w:type="dxa" w:w="1077"/>
          </w:tcPr>
          <w:p>
            <w:pPr>
              <w:jc w:val="right"/>
            </w:pPr>
            <w:r/>
            <w:r>
              <w:rPr>
                <w:color w:val="1A1D21"/>
                <w:sz w:val="17"/>
              </w:rPr>
              <w:t>115.25</w:t>
            </w:r>
          </w:p>
        </w:tc>
        <w:tc>
          <w:tcPr>
            <w:tcW w:type="dxa" w:w="1361"/>
          </w:tcPr>
          <w:p>
            <w:pPr>
              <w:jc w:val="right"/>
            </w:pPr>
            <w:r/>
            <w:r>
              <w:rPr>
                <w:color w:val="1A1D21"/>
                <w:sz w:val="17"/>
              </w:rPr>
              <w:t>2026-09-23</w:t>
            </w:r>
          </w:p>
        </w:tc>
      </w:tr>
      <w:tr>
        <w:trPr>
          <w:cantSplit/>
        </w:trPr>
        <w:tc>
          <w:tcPr>
            <w:tcW w:type="dxa" w:w="1361"/>
          </w:tcPr>
          <w:p>
            <w:r/>
            <w:r>
              <w:rPr>
                <w:color w:val="1A1D21"/>
                <w:sz w:val="17"/>
              </w:rPr>
              <w:t>3 months</w:t>
            </w:r>
          </w:p>
        </w:tc>
        <w:tc>
          <w:tcPr>
            <w:tcW w:type="dxa" w:w="1077"/>
          </w:tcPr>
          <w:p>
            <w:pPr>
              <w:jc w:val="right"/>
            </w:pPr>
            <w:r/>
            <w:r>
              <w:rPr>
                <w:color w:val="1A1D21"/>
                <w:sz w:val="17"/>
              </w:rPr>
              <w:t>80.50</w:t>
            </w:r>
          </w:p>
        </w:tc>
        <w:tc>
          <w:tcPr>
            <w:tcW w:type="dxa" w:w="1077"/>
          </w:tcPr>
          <w:p>
            <w:pPr>
              <w:jc w:val="right"/>
            </w:pPr>
            <w:r/>
            <w:r>
              <w:rPr>
                <w:color w:val="1A1D21"/>
                <w:sz w:val="17"/>
              </w:rPr>
              <w:t>94.74</w:t>
            </w:r>
          </w:p>
        </w:tc>
        <w:tc>
          <w:tcPr>
            <w:tcW w:type="dxa" w:w="1077"/>
          </w:tcPr>
          <w:p>
            <w:pPr>
              <w:jc w:val="right"/>
            </w:pPr>
            <w:r/>
            <w:r>
              <w:rPr>
                <w:color w:val="1A1D21"/>
                <w:sz w:val="17"/>
              </w:rPr>
              <w:t>103.82</w:t>
            </w:r>
          </w:p>
        </w:tc>
        <w:tc>
          <w:tcPr>
            <w:tcW w:type="dxa" w:w="1077"/>
          </w:tcPr>
          <w:p>
            <w:pPr>
              <w:jc w:val="right"/>
            </w:pPr>
            <w:r/>
            <w:r>
              <w:rPr>
                <w:color w:val="1A1D21"/>
                <w:sz w:val="17"/>
              </w:rPr>
              <w:t>113.76</w:t>
            </w:r>
          </w:p>
        </w:tc>
        <w:tc>
          <w:tcPr>
            <w:tcW w:type="dxa" w:w="1077"/>
          </w:tcPr>
          <w:p>
            <w:pPr>
              <w:jc w:val="right"/>
            </w:pPr>
            <w:r/>
            <w:r>
              <w:rPr>
                <w:color w:val="1A1D21"/>
                <w:sz w:val="17"/>
              </w:rPr>
              <w:t>133.71</w:t>
            </w:r>
          </w:p>
        </w:tc>
        <w:tc>
          <w:tcPr>
            <w:tcW w:type="dxa" w:w="1361"/>
          </w:tcPr>
          <w:p>
            <w:pPr>
              <w:jc w:val="right"/>
            </w:pPr>
            <w:r/>
            <w:r>
              <w:rPr>
                <w:color w:val="1A1D21"/>
                <w:sz w:val="17"/>
              </w:rPr>
              <w:t>2026-11-23</w:t>
            </w:r>
          </w:p>
        </w:tc>
      </w:tr>
    </w:tbl>
    <w:p>
      <w:pPr>
        <w:spacing w:after="200"/>
      </w:pPr>
      <w:r>
        <w:rPr>
          <w:b w:val="0"/>
          <w:i/>
          <w:color w:val="5B6570"/>
          <w:sz w:val="16"/>
        </w:rPr>
        <w:t>Percentiles of the modelled price distribution, in EGP. These describe the PRICE, not the business, and they are produced independently of the valuation above.</w:t>
      </w:r>
    </w:p>
    <w:p>
      <w:pPr>
        <w:spacing w:after="140"/>
      </w:pPr>
      <w:r>
        <w:rPr>
          <w:b w:val="0"/>
          <w:i w:val="0"/>
          <w:color w:val="1A1D21"/>
          <w:sz w:val="20"/>
        </w:rPr>
        <w:t>How well these bands have held is worth stating plainly rather than assumed. Across the whole book of companies covered on this market the ninety-per-cent band has caught the outcome close to the ninety per cent it promises, and where a particular company's record departs from that materially it is flagged on its page. The honest reading of a band that holds about as often as it says is that nothing needs saying, which is why nothing is said here.</w:t>
      </w:r>
    </w:p>
    <w:p>
      <w:pPr>
        <w:spacing w:after="140"/>
      </w:pPr>
      <w:r>
        <w:rPr>
          <w:b w:val="0"/>
          <w:i w:val="0"/>
          <w:color w:val="1A1D21"/>
          <w:sz w:val="20"/>
        </w:rPr>
        <w:t>One caution specific to this company. The distribution is fitted to price history. It knows nothing about the order book, the landbank or the discount rate, and it should not be read as agreeing or disagreeing with anything in section 1.</w:t>
      </w:r>
    </w:p>
    <w:p>
      <w:pPr>
        <w:pStyle w:val="Heading1"/>
      </w:pPr>
      <w:r>
        <w:t>4. Comparing the lenses</w:t>
      </w:r>
    </w:p>
    <w:tbl>
      <w:tblPr>
        <w:tblStyle w:val="TableGrid"/>
        <w:tblW w:type="auto" w:w="0"/>
        <w:jc w:val="center"/>
        <w:tblLayout w:type="fixed"/>
        <w:tblLook w:firstColumn="1" w:firstRow="1" w:lastColumn="0" w:lastRow="0" w:noHBand="0" w:noVBand="1" w:val="04A0"/>
        <w:tblLayout w:type="fixed"/>
      </w:tblPr>
      <w:tblGrid>
        <w:gridCol w:w="2041"/>
        <w:gridCol w:w="2608"/>
        <w:gridCol w:w="1701"/>
        <w:gridCol w:w="2835"/>
      </w:tblGrid>
      <w:tr>
        <w:trPr>
          <w:tblHeader w:val="true"/>
        </w:trPr>
        <w:tc>
          <w:tcPr>
            <w:tcW w:type="dxa" w:w="2041"/>
          </w:tcPr>
          <w:p>
            <w:r/>
            <w:r>
              <w:rPr>
                <w:b/>
                <w:color w:val="5B6570"/>
                <w:sz w:val="17"/>
              </w:rPr>
              <w:t>Lens</w:t>
            </w:r>
          </w:p>
        </w:tc>
        <w:tc>
          <w:tcPr>
            <w:tcW w:type="dxa" w:w="2608"/>
          </w:tcPr>
          <w:p>
            <w:r/>
            <w:r>
              <w:rPr>
                <w:b/>
                <w:color w:val="5B6570"/>
                <w:sz w:val="17"/>
              </w:rPr>
              <w:t>What it looks at</w:t>
            </w:r>
          </w:p>
        </w:tc>
        <w:tc>
          <w:tcPr>
            <w:tcW w:type="dxa" w:w="1701"/>
          </w:tcPr>
          <w:p>
            <w:r/>
            <w:r>
              <w:rPr>
                <w:b/>
                <w:color w:val="5B6570"/>
                <w:sz w:val="17"/>
              </w:rPr>
              <w:t>What it says, EGP/share</w:t>
            </w:r>
          </w:p>
        </w:tc>
        <w:tc>
          <w:tcPr>
            <w:tcW w:type="dxa" w:w="2835"/>
          </w:tcPr>
          <w:p>
            <w:r/>
            <w:r>
              <w:rPr>
                <w:b/>
                <w:color w:val="5B6570"/>
                <w:sz w:val="17"/>
              </w:rPr>
              <w:t>Where it is weakest</w:t>
            </w:r>
          </w:p>
        </w:tc>
      </w:tr>
      <w:tr>
        <w:trPr>
          <w:cantSplit/>
        </w:trPr>
        <w:tc>
          <w:tcPr>
            <w:tcW w:type="dxa" w:w="2041"/>
          </w:tcPr>
          <w:p>
            <w:r/>
            <w:r>
              <w:rPr>
                <w:color w:val="1A1D21"/>
                <w:sz w:val="17"/>
              </w:rPr>
              <w:t>Cash flow, sum of the parts</w:t>
            </w:r>
          </w:p>
        </w:tc>
        <w:tc>
          <w:tcPr>
            <w:tcW w:type="dxa" w:w="2608"/>
          </w:tcPr>
          <w:p>
            <w:r/>
            <w:r>
              <w:rPr>
                <w:color w:val="1A1D21"/>
                <w:sz w:val="17"/>
              </w:rPr>
              <w:t>the order book, the hotels and the recurring businesses, discounted</w:t>
            </w:r>
          </w:p>
        </w:tc>
        <w:tc>
          <w:tcPr>
            <w:tcW w:type="dxa" w:w="1701"/>
          </w:tcPr>
          <w:p>
            <w:r/>
            <w:r>
              <w:rPr>
                <w:color w:val="1A1D21"/>
                <w:sz w:val="17"/>
              </w:rPr>
              <w:t>43.94 – 69.95</w:t>
            </w:r>
          </w:p>
        </w:tc>
        <w:tc>
          <w:tcPr>
            <w:tcW w:type="dxa" w:w="2835"/>
          </w:tcPr>
          <w:p>
            <w:r/>
            <w:r>
              <w:rPr>
                <w:color w:val="1A1D21"/>
                <w:sz w:val="17"/>
              </w:rPr>
              <w:t>wholly dependent on the discount rate and on the conversion period</w:t>
            </w:r>
          </w:p>
        </w:tc>
      </w:tr>
      <w:tr>
        <w:trPr>
          <w:cantSplit/>
        </w:trPr>
        <w:tc>
          <w:tcPr>
            <w:tcW w:type="dxa" w:w="2041"/>
          </w:tcPr>
          <w:p>
            <w:r/>
            <w:r>
              <w:rPr>
                <w:color w:val="1A1D21"/>
                <w:sz w:val="17"/>
              </w:rPr>
              <w:t>Book value and sustainable return</w:t>
            </w:r>
          </w:p>
        </w:tc>
        <w:tc>
          <w:tcPr>
            <w:tcW w:type="dxa" w:w="2608"/>
          </w:tcPr>
          <w:p>
            <w:r/>
            <w:r>
              <w:rPr>
                <w:color w:val="1A1D21"/>
                <w:sz w:val="17"/>
              </w:rPr>
              <w:t>what the company earns on the capital it holds</w:t>
            </w:r>
          </w:p>
        </w:tc>
        <w:tc>
          <w:tcPr>
            <w:tcW w:type="dxa" w:w="1701"/>
          </w:tcPr>
          <w:p>
            <w:r/>
            <w:r>
              <w:rPr>
                <w:color w:val="1A1D21"/>
                <w:sz w:val="17"/>
              </w:rPr>
              <w:t>3.33 – 12.63</w:t>
            </w:r>
          </w:p>
        </w:tc>
        <w:tc>
          <w:tcPr>
            <w:tcW w:type="dxa" w:w="2835"/>
          </w:tcPr>
          <w:p>
            <w:r/>
            <w:r>
              <w:rPr>
                <w:color w:val="1A1D21"/>
                <w:sz w:val="17"/>
              </w:rPr>
              <w:t>the most discount-rate-sensitive lens of the four</w:t>
            </w:r>
          </w:p>
        </w:tc>
      </w:tr>
      <w:tr>
        <w:trPr>
          <w:cantSplit/>
        </w:trPr>
        <w:tc>
          <w:tcPr>
            <w:tcW w:type="dxa" w:w="2041"/>
          </w:tcPr>
          <w:p>
            <w:r/>
            <w:r>
              <w:rPr>
                <w:color w:val="1A1D21"/>
                <w:sz w:val="17"/>
              </w:rPr>
              <w:t>Normalised earnings power</w:t>
            </w:r>
          </w:p>
        </w:tc>
        <w:tc>
          <w:tcPr>
            <w:tcW w:type="dxa" w:w="2608"/>
          </w:tcPr>
          <w:p>
            <w:r/>
            <w:r>
              <w:rPr>
                <w:color w:val="1A1D21"/>
                <w:sz w:val="17"/>
              </w:rPr>
              <w:t>three years of profit with one-off gains removed</w:t>
            </w:r>
          </w:p>
        </w:tc>
        <w:tc>
          <w:tcPr>
            <w:tcW w:type="dxa" w:w="1701"/>
          </w:tcPr>
          <w:p>
            <w:r/>
            <w:r>
              <w:rPr>
                <w:color w:val="1A1D21"/>
                <w:sz w:val="17"/>
              </w:rPr>
              <w:t>15.44 – 23.77</w:t>
            </w:r>
          </w:p>
        </w:tc>
        <w:tc>
          <w:tcPr>
            <w:tcW w:type="dxa" w:w="2835"/>
          </w:tcPr>
          <w:p>
            <w:r/>
            <w:r>
              <w:rPr>
                <w:color w:val="1A1D21"/>
                <w:sz w:val="17"/>
              </w:rPr>
              <w:t>three years is a short cycle for a developer</w:t>
            </w:r>
          </w:p>
        </w:tc>
      </w:tr>
      <w:tr>
        <w:trPr>
          <w:cantSplit/>
        </w:trPr>
        <w:tc>
          <w:tcPr>
            <w:tcW w:type="dxa" w:w="2041"/>
          </w:tcPr>
          <w:p>
            <w:r/>
            <w:r>
              <w:rPr>
                <w:color w:val="1A1D21"/>
                <w:sz w:val="17"/>
              </w:rPr>
              <w:t>Its own history of multiples</w:t>
            </w:r>
          </w:p>
        </w:tc>
        <w:tc>
          <w:tcPr>
            <w:tcW w:type="dxa" w:w="2608"/>
          </w:tcPr>
          <w:p>
            <w:r/>
            <w:r>
              <w:rPr>
                <w:color w:val="1A1D21"/>
                <w:sz w:val="17"/>
              </w:rPr>
              <w:t>what buyers have actually paid for these shares</w:t>
            </w:r>
          </w:p>
        </w:tc>
        <w:tc>
          <w:tcPr>
            <w:tcW w:type="dxa" w:w="1701"/>
          </w:tcPr>
          <w:p>
            <w:r/>
            <w:r>
              <w:rPr>
                <w:color w:val="1A1D21"/>
                <w:sz w:val="17"/>
              </w:rPr>
              <w:t>34.04 – 58.00</w:t>
            </w:r>
          </w:p>
        </w:tc>
        <w:tc>
          <w:tcPr>
            <w:tcW w:type="dxa" w:w="2835"/>
          </w:tcPr>
          <w:p>
            <w:r/>
            <w:r>
              <w:rPr>
                <w:color w:val="1A1D21"/>
                <w:sz w:val="17"/>
              </w:rPr>
              <w:t>records what the market did, not whether it was right</w:t>
            </w:r>
          </w:p>
        </w:tc>
      </w:tr>
    </w:tbl>
    <w:p>
      <w:pPr>
        <w:spacing w:after="80"/>
      </w:pPr>
      <w:r>
        <w:rPr>
          <w:b w:val="0"/>
          <w:i w:val="0"/>
          <w:color w:val="1A1D21"/>
          <w:sz w:val="8"/>
        </w:rPr>
      </w:r>
    </w:p>
    <w:p>
      <w:pPr>
        <w:spacing w:after="140"/>
      </w:pPr>
      <w:r>
        <w:rPr>
          <w:b w:val="0"/>
          <w:i w:val="0"/>
          <w:color w:val="1A1D21"/>
          <w:sz w:val="20"/>
        </w:rPr>
        <w:t>The four are not weighted into a single figure. Weighting would require a view on which lens is right, and the point of showing four is that this study does not have one.</w:t>
      </w:r>
    </w:p>
    <w:p>
      <w:pPr>
        <w:pStyle w:val="Heading1"/>
      </w:pPr>
      <w:r>
        <w:t>5. What would move this</w:t>
      </w:r>
    </w:p>
    <w:tbl>
      <w:tblPr>
        <w:tblStyle w:val="TableGrid"/>
        <w:tblW w:type="auto" w:w="0"/>
        <w:jc w:val="center"/>
        <w:tblLayout w:type="fixed"/>
        <w:tblLook w:firstColumn="1" w:firstRow="1" w:lastColumn="0" w:lastRow="0" w:noHBand="0" w:noVBand="1" w:val="04A0"/>
        <w:tblLayout w:type="fixed"/>
      </w:tblPr>
      <w:tblGrid>
        <w:gridCol w:w="2835"/>
        <w:gridCol w:w="1701"/>
        <w:gridCol w:w="4649"/>
      </w:tblGrid>
      <w:tr>
        <w:trPr>
          <w:tblHeader w:val="true"/>
        </w:trPr>
        <w:tc>
          <w:tcPr>
            <w:tcW w:type="dxa" w:w="2835"/>
          </w:tcPr>
          <w:p>
            <w:r/>
            <w:r>
              <w:rPr>
                <w:b/>
                <w:color w:val="5B6570"/>
                <w:sz w:val="17"/>
              </w:rPr>
              <w:t>Event</w:t>
            </w:r>
          </w:p>
        </w:tc>
        <w:tc>
          <w:tcPr>
            <w:tcW w:type="dxa" w:w="1701"/>
          </w:tcPr>
          <w:p>
            <w:r/>
            <w:r>
              <w:rPr>
                <w:b/>
                <w:color w:val="5B6570"/>
                <w:sz w:val="17"/>
              </w:rPr>
              <w:t>Direction</w:t>
            </w:r>
          </w:p>
        </w:tc>
        <w:tc>
          <w:tcPr>
            <w:tcW w:type="dxa" w:w="4649"/>
          </w:tcPr>
          <w:p>
            <w:r/>
            <w:r>
              <w:rPr>
                <w:b/>
                <w:color w:val="5B6570"/>
                <w:sz w:val="17"/>
              </w:rPr>
              <w:t>Why it matters</w:t>
            </w:r>
          </w:p>
        </w:tc>
      </w:tr>
      <w:tr>
        <w:trPr>
          <w:cantSplit/>
        </w:trPr>
        <w:tc>
          <w:tcPr>
            <w:tcW w:type="dxa" w:w="2835"/>
          </w:tcPr>
          <w:p>
            <w:r/>
            <w:r>
              <w:rPr>
                <w:color w:val="1A1D21"/>
                <w:sz w:val="17"/>
              </w:rPr>
              <w:t>A disclosed delivery schedule by project</w:t>
            </w:r>
          </w:p>
        </w:tc>
        <w:tc>
          <w:tcPr>
            <w:tcW w:type="dxa" w:w="1701"/>
          </w:tcPr>
          <w:p>
            <w:r/>
            <w:r>
              <w:rPr>
                <w:color w:val="1A1D21"/>
                <w:sz w:val="17"/>
              </w:rPr>
              <w:t>either way</w:t>
            </w:r>
          </w:p>
        </w:tc>
        <w:tc>
          <w:tcPr>
            <w:tcW w:type="dxa" w:w="4649"/>
          </w:tcPr>
          <w:p>
            <w:r/>
            <w:r>
              <w:rPr>
                <w:color w:val="1A1D21"/>
                <w:sz w:val="17"/>
              </w:rPr>
              <w:t>it would settle the crux directly, and the table in section 1.7 shows what each answer is worth</w:t>
            </w:r>
          </w:p>
        </w:tc>
      </w:tr>
      <w:tr>
        <w:trPr>
          <w:cantSplit/>
        </w:trPr>
        <w:tc>
          <w:tcPr>
            <w:tcW w:type="dxa" w:w="2835"/>
          </w:tcPr>
          <w:p>
            <w:r/>
            <w:r>
              <w:rPr>
                <w:color w:val="1A1D21"/>
                <w:sz w:val="17"/>
              </w:rPr>
              <w:t>A disclosure of TMG's economic share of each project company</w:t>
            </w:r>
          </w:p>
        </w:tc>
        <w:tc>
          <w:tcPr>
            <w:tcW w:type="dxa" w:w="1701"/>
          </w:tcPr>
          <w:p>
            <w:r/>
            <w:r>
              <w:rPr>
                <w:color w:val="1A1D21"/>
                <w:sz w:val="17"/>
              </w:rPr>
              <w:t>either way</w:t>
            </w:r>
          </w:p>
        </w:tc>
        <w:tc>
          <w:tcPr>
            <w:tcW w:type="dxa" w:w="4649"/>
          </w:tcPr>
          <w:p>
            <w:r/>
            <w:r>
              <w:rPr>
                <w:color w:val="1A1D21"/>
                <w:sz w:val="17"/>
              </w:rPr>
              <w:t>nearly half of consolidated equity belongs to minorities; how much of the value follows is currently an estimate</w:t>
            </w:r>
          </w:p>
        </w:tc>
      </w:tr>
      <w:tr>
        <w:trPr>
          <w:cantSplit/>
        </w:trPr>
        <w:tc>
          <w:tcPr>
            <w:tcW w:type="dxa" w:w="2835"/>
          </w:tcPr>
          <w:p>
            <w:r/>
            <w:r>
              <w:rPr>
                <w:color w:val="1A1D21"/>
                <w:sz w:val="17"/>
              </w:rPr>
              <w:t>The Saudi project reaching scale</w:t>
            </w:r>
          </w:p>
        </w:tc>
        <w:tc>
          <w:tcPr>
            <w:tcW w:type="dxa" w:w="1701"/>
          </w:tcPr>
          <w:p>
            <w:r/>
            <w:r>
              <w:rPr>
                <w:color w:val="1A1D21"/>
                <w:sz w:val="17"/>
              </w:rPr>
              <w:t>upward</w:t>
            </w:r>
          </w:p>
        </w:tc>
        <w:tc>
          <w:tcPr>
            <w:tcW w:type="dxa" w:w="4649"/>
          </w:tcPr>
          <w:p>
            <w:r/>
            <w:r>
              <w:rPr>
                <w:color w:val="1A1D21"/>
                <w:sz w:val="17"/>
              </w:rPr>
              <w:t>Banan was already 52.5% of development revenue in the first half of 2026 and it is recognised as work completes rather than on handover, which brings revenue forward</w:t>
            </w:r>
          </w:p>
        </w:tc>
      </w:tr>
      <w:tr>
        <w:trPr>
          <w:cantSplit/>
        </w:trPr>
        <w:tc>
          <w:tcPr>
            <w:tcW w:type="dxa" w:w="2835"/>
          </w:tcPr>
          <w:p>
            <w:r/>
            <w:r>
              <w:rPr>
                <w:color w:val="1A1D21"/>
                <w:sz w:val="17"/>
              </w:rPr>
              <w:t>A further devaluation of the pound</w:t>
            </w:r>
          </w:p>
        </w:tc>
        <w:tc>
          <w:tcPr>
            <w:tcW w:type="dxa" w:w="1701"/>
          </w:tcPr>
          <w:p>
            <w:r/>
            <w:r>
              <w:rPr>
                <w:color w:val="1A1D21"/>
                <w:sz w:val="17"/>
              </w:rPr>
              <w:t>downward in real terms</w:t>
            </w:r>
          </w:p>
        </w:tc>
        <w:tc>
          <w:tcPr>
            <w:tcW w:type="dxa" w:w="4649"/>
          </w:tcPr>
          <w:p>
            <w:r/>
            <w:r>
              <w:rPr>
                <w:color w:val="1A1D21"/>
                <w:sz w:val="17"/>
              </w:rPr>
              <w:t>the cost base and the buyer's capacity to pay both move, and the collection cycle is long</w:t>
            </w:r>
          </w:p>
        </w:tc>
      </w:tr>
      <w:tr>
        <w:trPr>
          <w:cantSplit/>
        </w:trPr>
        <w:tc>
          <w:tcPr>
            <w:tcW w:type="dxa" w:w="2835"/>
          </w:tcPr>
          <w:p>
            <w:r/>
            <w:r>
              <w:rPr>
                <w:color w:val="1A1D21"/>
                <w:sz w:val="17"/>
              </w:rPr>
              <w:t>Interest rates falling further</w:t>
            </w:r>
          </w:p>
        </w:tc>
        <w:tc>
          <w:tcPr>
            <w:tcW w:type="dxa" w:w="1701"/>
          </w:tcPr>
          <w:p>
            <w:r/>
            <w:r>
              <w:rPr>
                <w:color w:val="1A1D21"/>
                <w:sz w:val="17"/>
              </w:rPr>
              <w:t>upward</w:t>
            </w:r>
          </w:p>
        </w:tc>
        <w:tc>
          <w:tcPr>
            <w:tcW w:type="dxa" w:w="4649"/>
          </w:tcPr>
          <w:p>
            <w:r/>
            <w:r>
              <w:rPr>
                <w:color w:val="1A1D21"/>
                <w:sz w:val="17"/>
              </w:rPr>
              <w:t>the whole of section 1.9 is about this</w:t>
            </w:r>
          </w:p>
        </w:tc>
      </w:tr>
      <w:tr>
        <w:trPr>
          <w:cantSplit/>
        </w:trPr>
        <w:tc>
          <w:tcPr>
            <w:tcW w:type="dxa" w:w="2835"/>
          </w:tcPr>
          <w:p>
            <w:r/>
            <w:r>
              <w:rPr>
                <w:color w:val="1A1D21"/>
                <w:sz w:val="17"/>
              </w:rPr>
              <w:t>Cancellations rising above their historical rate</w:t>
            </w:r>
          </w:p>
        </w:tc>
        <w:tc>
          <w:tcPr>
            <w:tcW w:type="dxa" w:w="1701"/>
          </w:tcPr>
          <w:p>
            <w:r/>
            <w:r>
              <w:rPr>
                <w:color w:val="1A1D21"/>
                <w:sz w:val="17"/>
              </w:rPr>
              <w:t>downward</w:t>
            </w:r>
          </w:p>
        </w:tc>
        <w:tc>
          <w:tcPr>
            <w:tcW w:type="dxa" w:w="4649"/>
          </w:tcPr>
          <w:p>
            <w:r/>
            <w:r>
              <w:rPr>
                <w:color w:val="1A1D21"/>
                <w:sz w:val="17"/>
              </w:rPr>
              <w:t>the order book is the asset; the company has historically reported cancellations around 4% to 4.5% of accumulated sales</w:t>
            </w:r>
          </w:p>
        </w:tc>
      </w:tr>
    </w:tbl>
    <w:p>
      <w:pPr>
        <w:spacing w:after="80"/>
      </w:pPr>
      <w:r>
        <w:rPr>
          <w:b w:val="0"/>
          <w:i w:val="0"/>
          <w:color w:val="1A1D21"/>
          <w:sz w:val="8"/>
        </w:rPr>
      </w:r>
    </w:p>
    <w:p>
      <w:pPr>
        <w:pStyle w:val="Heading1"/>
      </w:pPr>
      <w:r>
        <w:t>6. How to read the ranges in this document</w:t>
      </w:r>
    </w:p>
    <w:p>
      <w:pPr>
        <w:pStyle w:val="ListBullet"/>
        <w:spacing w:after="60"/>
      </w:pPr>
      <w:r>
        <w:rPr>
          <w:color w:val="1A1D21"/>
          <w:sz w:val="20"/>
        </w:rPr>
        <w:t>A range is not a forecast with error bars bolted on. It is the honest output of a method whose accuracy has been measured.</w:t>
      </w:r>
    </w:p>
    <w:p>
      <w:pPr>
        <w:pStyle w:val="ListBullet"/>
        <w:spacing w:after="60"/>
      </w:pPr>
      <w:r>
        <w:rPr>
          <w:color w:val="1A1D21"/>
          <w:sz w:val="20"/>
        </w:rPr>
        <w:t>The four valuation cases are alternatives, not a distribution. Each is internally consistent; picking between them means picking between the two ways of measuring country risk and the two readings of the order book.</w:t>
      </w:r>
    </w:p>
    <w:p>
      <w:pPr>
        <w:pStyle w:val="ListBullet"/>
        <w:spacing w:after="60"/>
      </w:pPr>
      <w:r>
        <w:rPr>
          <w:color w:val="1A1D21"/>
          <w:sz w:val="20"/>
        </w:rPr>
        <w:t>The ranges on the third to fifth forecast years in Appendix A come from how far out this method has actually been when tested on this company's own history, at that distance. They widen with horizon because the measured errors widen with horizon.</w:t>
      </w:r>
    </w:p>
    <w:p>
      <w:pPr>
        <w:pStyle w:val="ListBullet"/>
        <w:spacing w:after="60"/>
      </w:pPr>
      <w:r>
        <w:rPr>
          <w:color w:val="1A1D21"/>
          <w:sz w:val="20"/>
        </w:rPr>
        <w:t>The price distribution in section 3 answers a different question from everything else here — where the price might go, not what the business is worth. The two are shown side by side so that agreement between them is information rather than repetition.</w:t>
      </w:r>
    </w:p>
    <w:p>
      <w:pPr>
        <w:pStyle w:val="Heading1"/>
      </w:pPr>
      <w:r>
        <w:t>7. Caveats, and what would change our mind</w:t>
      </w:r>
    </w:p>
    <w:p>
      <w:pPr>
        <w:pStyle w:val="ListBullet"/>
        <w:spacing w:after="60"/>
      </w:pPr>
      <w:r>
        <w:rPr>
          <w:color w:val="1A1D21"/>
          <w:sz w:val="20"/>
        </w:rPr>
        <w:t>The discount rate is the study. At the rate the market appears to be using, the same model gives a value close to the traded price. This study does not claim the market is wrong; it says what the house method produces and shows the difference.</w:t>
      </w:r>
    </w:p>
    <w:p>
      <w:pPr>
        <w:pStyle w:val="ListBullet"/>
        <w:spacing w:after="60"/>
      </w:pPr>
      <w:r>
        <w:rPr>
          <w:color w:val="1A1D21"/>
          <w:sz w:val="20"/>
        </w:rPr>
        <w:t>Nearly half the group belongs to somebody else. Non-controlling interests are 45.2% of consolidated equity, and the company does not disclose its economic share project by project, so the deduction is made two ways and both are published.</w:t>
      </w:r>
    </w:p>
    <w:p>
      <w:pPr>
        <w:pStyle w:val="ListBullet"/>
        <w:spacing w:after="60"/>
      </w:pPr>
      <w:r>
        <w:rPr>
          <w:color w:val="1A1D21"/>
          <w:sz w:val="20"/>
        </w:rPr>
        <w:t>Unit economics cannot be built for this company. It publishes unit counts occasionally — 3,196 homes delivered in 2025, 6,102 units sold in 2022 — and never as a continuous series, and it publishes no average area, price per square metre or construction cost per square metre. The model is therefore built at segment level and this is a real limitation, stated rather than papered over.</w:t>
      </w:r>
    </w:p>
    <w:p>
      <w:pPr>
        <w:pStyle w:val="ListBullet"/>
        <w:spacing w:after="60"/>
      </w:pPr>
      <w:r>
        <w:rPr>
          <w:color w:val="1A1D21"/>
          <w:sz w:val="20"/>
        </w:rPr>
        <w:t>The revenue recognition basis is changing while this is written. The Egyptian business recognises a sale when the customer takes control of the home. From 2025 the Saudi project is recognised as construction progresses, and it was already more than half of development revenue in the first half of 2026. Comparisons across that change need care.</w:t>
      </w:r>
    </w:p>
    <w:p>
      <w:pPr>
        <w:pStyle w:val="ListBullet"/>
        <w:spacing w:after="60"/>
      </w:pPr>
      <w:r>
        <w:rPr>
          <w:color w:val="1A1D21"/>
          <w:sz w:val="20"/>
        </w:rPr>
        <w:t>The finance charge is not what it looks like. It implies a rate near 44% on borrowings against a policy rate that peaked near 27.25%; the difference is contract financing that the statements do not separate.</w:t>
      </w:r>
    </w:p>
    <w:p>
      <w:pPr>
        <w:pStyle w:val="ListBullet"/>
        <w:spacing w:after="60"/>
      </w:pPr>
      <w:r>
        <w:rPr>
          <w:color w:val="1A1D21"/>
          <w:sz w:val="20"/>
        </w:rPr>
        <w:t>The 2024 comparatives were restated. The company completed the accounting for its hotel acquisition within the allowed measurement period, moving 2024 gross profit from EGP 15,300 million to EGP 14,002 million and attributable profit from EGP 10,723 million to EGP 9,025 million. This study uses the figures as first reported for the historical record and shows the restatement beside them.</w:t>
      </w:r>
    </w:p>
    <w:p>
      <w:pPr>
        <w:pStyle w:val="ListBullet"/>
        <w:spacing w:after="60"/>
      </w:pPr>
      <w:r>
        <w:rPr>
          <w:color w:val="1A1D21"/>
          <w:sz w:val="20"/>
        </w:rPr>
        <w:t>What would change our mind, most simply: a published delivery schedule. It is the one disclosure that would collapse the widest uncertainty in this document into a number.</w:t>
      </w:r>
    </w:p>
    <w:p>
      <w:r>
        <w:br w:type="page"/>
      </w:r>
    </w:p>
    <w:p>
      <w:pPr>
        <w:pStyle w:val="Heading1"/>
      </w:pPr>
      <w:r>
        <w:t>Appendix A — financial statements</w:t>
      </w:r>
    </w:p>
    <w:p>
      <w:pPr>
        <w:pStyle w:val="Heading2"/>
      </w:pPr>
      <w:r>
        <w:t>A.1 Income statement: three years reported, five projected</w:t>
      </w:r>
    </w:p>
    <w:tbl>
      <w:tblPr>
        <w:tblStyle w:val="TableGrid"/>
        <w:tblW w:type="auto" w:w="0"/>
        <w:jc w:val="center"/>
        <w:tblLayout w:type="fixed"/>
        <w:tblLook w:firstColumn="1" w:firstRow="1" w:lastColumn="0" w:lastRow="0" w:noHBand="0" w:noVBand="1" w:val="04A0"/>
        <w:tblLayout w:type="fixed"/>
      </w:tblPr>
      <w:tblGrid>
        <w:gridCol w:w="2495"/>
        <w:gridCol w:w="879"/>
        <w:gridCol w:w="879"/>
        <w:gridCol w:w="879"/>
        <w:gridCol w:w="879"/>
        <w:gridCol w:w="879"/>
        <w:gridCol w:w="879"/>
        <w:gridCol w:w="879"/>
        <w:gridCol w:w="879"/>
      </w:tblGrid>
      <w:tr>
        <w:trPr>
          <w:tblHeader w:val="true"/>
        </w:trPr>
        <w:tc>
          <w:tcPr>
            <w:tcW w:type="dxa" w:w="2494"/>
          </w:tcPr>
          <w:p>
            <w:r/>
            <w:r>
              <w:rPr>
                <w:b/>
                <w:color w:val="5B6570"/>
                <w:sz w:val="17"/>
              </w:rPr>
              <w:t>EGP million</w:t>
            </w:r>
          </w:p>
        </w:tc>
        <w:tc>
          <w:tcPr>
            <w:tcW w:type="dxa" w:w="879"/>
          </w:tcPr>
          <w:p>
            <w:r/>
            <w:r>
              <w:rPr>
                <w:b/>
                <w:color w:val="5B6570"/>
                <w:sz w:val="17"/>
              </w:rPr>
              <w:t>2023</w:t>
            </w:r>
          </w:p>
        </w:tc>
        <w:tc>
          <w:tcPr>
            <w:tcW w:type="dxa" w:w="879"/>
          </w:tcPr>
          <w:p>
            <w:r/>
            <w:r>
              <w:rPr>
                <w:b/>
                <w:color w:val="5B6570"/>
                <w:sz w:val="17"/>
              </w:rPr>
              <w:t>2024</w:t>
            </w:r>
          </w:p>
        </w:tc>
        <w:tc>
          <w:tcPr>
            <w:tcW w:type="dxa" w:w="879"/>
          </w:tcPr>
          <w:p>
            <w:r/>
            <w:r>
              <w:rPr>
                <w:b/>
                <w:color w:val="5B6570"/>
                <w:sz w:val="17"/>
              </w:rPr>
              <w:t>2025</w:t>
            </w:r>
          </w:p>
        </w:tc>
        <w:tc>
          <w:tcPr>
            <w:tcW w:type="dxa" w:w="879"/>
          </w:tcPr>
          <w:p>
            <w:r/>
            <w:r>
              <w:rPr>
                <w:b/>
                <w:color w:val="5B6570"/>
                <w:sz w:val="17"/>
              </w:rPr>
              <w:t>2026</w:t>
            </w:r>
          </w:p>
        </w:tc>
        <w:tc>
          <w:tcPr>
            <w:tcW w:type="dxa" w:w="879"/>
          </w:tcPr>
          <w:p>
            <w:r/>
            <w:r>
              <w:rPr>
                <w:b/>
                <w:color w:val="5B6570"/>
                <w:sz w:val="17"/>
              </w:rPr>
              <w:t>2027</w:t>
            </w:r>
          </w:p>
        </w:tc>
        <w:tc>
          <w:tcPr>
            <w:tcW w:type="dxa" w:w="879"/>
          </w:tcPr>
          <w:p>
            <w:r/>
            <w:r>
              <w:rPr>
                <w:b/>
                <w:color w:val="5B6570"/>
                <w:sz w:val="17"/>
              </w:rPr>
              <w:t>2028</w:t>
            </w:r>
          </w:p>
        </w:tc>
        <w:tc>
          <w:tcPr>
            <w:tcW w:type="dxa" w:w="879"/>
          </w:tcPr>
          <w:p>
            <w:r/>
            <w:r>
              <w:rPr>
                <w:b/>
                <w:color w:val="5B6570"/>
                <w:sz w:val="17"/>
              </w:rPr>
              <w:t>2029</w:t>
            </w:r>
          </w:p>
        </w:tc>
        <w:tc>
          <w:tcPr>
            <w:tcW w:type="dxa" w:w="879"/>
          </w:tcPr>
          <w:p>
            <w:r/>
            <w:r>
              <w:rPr>
                <w:b/>
                <w:color w:val="5B6570"/>
                <w:sz w:val="17"/>
              </w:rPr>
              <w:t>2030</w:t>
            </w:r>
          </w:p>
        </w:tc>
      </w:tr>
      <w:tr>
        <w:trPr>
          <w:cantSplit/>
        </w:trPr>
        <w:tc>
          <w:tcPr>
            <w:tcW w:type="dxa" w:w="2494"/>
          </w:tcPr>
          <w:p>
            <w:r/>
            <w:r>
              <w:rPr>
                <w:color w:val="1A1D21"/>
                <w:sz w:val="17"/>
              </w:rPr>
              <w:t>Development revenue</w:t>
            </w:r>
          </w:p>
        </w:tc>
        <w:tc>
          <w:tcPr>
            <w:tcW w:type="dxa" w:w="879"/>
          </w:tcPr>
          <w:p>
            <w:pPr>
              <w:jc w:val="right"/>
            </w:pPr>
            <w:r/>
            <w:r>
              <w:rPr>
                <w:color w:val="1A1D21"/>
                <w:sz w:val="17"/>
              </w:rPr>
              <w:t>21,579</w:t>
            </w:r>
          </w:p>
        </w:tc>
        <w:tc>
          <w:tcPr>
            <w:tcW w:type="dxa" w:w="879"/>
          </w:tcPr>
          <w:p>
            <w:pPr>
              <w:jc w:val="right"/>
            </w:pPr>
            <w:r/>
            <w:r>
              <w:rPr>
                <w:color w:val="1A1D21"/>
                <w:sz w:val="17"/>
              </w:rPr>
              <w:t>24,518</w:t>
            </w:r>
          </w:p>
        </w:tc>
        <w:tc>
          <w:tcPr>
            <w:tcW w:type="dxa" w:w="879"/>
          </w:tcPr>
          <w:p>
            <w:pPr>
              <w:jc w:val="right"/>
            </w:pPr>
            <w:r/>
            <w:r>
              <w:rPr>
                <w:color w:val="1A1D21"/>
                <w:sz w:val="17"/>
              </w:rPr>
              <w:t>36,706</w:t>
            </w:r>
          </w:p>
        </w:tc>
        <w:tc>
          <w:tcPr>
            <w:tcW w:type="dxa" w:w="879"/>
          </w:tcPr>
          <w:p>
            <w:pPr>
              <w:jc w:val="right"/>
            </w:pPr>
            <w:r/>
            <w:r>
              <w:rPr>
                <w:color w:val="1A1D21"/>
                <w:sz w:val="17"/>
              </w:rPr>
              <w:t>49,337</w:t>
            </w:r>
          </w:p>
        </w:tc>
        <w:tc>
          <w:tcPr>
            <w:tcW w:type="dxa" w:w="879"/>
          </w:tcPr>
          <w:p>
            <w:pPr>
              <w:jc w:val="right"/>
            </w:pPr>
            <w:r/>
            <w:r>
              <w:rPr>
                <w:color w:val="1A1D21"/>
                <w:sz w:val="17"/>
              </w:rPr>
              <w:t>59,205</w:t>
            </w:r>
          </w:p>
        </w:tc>
        <w:tc>
          <w:tcPr>
            <w:tcW w:type="dxa" w:w="879"/>
          </w:tcPr>
          <w:p>
            <w:pPr>
              <w:jc w:val="right"/>
            </w:pPr>
            <w:r/>
            <w:r>
              <w:rPr>
                <w:color w:val="1A1D21"/>
                <w:sz w:val="17"/>
              </w:rPr>
              <w:t>71,046</w:t>
            </w:r>
          </w:p>
        </w:tc>
        <w:tc>
          <w:tcPr>
            <w:tcW w:type="dxa" w:w="879"/>
          </w:tcPr>
          <w:p>
            <w:pPr>
              <w:jc w:val="right"/>
            </w:pPr>
            <w:r/>
            <w:r>
              <w:rPr>
                <w:color w:val="1A1D21"/>
                <w:sz w:val="17"/>
              </w:rPr>
              <w:t>85,255</w:t>
            </w:r>
          </w:p>
        </w:tc>
        <w:tc>
          <w:tcPr>
            <w:tcW w:type="dxa" w:w="879"/>
          </w:tcPr>
          <w:p>
            <w:pPr>
              <w:jc w:val="right"/>
            </w:pPr>
            <w:r/>
            <w:r>
              <w:rPr>
                <w:color w:val="1A1D21"/>
                <w:sz w:val="17"/>
              </w:rPr>
              <w:t>102,306</w:t>
            </w:r>
          </w:p>
        </w:tc>
      </w:tr>
      <w:tr>
        <w:trPr>
          <w:cantSplit/>
        </w:trPr>
        <w:tc>
          <w:tcPr>
            <w:tcW w:type="dxa" w:w="2494"/>
          </w:tcPr>
          <w:p>
            <w:r/>
            <w:r>
              <w:rPr>
                <w:color w:val="1A1D21"/>
                <w:sz w:val="17"/>
              </w:rPr>
              <w:t>Hospitality revenue</w:t>
            </w:r>
          </w:p>
        </w:tc>
        <w:tc>
          <w:tcPr>
            <w:tcW w:type="dxa" w:w="879"/>
          </w:tcPr>
          <w:p>
            <w:pPr>
              <w:jc w:val="right"/>
            </w:pPr>
            <w:r/>
            <w:r>
              <w:rPr>
                <w:color w:val="1A1D21"/>
                <w:sz w:val="17"/>
              </w:rPr>
              <w:t>3,541</w:t>
            </w:r>
          </w:p>
        </w:tc>
        <w:tc>
          <w:tcPr>
            <w:tcW w:type="dxa" w:w="879"/>
          </w:tcPr>
          <w:p>
            <w:pPr>
              <w:jc w:val="right"/>
            </w:pPr>
            <w:r/>
            <w:r>
              <w:rPr>
                <w:color w:val="1A1D21"/>
                <w:sz w:val="17"/>
              </w:rPr>
              <w:t>11,496</w:t>
            </w:r>
          </w:p>
        </w:tc>
        <w:tc>
          <w:tcPr>
            <w:tcW w:type="dxa" w:w="879"/>
          </w:tcPr>
          <w:p>
            <w:pPr>
              <w:jc w:val="right"/>
            </w:pPr>
            <w:r/>
            <w:r>
              <w:rPr>
                <w:color w:val="1A1D21"/>
                <w:sz w:val="17"/>
              </w:rPr>
              <w:t>14,890</w:t>
            </w:r>
          </w:p>
        </w:tc>
        <w:tc>
          <w:tcPr>
            <w:tcW w:type="dxa" w:w="879"/>
          </w:tcPr>
          <w:p>
            <w:pPr>
              <w:jc w:val="right"/>
            </w:pPr>
            <w:r/>
            <w:r>
              <w:rPr>
                <w:color w:val="1A1D21"/>
                <w:sz w:val="17"/>
              </w:rPr>
              <w:t>17,868</w:t>
            </w:r>
          </w:p>
        </w:tc>
        <w:tc>
          <w:tcPr>
            <w:tcW w:type="dxa" w:w="879"/>
          </w:tcPr>
          <w:p>
            <w:pPr>
              <w:jc w:val="right"/>
            </w:pPr>
            <w:r/>
            <w:r>
              <w:rPr>
                <w:color w:val="1A1D21"/>
                <w:sz w:val="17"/>
              </w:rPr>
              <w:t>21,441</w:t>
            </w:r>
          </w:p>
        </w:tc>
        <w:tc>
          <w:tcPr>
            <w:tcW w:type="dxa" w:w="879"/>
          </w:tcPr>
          <w:p>
            <w:pPr>
              <w:jc w:val="right"/>
            </w:pPr>
            <w:r/>
            <w:r>
              <w:rPr>
                <w:color w:val="1A1D21"/>
                <w:sz w:val="17"/>
              </w:rPr>
              <w:t>25,729</w:t>
            </w:r>
          </w:p>
        </w:tc>
        <w:tc>
          <w:tcPr>
            <w:tcW w:type="dxa" w:w="879"/>
          </w:tcPr>
          <w:p>
            <w:pPr>
              <w:jc w:val="right"/>
            </w:pPr>
            <w:r/>
            <w:r>
              <w:rPr>
                <w:color w:val="1A1D21"/>
                <w:sz w:val="17"/>
              </w:rPr>
              <w:t>30,875</w:t>
            </w:r>
          </w:p>
        </w:tc>
        <w:tc>
          <w:tcPr>
            <w:tcW w:type="dxa" w:w="879"/>
          </w:tcPr>
          <w:p>
            <w:pPr>
              <w:jc w:val="right"/>
            </w:pPr>
            <w:r/>
            <w:r>
              <w:rPr>
                <w:color w:val="1A1D21"/>
                <w:sz w:val="17"/>
              </w:rPr>
              <w:t>37,050</w:t>
            </w:r>
          </w:p>
        </w:tc>
      </w:tr>
      <w:tr>
        <w:trPr>
          <w:cantSplit/>
        </w:trPr>
        <w:tc>
          <w:tcPr>
            <w:tcW w:type="dxa" w:w="2494"/>
          </w:tcPr>
          <w:p>
            <w:r/>
            <w:r>
              <w:rPr>
                <w:color w:val="1A1D21"/>
                <w:sz w:val="17"/>
              </w:rPr>
              <w:t>Other recurring revenue</w:t>
            </w:r>
          </w:p>
        </w:tc>
        <w:tc>
          <w:tcPr>
            <w:tcW w:type="dxa" w:w="879"/>
          </w:tcPr>
          <w:p>
            <w:pPr>
              <w:jc w:val="right"/>
            </w:pPr>
            <w:r/>
            <w:r>
              <w:rPr>
                <w:color w:val="1A1D21"/>
                <w:sz w:val="17"/>
              </w:rPr>
              <w:t>3,312</w:t>
            </w:r>
          </w:p>
        </w:tc>
        <w:tc>
          <w:tcPr>
            <w:tcW w:type="dxa" w:w="879"/>
          </w:tcPr>
          <w:p>
            <w:pPr>
              <w:jc w:val="right"/>
            </w:pPr>
            <w:r/>
            <w:r>
              <w:rPr>
                <w:color w:val="1A1D21"/>
                <w:sz w:val="17"/>
              </w:rPr>
              <w:t>6,656</w:t>
            </w:r>
          </w:p>
        </w:tc>
        <w:tc>
          <w:tcPr>
            <w:tcW w:type="dxa" w:w="879"/>
          </w:tcPr>
          <w:p>
            <w:pPr>
              <w:jc w:val="right"/>
            </w:pPr>
            <w:r/>
            <w:r>
              <w:rPr>
                <w:color w:val="1A1D21"/>
                <w:sz w:val="17"/>
              </w:rPr>
              <w:t>10,900</w:t>
            </w:r>
          </w:p>
        </w:tc>
        <w:tc>
          <w:tcPr>
            <w:tcW w:type="dxa" w:w="879"/>
          </w:tcPr>
          <w:p>
            <w:pPr>
              <w:jc w:val="right"/>
            </w:pPr>
            <w:r/>
            <w:r>
              <w:rPr>
                <w:color w:val="1A1D21"/>
                <w:sz w:val="17"/>
              </w:rPr>
              <w:t>13,298</w:t>
            </w:r>
          </w:p>
        </w:tc>
        <w:tc>
          <w:tcPr>
            <w:tcW w:type="dxa" w:w="879"/>
          </w:tcPr>
          <w:p>
            <w:pPr>
              <w:jc w:val="right"/>
            </w:pPr>
            <w:r/>
            <w:r>
              <w:rPr>
                <w:color w:val="1A1D21"/>
                <w:sz w:val="17"/>
              </w:rPr>
              <w:t>16,223</w:t>
            </w:r>
          </w:p>
        </w:tc>
        <w:tc>
          <w:tcPr>
            <w:tcW w:type="dxa" w:w="879"/>
          </w:tcPr>
          <w:p>
            <w:pPr>
              <w:jc w:val="right"/>
            </w:pPr>
            <w:r/>
            <w:r>
              <w:rPr>
                <w:color w:val="1A1D21"/>
                <w:sz w:val="17"/>
              </w:rPr>
              <w:t>19,792</w:t>
            </w:r>
          </w:p>
        </w:tc>
        <w:tc>
          <w:tcPr>
            <w:tcW w:type="dxa" w:w="879"/>
          </w:tcPr>
          <w:p>
            <w:pPr>
              <w:jc w:val="right"/>
            </w:pPr>
            <w:r/>
            <w:r>
              <w:rPr>
                <w:color w:val="1A1D21"/>
                <w:sz w:val="17"/>
              </w:rPr>
              <w:t>24,146</w:t>
            </w:r>
          </w:p>
        </w:tc>
        <w:tc>
          <w:tcPr>
            <w:tcW w:type="dxa" w:w="879"/>
          </w:tcPr>
          <w:p>
            <w:pPr>
              <w:jc w:val="right"/>
            </w:pPr>
            <w:r/>
            <w:r>
              <w:rPr>
                <w:color w:val="1A1D21"/>
                <w:sz w:val="17"/>
              </w:rPr>
              <w:t>29,459</w:t>
            </w:r>
          </w:p>
        </w:tc>
      </w:tr>
      <w:tr>
        <w:trPr>
          <w:cantSplit/>
        </w:trPr>
        <w:tc>
          <w:tcPr>
            <w:tcW w:type="dxa" w:w="2494"/>
          </w:tcPr>
          <w:p>
            <w:r/>
            <w:r>
              <w:rPr>
                <w:color w:val="1A1D21"/>
                <w:sz w:val="17"/>
              </w:rPr>
              <w:t>Gross profit</w:t>
            </w:r>
          </w:p>
        </w:tc>
        <w:tc>
          <w:tcPr>
            <w:tcW w:type="dxa" w:w="879"/>
          </w:tcPr>
          <w:p>
            <w:pPr>
              <w:jc w:val="right"/>
            </w:pPr>
            <w:r/>
            <w:r>
              <w:rPr>
                <w:color w:val="1A1D21"/>
                <w:sz w:val="17"/>
              </w:rPr>
              <w:t>8,637</w:t>
            </w:r>
          </w:p>
        </w:tc>
        <w:tc>
          <w:tcPr>
            <w:tcW w:type="dxa" w:w="879"/>
          </w:tcPr>
          <w:p>
            <w:pPr>
              <w:jc w:val="right"/>
            </w:pPr>
            <w:r/>
            <w:r>
              <w:rPr>
                <w:color w:val="1A1D21"/>
                <w:sz w:val="17"/>
              </w:rPr>
              <w:t>15,300</w:t>
            </w:r>
          </w:p>
        </w:tc>
        <w:tc>
          <w:tcPr>
            <w:tcW w:type="dxa" w:w="879"/>
          </w:tcPr>
          <w:p>
            <w:pPr>
              <w:jc w:val="right"/>
            </w:pPr>
            <w:r/>
            <w:r>
              <w:rPr>
                <w:color w:val="1A1D21"/>
                <w:sz w:val="17"/>
              </w:rPr>
              <w:t>20,855</w:t>
            </w:r>
          </w:p>
        </w:tc>
        <w:tc>
          <w:tcPr>
            <w:tcW w:type="dxa" w:w="879"/>
          </w:tcPr>
          <w:p>
            <w:pPr>
              <w:jc w:val="right"/>
            </w:pPr>
            <w:r/>
            <w:r>
              <w:rPr>
                <w:color w:val="1A1D21"/>
                <w:sz w:val="17"/>
              </w:rPr>
              <w:t>25,463</w:t>
            </w:r>
          </w:p>
        </w:tc>
        <w:tc>
          <w:tcPr>
            <w:tcW w:type="dxa" w:w="879"/>
          </w:tcPr>
          <w:p>
            <w:pPr>
              <w:jc w:val="right"/>
            </w:pPr>
            <w:r/>
            <w:r>
              <w:rPr>
                <w:color w:val="1A1D21"/>
                <w:sz w:val="17"/>
              </w:rPr>
              <w:t>30,641</w:t>
            </w:r>
          </w:p>
        </w:tc>
        <w:tc>
          <w:tcPr>
            <w:tcW w:type="dxa" w:w="879"/>
          </w:tcPr>
          <w:p>
            <w:pPr>
              <w:jc w:val="right"/>
            </w:pPr>
            <w:r/>
            <w:r>
              <w:rPr>
                <w:color w:val="1A1D21"/>
                <w:sz w:val="17"/>
              </w:rPr>
              <w:t>36,873</w:t>
            </w:r>
          </w:p>
        </w:tc>
        <w:tc>
          <w:tcPr>
            <w:tcW w:type="dxa" w:w="879"/>
          </w:tcPr>
          <w:p>
            <w:pPr>
              <w:jc w:val="right"/>
            </w:pPr>
            <w:r/>
            <w:r>
              <w:rPr>
                <w:color w:val="1A1D21"/>
                <w:sz w:val="17"/>
              </w:rPr>
              <w:t>44,374</w:t>
            </w:r>
          </w:p>
        </w:tc>
        <w:tc>
          <w:tcPr>
            <w:tcW w:type="dxa" w:w="879"/>
          </w:tcPr>
          <w:p>
            <w:pPr>
              <w:jc w:val="right"/>
            </w:pPr>
            <w:r/>
            <w:r>
              <w:rPr>
                <w:color w:val="1A1D21"/>
                <w:sz w:val="17"/>
              </w:rPr>
              <w:t>53,402</w:t>
            </w:r>
          </w:p>
        </w:tc>
      </w:tr>
      <w:tr>
        <w:trPr>
          <w:cantSplit/>
        </w:trPr>
        <w:tc>
          <w:tcPr>
            <w:tcW w:type="dxa" w:w="2494"/>
          </w:tcPr>
          <w:p>
            <w:r/>
            <w:r>
              <w:rPr>
                <w:color w:val="1A1D21"/>
                <w:sz w:val="17"/>
              </w:rPr>
              <w:t>Net profit</w:t>
            </w:r>
          </w:p>
        </w:tc>
        <w:tc>
          <w:tcPr>
            <w:tcW w:type="dxa" w:w="879"/>
          </w:tcPr>
          <w:p>
            <w:pPr>
              <w:jc w:val="right"/>
            </w:pPr>
            <w:r/>
            <w:r>
              <w:rPr>
                <w:color w:val="1A1D21"/>
                <w:sz w:val="17"/>
              </w:rPr>
              <w:t>3,347</w:t>
            </w:r>
          </w:p>
        </w:tc>
        <w:tc>
          <w:tcPr>
            <w:tcW w:type="dxa" w:w="879"/>
          </w:tcPr>
          <w:p>
            <w:pPr>
              <w:jc w:val="right"/>
            </w:pPr>
            <w:r/>
            <w:r>
              <w:rPr>
                <w:color w:val="1A1D21"/>
                <w:sz w:val="17"/>
              </w:rPr>
              <w:t>14,468</w:t>
            </w:r>
          </w:p>
        </w:tc>
        <w:tc>
          <w:tcPr>
            <w:tcW w:type="dxa" w:w="879"/>
          </w:tcPr>
          <w:p>
            <w:pPr>
              <w:jc w:val="right"/>
            </w:pPr>
            <w:r/>
            <w:r>
              <w:rPr>
                <w:color w:val="1A1D21"/>
                <w:sz w:val="17"/>
              </w:rPr>
              <w:t>18,202</w:t>
            </w:r>
          </w:p>
        </w:tc>
        <w:tc>
          <w:tcPr>
            <w:tcW w:type="dxa" w:w="879"/>
          </w:tcPr>
          <w:p>
            <w:pPr>
              <w:jc w:val="right"/>
            </w:pPr>
            <w:r/>
            <w:r>
              <w:rPr>
                <w:color w:val="1A1D21"/>
                <w:sz w:val="17"/>
              </w:rPr>
              <w:t>23,122</w:t>
            </w:r>
          </w:p>
        </w:tc>
        <w:tc>
          <w:tcPr>
            <w:tcW w:type="dxa" w:w="879"/>
          </w:tcPr>
          <w:p>
            <w:pPr>
              <w:jc w:val="right"/>
            </w:pPr>
            <w:r/>
            <w:r>
              <w:rPr>
                <w:color w:val="1A1D21"/>
                <w:sz w:val="17"/>
              </w:rPr>
              <w:t>29,093</w:t>
            </w:r>
          </w:p>
        </w:tc>
        <w:tc>
          <w:tcPr>
            <w:tcW w:type="dxa" w:w="879"/>
          </w:tcPr>
          <w:p>
            <w:pPr>
              <w:jc w:val="right"/>
            </w:pPr>
            <w:r/>
            <w:r>
              <w:rPr>
                <w:color w:val="1A1D21"/>
                <w:sz w:val="17"/>
              </w:rPr>
              <w:t>36,292</w:t>
            </w:r>
          </w:p>
        </w:tc>
        <w:tc>
          <w:tcPr>
            <w:tcW w:type="dxa" w:w="879"/>
          </w:tcPr>
          <w:p>
            <w:pPr>
              <w:jc w:val="right"/>
            </w:pPr>
            <w:r/>
            <w:r>
              <w:rPr>
                <w:color w:val="1A1D21"/>
                <w:sz w:val="17"/>
              </w:rPr>
              <w:t>45,002</w:t>
            </w:r>
          </w:p>
        </w:tc>
        <w:tc>
          <w:tcPr>
            <w:tcW w:type="dxa" w:w="879"/>
          </w:tcPr>
          <w:p>
            <w:pPr>
              <w:jc w:val="right"/>
            </w:pPr>
            <w:r/>
            <w:r>
              <w:rPr>
                <w:color w:val="1A1D21"/>
                <w:sz w:val="17"/>
              </w:rPr>
              <w:t>55,557</w:t>
            </w:r>
          </w:p>
        </w:tc>
      </w:tr>
      <w:tr>
        <w:trPr>
          <w:cantSplit/>
        </w:trPr>
        <w:tc>
          <w:tcPr>
            <w:tcW w:type="dxa" w:w="2494"/>
          </w:tcPr>
          <w:p>
            <w:r/>
            <w:r>
              <w:rPr>
                <w:color w:val="1A1D21"/>
                <w:sz w:val="17"/>
              </w:rPr>
              <w:t>Profit attributable to TMG's shareholders</w:t>
            </w:r>
          </w:p>
        </w:tc>
        <w:tc>
          <w:tcPr>
            <w:tcW w:type="dxa" w:w="879"/>
          </w:tcPr>
          <w:p>
            <w:pPr>
              <w:jc w:val="right"/>
            </w:pPr>
            <w:r/>
            <w:r>
              <w:rPr>
                <w:color w:val="1A1D21"/>
                <w:sz w:val="17"/>
              </w:rPr>
              <w:t>3,313</w:t>
            </w:r>
          </w:p>
        </w:tc>
        <w:tc>
          <w:tcPr>
            <w:tcW w:type="dxa" w:w="879"/>
          </w:tcPr>
          <w:p>
            <w:pPr>
              <w:jc w:val="right"/>
            </w:pPr>
            <w:r/>
            <w:r>
              <w:rPr>
                <w:color w:val="1A1D21"/>
                <w:sz w:val="17"/>
              </w:rPr>
              <w:t>10,723</w:t>
            </w:r>
          </w:p>
        </w:tc>
        <w:tc>
          <w:tcPr>
            <w:tcW w:type="dxa" w:w="879"/>
          </w:tcPr>
          <w:p>
            <w:pPr>
              <w:jc w:val="right"/>
            </w:pPr>
            <w:r/>
            <w:r>
              <w:rPr>
                <w:color w:val="1A1D21"/>
                <w:sz w:val="17"/>
              </w:rPr>
              <w:t>14,384</w:t>
            </w:r>
          </w:p>
        </w:tc>
        <w:tc>
          <w:tcPr>
            <w:tcW w:type="dxa" w:w="879"/>
          </w:tcPr>
          <w:p>
            <w:pPr>
              <w:jc w:val="right"/>
            </w:pPr>
            <w:r/>
            <w:r>
              <w:rPr>
                <w:color w:val="1A1D21"/>
                <w:sz w:val="17"/>
              </w:rPr>
              <w:t>12,668</w:t>
            </w:r>
          </w:p>
        </w:tc>
        <w:tc>
          <w:tcPr>
            <w:tcW w:type="dxa" w:w="879"/>
          </w:tcPr>
          <w:p>
            <w:pPr>
              <w:jc w:val="right"/>
            </w:pPr>
            <w:r/>
            <w:r>
              <w:rPr>
                <w:color w:val="1A1D21"/>
                <w:sz w:val="17"/>
              </w:rPr>
              <w:t>15,939</w:t>
            </w:r>
          </w:p>
        </w:tc>
        <w:tc>
          <w:tcPr>
            <w:tcW w:type="dxa" w:w="879"/>
          </w:tcPr>
          <w:p>
            <w:pPr>
              <w:jc w:val="right"/>
            </w:pPr>
            <w:r/>
            <w:r>
              <w:rPr>
                <w:color w:val="1A1D21"/>
                <w:sz w:val="17"/>
              </w:rPr>
              <w:t>19,883</w:t>
            </w:r>
          </w:p>
        </w:tc>
        <w:tc>
          <w:tcPr>
            <w:tcW w:type="dxa" w:w="879"/>
          </w:tcPr>
          <w:p>
            <w:pPr>
              <w:jc w:val="right"/>
            </w:pPr>
            <w:r/>
            <w:r>
              <w:rPr>
                <w:color w:val="1A1D21"/>
                <w:sz w:val="17"/>
              </w:rPr>
              <w:t>24,655</w:t>
            </w:r>
          </w:p>
        </w:tc>
        <w:tc>
          <w:tcPr>
            <w:tcW w:type="dxa" w:w="879"/>
          </w:tcPr>
          <w:p>
            <w:pPr>
              <w:jc w:val="right"/>
            </w:pPr>
            <w:r/>
            <w:r>
              <w:rPr>
                <w:color w:val="1A1D21"/>
                <w:sz w:val="17"/>
              </w:rPr>
              <w:t>30,438</w:t>
            </w:r>
          </w:p>
        </w:tc>
      </w:tr>
      <w:tr>
        <w:trPr>
          <w:cantSplit/>
        </w:trPr>
        <w:tc>
          <w:tcPr>
            <w:tcW w:type="dxa" w:w="2494"/>
          </w:tcPr>
          <w:p>
            <w:r/>
            <w:r>
              <w:rPr>
                <w:color w:val="1A1D21"/>
                <w:sz w:val="17"/>
              </w:rPr>
              <w:t>Earnings per share, EGP</w:t>
            </w:r>
          </w:p>
        </w:tc>
        <w:tc>
          <w:tcPr>
            <w:tcW w:type="dxa" w:w="879"/>
          </w:tcPr>
          <w:p>
            <w:pPr>
              <w:jc w:val="right"/>
            </w:pPr>
            <w:r/>
            <w:r>
              <w:rPr>
                <w:color w:val="1A1D21"/>
                <w:sz w:val="17"/>
              </w:rPr>
              <w:t>1.61</w:t>
            </w:r>
          </w:p>
        </w:tc>
        <w:tc>
          <w:tcPr>
            <w:tcW w:type="dxa" w:w="879"/>
          </w:tcPr>
          <w:p>
            <w:pPr>
              <w:jc w:val="right"/>
            </w:pPr>
            <w:r/>
            <w:r>
              <w:rPr>
                <w:color w:val="1A1D21"/>
                <w:sz w:val="17"/>
              </w:rPr>
              <w:t>5.20</w:t>
            </w:r>
          </w:p>
        </w:tc>
        <w:tc>
          <w:tcPr>
            <w:tcW w:type="dxa" w:w="879"/>
          </w:tcPr>
          <w:p>
            <w:pPr>
              <w:jc w:val="right"/>
            </w:pPr>
            <w:r/>
            <w:r>
              <w:rPr>
                <w:color w:val="1A1D21"/>
                <w:sz w:val="17"/>
              </w:rPr>
              <w:t>6.98</w:t>
            </w:r>
          </w:p>
        </w:tc>
        <w:tc>
          <w:tcPr>
            <w:tcW w:type="dxa" w:w="879"/>
          </w:tcPr>
          <w:p>
            <w:pPr>
              <w:jc w:val="right"/>
            </w:pPr>
            <w:r/>
            <w:r>
              <w:rPr>
                <w:color w:val="1A1D21"/>
                <w:sz w:val="17"/>
              </w:rPr>
              <w:t>6.15</w:t>
            </w:r>
          </w:p>
        </w:tc>
        <w:tc>
          <w:tcPr>
            <w:tcW w:type="dxa" w:w="879"/>
          </w:tcPr>
          <w:p>
            <w:pPr>
              <w:jc w:val="right"/>
            </w:pPr>
            <w:r/>
            <w:r>
              <w:rPr>
                <w:color w:val="1A1D21"/>
                <w:sz w:val="17"/>
              </w:rPr>
              <w:t>7.73</w:t>
            </w:r>
          </w:p>
        </w:tc>
        <w:tc>
          <w:tcPr>
            <w:tcW w:type="dxa" w:w="879"/>
          </w:tcPr>
          <w:p>
            <w:pPr>
              <w:jc w:val="right"/>
            </w:pPr>
            <w:r/>
            <w:r>
              <w:rPr>
                <w:color w:val="1A1D21"/>
                <w:sz w:val="17"/>
              </w:rPr>
              <w:t>9.65</w:t>
            </w:r>
          </w:p>
        </w:tc>
        <w:tc>
          <w:tcPr>
            <w:tcW w:type="dxa" w:w="879"/>
          </w:tcPr>
          <w:p>
            <w:pPr>
              <w:jc w:val="right"/>
            </w:pPr>
            <w:r/>
            <w:r>
              <w:rPr>
                <w:color w:val="1A1D21"/>
                <w:sz w:val="17"/>
              </w:rPr>
              <w:t>11.96</w:t>
            </w:r>
          </w:p>
        </w:tc>
        <w:tc>
          <w:tcPr>
            <w:tcW w:type="dxa" w:w="879"/>
          </w:tcPr>
          <w:p>
            <w:pPr>
              <w:jc w:val="right"/>
            </w:pPr>
            <w:r/>
            <w:r>
              <w:rPr>
                <w:color w:val="1A1D21"/>
                <w:sz w:val="17"/>
              </w:rPr>
              <w:t>14.77</w:t>
            </w:r>
          </w:p>
        </w:tc>
      </w:tr>
    </w:tbl>
    <w:p>
      <w:pPr>
        <w:spacing w:after="200"/>
      </w:pPr>
      <w:r>
        <w:rPr>
          <w:b w:val="0"/>
          <w:i/>
          <w:color w:val="5B6570"/>
          <w:sz w:val="16"/>
        </w:rPr>
        <w:t>Reported figures are as first reported. Projected figures are the slower-conversion case.</w:t>
      </w:r>
    </w:p>
    <w:p>
      <w:pPr>
        <w:spacing w:after="140"/>
      </w:pPr>
      <w:r>
        <w:rPr>
          <w:b w:val="0"/>
          <w:i w:val="0"/>
          <w:color w:val="1A1D21"/>
          <w:sz w:val="20"/>
        </w:rPr>
        <w:t>The third to fifth projected years carry ranges, because at that distance this method's measured error is wide enough that a single figure would overstate what is known:</w:t>
      </w:r>
    </w:p>
    <w:tbl>
      <w:tblPr>
        <w:tblStyle w:val="TableGrid"/>
        <w:tblW w:type="auto" w:w="0"/>
        <w:jc w:val="center"/>
        <w:tblLayout w:type="fixed"/>
        <w:tblLook w:firstColumn="1" w:firstRow="1" w:lastColumn="0" w:lastRow="0" w:noHBand="0" w:noVBand="1" w:val="04A0"/>
        <w:tblLayout w:type="fixed"/>
      </w:tblPr>
      <w:tblGrid>
        <w:gridCol w:w="850"/>
        <w:gridCol w:w="1531"/>
        <w:gridCol w:w="2041"/>
        <w:gridCol w:w="1531"/>
        <w:gridCol w:w="2041"/>
        <w:gridCol w:w="1304"/>
      </w:tblGrid>
      <w:tr>
        <w:trPr>
          <w:tblHeader w:val="true"/>
        </w:trPr>
        <w:tc>
          <w:tcPr>
            <w:tcW w:type="dxa" w:w="850"/>
          </w:tcPr>
          <w:p>
            <w:r/>
            <w:r>
              <w:rPr>
                <w:b/>
                <w:color w:val="5B6570"/>
                <w:sz w:val="17"/>
              </w:rPr>
              <w:t>Year</w:t>
            </w:r>
          </w:p>
        </w:tc>
        <w:tc>
          <w:tcPr>
            <w:tcW w:type="dxa" w:w="1531"/>
          </w:tcPr>
          <w:p>
            <w:r/>
            <w:r>
              <w:rPr>
                <w:b/>
                <w:color w:val="5B6570"/>
                <w:sz w:val="17"/>
              </w:rPr>
              <w:t>Revenue, central</w:t>
            </w:r>
          </w:p>
        </w:tc>
        <w:tc>
          <w:tcPr>
            <w:tcW w:type="dxa" w:w="2041"/>
          </w:tcPr>
          <w:p>
            <w:r/>
            <w:r>
              <w:rPr>
                <w:b/>
                <w:color w:val="5B6570"/>
                <w:sz w:val="17"/>
              </w:rPr>
              <w:t>Revenue range</w:t>
            </w:r>
          </w:p>
        </w:tc>
        <w:tc>
          <w:tcPr>
            <w:tcW w:type="dxa" w:w="1531"/>
          </w:tcPr>
          <w:p>
            <w:r/>
            <w:r>
              <w:rPr>
                <w:b/>
                <w:color w:val="5B6570"/>
                <w:sz w:val="17"/>
              </w:rPr>
              <w:t>Net profit, central</w:t>
            </w:r>
          </w:p>
        </w:tc>
        <w:tc>
          <w:tcPr>
            <w:tcW w:type="dxa" w:w="2041"/>
          </w:tcPr>
          <w:p>
            <w:r/>
            <w:r>
              <w:rPr>
                <w:b/>
                <w:color w:val="5B6570"/>
                <w:sz w:val="17"/>
              </w:rPr>
              <w:t>Net profit range</w:t>
            </w:r>
          </w:p>
        </w:tc>
        <w:tc>
          <w:tcPr>
            <w:tcW w:type="dxa" w:w="1304"/>
          </w:tcPr>
          <w:p>
            <w:r/>
            <w:r>
              <w:rPr>
                <w:b/>
                <w:color w:val="5B6570"/>
                <w:sz w:val="17"/>
              </w:rPr>
              <w:t>Tests behind the range</w:t>
            </w:r>
          </w:p>
        </w:tc>
      </w:tr>
      <w:tr>
        <w:trPr>
          <w:cantSplit/>
        </w:trPr>
        <w:tc>
          <w:tcPr>
            <w:tcW w:type="dxa" w:w="850"/>
          </w:tcPr>
          <w:p>
            <w:r/>
            <w:r>
              <w:rPr>
                <w:color w:val="1A1D21"/>
                <w:sz w:val="17"/>
              </w:rPr>
              <w:t>2028</w:t>
            </w:r>
          </w:p>
        </w:tc>
        <w:tc>
          <w:tcPr>
            <w:tcW w:type="dxa" w:w="1531"/>
          </w:tcPr>
          <w:p>
            <w:pPr>
              <w:jc w:val="right"/>
            </w:pPr>
            <w:r/>
            <w:r>
              <w:rPr>
                <w:color w:val="1A1D21"/>
                <w:sz w:val="17"/>
              </w:rPr>
              <w:t>116,567</w:t>
            </w:r>
          </w:p>
        </w:tc>
        <w:tc>
          <w:tcPr>
            <w:tcW w:type="dxa" w:w="2041"/>
          </w:tcPr>
          <w:p>
            <w:r/>
            <w:r>
              <w:rPr>
                <w:color w:val="1A1D21"/>
                <w:sz w:val="17"/>
              </w:rPr>
              <w:t>86,947 – 198,939</w:t>
            </w:r>
          </w:p>
        </w:tc>
        <w:tc>
          <w:tcPr>
            <w:tcW w:type="dxa" w:w="1531"/>
          </w:tcPr>
          <w:p>
            <w:pPr>
              <w:jc w:val="right"/>
            </w:pPr>
            <w:r/>
            <w:r>
              <w:rPr>
                <w:color w:val="1A1D21"/>
                <w:sz w:val="17"/>
              </w:rPr>
              <w:t>36,292</w:t>
            </w:r>
          </w:p>
        </w:tc>
        <w:tc>
          <w:tcPr>
            <w:tcW w:type="dxa" w:w="2041"/>
          </w:tcPr>
          <w:p>
            <w:r/>
            <w:r>
              <w:rPr>
                <w:color w:val="1A1D21"/>
                <w:sz w:val="17"/>
              </w:rPr>
              <w:t>12,214 – 93,842</w:t>
            </w:r>
          </w:p>
        </w:tc>
        <w:tc>
          <w:tcPr>
            <w:tcW w:type="dxa" w:w="1304"/>
          </w:tcPr>
          <w:p>
            <w:pPr>
              <w:jc w:val="right"/>
            </w:pPr>
            <w:r/>
            <w:r>
              <w:rPr>
                <w:color w:val="1A1D21"/>
                <w:sz w:val="17"/>
              </w:rPr>
              <w:t>7</w:t>
            </w:r>
          </w:p>
        </w:tc>
      </w:tr>
      <w:tr>
        <w:trPr>
          <w:cantSplit/>
        </w:trPr>
        <w:tc>
          <w:tcPr>
            <w:tcW w:type="dxa" w:w="850"/>
          </w:tcPr>
          <w:p>
            <w:r/>
            <w:r>
              <w:rPr>
                <w:color w:val="1A1D21"/>
                <w:sz w:val="17"/>
              </w:rPr>
              <w:t>2029</w:t>
            </w:r>
          </w:p>
        </w:tc>
        <w:tc>
          <w:tcPr>
            <w:tcW w:type="dxa" w:w="1531"/>
          </w:tcPr>
          <w:p>
            <w:pPr>
              <w:jc w:val="right"/>
            </w:pPr>
            <w:r/>
            <w:r>
              <w:rPr>
                <w:color w:val="1A1D21"/>
                <w:sz w:val="17"/>
              </w:rPr>
              <w:t>140,276</w:t>
            </w:r>
          </w:p>
        </w:tc>
        <w:tc>
          <w:tcPr>
            <w:tcW w:type="dxa" w:w="2041"/>
          </w:tcPr>
          <w:p>
            <w:r/>
            <w:r>
              <w:rPr>
                <w:color w:val="1A1D21"/>
                <w:sz w:val="17"/>
              </w:rPr>
              <w:t>114,211 – 319,657</w:t>
            </w:r>
          </w:p>
        </w:tc>
        <w:tc>
          <w:tcPr>
            <w:tcW w:type="dxa" w:w="1531"/>
          </w:tcPr>
          <w:p>
            <w:pPr>
              <w:jc w:val="right"/>
            </w:pPr>
            <w:r/>
            <w:r>
              <w:rPr>
                <w:color w:val="1A1D21"/>
                <w:sz w:val="17"/>
              </w:rPr>
              <w:t>45,002</w:t>
            </w:r>
          </w:p>
        </w:tc>
        <w:tc>
          <w:tcPr>
            <w:tcW w:type="dxa" w:w="2041"/>
          </w:tcPr>
          <w:p>
            <w:r/>
            <w:r>
              <w:rPr>
                <w:color w:val="1A1D21"/>
                <w:sz w:val="17"/>
              </w:rPr>
              <w:t>17,372 – 149,263</w:t>
            </w:r>
          </w:p>
        </w:tc>
        <w:tc>
          <w:tcPr>
            <w:tcW w:type="dxa" w:w="1304"/>
          </w:tcPr>
          <w:p>
            <w:pPr>
              <w:jc w:val="right"/>
            </w:pPr>
            <w:r/>
            <w:r>
              <w:rPr>
                <w:color w:val="1A1D21"/>
                <w:sz w:val="17"/>
              </w:rPr>
              <w:t>6</w:t>
            </w:r>
          </w:p>
        </w:tc>
      </w:tr>
      <w:tr>
        <w:trPr>
          <w:cantSplit/>
        </w:trPr>
        <w:tc>
          <w:tcPr>
            <w:tcW w:type="dxa" w:w="850"/>
          </w:tcPr>
          <w:p>
            <w:r/>
            <w:r>
              <w:rPr>
                <w:color w:val="1A1D21"/>
                <w:sz w:val="17"/>
              </w:rPr>
              <w:t>2030</w:t>
            </w:r>
          </w:p>
        </w:tc>
        <w:tc>
          <w:tcPr>
            <w:tcW w:type="dxa" w:w="1531"/>
          </w:tcPr>
          <w:p>
            <w:pPr>
              <w:jc w:val="right"/>
            </w:pPr>
            <w:r/>
            <w:r>
              <w:rPr>
                <w:color w:val="1A1D21"/>
                <w:sz w:val="17"/>
              </w:rPr>
              <w:t>168,815</w:t>
            </w:r>
          </w:p>
        </w:tc>
        <w:tc>
          <w:tcPr>
            <w:tcW w:type="dxa" w:w="2041"/>
          </w:tcPr>
          <w:p>
            <w:r/>
            <w:r>
              <w:rPr>
                <w:color w:val="1A1D21"/>
                <w:sz w:val="17"/>
              </w:rPr>
              <w:t>90,065 – 502,698</w:t>
            </w:r>
          </w:p>
        </w:tc>
        <w:tc>
          <w:tcPr>
            <w:tcW w:type="dxa" w:w="1531"/>
          </w:tcPr>
          <w:p>
            <w:pPr>
              <w:jc w:val="right"/>
            </w:pPr>
            <w:r/>
            <w:r>
              <w:rPr>
                <w:color w:val="1A1D21"/>
                <w:sz w:val="17"/>
              </w:rPr>
              <w:t>55,557</w:t>
            </w:r>
          </w:p>
        </w:tc>
        <w:tc>
          <w:tcPr>
            <w:tcW w:type="dxa" w:w="2041"/>
          </w:tcPr>
          <w:p>
            <w:r/>
            <w:r>
              <w:rPr>
                <w:color w:val="1A1D21"/>
                <w:sz w:val="17"/>
              </w:rPr>
              <w:t>12,146 – 204,588</w:t>
            </w:r>
          </w:p>
        </w:tc>
        <w:tc>
          <w:tcPr>
            <w:tcW w:type="dxa" w:w="1304"/>
          </w:tcPr>
          <w:p>
            <w:pPr>
              <w:jc w:val="right"/>
            </w:pPr>
            <w:r/>
            <w:r>
              <w:rPr>
                <w:color w:val="1A1D21"/>
                <w:sz w:val="17"/>
              </w:rPr>
              <w:t>5</w:t>
            </w:r>
          </w:p>
        </w:tc>
      </w:tr>
    </w:tbl>
    <w:p>
      <w:pPr>
        <w:spacing w:after="200"/>
      </w:pPr>
      <w:r>
        <w:rPr>
          <w:b w:val="0"/>
          <w:i/>
          <w:color w:val="5B6570"/>
          <w:sz w:val="16"/>
        </w:rPr>
        <w:t>Ranges are built from how far out this method actually was, at that horizon, when tested on this company's own history.</w:t>
      </w:r>
    </w:p>
    <w:p>
      <w:pPr>
        <w:pStyle w:val="Heading2"/>
      </w:pPr>
      <w:r>
        <w:t>A.2 Balance sheet as reported</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As at 30 June 2026, EGP million</w:t>
            </w:r>
          </w:p>
        </w:tc>
        <w:tc>
          <w:tcPr>
            <w:tcW w:type="dxa" w:w="2494"/>
          </w:tcPr>
          <w:p>
            <w:r/>
            <w:r>
              <w:rPr>
                <w:b/>
                <w:color w:val="5B6570"/>
                <w:sz w:val="17"/>
              </w:rPr>
              <w:t>Amount</w:t>
            </w:r>
          </w:p>
        </w:tc>
      </w:tr>
      <w:tr>
        <w:trPr>
          <w:cantSplit/>
        </w:trPr>
        <w:tc>
          <w:tcPr>
            <w:tcW w:type="dxa" w:w="6236"/>
          </w:tcPr>
          <w:p>
            <w:r/>
            <w:r>
              <w:rPr>
                <w:color w:val="1A1D21"/>
                <w:sz w:val="17"/>
              </w:rPr>
              <w:t>Property, plant and equipment</w:t>
            </w:r>
          </w:p>
        </w:tc>
        <w:tc>
          <w:tcPr>
            <w:tcW w:type="dxa" w:w="2494"/>
          </w:tcPr>
          <w:p>
            <w:pPr>
              <w:jc w:val="right"/>
            </w:pPr>
            <w:r/>
            <w:r>
              <w:rPr>
                <w:color w:val="1A1D21"/>
                <w:sz w:val="17"/>
              </w:rPr>
              <w:t>73,323</w:t>
            </w:r>
          </w:p>
        </w:tc>
      </w:tr>
      <w:tr>
        <w:trPr>
          <w:cantSplit/>
        </w:trPr>
        <w:tc>
          <w:tcPr>
            <w:tcW w:type="dxa" w:w="6236"/>
          </w:tcPr>
          <w:p>
            <w:r/>
            <w:r>
              <w:rPr>
                <w:color w:val="1A1D21"/>
                <w:sz w:val="17"/>
              </w:rPr>
              <w:t>Investment properties</w:t>
            </w:r>
          </w:p>
        </w:tc>
        <w:tc>
          <w:tcPr>
            <w:tcW w:type="dxa" w:w="2494"/>
          </w:tcPr>
          <w:p>
            <w:pPr>
              <w:jc w:val="right"/>
            </w:pPr>
            <w:r/>
            <w:r>
              <w:rPr>
                <w:color w:val="1A1D21"/>
                <w:sz w:val="17"/>
              </w:rPr>
              <w:t>25,228</w:t>
            </w:r>
          </w:p>
        </w:tc>
      </w:tr>
      <w:tr>
        <w:trPr>
          <w:cantSplit/>
        </w:trPr>
        <w:tc>
          <w:tcPr>
            <w:tcW w:type="dxa" w:w="6236"/>
          </w:tcPr>
          <w:p>
            <w:r/>
            <w:r>
              <w:rPr>
                <w:color w:val="1A1D21"/>
                <w:sz w:val="17"/>
              </w:rPr>
              <w:t>Assets under construction</w:t>
            </w:r>
          </w:p>
        </w:tc>
        <w:tc>
          <w:tcPr>
            <w:tcW w:type="dxa" w:w="2494"/>
          </w:tcPr>
          <w:p>
            <w:pPr>
              <w:jc w:val="right"/>
            </w:pPr>
            <w:r/>
            <w:r>
              <w:rPr>
                <w:color w:val="1A1D21"/>
                <w:sz w:val="17"/>
              </w:rPr>
              <w:t>21,902</w:t>
            </w:r>
          </w:p>
        </w:tc>
      </w:tr>
      <w:tr>
        <w:trPr>
          <w:cantSplit/>
        </w:trPr>
        <w:tc>
          <w:tcPr>
            <w:tcW w:type="dxa" w:w="6236"/>
          </w:tcPr>
          <w:p>
            <w:r/>
            <w:r>
              <w:rPr>
                <w:color w:val="1A1D21"/>
                <w:sz w:val="17"/>
              </w:rPr>
              <w:t>Goodwill</w:t>
            </w:r>
          </w:p>
        </w:tc>
        <w:tc>
          <w:tcPr>
            <w:tcW w:type="dxa" w:w="2494"/>
          </w:tcPr>
          <w:p>
            <w:pPr>
              <w:jc w:val="right"/>
            </w:pPr>
            <w:r/>
            <w:r>
              <w:rPr>
                <w:color w:val="1A1D21"/>
                <w:sz w:val="17"/>
              </w:rPr>
              <w:t>12,665</w:t>
            </w:r>
          </w:p>
        </w:tc>
      </w:tr>
      <w:tr>
        <w:trPr>
          <w:cantSplit/>
        </w:trPr>
        <w:tc>
          <w:tcPr>
            <w:tcW w:type="dxa" w:w="6236"/>
          </w:tcPr>
          <w:p>
            <w:r/>
            <w:r>
              <w:rPr>
                <w:color w:val="1A1D21"/>
                <w:sz w:val="17"/>
              </w:rPr>
              <w:t>Deposits and financial assets, non-current</w:t>
            </w:r>
          </w:p>
        </w:tc>
        <w:tc>
          <w:tcPr>
            <w:tcW w:type="dxa" w:w="2494"/>
          </w:tcPr>
          <w:p>
            <w:pPr>
              <w:jc w:val="right"/>
            </w:pPr>
            <w:r/>
            <w:r>
              <w:rPr>
                <w:color w:val="1A1D21"/>
                <w:sz w:val="17"/>
              </w:rPr>
              <w:t>12,693</w:t>
            </w:r>
          </w:p>
        </w:tc>
      </w:tr>
      <w:tr>
        <w:trPr>
          <w:cantSplit/>
        </w:trPr>
        <w:tc>
          <w:tcPr>
            <w:tcW w:type="dxa" w:w="6236"/>
          </w:tcPr>
          <w:p>
            <w:r/>
            <w:r>
              <w:rPr>
                <w:color w:val="1A1D21"/>
                <w:sz w:val="17"/>
              </w:rPr>
              <w:t>Total non-current assets</w:t>
            </w:r>
          </w:p>
        </w:tc>
        <w:tc>
          <w:tcPr>
            <w:tcW w:type="dxa" w:w="2494"/>
          </w:tcPr>
          <w:p>
            <w:pPr>
              <w:jc w:val="right"/>
            </w:pPr>
            <w:r/>
            <w:r>
              <w:rPr>
                <w:color w:val="1A1D21"/>
                <w:sz w:val="17"/>
              </w:rPr>
              <w:t>146,559</w:t>
            </w:r>
          </w:p>
        </w:tc>
      </w:tr>
      <w:tr>
        <w:trPr>
          <w:cantSplit/>
        </w:trPr>
        <w:tc>
          <w:tcPr>
            <w:tcW w:type="dxa" w:w="6236"/>
          </w:tcPr>
          <w:p>
            <w:r/>
            <w:r>
              <w:rPr>
                <w:color w:val="1A1D21"/>
                <w:sz w:val="17"/>
              </w:rPr>
              <w:t>Properties under development</w:t>
            </w:r>
          </w:p>
        </w:tc>
        <w:tc>
          <w:tcPr>
            <w:tcW w:type="dxa" w:w="2494"/>
          </w:tcPr>
          <w:p>
            <w:pPr>
              <w:jc w:val="right"/>
            </w:pPr>
            <w:r/>
            <w:r>
              <w:rPr>
                <w:color w:val="1A1D21"/>
                <w:sz w:val="17"/>
              </w:rPr>
              <w:t>148,315</w:t>
            </w:r>
          </w:p>
        </w:tc>
      </w:tr>
      <w:tr>
        <w:trPr>
          <w:cantSplit/>
        </w:trPr>
        <w:tc>
          <w:tcPr>
            <w:tcW w:type="dxa" w:w="6236"/>
          </w:tcPr>
          <w:p>
            <w:r/>
            <w:r>
              <w:rPr>
                <w:color w:val="1A1D21"/>
                <w:sz w:val="17"/>
              </w:rPr>
              <w:t>Inventories</w:t>
            </w:r>
          </w:p>
        </w:tc>
        <w:tc>
          <w:tcPr>
            <w:tcW w:type="dxa" w:w="2494"/>
          </w:tcPr>
          <w:p>
            <w:pPr>
              <w:jc w:val="right"/>
            </w:pPr>
            <w:r/>
            <w:r>
              <w:rPr>
                <w:color w:val="1A1D21"/>
                <w:sz w:val="17"/>
              </w:rPr>
              <w:t>4,592</w:t>
            </w:r>
          </w:p>
        </w:tc>
      </w:tr>
      <w:tr>
        <w:trPr>
          <w:cantSplit/>
        </w:trPr>
        <w:tc>
          <w:tcPr>
            <w:tcW w:type="dxa" w:w="6236"/>
          </w:tcPr>
          <w:p>
            <w:r/>
            <w:r>
              <w:rPr>
                <w:color w:val="1A1D21"/>
                <w:sz w:val="17"/>
              </w:rPr>
              <w:t>Trade and notes receivable</w:t>
            </w:r>
          </w:p>
        </w:tc>
        <w:tc>
          <w:tcPr>
            <w:tcW w:type="dxa" w:w="2494"/>
          </w:tcPr>
          <w:p>
            <w:pPr>
              <w:jc w:val="right"/>
            </w:pPr>
            <w:r/>
            <w:r>
              <w:rPr>
                <w:color w:val="1A1D21"/>
                <w:sz w:val="17"/>
              </w:rPr>
              <w:t>24,007</w:t>
            </w:r>
          </w:p>
        </w:tc>
      </w:tr>
      <w:tr>
        <w:trPr>
          <w:cantSplit/>
        </w:trPr>
        <w:tc>
          <w:tcPr>
            <w:tcW w:type="dxa" w:w="6236"/>
          </w:tcPr>
          <w:p>
            <w:r/>
            <w:r>
              <w:rPr>
                <w:color w:val="1A1D21"/>
                <w:sz w:val="17"/>
              </w:rPr>
              <w:t>Notes receivable for undelivered homes</w:t>
            </w:r>
          </w:p>
        </w:tc>
        <w:tc>
          <w:tcPr>
            <w:tcW w:type="dxa" w:w="2494"/>
          </w:tcPr>
          <w:p>
            <w:pPr>
              <w:jc w:val="right"/>
            </w:pPr>
            <w:r/>
            <w:r>
              <w:rPr>
                <w:color w:val="1A1D21"/>
                <w:sz w:val="17"/>
              </w:rPr>
              <w:t>13,770</w:t>
            </w:r>
          </w:p>
        </w:tc>
      </w:tr>
      <w:tr>
        <w:trPr>
          <w:cantSplit/>
        </w:trPr>
        <w:tc>
          <w:tcPr>
            <w:tcW w:type="dxa" w:w="6236"/>
          </w:tcPr>
          <w:p>
            <w:r/>
            <w:r>
              <w:rPr>
                <w:color w:val="1A1D21"/>
                <w:sz w:val="17"/>
              </w:rPr>
              <w:t>Other current assets</w:t>
            </w:r>
          </w:p>
        </w:tc>
        <w:tc>
          <w:tcPr>
            <w:tcW w:type="dxa" w:w="2494"/>
          </w:tcPr>
          <w:p>
            <w:pPr>
              <w:jc w:val="right"/>
            </w:pPr>
            <w:r/>
            <w:r>
              <w:rPr>
                <w:color w:val="1A1D21"/>
                <w:sz w:val="17"/>
              </w:rPr>
              <w:t>72,648</w:t>
            </w:r>
          </w:p>
        </w:tc>
      </w:tr>
      <w:tr>
        <w:trPr>
          <w:cantSplit/>
        </w:trPr>
        <w:tc>
          <w:tcPr>
            <w:tcW w:type="dxa" w:w="6236"/>
          </w:tcPr>
          <w:p>
            <w:r/>
            <w:r>
              <w:rPr>
                <w:color w:val="1A1D21"/>
                <w:sz w:val="17"/>
              </w:rPr>
              <w:t>Deposits and financial assets, current</w:t>
            </w:r>
          </w:p>
        </w:tc>
        <w:tc>
          <w:tcPr>
            <w:tcW w:type="dxa" w:w="2494"/>
          </w:tcPr>
          <w:p>
            <w:pPr>
              <w:jc w:val="right"/>
            </w:pPr>
            <w:r/>
            <w:r>
              <w:rPr>
                <w:color w:val="1A1D21"/>
                <w:sz w:val="17"/>
              </w:rPr>
              <w:t>20,877</w:t>
            </w:r>
          </w:p>
        </w:tc>
      </w:tr>
      <w:tr>
        <w:trPr>
          <w:cantSplit/>
        </w:trPr>
        <w:tc>
          <w:tcPr>
            <w:tcW w:type="dxa" w:w="6236"/>
          </w:tcPr>
          <w:p>
            <w:r/>
            <w:r>
              <w:rPr>
                <w:color w:val="1A1D21"/>
                <w:sz w:val="17"/>
              </w:rPr>
              <w:t>Cash and cash equivalents</w:t>
            </w:r>
          </w:p>
        </w:tc>
        <w:tc>
          <w:tcPr>
            <w:tcW w:type="dxa" w:w="2494"/>
          </w:tcPr>
          <w:p>
            <w:pPr>
              <w:jc w:val="right"/>
            </w:pPr>
            <w:r/>
            <w:r>
              <w:rPr>
                <w:color w:val="1A1D21"/>
                <w:sz w:val="17"/>
              </w:rPr>
              <w:t>47,106</w:t>
            </w:r>
          </w:p>
        </w:tc>
      </w:tr>
      <w:tr>
        <w:trPr>
          <w:cantSplit/>
        </w:trPr>
        <w:tc>
          <w:tcPr>
            <w:tcW w:type="dxa" w:w="6236"/>
          </w:tcPr>
          <w:p>
            <w:r/>
            <w:r>
              <w:rPr>
                <w:color w:val="1A1D21"/>
                <w:sz w:val="17"/>
              </w:rPr>
              <w:t>Total current assets</w:t>
            </w:r>
          </w:p>
        </w:tc>
        <w:tc>
          <w:tcPr>
            <w:tcW w:type="dxa" w:w="2494"/>
          </w:tcPr>
          <w:p>
            <w:pPr>
              <w:jc w:val="right"/>
            </w:pPr>
            <w:r/>
            <w:r>
              <w:rPr>
                <w:color w:val="1A1D21"/>
                <w:sz w:val="17"/>
              </w:rPr>
              <w:t>331,339</w:t>
            </w:r>
          </w:p>
        </w:tc>
      </w:tr>
      <w:tr>
        <w:trPr>
          <w:cantSplit/>
        </w:trPr>
        <w:tc>
          <w:tcPr>
            <w:tcW w:type="dxa" w:w="6236"/>
          </w:tcPr>
          <w:p>
            <w:r/>
            <w:r>
              <w:rPr>
                <w:color w:val="1A1D21"/>
                <w:sz w:val="17"/>
              </w:rPr>
              <w:t>Total assets</w:t>
            </w:r>
          </w:p>
        </w:tc>
        <w:tc>
          <w:tcPr>
            <w:tcW w:type="dxa" w:w="2494"/>
          </w:tcPr>
          <w:p>
            <w:pPr>
              <w:jc w:val="right"/>
            </w:pPr>
            <w:r/>
            <w:r>
              <w:rPr>
                <w:color w:val="1A1D21"/>
                <w:sz w:val="17"/>
              </w:rPr>
              <w:t>477,898</w:t>
            </w:r>
          </w:p>
        </w:tc>
      </w:tr>
      <w:tr>
        <w:trPr>
          <w:cantSplit/>
        </w:trPr>
        <w:tc>
          <w:tcPr>
            <w:tcW w:type="dxa" w:w="6236"/>
          </w:tcPr>
          <w:p>
            <w:r/>
            <w:r>
              <w:rPr>
                <w:color w:val="1A1D21"/>
                <w:sz w:val="17"/>
              </w:rPr>
              <w:t>Equity attributable to TMG's shareholders</w:t>
            </w:r>
          </w:p>
        </w:tc>
        <w:tc>
          <w:tcPr>
            <w:tcW w:type="dxa" w:w="2494"/>
          </w:tcPr>
          <w:p>
            <w:pPr>
              <w:jc w:val="right"/>
            </w:pPr>
            <w:r/>
            <w:r>
              <w:rPr>
                <w:color w:val="1A1D21"/>
                <w:sz w:val="17"/>
              </w:rPr>
              <w:t>91,671</w:t>
            </w:r>
          </w:p>
        </w:tc>
      </w:tr>
      <w:tr>
        <w:trPr>
          <w:cantSplit/>
        </w:trPr>
        <w:tc>
          <w:tcPr>
            <w:tcW w:type="dxa" w:w="6236"/>
          </w:tcPr>
          <w:p>
            <w:r/>
            <w:r>
              <w:rPr>
                <w:color w:val="1A1D21"/>
                <w:sz w:val="17"/>
              </w:rPr>
              <w:t>Non-controlling interests</w:t>
            </w:r>
          </w:p>
        </w:tc>
        <w:tc>
          <w:tcPr>
            <w:tcW w:type="dxa" w:w="2494"/>
          </w:tcPr>
          <w:p>
            <w:pPr>
              <w:jc w:val="right"/>
            </w:pPr>
            <w:r/>
            <w:r>
              <w:rPr>
                <w:color w:val="1A1D21"/>
                <w:sz w:val="17"/>
              </w:rPr>
              <w:t>75,653</w:t>
            </w:r>
          </w:p>
        </w:tc>
      </w:tr>
      <w:tr>
        <w:trPr>
          <w:cantSplit/>
        </w:trPr>
        <w:tc>
          <w:tcPr>
            <w:tcW w:type="dxa" w:w="6236"/>
          </w:tcPr>
          <w:p>
            <w:r/>
            <w:r>
              <w:rPr>
                <w:color w:val="1A1D21"/>
                <w:sz w:val="17"/>
              </w:rPr>
              <w:t>Total equity</w:t>
            </w:r>
          </w:p>
        </w:tc>
        <w:tc>
          <w:tcPr>
            <w:tcW w:type="dxa" w:w="2494"/>
          </w:tcPr>
          <w:p>
            <w:pPr>
              <w:jc w:val="right"/>
            </w:pPr>
            <w:r/>
            <w:r>
              <w:rPr>
                <w:color w:val="1A1D21"/>
                <w:sz w:val="17"/>
              </w:rPr>
              <w:t>167,324</w:t>
            </w:r>
          </w:p>
        </w:tc>
      </w:tr>
      <w:tr>
        <w:trPr>
          <w:cantSplit/>
        </w:trPr>
        <w:tc>
          <w:tcPr>
            <w:tcW w:type="dxa" w:w="6236"/>
          </w:tcPr>
          <w:p>
            <w:r/>
            <w:r>
              <w:rPr>
                <w:color w:val="1A1D21"/>
                <w:sz w:val="17"/>
              </w:rPr>
              <w:t>Borrowings and leases</w:t>
            </w:r>
          </w:p>
        </w:tc>
        <w:tc>
          <w:tcPr>
            <w:tcW w:type="dxa" w:w="2494"/>
          </w:tcPr>
          <w:p>
            <w:pPr>
              <w:jc w:val="right"/>
            </w:pPr>
            <w:r/>
            <w:r>
              <w:rPr>
                <w:color w:val="1A1D21"/>
                <w:sz w:val="17"/>
              </w:rPr>
              <w:t>17,007</w:t>
            </w:r>
          </w:p>
        </w:tc>
      </w:tr>
      <w:tr>
        <w:trPr>
          <w:cantSplit/>
        </w:trPr>
        <w:tc>
          <w:tcPr>
            <w:tcW w:type="dxa" w:w="6236"/>
          </w:tcPr>
          <w:p>
            <w:r/>
            <w:r>
              <w:rPr>
                <w:color w:val="1A1D21"/>
                <w:sz w:val="17"/>
              </w:rPr>
              <w:t>Advance payments from customers</w:t>
            </w:r>
          </w:p>
        </w:tc>
        <w:tc>
          <w:tcPr>
            <w:tcW w:type="dxa" w:w="2494"/>
          </w:tcPr>
          <w:p>
            <w:pPr>
              <w:jc w:val="right"/>
            </w:pPr>
            <w:r/>
            <w:r>
              <w:rPr>
                <w:color w:val="1A1D21"/>
                <w:sz w:val="17"/>
              </w:rPr>
              <w:t>133,993</w:t>
            </w:r>
          </w:p>
        </w:tc>
      </w:tr>
      <w:tr>
        <w:trPr>
          <w:cantSplit/>
        </w:trPr>
        <w:tc>
          <w:tcPr>
            <w:tcW w:type="dxa" w:w="6236"/>
          </w:tcPr>
          <w:p>
            <w:r/>
            <w:r>
              <w:rPr>
                <w:color w:val="1A1D21"/>
                <w:sz w:val="17"/>
              </w:rPr>
              <w:t>Obligations against cheques for undelivered homes</w:t>
            </w:r>
          </w:p>
        </w:tc>
        <w:tc>
          <w:tcPr>
            <w:tcW w:type="dxa" w:w="2494"/>
          </w:tcPr>
          <w:p>
            <w:pPr>
              <w:jc w:val="right"/>
            </w:pPr>
            <w:r/>
            <w:r>
              <w:rPr>
                <w:color w:val="1A1D21"/>
                <w:sz w:val="17"/>
              </w:rPr>
              <w:t>13,770</w:t>
            </w:r>
          </w:p>
        </w:tc>
      </w:tr>
      <w:tr>
        <w:trPr>
          <w:cantSplit/>
        </w:trPr>
        <w:tc>
          <w:tcPr>
            <w:tcW w:type="dxa" w:w="6236"/>
          </w:tcPr>
          <w:p>
            <w:r/>
            <w:r>
              <w:rPr>
                <w:color w:val="1A1D21"/>
                <w:sz w:val="17"/>
              </w:rPr>
              <w:t>Suppliers, contractors and notes payable</w:t>
            </w:r>
          </w:p>
        </w:tc>
        <w:tc>
          <w:tcPr>
            <w:tcW w:type="dxa" w:w="2494"/>
          </w:tcPr>
          <w:p>
            <w:pPr>
              <w:jc w:val="right"/>
            </w:pPr>
            <w:r/>
            <w:r>
              <w:rPr>
                <w:color w:val="1A1D21"/>
                <w:sz w:val="17"/>
              </w:rPr>
              <w:t>45,167</w:t>
            </w:r>
          </w:p>
        </w:tc>
      </w:tr>
      <w:tr>
        <w:trPr>
          <w:cantSplit/>
        </w:trPr>
        <w:tc>
          <w:tcPr>
            <w:tcW w:type="dxa" w:w="6236"/>
          </w:tcPr>
          <w:p>
            <w:r/>
            <w:r>
              <w:rPr>
                <w:color w:val="1A1D21"/>
                <w:sz w:val="17"/>
              </w:rPr>
              <w:t>Creditors and other credit balances</w:t>
            </w:r>
          </w:p>
        </w:tc>
        <w:tc>
          <w:tcPr>
            <w:tcW w:type="dxa" w:w="2494"/>
          </w:tcPr>
          <w:p>
            <w:pPr>
              <w:jc w:val="right"/>
            </w:pPr>
            <w:r/>
            <w:r>
              <w:rPr>
                <w:color w:val="1A1D21"/>
                <w:sz w:val="17"/>
              </w:rPr>
              <w:t>41,921</w:t>
            </w:r>
          </w:p>
        </w:tc>
      </w:tr>
      <w:tr>
        <w:trPr>
          <w:cantSplit/>
        </w:trPr>
        <w:tc>
          <w:tcPr>
            <w:tcW w:type="dxa" w:w="6236"/>
          </w:tcPr>
          <w:p>
            <w:r/>
            <w:r>
              <w:rPr>
                <w:color w:val="1A1D21"/>
                <w:sz w:val="17"/>
              </w:rPr>
              <w:t>Other liabilities, provisions and tax</w:t>
            </w:r>
          </w:p>
        </w:tc>
        <w:tc>
          <w:tcPr>
            <w:tcW w:type="dxa" w:w="2494"/>
          </w:tcPr>
          <w:p>
            <w:pPr>
              <w:jc w:val="right"/>
            </w:pPr>
            <w:r/>
            <w:r>
              <w:rPr>
                <w:color w:val="1A1D21"/>
                <w:sz w:val="17"/>
              </w:rPr>
              <w:t>58,717</w:t>
            </w:r>
          </w:p>
        </w:tc>
      </w:tr>
      <w:tr>
        <w:trPr>
          <w:cantSplit/>
        </w:trPr>
        <w:tc>
          <w:tcPr>
            <w:tcW w:type="dxa" w:w="6236"/>
          </w:tcPr>
          <w:p>
            <w:r/>
            <w:r>
              <w:rPr>
                <w:color w:val="1A1D21"/>
                <w:sz w:val="17"/>
              </w:rPr>
              <w:t>Total liabilities</w:t>
            </w:r>
          </w:p>
        </w:tc>
        <w:tc>
          <w:tcPr>
            <w:tcW w:type="dxa" w:w="2494"/>
          </w:tcPr>
          <w:p>
            <w:pPr>
              <w:jc w:val="right"/>
            </w:pPr>
            <w:r/>
            <w:r>
              <w:rPr>
                <w:color w:val="1A1D21"/>
                <w:sz w:val="17"/>
              </w:rPr>
              <w:t>310,574</w:t>
            </w:r>
          </w:p>
        </w:tc>
      </w:tr>
    </w:tbl>
    <w:p>
      <w:pPr>
        <w:spacing w:after="200"/>
      </w:pPr>
      <w:r>
        <w:rPr>
          <w:b w:val="0"/>
          <w:i/>
          <w:color w:val="5B6570"/>
          <w:sz w:val="16"/>
        </w:rPr>
        <w:t>From the reviewed interim statements. Post-dated cheques of EGP 210,449 million for sold and undelivered homes are held by the company and are deliberately not on this sheet.</w:t>
      </w:r>
    </w:p>
    <w:p>
      <w:pPr>
        <w:pStyle w:val="Heading2"/>
      </w:pPr>
      <w:r>
        <w:t>A.3 Projected balance sheet and cash flow</w:t>
      </w:r>
    </w:p>
    <w:tbl>
      <w:tblPr>
        <w:tblStyle w:val="TableGrid"/>
        <w:tblW w:type="auto" w:w="0"/>
        <w:jc w:val="center"/>
        <w:tblLayout w:type="fixed"/>
        <w:tblLook w:firstColumn="1" w:firstRow="1" w:lastColumn="0" w:lastRow="0" w:noHBand="0" w:noVBand="1" w:val="04A0"/>
        <w:tblLayout w:type="fixed"/>
      </w:tblPr>
      <w:tblGrid>
        <w:gridCol w:w="3062"/>
        <w:gridCol w:w="1134"/>
        <w:gridCol w:w="1134"/>
        <w:gridCol w:w="1134"/>
        <w:gridCol w:w="1134"/>
        <w:gridCol w:w="1134"/>
      </w:tblGrid>
      <w:tr>
        <w:trPr>
          <w:tblHeader w:val="true"/>
        </w:trPr>
        <w:tc>
          <w:tcPr>
            <w:tcW w:type="dxa" w:w="3061"/>
          </w:tcPr>
          <w:p>
            <w:r/>
            <w:r>
              <w:rPr>
                <w:b/>
                <w:color w:val="5B6570"/>
                <w:sz w:val="17"/>
              </w:rPr>
              <w:t>EGP million</w:t>
            </w:r>
          </w:p>
        </w:tc>
        <w:tc>
          <w:tcPr>
            <w:tcW w:type="dxa" w:w="1134"/>
          </w:tcPr>
          <w:p>
            <w:r/>
            <w:r>
              <w:rPr>
                <w:b/>
                <w:color w:val="5B6570"/>
                <w:sz w:val="17"/>
              </w:rPr>
              <w:t>2026</w:t>
            </w:r>
          </w:p>
        </w:tc>
        <w:tc>
          <w:tcPr>
            <w:tcW w:type="dxa" w:w="1134"/>
          </w:tcPr>
          <w:p>
            <w:r/>
            <w:r>
              <w:rPr>
                <w:b/>
                <w:color w:val="5B6570"/>
                <w:sz w:val="17"/>
              </w:rPr>
              <w:t>2027</w:t>
            </w:r>
          </w:p>
        </w:tc>
        <w:tc>
          <w:tcPr>
            <w:tcW w:type="dxa" w:w="1134"/>
          </w:tcPr>
          <w:p>
            <w:r/>
            <w:r>
              <w:rPr>
                <w:b/>
                <w:color w:val="5B6570"/>
                <w:sz w:val="17"/>
              </w:rPr>
              <w:t>2028</w:t>
            </w:r>
          </w:p>
        </w:tc>
        <w:tc>
          <w:tcPr>
            <w:tcW w:type="dxa" w:w="1134"/>
          </w:tcPr>
          <w:p>
            <w:r/>
            <w:r>
              <w:rPr>
                <w:b/>
                <w:color w:val="5B6570"/>
                <w:sz w:val="17"/>
              </w:rPr>
              <w:t>2029</w:t>
            </w:r>
          </w:p>
        </w:tc>
        <w:tc>
          <w:tcPr>
            <w:tcW w:type="dxa" w:w="1134"/>
          </w:tcPr>
          <w:p>
            <w:r/>
            <w:r>
              <w:rPr>
                <w:b/>
                <w:color w:val="5B6570"/>
                <w:sz w:val="17"/>
              </w:rPr>
              <w:t>2030</w:t>
            </w:r>
          </w:p>
        </w:tc>
      </w:tr>
      <w:tr>
        <w:trPr>
          <w:cantSplit/>
        </w:trPr>
        <w:tc>
          <w:tcPr>
            <w:tcW w:type="dxa" w:w="3061"/>
          </w:tcPr>
          <w:p>
            <w:r/>
            <w:r>
              <w:rPr>
                <w:color w:val="1A1D21"/>
                <w:sz w:val="17"/>
              </w:rPr>
              <w:t>Operating cash flow</w:t>
            </w:r>
          </w:p>
        </w:tc>
        <w:tc>
          <w:tcPr>
            <w:tcW w:type="dxa" w:w="1134"/>
          </w:tcPr>
          <w:p>
            <w:pPr>
              <w:jc w:val="right"/>
            </w:pPr>
            <w:r/>
            <w:r>
              <w:rPr>
                <w:color w:val="1A1D21"/>
                <w:sz w:val="17"/>
              </w:rPr>
              <w:t>24,347</w:t>
            </w:r>
          </w:p>
        </w:tc>
        <w:tc>
          <w:tcPr>
            <w:tcW w:type="dxa" w:w="1134"/>
          </w:tcPr>
          <w:p>
            <w:pPr>
              <w:jc w:val="right"/>
            </w:pPr>
            <w:r/>
            <w:r>
              <w:rPr>
                <w:color w:val="1A1D21"/>
                <w:sz w:val="17"/>
              </w:rPr>
              <w:t>29,612</w:t>
            </w:r>
          </w:p>
        </w:tc>
        <w:tc>
          <w:tcPr>
            <w:tcW w:type="dxa" w:w="1134"/>
          </w:tcPr>
          <w:p>
            <w:pPr>
              <w:jc w:val="right"/>
            </w:pPr>
            <w:r/>
            <w:r>
              <w:rPr>
                <w:color w:val="1A1D21"/>
                <w:sz w:val="17"/>
              </w:rPr>
              <w:t>36,151</w:t>
            </w:r>
          </w:p>
        </w:tc>
        <w:tc>
          <w:tcPr>
            <w:tcW w:type="dxa" w:w="1134"/>
          </w:tcPr>
          <w:p>
            <w:pPr>
              <w:jc w:val="right"/>
            </w:pPr>
            <w:r/>
            <w:r>
              <w:rPr>
                <w:color w:val="1A1D21"/>
                <w:sz w:val="17"/>
              </w:rPr>
              <w:t>44,209</w:t>
            </w:r>
          </w:p>
        </w:tc>
        <w:tc>
          <w:tcPr>
            <w:tcW w:type="dxa" w:w="1134"/>
          </w:tcPr>
          <w:p>
            <w:pPr>
              <w:jc w:val="right"/>
            </w:pPr>
            <w:r/>
            <w:r>
              <w:rPr>
                <w:color w:val="1A1D21"/>
                <w:sz w:val="17"/>
              </w:rPr>
              <w:t>54,088</w:t>
            </w:r>
          </w:p>
        </w:tc>
      </w:tr>
      <w:tr>
        <w:trPr>
          <w:cantSplit/>
        </w:trPr>
        <w:tc>
          <w:tcPr>
            <w:tcW w:type="dxa" w:w="3061"/>
          </w:tcPr>
          <w:p>
            <w:r/>
            <w:r>
              <w:rPr>
                <w:color w:val="1A1D21"/>
                <w:sz w:val="17"/>
              </w:rPr>
              <w:t>Capital spend</w:t>
            </w:r>
          </w:p>
        </w:tc>
        <w:tc>
          <w:tcPr>
            <w:tcW w:type="dxa" w:w="1134"/>
          </w:tcPr>
          <w:p>
            <w:pPr>
              <w:jc w:val="right"/>
            </w:pPr>
            <w:r/>
            <w:r>
              <w:rPr>
                <w:color w:val="1A1D21"/>
                <w:sz w:val="17"/>
              </w:rPr>
              <w:t>-2,319</w:t>
            </w:r>
          </w:p>
        </w:tc>
        <w:tc>
          <w:tcPr>
            <w:tcW w:type="dxa" w:w="1134"/>
          </w:tcPr>
          <w:p>
            <w:pPr>
              <w:jc w:val="right"/>
            </w:pPr>
            <w:r/>
            <w:r>
              <w:rPr>
                <w:color w:val="1A1D21"/>
                <w:sz w:val="17"/>
              </w:rPr>
              <w:t>-2,793</w:t>
            </w:r>
          </w:p>
        </w:tc>
        <w:tc>
          <w:tcPr>
            <w:tcW w:type="dxa" w:w="1134"/>
          </w:tcPr>
          <w:p>
            <w:pPr>
              <w:jc w:val="right"/>
            </w:pPr>
            <w:r/>
            <w:r>
              <w:rPr>
                <w:color w:val="1A1D21"/>
                <w:sz w:val="17"/>
              </w:rPr>
              <w:t>-3,365</w:t>
            </w:r>
          </w:p>
        </w:tc>
        <w:tc>
          <w:tcPr>
            <w:tcW w:type="dxa" w:w="1134"/>
          </w:tcPr>
          <w:p>
            <w:pPr>
              <w:jc w:val="right"/>
            </w:pPr>
            <w:r/>
            <w:r>
              <w:rPr>
                <w:color w:val="1A1D21"/>
                <w:sz w:val="17"/>
              </w:rPr>
              <w:t>-4,053</w:t>
            </w:r>
          </w:p>
        </w:tc>
        <w:tc>
          <w:tcPr>
            <w:tcW w:type="dxa" w:w="1134"/>
          </w:tcPr>
          <w:p>
            <w:pPr>
              <w:jc w:val="right"/>
            </w:pPr>
            <w:r/>
            <w:r>
              <w:rPr>
                <w:color w:val="1A1D21"/>
                <w:sz w:val="17"/>
              </w:rPr>
              <w:t>-4,883</w:t>
            </w:r>
          </w:p>
        </w:tc>
      </w:tr>
      <w:tr>
        <w:trPr>
          <w:cantSplit/>
        </w:trPr>
        <w:tc>
          <w:tcPr>
            <w:tcW w:type="dxa" w:w="3061"/>
          </w:tcPr>
          <w:p>
            <w:r/>
            <w:r>
              <w:rPr>
                <w:color w:val="1A1D21"/>
                <w:sz w:val="17"/>
              </w:rPr>
              <w:t>Dividends</w:t>
            </w:r>
          </w:p>
        </w:tc>
        <w:tc>
          <w:tcPr>
            <w:tcW w:type="dxa" w:w="1134"/>
          </w:tcPr>
          <w:p>
            <w:pPr>
              <w:jc w:val="right"/>
            </w:pPr>
            <w:r/>
            <w:r>
              <w:rPr>
                <w:color w:val="1A1D21"/>
                <w:sz w:val="17"/>
              </w:rPr>
              <w:t>-3,800</w:t>
            </w:r>
          </w:p>
        </w:tc>
        <w:tc>
          <w:tcPr>
            <w:tcW w:type="dxa" w:w="1134"/>
          </w:tcPr>
          <w:p>
            <w:pPr>
              <w:jc w:val="right"/>
            </w:pPr>
            <w:r/>
            <w:r>
              <w:rPr>
                <w:color w:val="1A1D21"/>
                <w:sz w:val="17"/>
              </w:rPr>
              <w:t>-4,782</w:t>
            </w:r>
          </w:p>
        </w:tc>
        <w:tc>
          <w:tcPr>
            <w:tcW w:type="dxa" w:w="1134"/>
          </w:tcPr>
          <w:p>
            <w:pPr>
              <w:jc w:val="right"/>
            </w:pPr>
            <w:r/>
            <w:r>
              <w:rPr>
                <w:color w:val="1A1D21"/>
                <w:sz w:val="17"/>
              </w:rPr>
              <w:t>-5,965</w:t>
            </w:r>
          </w:p>
        </w:tc>
        <w:tc>
          <w:tcPr>
            <w:tcW w:type="dxa" w:w="1134"/>
          </w:tcPr>
          <w:p>
            <w:pPr>
              <w:jc w:val="right"/>
            </w:pPr>
            <w:r/>
            <w:r>
              <w:rPr>
                <w:color w:val="1A1D21"/>
                <w:sz w:val="17"/>
              </w:rPr>
              <w:t>-7,397</w:t>
            </w:r>
          </w:p>
        </w:tc>
        <w:tc>
          <w:tcPr>
            <w:tcW w:type="dxa" w:w="1134"/>
          </w:tcPr>
          <w:p>
            <w:pPr>
              <w:jc w:val="right"/>
            </w:pPr>
            <w:r/>
            <w:r>
              <w:rPr>
                <w:color w:val="1A1D21"/>
                <w:sz w:val="17"/>
              </w:rPr>
              <w:t>-9,131</w:t>
            </w:r>
          </w:p>
        </w:tc>
      </w:tr>
      <w:tr>
        <w:trPr>
          <w:cantSplit/>
        </w:trPr>
        <w:tc>
          <w:tcPr>
            <w:tcW w:type="dxa" w:w="3061"/>
          </w:tcPr>
          <w:p>
            <w:r/>
            <w:r>
              <w:rPr>
                <w:color w:val="1A1D21"/>
                <w:sz w:val="17"/>
              </w:rPr>
              <w:t>Movement in money collected ahead of handover</w:t>
            </w:r>
          </w:p>
        </w:tc>
        <w:tc>
          <w:tcPr>
            <w:tcW w:type="dxa" w:w="1134"/>
          </w:tcPr>
          <w:p>
            <w:pPr>
              <w:jc w:val="right"/>
            </w:pPr>
            <w:r/>
            <w:r>
              <w:rPr>
                <w:color w:val="1A1D21"/>
                <w:sz w:val="17"/>
              </w:rPr>
              <w:t>-772</w:t>
            </w:r>
          </w:p>
        </w:tc>
        <w:tc>
          <w:tcPr>
            <w:tcW w:type="dxa" w:w="1134"/>
          </w:tcPr>
          <w:p>
            <w:pPr>
              <w:jc w:val="right"/>
            </w:pPr>
            <w:r/>
            <w:r>
              <w:rPr>
                <w:color w:val="1A1D21"/>
                <w:sz w:val="17"/>
              </w:rPr>
              <w:t>5,966</w:t>
            </w:r>
          </w:p>
        </w:tc>
        <w:tc>
          <w:tcPr>
            <w:tcW w:type="dxa" w:w="1134"/>
          </w:tcPr>
          <w:p>
            <w:pPr>
              <w:jc w:val="right"/>
            </w:pPr>
            <w:r/>
            <w:r>
              <w:rPr>
                <w:color w:val="1A1D21"/>
                <w:sz w:val="17"/>
              </w:rPr>
              <w:t>12,329</w:t>
            </w:r>
          </w:p>
        </w:tc>
        <w:tc>
          <w:tcPr>
            <w:tcW w:type="dxa" w:w="1134"/>
          </w:tcPr>
          <w:p>
            <w:pPr>
              <w:jc w:val="right"/>
            </w:pPr>
            <w:r/>
            <w:r>
              <w:rPr>
                <w:color w:val="1A1D21"/>
                <w:sz w:val="17"/>
              </w:rPr>
              <w:t>18,672</w:t>
            </w:r>
          </w:p>
        </w:tc>
        <w:tc>
          <w:tcPr>
            <w:tcW w:type="dxa" w:w="1134"/>
          </w:tcPr>
          <w:p>
            <w:pPr>
              <w:jc w:val="right"/>
            </w:pPr>
            <w:r/>
            <w:r>
              <w:rPr>
                <w:color w:val="1A1D21"/>
                <w:sz w:val="17"/>
              </w:rPr>
              <w:t>25,314</w:t>
            </w:r>
          </w:p>
        </w:tc>
      </w:tr>
      <w:tr>
        <w:trPr>
          <w:cantSplit/>
        </w:trPr>
        <w:tc>
          <w:tcPr>
            <w:tcW w:type="dxa" w:w="3061"/>
          </w:tcPr>
          <w:p>
            <w:r/>
            <w:r>
              <w:rPr>
                <w:color w:val="1A1D21"/>
                <w:sz w:val="17"/>
              </w:rPr>
              <w:t>Movement in homes built ahead of handover</w:t>
            </w:r>
          </w:p>
        </w:tc>
        <w:tc>
          <w:tcPr>
            <w:tcW w:type="dxa" w:w="1134"/>
          </w:tcPr>
          <w:p>
            <w:pPr>
              <w:jc w:val="right"/>
            </w:pPr>
            <w:r/>
            <w:r>
              <w:rPr>
                <w:color w:val="1A1D21"/>
                <w:sz w:val="17"/>
              </w:rPr>
              <w:t>855</w:t>
            </w:r>
          </w:p>
        </w:tc>
        <w:tc>
          <w:tcPr>
            <w:tcW w:type="dxa" w:w="1134"/>
          </w:tcPr>
          <w:p>
            <w:pPr>
              <w:jc w:val="right"/>
            </w:pPr>
            <w:r/>
            <w:r>
              <w:rPr>
                <w:color w:val="1A1D21"/>
                <w:sz w:val="17"/>
              </w:rPr>
              <w:t>-6,604</w:t>
            </w:r>
          </w:p>
        </w:tc>
        <w:tc>
          <w:tcPr>
            <w:tcW w:type="dxa" w:w="1134"/>
          </w:tcPr>
          <w:p>
            <w:pPr>
              <w:jc w:val="right"/>
            </w:pPr>
            <w:r/>
            <w:r>
              <w:rPr>
                <w:color w:val="1A1D21"/>
                <w:sz w:val="17"/>
              </w:rPr>
              <w:t>-13,646</w:t>
            </w:r>
          </w:p>
        </w:tc>
        <w:tc>
          <w:tcPr>
            <w:tcW w:type="dxa" w:w="1134"/>
          </w:tcPr>
          <w:p>
            <w:pPr>
              <w:jc w:val="right"/>
            </w:pPr>
            <w:r/>
            <w:r>
              <w:rPr>
                <w:color w:val="1A1D21"/>
                <w:sz w:val="17"/>
              </w:rPr>
              <w:t>-20,667</w:t>
            </w:r>
          </w:p>
        </w:tc>
        <w:tc>
          <w:tcPr>
            <w:tcW w:type="dxa" w:w="1134"/>
          </w:tcPr>
          <w:p>
            <w:pPr>
              <w:jc w:val="right"/>
            </w:pPr>
            <w:r/>
            <w:r>
              <w:rPr>
                <w:color w:val="1A1D21"/>
                <w:sz w:val="17"/>
              </w:rPr>
              <w:t>-28,019</w:t>
            </w:r>
          </w:p>
        </w:tc>
      </w:tr>
      <w:tr>
        <w:trPr>
          <w:cantSplit/>
        </w:trPr>
        <w:tc>
          <w:tcPr>
            <w:tcW w:type="dxa" w:w="3061"/>
          </w:tcPr>
          <w:p>
            <w:r/>
            <w:r>
              <w:rPr>
                <w:color w:val="1A1D21"/>
                <w:sz w:val="17"/>
              </w:rPr>
              <w:t>Free cash flow to the firm</w:t>
            </w:r>
          </w:p>
        </w:tc>
        <w:tc>
          <w:tcPr>
            <w:tcW w:type="dxa" w:w="1134"/>
          </w:tcPr>
          <w:p>
            <w:pPr>
              <w:jc w:val="right"/>
            </w:pPr>
            <w:r/>
            <w:r>
              <w:rPr>
                <w:color w:val="1A1D21"/>
                <w:sz w:val="17"/>
              </w:rPr>
              <w:t>13,543</w:t>
            </w:r>
          </w:p>
        </w:tc>
        <w:tc>
          <w:tcPr>
            <w:tcW w:type="dxa" w:w="1134"/>
          </w:tcPr>
          <w:p>
            <w:pPr>
              <w:jc w:val="right"/>
            </w:pPr>
            <w:r/>
            <w:r>
              <w:rPr>
                <w:color w:val="1A1D21"/>
                <w:sz w:val="17"/>
              </w:rPr>
              <w:t>15,508</w:t>
            </w:r>
          </w:p>
        </w:tc>
        <w:tc>
          <w:tcPr>
            <w:tcW w:type="dxa" w:w="1134"/>
          </w:tcPr>
          <w:p>
            <w:pPr>
              <w:jc w:val="right"/>
            </w:pPr>
            <w:r/>
            <w:r>
              <w:rPr>
                <w:color w:val="1A1D21"/>
                <w:sz w:val="17"/>
              </w:rPr>
              <w:t>18,060</w:t>
            </w:r>
          </w:p>
        </w:tc>
        <w:tc>
          <w:tcPr>
            <w:tcW w:type="dxa" w:w="1134"/>
          </w:tcPr>
          <w:p>
            <w:pPr>
              <w:jc w:val="right"/>
            </w:pPr>
            <w:r/>
            <w:r>
              <w:rPr>
                <w:color w:val="1A1D21"/>
                <w:sz w:val="17"/>
              </w:rPr>
              <w:t>21,272</w:t>
            </w:r>
          </w:p>
        </w:tc>
        <w:tc>
          <w:tcPr>
            <w:tcW w:type="dxa" w:w="1134"/>
          </w:tcPr>
          <w:p>
            <w:pPr>
              <w:jc w:val="right"/>
            </w:pPr>
            <w:r/>
            <w:r>
              <w:rPr>
                <w:color w:val="1A1D21"/>
                <w:sz w:val="17"/>
              </w:rPr>
              <w:t>25,244</w:t>
            </w:r>
          </w:p>
        </w:tc>
      </w:tr>
      <w:tr>
        <w:trPr>
          <w:cantSplit/>
        </w:trPr>
        <w:tc>
          <w:tcPr>
            <w:tcW w:type="dxa" w:w="3061"/>
          </w:tcPr>
          <w:p>
            <w:r/>
            <w:r>
              <w:rPr>
                <w:color w:val="1A1D21"/>
                <w:sz w:val="17"/>
              </w:rPr>
              <w:t>Cash and deposits, closing</w:t>
            </w:r>
          </w:p>
        </w:tc>
        <w:tc>
          <w:tcPr>
            <w:tcW w:type="dxa" w:w="1134"/>
          </w:tcPr>
          <w:p>
            <w:pPr>
              <w:jc w:val="right"/>
            </w:pPr>
            <w:r/>
            <w:r>
              <w:rPr>
                <w:color w:val="1A1D21"/>
                <w:sz w:val="17"/>
              </w:rPr>
              <w:t>94,002</w:t>
            </w:r>
          </w:p>
        </w:tc>
        <w:tc>
          <w:tcPr>
            <w:tcW w:type="dxa" w:w="1134"/>
          </w:tcPr>
          <w:p>
            <w:pPr>
              <w:jc w:val="right"/>
            </w:pPr>
            <w:r/>
            <w:r>
              <w:rPr>
                <w:color w:val="1A1D21"/>
                <w:sz w:val="17"/>
              </w:rPr>
              <w:t>116,039</w:t>
            </w:r>
          </w:p>
        </w:tc>
        <w:tc>
          <w:tcPr>
            <w:tcW w:type="dxa" w:w="1134"/>
          </w:tcPr>
          <w:p>
            <w:pPr>
              <w:jc w:val="right"/>
            </w:pPr>
            <w:r/>
            <w:r>
              <w:rPr>
                <w:color w:val="1A1D21"/>
                <w:sz w:val="17"/>
              </w:rPr>
              <w:t>142,860</w:t>
            </w:r>
          </w:p>
        </w:tc>
        <w:tc>
          <w:tcPr>
            <w:tcW w:type="dxa" w:w="1134"/>
          </w:tcPr>
          <w:p>
            <w:pPr>
              <w:jc w:val="right"/>
            </w:pPr>
            <w:r/>
            <w:r>
              <w:rPr>
                <w:color w:val="1A1D21"/>
                <w:sz w:val="17"/>
              </w:rPr>
              <w:t>175,619</w:t>
            </w:r>
          </w:p>
        </w:tc>
        <w:tc>
          <w:tcPr>
            <w:tcW w:type="dxa" w:w="1134"/>
          </w:tcPr>
          <w:p>
            <w:pPr>
              <w:jc w:val="right"/>
            </w:pPr>
            <w:r/>
            <w:r>
              <w:rPr>
                <w:color w:val="1A1D21"/>
                <w:sz w:val="17"/>
              </w:rPr>
              <w:t>215,693</w:t>
            </w:r>
          </w:p>
        </w:tc>
      </w:tr>
      <w:tr>
        <w:trPr>
          <w:cantSplit/>
        </w:trPr>
        <w:tc>
          <w:tcPr>
            <w:tcW w:type="dxa" w:w="3061"/>
          </w:tcPr>
          <w:p>
            <w:r/>
            <w:r>
              <w:rPr>
                <w:color w:val="1A1D21"/>
                <w:sz w:val="17"/>
              </w:rPr>
              <w:t>Properties under development, closing</w:t>
            </w:r>
          </w:p>
        </w:tc>
        <w:tc>
          <w:tcPr>
            <w:tcW w:type="dxa" w:w="1134"/>
          </w:tcPr>
          <w:p>
            <w:pPr>
              <w:jc w:val="right"/>
            </w:pPr>
            <w:r/>
            <w:r>
              <w:rPr>
                <w:color w:val="1A1D21"/>
                <w:sz w:val="17"/>
              </w:rPr>
              <w:t>147,460</w:t>
            </w:r>
          </w:p>
        </w:tc>
        <w:tc>
          <w:tcPr>
            <w:tcW w:type="dxa" w:w="1134"/>
          </w:tcPr>
          <w:p>
            <w:pPr>
              <w:jc w:val="right"/>
            </w:pPr>
            <w:r/>
            <w:r>
              <w:rPr>
                <w:color w:val="1A1D21"/>
                <w:sz w:val="17"/>
              </w:rPr>
              <w:t>154,064</w:t>
            </w:r>
          </w:p>
        </w:tc>
        <w:tc>
          <w:tcPr>
            <w:tcW w:type="dxa" w:w="1134"/>
          </w:tcPr>
          <w:p>
            <w:pPr>
              <w:jc w:val="right"/>
            </w:pPr>
            <w:r/>
            <w:r>
              <w:rPr>
                <w:color w:val="1A1D21"/>
                <w:sz w:val="17"/>
              </w:rPr>
              <w:t>167,710</w:t>
            </w:r>
          </w:p>
        </w:tc>
        <w:tc>
          <w:tcPr>
            <w:tcW w:type="dxa" w:w="1134"/>
          </w:tcPr>
          <w:p>
            <w:pPr>
              <w:jc w:val="right"/>
            </w:pPr>
            <w:r/>
            <w:r>
              <w:rPr>
                <w:color w:val="1A1D21"/>
                <w:sz w:val="17"/>
              </w:rPr>
              <w:t>188,378</w:t>
            </w:r>
          </w:p>
        </w:tc>
        <w:tc>
          <w:tcPr>
            <w:tcW w:type="dxa" w:w="1134"/>
          </w:tcPr>
          <w:p>
            <w:pPr>
              <w:jc w:val="right"/>
            </w:pPr>
            <w:r/>
            <w:r>
              <w:rPr>
                <w:color w:val="1A1D21"/>
                <w:sz w:val="17"/>
              </w:rPr>
              <w:t>216,397</w:t>
            </w:r>
          </w:p>
        </w:tc>
      </w:tr>
      <w:tr>
        <w:trPr>
          <w:cantSplit/>
        </w:trPr>
        <w:tc>
          <w:tcPr>
            <w:tcW w:type="dxa" w:w="3061"/>
          </w:tcPr>
          <w:p>
            <w:r/>
            <w:r>
              <w:rPr>
                <w:color w:val="1A1D21"/>
                <w:sz w:val="17"/>
              </w:rPr>
              <w:t>Customer advances, closing</w:t>
            </w:r>
          </w:p>
        </w:tc>
        <w:tc>
          <w:tcPr>
            <w:tcW w:type="dxa" w:w="1134"/>
          </w:tcPr>
          <w:p>
            <w:pPr>
              <w:jc w:val="right"/>
            </w:pPr>
            <w:r/>
            <w:r>
              <w:rPr>
                <w:color w:val="1A1D21"/>
                <w:sz w:val="17"/>
              </w:rPr>
              <w:t>133,221</w:t>
            </w:r>
          </w:p>
        </w:tc>
        <w:tc>
          <w:tcPr>
            <w:tcW w:type="dxa" w:w="1134"/>
          </w:tcPr>
          <w:p>
            <w:pPr>
              <w:jc w:val="right"/>
            </w:pPr>
            <w:r/>
            <w:r>
              <w:rPr>
                <w:color w:val="1A1D21"/>
                <w:sz w:val="17"/>
              </w:rPr>
              <w:t>139,187</w:t>
            </w:r>
          </w:p>
        </w:tc>
        <w:tc>
          <w:tcPr>
            <w:tcW w:type="dxa" w:w="1134"/>
          </w:tcPr>
          <w:p>
            <w:pPr>
              <w:jc w:val="right"/>
            </w:pPr>
            <w:r/>
            <w:r>
              <w:rPr>
                <w:color w:val="1A1D21"/>
                <w:sz w:val="17"/>
              </w:rPr>
              <w:t>151,515</w:t>
            </w:r>
          </w:p>
        </w:tc>
        <w:tc>
          <w:tcPr>
            <w:tcW w:type="dxa" w:w="1134"/>
          </w:tcPr>
          <w:p>
            <w:pPr>
              <w:jc w:val="right"/>
            </w:pPr>
            <w:r/>
            <w:r>
              <w:rPr>
                <w:color w:val="1A1D21"/>
                <w:sz w:val="17"/>
              </w:rPr>
              <w:t>170,187</w:t>
            </w:r>
          </w:p>
        </w:tc>
        <w:tc>
          <w:tcPr>
            <w:tcW w:type="dxa" w:w="1134"/>
          </w:tcPr>
          <w:p>
            <w:pPr>
              <w:jc w:val="right"/>
            </w:pPr>
            <w:r/>
            <w:r>
              <w:rPr>
                <w:color w:val="1A1D21"/>
                <w:sz w:val="17"/>
              </w:rPr>
              <w:t>195,501</w:t>
            </w:r>
          </w:p>
        </w:tc>
      </w:tr>
      <w:tr>
        <w:trPr>
          <w:cantSplit/>
        </w:trPr>
        <w:tc>
          <w:tcPr>
            <w:tcW w:type="dxa" w:w="3061"/>
          </w:tcPr>
          <w:p>
            <w:r/>
            <w:r>
              <w:rPr>
                <w:color w:val="1A1D21"/>
                <w:sz w:val="17"/>
              </w:rPr>
              <w:t>Equity attributable to TMG's shareholders</w:t>
            </w:r>
          </w:p>
        </w:tc>
        <w:tc>
          <w:tcPr>
            <w:tcW w:type="dxa" w:w="1134"/>
          </w:tcPr>
          <w:p>
            <w:pPr>
              <w:jc w:val="right"/>
            </w:pPr>
            <w:r/>
            <w:r>
              <w:rPr>
                <w:color w:val="1A1D21"/>
                <w:sz w:val="17"/>
              </w:rPr>
              <w:t>100,538</w:t>
            </w:r>
          </w:p>
        </w:tc>
        <w:tc>
          <w:tcPr>
            <w:tcW w:type="dxa" w:w="1134"/>
          </w:tcPr>
          <w:p>
            <w:pPr>
              <w:jc w:val="right"/>
            </w:pPr>
            <w:r/>
            <w:r>
              <w:rPr>
                <w:color w:val="1A1D21"/>
                <w:sz w:val="17"/>
              </w:rPr>
              <w:t>111,696</w:t>
            </w:r>
          </w:p>
        </w:tc>
        <w:tc>
          <w:tcPr>
            <w:tcW w:type="dxa" w:w="1134"/>
          </w:tcPr>
          <w:p>
            <w:pPr>
              <w:jc w:val="right"/>
            </w:pPr>
            <w:r/>
            <w:r>
              <w:rPr>
                <w:color w:val="1A1D21"/>
                <w:sz w:val="17"/>
              </w:rPr>
              <w:t>125,614</w:t>
            </w:r>
          </w:p>
        </w:tc>
        <w:tc>
          <w:tcPr>
            <w:tcW w:type="dxa" w:w="1134"/>
          </w:tcPr>
          <w:p>
            <w:pPr>
              <w:jc w:val="right"/>
            </w:pPr>
            <w:r/>
            <w:r>
              <w:rPr>
                <w:color w:val="1A1D21"/>
                <w:sz w:val="17"/>
              </w:rPr>
              <w:t>142,872</w:t>
            </w:r>
          </w:p>
        </w:tc>
        <w:tc>
          <w:tcPr>
            <w:tcW w:type="dxa" w:w="1134"/>
          </w:tcPr>
          <w:p>
            <w:pPr>
              <w:jc w:val="right"/>
            </w:pPr>
            <w:r/>
            <w:r>
              <w:rPr>
                <w:color w:val="1A1D21"/>
                <w:sz w:val="17"/>
              </w:rPr>
              <w:t>164,179</w:t>
            </w:r>
          </w:p>
        </w:tc>
      </w:tr>
      <w:tr>
        <w:trPr>
          <w:cantSplit/>
        </w:trPr>
        <w:tc>
          <w:tcPr>
            <w:tcW w:type="dxa" w:w="3061"/>
          </w:tcPr>
          <w:p>
            <w:r/>
            <w:r>
              <w:rPr>
                <w:color w:val="1A1D21"/>
                <w:sz w:val="17"/>
              </w:rPr>
              <w:t>Total assets</w:t>
            </w:r>
          </w:p>
        </w:tc>
        <w:tc>
          <w:tcPr>
            <w:tcW w:type="dxa" w:w="1134"/>
          </w:tcPr>
          <w:p>
            <w:pPr>
              <w:jc w:val="right"/>
            </w:pPr>
            <w:r/>
            <w:r>
              <w:rPr>
                <w:color w:val="1A1D21"/>
                <w:sz w:val="17"/>
              </w:rPr>
              <w:t>496,447</w:t>
            </w:r>
          </w:p>
        </w:tc>
        <w:tc>
          <w:tcPr>
            <w:tcW w:type="dxa" w:w="1134"/>
          </w:tcPr>
          <w:p>
            <w:pPr>
              <w:jc w:val="right"/>
            </w:pPr>
            <w:r/>
            <w:r>
              <w:rPr>
                <w:color w:val="1A1D21"/>
                <w:sz w:val="17"/>
              </w:rPr>
              <w:t>526,724</w:t>
            </w:r>
          </w:p>
        </w:tc>
        <w:tc>
          <w:tcPr>
            <w:tcW w:type="dxa" w:w="1134"/>
          </w:tcPr>
          <w:p>
            <w:pPr>
              <w:jc w:val="right"/>
            </w:pPr>
            <w:r/>
            <w:r>
              <w:rPr>
                <w:color w:val="1A1D21"/>
                <w:sz w:val="17"/>
              </w:rPr>
              <w:t>569,380</w:t>
            </w:r>
          </w:p>
        </w:tc>
        <w:tc>
          <w:tcPr>
            <w:tcW w:type="dxa" w:w="1134"/>
          </w:tcPr>
          <w:p>
            <w:pPr>
              <w:jc w:val="right"/>
            </w:pPr>
            <w:r/>
            <w:r>
              <w:rPr>
                <w:color w:val="1A1D21"/>
                <w:sz w:val="17"/>
              </w:rPr>
              <w:t>625,657</w:t>
            </w:r>
          </w:p>
        </w:tc>
        <w:tc>
          <w:tcPr>
            <w:tcW w:type="dxa" w:w="1134"/>
          </w:tcPr>
          <w:p>
            <w:pPr>
              <w:jc w:val="right"/>
            </w:pPr>
            <w:r/>
            <w:r>
              <w:rPr>
                <w:color w:val="1A1D21"/>
                <w:sz w:val="17"/>
              </w:rPr>
              <w:t>697,397</w:t>
            </w:r>
          </w:p>
        </w:tc>
      </w:tr>
      <w:tr>
        <w:trPr>
          <w:cantSplit/>
        </w:trPr>
        <w:tc>
          <w:tcPr>
            <w:tcW w:type="dxa" w:w="3061"/>
          </w:tcPr>
          <w:p>
            <w:r/>
            <w:r>
              <w:rPr>
                <w:color w:val="1A1D21"/>
                <w:sz w:val="17"/>
              </w:rPr>
              <w:t>Total liabilities</w:t>
            </w:r>
          </w:p>
        </w:tc>
        <w:tc>
          <w:tcPr>
            <w:tcW w:type="dxa" w:w="1134"/>
          </w:tcPr>
          <w:p>
            <w:pPr>
              <w:jc w:val="right"/>
            </w:pPr>
            <w:r/>
            <w:r>
              <w:rPr>
                <w:color w:val="1A1D21"/>
                <w:sz w:val="17"/>
              </w:rPr>
              <w:t>309,802</w:t>
            </w:r>
          </w:p>
        </w:tc>
        <w:tc>
          <w:tcPr>
            <w:tcW w:type="dxa" w:w="1134"/>
          </w:tcPr>
          <w:p>
            <w:pPr>
              <w:jc w:val="right"/>
            </w:pPr>
            <w:r/>
            <w:r>
              <w:rPr>
                <w:color w:val="1A1D21"/>
                <w:sz w:val="17"/>
              </w:rPr>
              <w:t>315,768</w:t>
            </w:r>
          </w:p>
        </w:tc>
        <w:tc>
          <w:tcPr>
            <w:tcW w:type="dxa" w:w="1134"/>
          </w:tcPr>
          <w:p>
            <w:pPr>
              <w:jc w:val="right"/>
            </w:pPr>
            <w:r/>
            <w:r>
              <w:rPr>
                <w:color w:val="1A1D21"/>
                <w:sz w:val="17"/>
              </w:rPr>
              <w:t>328,096</w:t>
            </w:r>
          </w:p>
        </w:tc>
        <w:tc>
          <w:tcPr>
            <w:tcW w:type="dxa" w:w="1134"/>
          </w:tcPr>
          <w:p>
            <w:pPr>
              <w:jc w:val="right"/>
            </w:pPr>
            <w:r/>
            <w:r>
              <w:rPr>
                <w:color w:val="1A1D21"/>
                <w:sz w:val="17"/>
              </w:rPr>
              <w:t>346,768</w:t>
            </w:r>
          </w:p>
        </w:tc>
        <w:tc>
          <w:tcPr>
            <w:tcW w:type="dxa" w:w="1134"/>
          </w:tcPr>
          <w:p>
            <w:pPr>
              <w:jc w:val="right"/>
            </w:pPr>
            <w:r/>
            <w:r>
              <w:rPr>
                <w:color w:val="1A1D21"/>
                <w:sz w:val="17"/>
              </w:rPr>
              <w:t>372,082</w:t>
            </w:r>
          </w:p>
        </w:tc>
      </w:tr>
      <w:tr>
        <w:trPr>
          <w:cantSplit/>
        </w:trPr>
        <w:tc>
          <w:tcPr>
            <w:tcW w:type="dxa" w:w="3061"/>
          </w:tcPr>
          <w:p>
            <w:r/>
            <w:r>
              <w:rPr>
                <w:color w:val="1A1D21"/>
                <w:sz w:val="17"/>
              </w:rPr>
              <w:t>Total equity</w:t>
            </w:r>
          </w:p>
        </w:tc>
        <w:tc>
          <w:tcPr>
            <w:tcW w:type="dxa" w:w="1134"/>
          </w:tcPr>
          <w:p>
            <w:pPr>
              <w:jc w:val="right"/>
            </w:pPr>
            <w:r/>
            <w:r>
              <w:rPr>
                <w:color w:val="1A1D21"/>
                <w:sz w:val="17"/>
              </w:rPr>
              <w:t>186,645</w:t>
            </w:r>
          </w:p>
        </w:tc>
        <w:tc>
          <w:tcPr>
            <w:tcW w:type="dxa" w:w="1134"/>
          </w:tcPr>
          <w:p>
            <w:pPr>
              <w:jc w:val="right"/>
            </w:pPr>
            <w:r/>
            <w:r>
              <w:rPr>
                <w:color w:val="1A1D21"/>
                <w:sz w:val="17"/>
              </w:rPr>
              <w:t>210,957</w:t>
            </w:r>
          </w:p>
        </w:tc>
        <w:tc>
          <w:tcPr>
            <w:tcW w:type="dxa" w:w="1134"/>
          </w:tcPr>
          <w:p>
            <w:pPr>
              <w:jc w:val="right"/>
            </w:pPr>
            <w:r/>
            <w:r>
              <w:rPr>
                <w:color w:val="1A1D21"/>
                <w:sz w:val="17"/>
              </w:rPr>
              <w:t>241,284</w:t>
            </w:r>
          </w:p>
        </w:tc>
        <w:tc>
          <w:tcPr>
            <w:tcW w:type="dxa" w:w="1134"/>
          </w:tcPr>
          <w:p>
            <w:pPr>
              <w:jc w:val="right"/>
            </w:pPr>
            <w:r/>
            <w:r>
              <w:rPr>
                <w:color w:val="1A1D21"/>
                <w:sz w:val="17"/>
              </w:rPr>
              <w:t>278,889</w:t>
            </w:r>
          </w:p>
        </w:tc>
        <w:tc>
          <w:tcPr>
            <w:tcW w:type="dxa" w:w="1134"/>
          </w:tcPr>
          <w:p>
            <w:pPr>
              <w:jc w:val="right"/>
            </w:pPr>
            <w:r/>
            <w:r>
              <w:rPr>
                <w:color w:val="1A1D21"/>
                <w:sz w:val="17"/>
              </w:rPr>
              <w:t>325,315</w:t>
            </w:r>
          </w:p>
        </w:tc>
      </w:tr>
      <w:tr>
        <w:trPr>
          <w:cantSplit/>
        </w:trPr>
        <w:tc>
          <w:tcPr>
            <w:tcW w:type="dxa" w:w="3061"/>
          </w:tcPr>
          <w:p>
            <w:r/>
            <w:r>
              <w:rPr>
                <w:color w:val="1A1D21"/>
                <w:sz w:val="17"/>
              </w:rPr>
              <w:t>Assets less liabilities less equity</w:t>
            </w:r>
          </w:p>
        </w:tc>
        <w:tc>
          <w:tcPr>
            <w:tcW w:type="dxa" w:w="1134"/>
          </w:tcPr>
          <w:p>
            <w:pPr>
              <w:jc w:val="right"/>
            </w:pPr>
            <w:r/>
            <w:r>
              <w:rPr>
                <w:color w:val="1A1D21"/>
                <w:sz w:val="17"/>
              </w:rPr>
              <w:t>-0.00</w:t>
            </w:r>
          </w:p>
        </w:tc>
        <w:tc>
          <w:tcPr>
            <w:tcW w:type="dxa" w:w="1134"/>
          </w:tcPr>
          <w:p>
            <w:pPr>
              <w:jc w:val="right"/>
            </w:pPr>
            <w:r/>
            <w:r>
              <w:rPr>
                <w:color w:val="1A1D21"/>
                <w:sz w:val="17"/>
              </w:rPr>
              <w:t>-0.00</w:t>
            </w:r>
          </w:p>
        </w:tc>
        <w:tc>
          <w:tcPr>
            <w:tcW w:type="dxa" w:w="1134"/>
          </w:tcPr>
          <w:p>
            <w:pPr>
              <w:jc w:val="right"/>
            </w:pPr>
            <w:r/>
            <w:r>
              <w:rPr>
                <w:color w:val="1A1D21"/>
                <w:sz w:val="17"/>
              </w:rPr>
              <w:t>0.00</w:t>
            </w:r>
          </w:p>
        </w:tc>
        <w:tc>
          <w:tcPr>
            <w:tcW w:type="dxa" w:w="1134"/>
          </w:tcPr>
          <w:p>
            <w:pPr>
              <w:jc w:val="right"/>
            </w:pPr>
            <w:r/>
            <w:r>
              <w:rPr>
                <w:color w:val="1A1D21"/>
                <w:sz w:val="17"/>
              </w:rPr>
              <w:t>-0.00</w:t>
            </w:r>
          </w:p>
        </w:tc>
        <w:tc>
          <w:tcPr>
            <w:tcW w:type="dxa" w:w="1134"/>
          </w:tcPr>
          <w:p>
            <w:pPr>
              <w:jc w:val="right"/>
            </w:pPr>
            <w:r/>
            <w:r>
              <w:rPr>
                <w:color w:val="1A1D21"/>
                <w:sz w:val="17"/>
              </w:rPr>
              <w:t>0.00</w:t>
            </w:r>
          </w:p>
        </w:tc>
      </w:tr>
    </w:tbl>
    <w:p>
      <w:pPr>
        <w:spacing w:after="200"/>
      </w:pPr>
      <w:r>
        <w:rPr>
          <w:b w:val="0"/>
          <w:i/>
          <w:color w:val="5B6570"/>
          <w:sz w:val="16"/>
        </w:rPr>
        <w:t>The slower-conversion case. The last line is the check that the sheet closes: nothing here is plugged, and it closes because the cash flow feeds it.</w:t>
      </w:r>
    </w:p>
    <w:p>
      <w:pPr>
        <w:spacing w:after="140"/>
      </w:pPr>
      <w:r>
        <w:rPr>
          <w:b w:val="0"/>
          <w:i w:val="0"/>
          <w:color w:val="1A1D21"/>
          <w:sz w:val="20"/>
        </w:rPr>
        <w:t>On the faster-conversion reading the same statements go cash negative from 2030, because accelerating handovers means building before collecting. That case would need external funding, and saying so is part of what makes it a genuine alternative rather than a more optimistic version of the same thing.</w:t>
      </w:r>
    </w:p>
    <w:p>
      <w:r>
        <w:br w:type="page"/>
      </w:r>
    </w:p>
    <w:p>
      <w:pPr>
        <w:pStyle w:val="Heading1"/>
      </w:pPr>
      <w:r>
        <w:t>Appendix B — competitors, risks and open questions</w:t>
      </w:r>
    </w:p>
    <w:p>
      <w:pPr>
        <w:pStyle w:val="Heading2"/>
      </w:pPr>
      <w:r>
        <w:t>B.1 Competitors</w:t>
      </w:r>
    </w:p>
    <w:tbl>
      <w:tblPr>
        <w:tblStyle w:val="TableGrid"/>
        <w:tblW w:type="auto" w:w="0"/>
        <w:jc w:val="center"/>
        <w:tblLayout w:type="fixed"/>
        <w:tblLook w:firstColumn="1" w:firstRow="1" w:lastColumn="0" w:lastRow="0" w:noHBand="0" w:noVBand="1" w:val="04A0"/>
        <w:tblLayout w:type="fixed"/>
      </w:tblPr>
      <w:tblGrid>
        <w:gridCol w:w="2608"/>
        <w:gridCol w:w="1247"/>
        <w:gridCol w:w="1134"/>
        <w:gridCol w:w="3969"/>
      </w:tblGrid>
      <w:tr>
        <w:trPr>
          <w:tblHeader w:val="true"/>
        </w:trPr>
        <w:tc>
          <w:tcPr>
            <w:tcW w:type="dxa" w:w="2608"/>
          </w:tcPr>
          <w:p>
            <w:r/>
            <w:r>
              <w:rPr>
                <w:b/>
                <w:color w:val="5B6570"/>
                <w:sz w:val="17"/>
              </w:rPr>
              <w:t>Company</w:t>
            </w:r>
          </w:p>
        </w:tc>
        <w:tc>
          <w:tcPr>
            <w:tcW w:type="dxa" w:w="1247"/>
          </w:tcPr>
          <w:p>
            <w:r/>
            <w:r>
              <w:rPr>
                <w:b/>
                <w:color w:val="5B6570"/>
                <w:sz w:val="17"/>
              </w:rPr>
              <w:t>Last close, EGP</w:t>
            </w:r>
          </w:p>
        </w:tc>
        <w:tc>
          <w:tcPr>
            <w:tcW w:type="dxa" w:w="1134"/>
          </w:tcPr>
          <w:p>
            <w:r/>
            <w:r>
              <w:rPr>
                <w:b/>
                <w:color w:val="5B6570"/>
                <w:sz w:val="17"/>
              </w:rPr>
              <w:t>As at</w:t>
            </w:r>
          </w:p>
        </w:tc>
        <w:tc>
          <w:tcPr>
            <w:tcW w:type="dxa" w:w="3969"/>
          </w:tcPr>
          <w:p>
            <w:r/>
            <w:r>
              <w:rPr>
                <w:b/>
                <w:color w:val="5B6570"/>
                <w:sz w:val="17"/>
              </w:rPr>
              <w:t>Why it is a comparator</w:t>
            </w:r>
          </w:p>
        </w:tc>
      </w:tr>
      <w:tr>
        <w:trPr>
          <w:cantSplit/>
        </w:trPr>
        <w:tc>
          <w:tcPr>
            <w:tcW w:type="dxa" w:w="2608"/>
          </w:tcPr>
          <w:p>
            <w:r/>
            <w:r>
              <w:rPr>
                <w:color w:val="1A1D21"/>
                <w:sz w:val="17"/>
              </w:rPr>
              <w:t>Emaar Misr for Development</w:t>
            </w:r>
          </w:p>
        </w:tc>
        <w:tc>
          <w:tcPr>
            <w:tcW w:type="dxa" w:w="1247"/>
          </w:tcPr>
          <w:p>
            <w:pPr>
              <w:jc w:val="right"/>
            </w:pPr>
            <w:r/>
            <w:r>
              <w:rPr>
                <w:color w:val="1A1D21"/>
                <w:sz w:val="17"/>
              </w:rPr>
              <w:t>11.53</w:t>
            </w:r>
          </w:p>
        </w:tc>
        <w:tc>
          <w:tcPr>
            <w:tcW w:type="dxa" w:w="1134"/>
          </w:tcPr>
          <w:p>
            <w:pPr>
              <w:jc w:val="right"/>
            </w:pPr>
            <w:r/>
            <w:r>
              <w:rPr>
                <w:color w:val="1A1D21"/>
                <w:sz w:val="17"/>
              </w:rPr>
              <w:t>2026-07-28</w:t>
            </w:r>
          </w:p>
        </w:tc>
        <w:tc>
          <w:tcPr>
            <w:tcW w:type="dxa" w:w="3969"/>
          </w:tcPr>
          <w:p>
            <w:r/>
            <w:r>
              <w:rPr>
                <w:color w:val="1A1D21"/>
                <w:sz w:val="17"/>
              </w:rPr>
              <w:t>off-plan developer, comparable payment plans and handover clock</w:t>
            </w:r>
          </w:p>
        </w:tc>
      </w:tr>
      <w:tr>
        <w:trPr>
          <w:cantSplit/>
        </w:trPr>
        <w:tc>
          <w:tcPr>
            <w:tcW w:type="dxa" w:w="2608"/>
          </w:tcPr>
          <w:p>
            <w:r/>
            <w:r>
              <w:rPr>
                <w:color w:val="1A1D21"/>
                <w:sz w:val="17"/>
              </w:rPr>
              <w:t>Sixth of October Development &amp; Investment (SODIC)</w:t>
            </w:r>
          </w:p>
        </w:tc>
        <w:tc>
          <w:tcPr>
            <w:tcW w:type="dxa" w:w="1247"/>
          </w:tcPr>
          <w:p>
            <w:pPr>
              <w:jc w:val="right"/>
            </w:pPr>
            <w:r/>
            <w:r>
              <w:rPr>
                <w:color w:val="1A1D21"/>
                <w:sz w:val="17"/>
              </w:rPr>
              <w:t>27.48</w:t>
            </w:r>
          </w:p>
        </w:tc>
        <w:tc>
          <w:tcPr>
            <w:tcW w:type="dxa" w:w="1134"/>
          </w:tcPr>
          <w:p>
            <w:pPr>
              <w:jc w:val="right"/>
            </w:pPr>
            <w:r/>
            <w:r>
              <w:rPr>
                <w:color w:val="1A1D21"/>
                <w:sz w:val="17"/>
              </w:rPr>
              <w:t>2026-07-27</w:t>
            </w:r>
          </w:p>
        </w:tc>
        <w:tc>
          <w:tcPr>
            <w:tcW w:type="dxa" w:w="3969"/>
          </w:tcPr>
          <w:p>
            <w:r/>
            <w:r>
              <w:rPr>
                <w:color w:val="1A1D21"/>
                <w:sz w:val="17"/>
              </w:rPr>
              <w:t>integrated-community developer, similar product mix</w:t>
            </w:r>
          </w:p>
        </w:tc>
      </w:tr>
      <w:tr>
        <w:trPr>
          <w:cantSplit/>
        </w:trPr>
        <w:tc>
          <w:tcPr>
            <w:tcW w:type="dxa" w:w="2608"/>
          </w:tcPr>
          <w:p>
            <w:r/>
            <w:r>
              <w:rPr>
                <w:color w:val="1A1D21"/>
                <w:sz w:val="17"/>
              </w:rPr>
              <w:t>Palm Hills Developments</w:t>
            </w:r>
          </w:p>
        </w:tc>
        <w:tc>
          <w:tcPr>
            <w:tcW w:type="dxa" w:w="1247"/>
          </w:tcPr>
          <w:p>
            <w:pPr>
              <w:jc w:val="right"/>
            </w:pPr>
            <w:r/>
            <w:r>
              <w:rPr>
                <w:color w:val="1A1D21"/>
                <w:sz w:val="17"/>
              </w:rPr>
              <w:t>15.20</w:t>
            </w:r>
          </w:p>
        </w:tc>
        <w:tc>
          <w:tcPr>
            <w:tcW w:type="dxa" w:w="1134"/>
          </w:tcPr>
          <w:p>
            <w:pPr>
              <w:jc w:val="right"/>
            </w:pPr>
            <w:r/>
            <w:r>
              <w:rPr>
                <w:color w:val="1A1D21"/>
                <w:sz w:val="17"/>
              </w:rPr>
              <w:t>2026-08-23</w:t>
            </w:r>
          </w:p>
        </w:tc>
        <w:tc>
          <w:tcPr>
            <w:tcW w:type="dxa" w:w="3969"/>
          </w:tcPr>
          <w:p>
            <w:r/>
            <w:r>
              <w:rPr>
                <w:color w:val="1A1D21"/>
                <w:sz w:val="17"/>
              </w:rPr>
              <w:t>closest listed comparator by scale and by land position; note it recognises revenue on PERCENTAGE OF COMPLETION, not handover, so its margin and revenue timing are not directly comparable</w:t>
            </w:r>
          </w:p>
        </w:tc>
      </w:tr>
      <w:tr>
        <w:trPr>
          <w:cantSplit/>
        </w:trPr>
        <w:tc>
          <w:tcPr>
            <w:tcW w:type="dxa" w:w="2608"/>
          </w:tcPr>
          <w:p>
            <w:r/>
            <w:r>
              <w:rPr>
                <w:color w:val="1A1D21"/>
                <w:sz w:val="17"/>
              </w:rPr>
              <w:t>Heliopolis Housing &amp; Development</w:t>
            </w:r>
          </w:p>
        </w:tc>
        <w:tc>
          <w:tcPr>
            <w:tcW w:type="dxa" w:w="1247"/>
          </w:tcPr>
          <w:p>
            <w:pPr>
              <w:jc w:val="right"/>
            </w:pPr>
            <w:r/>
            <w:r>
              <w:rPr>
                <w:color w:val="1A1D21"/>
                <w:sz w:val="17"/>
              </w:rPr>
              <w:t>7.75</w:t>
            </w:r>
          </w:p>
        </w:tc>
        <w:tc>
          <w:tcPr>
            <w:tcW w:type="dxa" w:w="1134"/>
          </w:tcPr>
          <w:p>
            <w:pPr>
              <w:jc w:val="right"/>
            </w:pPr>
            <w:r/>
            <w:r>
              <w:rPr>
                <w:color w:val="1A1D21"/>
                <w:sz w:val="17"/>
              </w:rPr>
              <w:t>2026-08-23</w:t>
            </w:r>
          </w:p>
        </w:tc>
        <w:tc>
          <w:tcPr>
            <w:tcW w:type="dxa" w:w="3969"/>
          </w:tcPr>
          <w:p>
            <w:r/>
            <w:r>
              <w:rPr>
                <w:color w:val="1A1D21"/>
                <w:sz w:val="17"/>
              </w:rPr>
              <w:t>land-rich developer with a comparable legacy landbank</w:t>
            </w:r>
          </w:p>
        </w:tc>
      </w:tr>
      <w:tr>
        <w:trPr>
          <w:cantSplit/>
        </w:trPr>
        <w:tc>
          <w:tcPr>
            <w:tcW w:type="dxa" w:w="2608"/>
          </w:tcPr>
          <w:p>
            <w:r/>
            <w:r>
              <w:rPr>
                <w:color w:val="1A1D21"/>
                <w:sz w:val="17"/>
              </w:rPr>
              <w:t>Orascom Development Egypt</w:t>
            </w:r>
          </w:p>
        </w:tc>
        <w:tc>
          <w:tcPr>
            <w:tcW w:type="dxa" w:w="1247"/>
          </w:tcPr>
          <w:p>
            <w:pPr>
              <w:jc w:val="right"/>
            </w:pPr>
            <w:r/>
            <w:r>
              <w:rPr>
                <w:color w:val="1A1D21"/>
                <w:sz w:val="17"/>
              </w:rPr>
              <w:t>40.16</w:t>
            </w:r>
          </w:p>
        </w:tc>
        <w:tc>
          <w:tcPr>
            <w:tcW w:type="dxa" w:w="1134"/>
          </w:tcPr>
          <w:p>
            <w:pPr>
              <w:jc w:val="right"/>
            </w:pPr>
            <w:r/>
            <w:r>
              <w:rPr>
                <w:color w:val="1A1D21"/>
                <w:sz w:val="17"/>
              </w:rPr>
              <w:t>2026-07-27</w:t>
            </w:r>
          </w:p>
        </w:tc>
        <w:tc>
          <w:tcPr>
            <w:tcW w:type="dxa" w:w="3969"/>
          </w:tcPr>
          <w:p>
            <w:r/>
            <w:r>
              <w:rPr>
                <w:color w:val="1A1D21"/>
                <w:sz w:val="17"/>
              </w:rPr>
              <w:t>developer with a substantial hospitality leg — the nearest listed analogue for TMG's three-segment shape</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2608"/>
        <w:gridCol w:w="1247"/>
        <w:gridCol w:w="5103"/>
      </w:tblGrid>
      <w:tr>
        <w:trPr>
          <w:tblHeader w:val="true"/>
        </w:trPr>
        <w:tc>
          <w:tcPr>
            <w:tcW w:type="dxa" w:w="2608"/>
          </w:tcPr>
          <w:p>
            <w:r/>
            <w:r>
              <w:rPr>
                <w:b/>
                <w:color w:val="5B6570"/>
                <w:sz w:val="17"/>
              </w:rPr>
              <w:t>Company</w:t>
            </w:r>
          </w:p>
        </w:tc>
        <w:tc>
          <w:tcPr>
            <w:tcW w:type="dxa" w:w="1247"/>
          </w:tcPr>
          <w:p>
            <w:r/>
            <w:r>
              <w:rPr>
                <w:b/>
                <w:color w:val="5B6570"/>
                <w:sz w:val="17"/>
              </w:rPr>
              <w:t>Country</w:t>
            </w:r>
          </w:p>
        </w:tc>
        <w:tc>
          <w:tcPr>
            <w:tcW w:type="dxa" w:w="5102"/>
          </w:tcPr>
          <w:p>
            <w:r/>
            <w:r>
              <w:rPr>
                <w:b/>
                <w:color w:val="5B6570"/>
                <w:sz w:val="17"/>
              </w:rPr>
              <w:t>Why it is a comparator</w:t>
            </w:r>
          </w:p>
        </w:tc>
      </w:tr>
      <w:tr>
        <w:trPr>
          <w:cantSplit/>
        </w:trPr>
        <w:tc>
          <w:tcPr>
            <w:tcW w:type="dxa" w:w="2608"/>
          </w:tcPr>
          <w:p>
            <w:r/>
            <w:r>
              <w:rPr>
                <w:color w:val="1A1D21"/>
                <w:sz w:val="17"/>
              </w:rPr>
              <w:t>Emaar Properties (DFM: EMAAR)</w:t>
            </w:r>
          </w:p>
        </w:tc>
        <w:tc>
          <w:tcPr>
            <w:tcW w:type="dxa" w:w="1247"/>
          </w:tcPr>
          <w:p>
            <w:r/>
            <w:r>
              <w:rPr>
                <w:color w:val="1A1D21"/>
                <w:sz w:val="17"/>
              </w:rPr>
              <w:t>UAE</w:t>
            </w:r>
          </w:p>
        </w:tc>
        <w:tc>
          <w:tcPr>
            <w:tcW w:type="dxa" w:w="5102"/>
          </w:tcPr>
          <w:p>
            <w:r/>
            <w:r>
              <w:rPr>
                <w:color w:val="1A1D21"/>
                <w:sz w:val="17"/>
              </w:rPr>
              <w:t>the regional template for a developer with a large recurring-income and hospitality platform alongside a development book</w:t>
            </w:r>
          </w:p>
        </w:tc>
      </w:tr>
      <w:tr>
        <w:trPr>
          <w:cantSplit/>
        </w:trPr>
        <w:tc>
          <w:tcPr>
            <w:tcW w:type="dxa" w:w="2608"/>
          </w:tcPr>
          <w:p>
            <w:r/>
            <w:r>
              <w:rPr>
                <w:color w:val="1A1D21"/>
                <w:sz w:val="17"/>
              </w:rPr>
              <w:t>Aldar Properties (ADX: ALDAR)</w:t>
            </w:r>
          </w:p>
        </w:tc>
        <w:tc>
          <w:tcPr>
            <w:tcW w:type="dxa" w:w="1247"/>
          </w:tcPr>
          <w:p>
            <w:r/>
            <w:r>
              <w:rPr>
                <w:color w:val="1A1D21"/>
                <w:sz w:val="17"/>
              </w:rPr>
              <w:t>UAE</w:t>
            </w:r>
          </w:p>
        </w:tc>
        <w:tc>
          <w:tcPr>
            <w:tcW w:type="dxa" w:w="5102"/>
          </w:tcPr>
          <w:p>
            <w:r/>
            <w:r>
              <w:rPr>
                <w:color w:val="1A1D21"/>
                <w:sz w:val="17"/>
              </w:rPr>
              <w:t>development plus investment-property and management legs, with a disclosed backlog the market prices explicitly</w:t>
            </w:r>
          </w:p>
        </w:tc>
      </w:tr>
      <w:tr>
        <w:trPr>
          <w:cantSplit/>
        </w:trPr>
        <w:tc>
          <w:tcPr>
            <w:tcW w:type="dxa" w:w="2608"/>
          </w:tcPr>
          <w:p>
            <w:r/>
            <w:r>
              <w:rPr>
                <w:color w:val="1A1D21"/>
                <w:sz w:val="17"/>
              </w:rPr>
              <w:t>Dar Al Arkan (Tadawul: 4300)</w:t>
            </w:r>
          </w:p>
        </w:tc>
        <w:tc>
          <w:tcPr>
            <w:tcW w:type="dxa" w:w="1247"/>
          </w:tcPr>
          <w:p>
            <w:r/>
            <w:r>
              <w:rPr>
                <w:color w:val="1A1D21"/>
                <w:sz w:val="17"/>
              </w:rPr>
              <w:t>Saudi Arabia</w:t>
            </w:r>
          </w:p>
        </w:tc>
        <w:tc>
          <w:tcPr>
            <w:tcW w:type="dxa" w:w="5102"/>
          </w:tcPr>
          <w:p>
            <w:r/>
            <w:r>
              <w:rPr>
                <w:color w:val="1A1D21"/>
                <w:sz w:val="17"/>
              </w:rPr>
              <w:t>the market TMG has just entered with Banan; a reference for how a Saudi development book is priced</w:t>
            </w:r>
          </w:p>
        </w:tc>
      </w:tr>
    </w:tbl>
    <w:p>
      <w:pPr>
        <w:spacing w:after="200"/>
      </w:pPr>
      <w:r>
        <w:rPr>
          <w:b w:val="0"/>
          <w:i/>
          <w:color w:val="5B6570"/>
          <w:sz w:val="16"/>
        </w:rPr>
        <w:t>Competitors are studied for operating indicators and for how the market values them. Nothing about a competitor is ever a source for TMG's own reported figures.</w:t>
      </w:r>
    </w:p>
    <w:p>
      <w:pPr>
        <w:spacing w:after="140"/>
      </w:pPr>
      <w:r>
        <w:rPr>
          <w:b w:val="0"/>
          <w:i/>
          <w:color w:val="5B6570"/>
          <w:sz w:val="20"/>
        </w:rPr>
        <w:t>Peer MULTIPLES are not tabulated here. This study holds committed price libraries for the Egyptian names but has not sourced their financial statements, and a peer multiple built on an unsourced denominator is a number wearing a decimal point. The relative lens is therefore built on TMGH's OWN history of multiples, which is sourced end to end, and the peer set is carried as context with its sourcing stated.</w:t>
      </w:r>
    </w:p>
    <w:p>
      <w:pPr>
        <w:pStyle w:val="Heading2"/>
      </w:pPr>
      <w:r>
        <w:t>B.2 Risks</w:t>
      </w:r>
    </w:p>
    <w:tbl>
      <w:tblPr>
        <w:tblStyle w:val="TableGrid"/>
        <w:tblW w:type="auto" w:w="0"/>
        <w:jc w:val="center"/>
        <w:tblLayout w:type="fixed"/>
        <w:tblLook w:firstColumn="1" w:firstRow="1" w:lastColumn="0" w:lastRow="0" w:noHBand="0" w:noVBand="1" w:val="04A0"/>
        <w:tblLayout w:type="fixed"/>
      </w:tblPr>
      <w:tblGrid>
        <w:gridCol w:w="1928"/>
        <w:gridCol w:w="2608"/>
        <w:gridCol w:w="2041"/>
        <w:gridCol w:w="2381"/>
      </w:tblGrid>
      <w:tr>
        <w:trPr>
          <w:tblHeader w:val="true"/>
        </w:trPr>
        <w:tc>
          <w:tcPr>
            <w:tcW w:type="dxa" w:w="1928"/>
          </w:tcPr>
          <w:p>
            <w:r/>
            <w:r>
              <w:rPr>
                <w:b/>
                <w:color w:val="5B6570"/>
                <w:sz w:val="17"/>
              </w:rPr>
              <w:t>Risk</w:t>
            </w:r>
          </w:p>
        </w:tc>
        <w:tc>
          <w:tcPr>
            <w:tcW w:type="dxa" w:w="2608"/>
          </w:tcPr>
          <w:p>
            <w:r/>
            <w:r>
              <w:rPr>
                <w:b/>
                <w:color w:val="5B6570"/>
                <w:sz w:val="17"/>
              </w:rPr>
              <w:t>Why</w:t>
            </w:r>
          </w:p>
        </w:tc>
        <w:tc>
          <w:tcPr>
            <w:tcW w:type="dxa" w:w="2041"/>
          </w:tcPr>
          <w:p>
            <w:r/>
            <w:r>
              <w:rPr>
                <w:b/>
                <w:color w:val="5B6570"/>
                <w:sz w:val="17"/>
              </w:rPr>
              <w:t>Where it is priced</w:t>
            </w:r>
          </w:p>
        </w:tc>
        <w:tc>
          <w:tcPr>
            <w:tcW w:type="dxa" w:w="2381"/>
          </w:tcPr>
          <w:p>
            <w:r/>
            <w:r>
              <w:rPr>
                <w:b/>
                <w:color w:val="5B6570"/>
                <w:sz w:val="17"/>
              </w:rPr>
              <w:t>What would change it</w:t>
            </w:r>
          </w:p>
        </w:tc>
      </w:tr>
      <w:tr>
        <w:trPr>
          <w:cantSplit/>
        </w:trPr>
        <w:tc>
          <w:tcPr>
            <w:tcW w:type="dxa" w:w="1928"/>
          </w:tcPr>
          <w:p>
            <w:r/>
            <w:r>
              <w:rPr>
                <w:color w:val="1A1D21"/>
                <w:sz w:val="17"/>
              </w:rPr>
              <w:t>The order book converts more slowly than either reading here</w:t>
            </w:r>
          </w:p>
        </w:tc>
        <w:tc>
          <w:tcPr>
            <w:tcW w:type="dxa" w:w="2608"/>
          </w:tcPr>
          <w:p>
            <w:r/>
            <w:r>
              <w:rPr>
                <w:color w:val="1A1D21"/>
                <w:sz w:val="17"/>
              </w:rPr>
              <w:t>handovers are constrained by construction capacity, and the conversion rate has already fallen from about 15% to 5.4%</w:t>
            </w:r>
          </w:p>
        </w:tc>
        <w:tc>
          <w:tcPr>
            <w:tcW w:type="dxa" w:w="2041"/>
          </w:tcPr>
          <w:p>
            <w:r/>
            <w:r>
              <w:rPr>
                <w:color w:val="1A1D21"/>
                <w:sz w:val="17"/>
              </w:rPr>
              <w:t>the crux, both readings, section 1.7 and figure 2</w:t>
            </w:r>
          </w:p>
        </w:tc>
        <w:tc>
          <w:tcPr>
            <w:tcW w:type="dxa" w:w="2381"/>
          </w:tcPr>
          <w:p>
            <w:r/>
            <w:r>
              <w:rPr>
                <w:color w:val="1A1D21"/>
                <w:sz w:val="17"/>
              </w:rPr>
              <w:t>a disclosed delivery schedule by project</w:t>
            </w:r>
          </w:p>
        </w:tc>
      </w:tr>
      <w:tr>
        <w:trPr>
          <w:cantSplit/>
        </w:trPr>
        <w:tc>
          <w:tcPr>
            <w:tcW w:type="dxa" w:w="1928"/>
          </w:tcPr>
          <w:p>
            <w:r/>
            <w:r>
              <w:rPr>
                <w:color w:val="1A1D21"/>
                <w:sz w:val="17"/>
              </w:rPr>
              <w:t>Minority interests absorb more of the value than the book suggests</w:t>
            </w:r>
          </w:p>
        </w:tc>
        <w:tc>
          <w:tcPr>
            <w:tcW w:type="dxa" w:w="2608"/>
          </w:tcPr>
          <w:p>
            <w:r/>
            <w:r>
              <w:rPr>
                <w:color w:val="1A1D21"/>
                <w:sz w:val="17"/>
              </w:rPr>
              <w:t>non-controlling interests are 45.2% of consolidated equity after the 2024 hotel acquisition and the project-company structures</w:t>
            </w:r>
          </w:p>
        </w:tc>
        <w:tc>
          <w:tcPr>
            <w:tcW w:type="dxa" w:w="2041"/>
          </w:tcPr>
          <w:p>
            <w:r/>
            <w:r>
              <w:rPr>
                <w:color w:val="1A1D21"/>
                <w:sz w:val="17"/>
              </w:rPr>
              <w:t>computed both ways — at book and proportionally — throughout</w:t>
            </w:r>
          </w:p>
        </w:tc>
        <w:tc>
          <w:tcPr>
            <w:tcW w:type="dxa" w:w="2381"/>
          </w:tcPr>
          <w:p>
            <w:r/>
            <w:r>
              <w:rPr>
                <w:color w:val="1A1D21"/>
                <w:sz w:val="17"/>
              </w:rPr>
              <w:t>a disclosure of TMG's economic share by project</w:t>
            </w:r>
          </w:p>
        </w:tc>
      </w:tr>
      <w:tr>
        <w:trPr>
          <w:cantSplit/>
        </w:trPr>
        <w:tc>
          <w:tcPr>
            <w:tcW w:type="dxa" w:w="1928"/>
          </w:tcPr>
          <w:p>
            <w:r/>
            <w:r>
              <w:rPr>
                <w:color w:val="1A1D21"/>
                <w:sz w:val="17"/>
              </w:rPr>
              <w:t>The Egyptian pound devalues again</w:t>
            </w:r>
          </w:p>
        </w:tc>
        <w:tc>
          <w:tcPr>
            <w:tcW w:type="dxa" w:w="2608"/>
          </w:tcPr>
          <w:p>
            <w:r/>
            <w:r>
              <w:rPr>
                <w:color w:val="1A1D21"/>
                <w:sz w:val="17"/>
              </w:rPr>
              <w:t>four step devaluations since 2016; the cost base and the customer's capacity to pay both move</w:t>
            </w:r>
          </w:p>
        </w:tc>
        <w:tc>
          <w:tcPr>
            <w:tcW w:type="dxa" w:w="2041"/>
          </w:tcPr>
          <w:p>
            <w:r/>
            <w:r>
              <w:rPr>
                <w:color w:val="1A1D21"/>
                <w:sz w:val="17"/>
              </w:rPr>
              <w:t>the discount rate, and the testing of this method against the company's own history, which finds the country-level share of the historical error small</w:t>
            </w:r>
          </w:p>
        </w:tc>
        <w:tc>
          <w:tcPr>
            <w:tcW w:type="dxa" w:w="2381"/>
          </w:tcPr>
          <w:p>
            <w:r/>
            <w:r>
              <w:rPr>
                <w:color w:val="1A1D21"/>
                <w:sz w:val="17"/>
              </w:rPr>
              <w:t>a sustained period of currency stability</w:t>
            </w:r>
          </w:p>
        </w:tc>
      </w:tr>
      <w:tr>
        <w:trPr>
          <w:cantSplit/>
        </w:trPr>
        <w:tc>
          <w:tcPr>
            <w:tcW w:type="dxa" w:w="1928"/>
          </w:tcPr>
          <w:p>
            <w:r/>
            <w:r>
              <w:rPr>
                <w:color w:val="1A1D21"/>
                <w:sz w:val="17"/>
              </w:rPr>
              <w:t>Cash strain if handovers accelerate</w:t>
            </w:r>
          </w:p>
        </w:tc>
        <w:tc>
          <w:tcPr>
            <w:tcW w:type="dxa" w:w="2608"/>
          </w:tcPr>
          <w:p>
            <w:r/>
            <w:r>
              <w:rPr>
                <w:color w:val="1A1D21"/>
                <w:sz w:val="17"/>
              </w:rPr>
              <w:t>a developer that accelerates handovers builds before it collects; the faster reading goes cash-negative from FY2030 and needs funding</w:t>
            </w:r>
          </w:p>
        </w:tc>
        <w:tc>
          <w:tcPr>
            <w:tcW w:type="dxa" w:w="2041"/>
          </w:tcPr>
          <w:p>
            <w:r/>
            <w:r>
              <w:rPr>
                <w:color w:val="1A1D21"/>
                <w:sz w:val="17"/>
              </w:rPr>
              <w:t>the faster-conversion reading's own cash-flow statement, A.3</w:t>
            </w:r>
          </w:p>
        </w:tc>
        <w:tc>
          <w:tcPr>
            <w:tcW w:type="dxa" w:w="2381"/>
          </w:tcPr>
          <w:p>
            <w:r/>
            <w:r>
              <w:rPr>
                <w:color w:val="1A1D21"/>
                <w:sz w:val="17"/>
              </w:rPr>
              <w:t>shorter payment plans, or pre-sales collected earlier</w:t>
            </w:r>
          </w:p>
        </w:tc>
      </w:tr>
      <w:tr>
        <w:trPr>
          <w:cantSplit/>
        </w:trPr>
        <w:tc>
          <w:tcPr>
            <w:tcW w:type="dxa" w:w="1928"/>
          </w:tcPr>
          <w:p>
            <w:r/>
            <w:r>
              <w:rPr>
                <w:color w:val="1A1D21"/>
                <w:sz w:val="17"/>
              </w:rPr>
              <w:t>The Saudi leg is recognised on a different clock</w:t>
            </w:r>
          </w:p>
        </w:tc>
        <w:tc>
          <w:tcPr>
            <w:tcW w:type="dxa" w:w="2608"/>
          </w:tcPr>
          <w:p>
            <w:r/>
            <w:r>
              <w:rPr>
                <w:color w:val="1A1D21"/>
                <w:sz w:val="17"/>
              </w:rPr>
              <w:t>Banan is percentage-of-completion under EAS 48 while the Egyptian book is point-in-time; it is already 52.5% of segment revenue by 1H2026</w:t>
            </w:r>
          </w:p>
        </w:tc>
        <w:tc>
          <w:tcPr>
            <w:tcW w:type="dxa" w:w="2041"/>
          </w:tcPr>
          <w:p>
            <w:r/>
            <w:r>
              <w:rPr>
                <w:color w:val="1A1D21"/>
                <w:sz w:val="17"/>
              </w:rPr>
              <w:t>flagged, and excluded from the conversion-rate history</w:t>
            </w:r>
          </w:p>
        </w:tc>
        <w:tc>
          <w:tcPr>
            <w:tcW w:type="dxa" w:w="2381"/>
          </w:tcPr>
          <w:p>
            <w:r/>
            <w:r>
              <w:rPr>
                <w:color w:val="1A1D21"/>
                <w:sz w:val="17"/>
              </w:rPr>
              <w:t>a geographic segment note</w:t>
            </w:r>
          </w:p>
        </w:tc>
      </w:tr>
      <w:tr>
        <w:trPr>
          <w:cantSplit/>
        </w:trPr>
        <w:tc>
          <w:tcPr>
            <w:tcW w:type="dxa" w:w="1928"/>
          </w:tcPr>
          <w:p>
            <w:r/>
            <w:r>
              <w:rPr>
                <w:color w:val="1A1D21"/>
                <w:sz w:val="17"/>
              </w:rPr>
              <w:t>Finance cost is not what it appears</w:t>
            </w:r>
          </w:p>
        </w:tc>
        <w:tc>
          <w:tcPr>
            <w:tcW w:type="dxa" w:w="2608"/>
          </w:tcPr>
          <w:p>
            <w:r/>
            <w:r>
              <w:rPr>
                <w:color w:val="1A1D21"/>
                <w:sz w:val="17"/>
              </w:rPr>
              <w:t>the reported charge implies 44% on interest-bearing debt against a policy rate that peaked near 27.25%; the excess is contract-financing unwind that the statements do not split out</w:t>
            </w:r>
          </w:p>
        </w:tc>
        <w:tc>
          <w:tcPr>
            <w:tcW w:type="dxa" w:w="2041"/>
          </w:tcPr>
          <w:p>
            <w:r/>
            <w:r>
              <w:rPr>
                <w:color w:val="1A1D21"/>
                <w:sz w:val="17"/>
              </w:rPr>
              <w:t>recorded as a gap; a correction for this line was tested and deliberately not adopted, for the reason given in section 1.6</w:t>
            </w:r>
          </w:p>
        </w:tc>
        <w:tc>
          <w:tcPr>
            <w:tcW w:type="dxa" w:w="2381"/>
          </w:tcPr>
          <w:p>
            <w:r/>
            <w:r>
              <w:rPr>
                <w:color w:val="1A1D21"/>
                <w:sz w:val="17"/>
              </w:rPr>
              <w:t>the split, or a disclosed average borrowing rate</w:t>
            </w:r>
          </w:p>
        </w:tc>
      </w:tr>
    </w:tbl>
    <w:p>
      <w:pPr>
        <w:spacing w:after="80"/>
      </w:pPr>
      <w:r>
        <w:rPr>
          <w:b w:val="0"/>
          <w:i w:val="0"/>
          <w:color w:val="1A1D21"/>
          <w:sz w:val="8"/>
        </w:rPr>
      </w:r>
    </w:p>
    <w:p>
      <w:pPr>
        <w:pStyle w:val="Heading2"/>
      </w:pPr>
      <w:r>
        <w:t>B.3 Questions this study asked</w:t>
      </w:r>
    </w:p>
    <w:tbl>
      <w:tblPr>
        <w:tblStyle w:val="TableGrid"/>
        <w:tblW w:type="auto" w:w="0"/>
        <w:jc w:val="center"/>
        <w:tblLayout w:type="fixed"/>
        <w:tblLook w:firstColumn="1" w:firstRow="1" w:lastColumn="0" w:lastRow="0" w:noHBand="0" w:noVBand="1" w:val="04A0"/>
        <w:tblLayout w:type="fixed"/>
      </w:tblPr>
      <w:tblGrid>
        <w:gridCol w:w="3402"/>
        <w:gridCol w:w="2835"/>
        <w:gridCol w:w="2608"/>
      </w:tblGrid>
      <w:tr>
        <w:trPr>
          <w:tblHeader w:val="true"/>
        </w:trPr>
        <w:tc>
          <w:tcPr>
            <w:tcW w:type="dxa" w:w="3402"/>
          </w:tcPr>
          <w:p>
            <w:r/>
            <w:r>
              <w:rPr>
                <w:b/>
                <w:color w:val="5B6570"/>
                <w:sz w:val="17"/>
              </w:rPr>
              <w:t>Question</w:t>
            </w:r>
          </w:p>
        </w:tc>
        <w:tc>
          <w:tcPr>
            <w:tcW w:type="dxa" w:w="2835"/>
          </w:tcPr>
          <w:p>
            <w:r/>
            <w:r>
              <w:rPr>
                <w:b/>
                <w:color w:val="5B6570"/>
                <w:sz w:val="17"/>
              </w:rPr>
              <w:t>Answered?</w:t>
            </w:r>
          </w:p>
        </w:tc>
        <w:tc>
          <w:tcPr>
            <w:tcW w:type="dxa" w:w="2608"/>
          </w:tcPr>
          <w:p>
            <w:r/>
            <w:r>
              <w:rPr>
                <w:b/>
                <w:color w:val="5B6570"/>
                <w:sz w:val="17"/>
              </w:rPr>
              <w:t>Where</w:t>
            </w:r>
          </w:p>
        </w:tc>
      </w:tr>
      <w:tr>
        <w:trPr>
          <w:cantSplit/>
        </w:trPr>
        <w:tc>
          <w:tcPr>
            <w:tcW w:type="dxa" w:w="3402"/>
          </w:tcPr>
          <w:p>
            <w:r/>
            <w:r>
              <w:rPr>
                <w:color w:val="1A1D21"/>
                <w:sz w:val="17"/>
              </w:rPr>
              <w:t>How fast does the disclosed order book actually convert?</w:t>
            </w:r>
          </w:p>
        </w:tc>
        <w:tc>
          <w:tcPr>
            <w:tcW w:type="dxa" w:w="2835"/>
          </w:tcPr>
          <w:p>
            <w:r/>
            <w:r>
              <w:rPr>
                <w:color w:val="1A1D21"/>
                <w:sz w:val="17"/>
              </w:rPr>
              <w:t>partly — the conversion rate is computable from disclosed backlog and revenue, but the forward schedule is not published</w:t>
            </w:r>
          </w:p>
        </w:tc>
        <w:tc>
          <w:tcPr>
            <w:tcW w:type="dxa" w:w="2608"/>
          </w:tcPr>
          <w:p>
            <w:r/>
            <w:r>
              <w:rPr>
                <w:color w:val="1A1D21"/>
                <w:sz w:val="17"/>
              </w:rPr>
              <w:t>sections 1.6 and 1.7</w:t>
            </w:r>
          </w:p>
        </w:tc>
      </w:tr>
      <w:tr>
        <w:trPr>
          <w:cantSplit/>
        </w:trPr>
        <w:tc>
          <w:tcPr>
            <w:tcW w:type="dxa" w:w="3402"/>
          </w:tcPr>
          <w:p>
            <w:r/>
            <w:r>
              <w:rPr>
                <w:color w:val="1A1D21"/>
                <w:sz w:val="17"/>
              </w:rPr>
              <w:t>What is TMG's economic share of each project company?</w:t>
            </w:r>
          </w:p>
        </w:tc>
        <w:tc>
          <w:tcPr>
            <w:tcW w:type="dxa" w:w="2835"/>
          </w:tcPr>
          <w:p>
            <w:r/>
            <w:r>
              <w:rPr>
                <w:color w:val="1A1D21"/>
                <w:sz w:val="17"/>
              </w:rPr>
              <w:t>no</w:t>
            </w:r>
          </w:p>
        </w:tc>
        <w:tc>
          <w:tcPr>
            <w:tcW w:type="dxa" w:w="2608"/>
          </w:tcPr>
          <w:p>
            <w:r/>
            <w:r>
              <w:rPr>
                <w:color w:val="1A1D21"/>
                <w:sz w:val="17"/>
              </w:rPr>
              <w:t>recorded as the study's second gap</w:t>
            </w:r>
          </w:p>
        </w:tc>
      </w:tr>
      <w:tr>
        <w:trPr>
          <w:cantSplit/>
        </w:trPr>
        <w:tc>
          <w:tcPr>
            <w:tcW w:type="dxa" w:w="3402"/>
          </w:tcPr>
          <w:p>
            <w:r/>
            <w:r>
              <w:rPr>
                <w:color w:val="1A1D21"/>
                <w:sz w:val="17"/>
              </w:rPr>
              <w:t>What does TMG pay on its borrowings?</w:t>
            </w:r>
          </w:p>
        </w:tc>
        <w:tc>
          <w:tcPr>
            <w:tcW w:type="dxa" w:w="2835"/>
          </w:tcPr>
          <w:p>
            <w:r/>
            <w:r>
              <w:rPr>
                <w:color w:val="1A1D21"/>
                <w:sz w:val="17"/>
              </w:rPr>
              <w:t>no — no facility pricing appears in any statement or release held</w:t>
            </w:r>
          </w:p>
        </w:tc>
        <w:tc>
          <w:tcPr>
            <w:tcW w:type="dxa" w:w="2608"/>
          </w:tcPr>
          <w:p>
            <w:r/>
            <w:r>
              <w:rPr>
                <w:color w:val="1A1D21"/>
                <w:sz w:val="17"/>
              </w:rPr>
              <w:t>the accompanying source document</w:t>
            </w:r>
          </w:p>
        </w:tc>
      </w:tr>
      <w:tr>
        <w:trPr>
          <w:cantSplit/>
        </w:trPr>
        <w:tc>
          <w:tcPr>
            <w:tcW w:type="dxa" w:w="3402"/>
          </w:tcPr>
          <w:p>
            <w:r/>
            <w:r>
              <w:rPr>
                <w:color w:val="1A1D21"/>
                <w:sz w:val="17"/>
              </w:rPr>
              <w:t>What are the unit economics — area, price per sqm, cost per sqm?</w:t>
            </w:r>
          </w:p>
        </w:tc>
        <w:tc>
          <w:tcPr>
            <w:tcW w:type="dxa" w:w="2835"/>
          </w:tcPr>
          <w:p>
            <w:r/>
            <w:r>
              <w:rPr>
                <w:color w:val="1A1D21"/>
                <w:sz w:val="17"/>
              </w:rPr>
              <w:t>no — unit counts appear occasionally and never as a series</w:t>
            </w:r>
          </w:p>
        </w:tc>
        <w:tc>
          <w:tcPr>
            <w:tcW w:type="dxa" w:w="2608"/>
          </w:tcPr>
          <w:p>
            <w:r/>
            <w:r>
              <w:rPr>
                <w:color w:val="1A1D21"/>
                <w:sz w:val="17"/>
              </w:rPr>
              <w:t>the accompanying source document, under what is not disclosed</w:t>
            </w:r>
          </w:p>
        </w:tc>
      </w:tr>
      <w:tr>
        <w:trPr>
          <w:cantSplit/>
        </w:trPr>
        <w:tc>
          <w:tcPr>
            <w:tcW w:type="dxa" w:w="3402"/>
          </w:tcPr>
          <w:p>
            <w:r/>
            <w:r>
              <w:rPr>
                <w:color w:val="1A1D21"/>
                <w:sz w:val="17"/>
              </w:rPr>
              <w:t>How has this method actually performed on this company's history?</w:t>
            </w:r>
          </w:p>
        </w:tc>
        <w:tc>
          <w:tcPr>
            <w:tcW w:type="dxa" w:w="2835"/>
          </w:tcPr>
          <w:p>
            <w:r/>
            <w:r>
              <w:rPr>
                <w:color w:val="1A1D21"/>
                <w:sz w:val="17"/>
              </w:rPr>
              <w:t>yes — measured, per driver, over ten origins</w:t>
            </w:r>
          </w:p>
        </w:tc>
        <w:tc>
          <w:tcPr>
            <w:tcW w:type="dxa" w:w="2608"/>
          </w:tcPr>
          <w:p>
            <w:r/>
            <w:r>
              <w:rPr>
                <w:color w:val="1A1D21"/>
                <w:sz w:val="17"/>
              </w:rPr>
              <w:t>measured against the company's own history and reported in sections 1.6 and 1.9</w:t>
            </w:r>
          </w:p>
        </w:tc>
      </w:tr>
    </w:tbl>
    <w:p>
      <w:pPr>
        <w:spacing w:after="80"/>
      </w:pPr>
      <w:r>
        <w:rPr>
          <w:b w:val="0"/>
          <w:i w:val="0"/>
          <w:color w:val="1A1D21"/>
          <w:sz w:val="8"/>
        </w:rPr>
      </w:r>
    </w:p>
    <w:p>
      <w:r>
        <w:br w:type="page"/>
      </w:r>
    </w:p>
    <w:p>
      <w:pPr>
        <w:pStyle w:val="Heading1"/>
      </w:pPr>
      <w:r>
        <w:t>Appendix C — three ways of valuing this company</w:t>
      </w:r>
    </w:p>
    <w:p>
      <w:pPr>
        <w:spacing w:after="140"/>
      </w:pPr>
      <w:r>
        <w:rPr>
          <w:b w:val="0"/>
          <w:i w:val="0"/>
          <w:color w:val="1A1D21"/>
          <w:sz w:val="20"/>
        </w:rPr>
        <w:t>Three independent methods, applied to the same disclosed facts by people who would not agree with one another. Each shows its workings in full, names the sensitivity that would move it most, and states in advance what would prove it wrong.</w:t>
      </w:r>
    </w:p>
    <w:p>
      <w:pPr>
        <w:pStyle w:val="Heading2"/>
      </w:pPr>
      <w:r>
        <w:t>C.1 Expert 1 — the order book as a receivable stream</w:t>
      </w:r>
    </w:p>
    <w:p>
      <w:pPr>
        <w:spacing w:after="140"/>
      </w:pPr>
      <w:r>
        <w:rPr>
          <w:b w:val="0"/>
          <w:i w:val="0"/>
          <w:color w:val="1A1D21"/>
          <w:sz w:val="20"/>
        </w:rPr>
        <w:t>A developer selling off-plan on multi-year payment plans is, in cash terms, running a receivables book against a construction obligation. Value it the way a lender would: what is still owed, less what is still to be spent, less the overhead and tax of getting there, over the period it actually takes.</w:t>
      </w:r>
    </w:p>
    <w:p>
      <w:pPr>
        <w:spacing w:after="140"/>
      </w:pPr>
      <w:r>
        <w:rPr>
          <w:b w:val="0"/>
          <w:i w:val="0"/>
          <w:color w:val="1A1D21"/>
          <w:sz w:val="20"/>
        </w:rPr>
        <w:t>When it works: When the book is large, the payment terms are disclosed and the construction obligation is well understood — which is TMG's case.</w:t>
      </w:r>
    </w:p>
    <w:p>
      <w:pPr>
        <w:spacing w:after="140"/>
      </w:pPr>
      <w:r>
        <w:rPr>
          <w:b w:val="0"/>
          <w:i w:val="0"/>
          <w:color w:val="1A1D21"/>
          <w:sz w:val="20"/>
        </w:rPr>
        <w:t>When it fails: When cancellations are material or the plans reprice. It also ignores everything the company has not yet sold, so it systematically undervalues a business with a live landbank.</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Disclosed order book, 30 June 2026</w:t>
            </w:r>
          </w:p>
        </w:tc>
        <w:tc>
          <w:tcPr>
            <w:tcW w:type="dxa" w:w="2494"/>
          </w:tcPr>
          <w:p>
            <w:pPr>
              <w:jc w:val="right"/>
            </w:pPr>
            <w:r/>
            <w:r>
              <w:rPr>
                <w:color w:val="1A1D21"/>
                <w:sz w:val="17"/>
              </w:rPr>
              <w:t>491,000</w:t>
            </w:r>
          </w:p>
        </w:tc>
      </w:tr>
      <w:tr>
        <w:trPr>
          <w:cantSplit/>
        </w:trPr>
        <w:tc>
          <w:tcPr>
            <w:tcW w:type="dxa" w:w="6236"/>
          </w:tcPr>
          <w:p>
            <w:r/>
            <w:r>
              <w:rPr>
                <w:color w:val="1A1D21"/>
                <w:sz w:val="17"/>
              </w:rPr>
              <w:t>less customer advances already collected</w:t>
            </w:r>
          </w:p>
        </w:tc>
        <w:tc>
          <w:tcPr>
            <w:tcW w:type="dxa" w:w="2494"/>
          </w:tcPr>
          <w:p>
            <w:pPr>
              <w:jc w:val="right"/>
            </w:pPr>
            <w:r/>
            <w:r>
              <w:rPr>
                <w:color w:val="1A1D21"/>
                <w:sz w:val="17"/>
              </w:rPr>
              <w:t>-133,993</w:t>
            </w:r>
          </w:p>
        </w:tc>
      </w:tr>
      <w:tr>
        <w:trPr>
          <w:cantSplit/>
        </w:trPr>
        <w:tc>
          <w:tcPr>
            <w:tcW w:type="dxa" w:w="6236"/>
          </w:tcPr>
          <w:p>
            <w:r/>
            <w:r>
              <w:rPr>
                <w:color w:val="1A1D21"/>
                <w:sz w:val="17"/>
              </w:rPr>
              <w:t>= cash still to collect on the book</w:t>
            </w:r>
          </w:p>
        </w:tc>
        <w:tc>
          <w:tcPr>
            <w:tcW w:type="dxa" w:w="2494"/>
          </w:tcPr>
          <w:p>
            <w:pPr>
              <w:jc w:val="right"/>
            </w:pPr>
            <w:r/>
            <w:r>
              <w:rPr>
                <w:color w:val="1A1D21"/>
                <w:sz w:val="17"/>
              </w:rPr>
              <w:t>357,007</w:t>
            </w:r>
          </w:p>
        </w:tc>
      </w:tr>
      <w:tr>
        <w:trPr>
          <w:cantSplit/>
        </w:trPr>
        <w:tc>
          <w:tcPr>
            <w:tcW w:type="dxa" w:w="6236"/>
          </w:tcPr>
          <w:p>
            <w:r/>
            <w:r>
              <w:rPr>
                <w:color w:val="1A1D21"/>
                <w:sz w:val="17"/>
              </w:rPr>
              <w:t>Cost still to spend: book x (1 - gross margin)</w:t>
            </w:r>
          </w:p>
        </w:tc>
        <w:tc>
          <w:tcPr>
            <w:tcW w:type="dxa" w:w="2494"/>
          </w:tcPr>
          <w:p>
            <w:pPr>
              <w:jc w:val="right"/>
            </w:pPr>
            <w:r/>
            <w:r>
              <w:rPr>
                <w:color w:val="1A1D21"/>
                <w:sz w:val="17"/>
              </w:rPr>
              <w:t>360,497</w:t>
            </w:r>
          </w:p>
        </w:tc>
      </w:tr>
      <w:tr>
        <w:trPr>
          <w:cantSplit/>
        </w:trPr>
        <w:tc>
          <w:tcPr>
            <w:tcW w:type="dxa" w:w="6236"/>
          </w:tcPr>
          <w:p>
            <w:r/>
            <w:r>
              <w:rPr>
                <w:color w:val="1A1D21"/>
                <w:sz w:val="17"/>
              </w:rPr>
              <w:t>less properties under development already paid for</w:t>
            </w:r>
          </w:p>
        </w:tc>
        <w:tc>
          <w:tcPr>
            <w:tcW w:type="dxa" w:w="2494"/>
          </w:tcPr>
          <w:p>
            <w:pPr>
              <w:jc w:val="right"/>
            </w:pPr>
            <w:r/>
            <w:r>
              <w:rPr>
                <w:color w:val="1A1D21"/>
                <w:sz w:val="17"/>
              </w:rPr>
              <w:t>-148,315</w:t>
            </w:r>
          </w:p>
        </w:tc>
      </w:tr>
      <w:tr>
        <w:trPr>
          <w:cantSplit/>
        </w:trPr>
        <w:tc>
          <w:tcPr>
            <w:tcW w:type="dxa" w:w="6236"/>
          </w:tcPr>
          <w:p>
            <w:r/>
            <w:r>
              <w:rPr>
                <w:color w:val="1A1D21"/>
                <w:sz w:val="17"/>
              </w:rPr>
              <w:t>= cost still to spend</w:t>
            </w:r>
          </w:p>
        </w:tc>
        <w:tc>
          <w:tcPr>
            <w:tcW w:type="dxa" w:w="2494"/>
          </w:tcPr>
          <w:p>
            <w:pPr>
              <w:jc w:val="right"/>
            </w:pPr>
            <w:r/>
            <w:r>
              <w:rPr>
                <w:color w:val="1A1D21"/>
                <w:sz w:val="17"/>
              </w:rPr>
              <w:t>-212,182</w:t>
            </w:r>
          </w:p>
        </w:tc>
      </w:tr>
      <w:tr>
        <w:trPr>
          <w:cantSplit/>
        </w:trPr>
        <w:tc>
          <w:tcPr>
            <w:tcW w:type="dxa" w:w="6236"/>
          </w:tcPr>
          <w:p>
            <w:r/>
            <w:r>
              <w:rPr>
                <w:color w:val="1A1D21"/>
                <w:sz w:val="17"/>
              </w:rPr>
              <w:t>Overhead over the conversion, at the group ratio</w:t>
            </w:r>
          </w:p>
        </w:tc>
        <w:tc>
          <w:tcPr>
            <w:tcW w:type="dxa" w:w="2494"/>
          </w:tcPr>
          <w:p>
            <w:pPr>
              <w:jc w:val="right"/>
            </w:pPr>
            <w:r/>
            <w:r>
              <w:rPr>
                <w:color w:val="1A1D21"/>
                <w:sz w:val="17"/>
              </w:rPr>
              <w:t>-33,148</w:t>
            </w:r>
          </w:p>
        </w:tc>
      </w:tr>
      <w:tr>
        <w:trPr>
          <w:cantSplit/>
        </w:trPr>
        <w:tc>
          <w:tcPr>
            <w:tcW w:type="dxa" w:w="6236"/>
          </w:tcPr>
          <w:p>
            <w:r/>
            <w:r>
              <w:rPr>
                <w:color w:val="1A1D21"/>
                <w:sz w:val="17"/>
              </w:rPr>
              <w:t>Tax on the book's accounting margin</w:t>
            </w:r>
          </w:p>
        </w:tc>
        <w:tc>
          <w:tcPr>
            <w:tcW w:type="dxa" w:w="2494"/>
          </w:tcPr>
          <w:p>
            <w:pPr>
              <w:jc w:val="right"/>
            </w:pPr>
            <w:r/>
            <w:r>
              <w:rPr>
                <w:color w:val="1A1D21"/>
                <w:sz w:val="17"/>
              </w:rPr>
              <w:t>-21,905</w:t>
            </w:r>
          </w:p>
        </w:tc>
      </w:tr>
      <w:tr>
        <w:trPr>
          <w:cantSplit/>
        </w:trPr>
        <w:tc>
          <w:tcPr>
            <w:tcW w:type="dxa" w:w="6236"/>
          </w:tcPr>
          <w:p>
            <w:r/>
            <w:r>
              <w:rPr>
                <w:color w:val="1A1D21"/>
                <w:sz w:val="17"/>
              </w:rPr>
              <w:t>= net cash from converting the book</w:t>
            </w:r>
          </w:p>
        </w:tc>
        <w:tc>
          <w:tcPr>
            <w:tcW w:type="dxa" w:w="2494"/>
          </w:tcPr>
          <w:p>
            <w:pPr>
              <w:jc w:val="right"/>
            </w:pPr>
            <w:r/>
            <w:r>
              <w:rPr>
                <w:color w:val="1A1D21"/>
                <w:sz w:val="17"/>
              </w:rPr>
              <w:t>89,772</w:t>
            </w:r>
          </w:p>
        </w:tc>
      </w:tr>
      <w:tr>
        <w:trPr>
          <w:cantSplit/>
        </w:trPr>
        <w:tc>
          <w:tcPr>
            <w:tcW w:type="dxa" w:w="6236"/>
          </w:tcPr>
          <w:p>
            <w:r/>
            <w:r>
              <w:rPr>
                <w:color w:val="1A1D21"/>
                <w:sz w:val="17"/>
              </w:rPr>
              <w:t>Spread over 12 years and discounted at 35.79%</w:t>
            </w:r>
          </w:p>
        </w:tc>
        <w:tc>
          <w:tcPr>
            <w:tcW w:type="dxa" w:w="2494"/>
          </w:tcPr>
          <w:p>
            <w:pPr>
              <w:jc w:val="right"/>
            </w:pPr>
            <w:r/>
            <w:r>
              <w:rPr>
                <w:color w:val="1A1D21"/>
                <w:sz w:val="17"/>
              </w:rPr>
              <w:t>20,369</w:t>
            </w:r>
          </w:p>
        </w:tc>
      </w:tr>
      <w:tr>
        <w:trPr>
          <w:cantSplit/>
        </w:trPr>
        <w:tc>
          <w:tcPr>
            <w:tcW w:type="dxa" w:w="6236"/>
          </w:tcPr>
          <w:p>
            <w:r/>
            <w:r>
              <w:rPr>
                <w:color w:val="1A1D21"/>
                <w:sz w:val="17"/>
              </w:rPr>
              <w:t>Recurring operating profit, FY2025</w:t>
            </w:r>
          </w:p>
        </w:tc>
        <w:tc>
          <w:tcPr>
            <w:tcW w:type="dxa" w:w="2494"/>
          </w:tcPr>
          <w:p>
            <w:pPr>
              <w:jc w:val="right"/>
            </w:pPr>
            <w:r/>
            <w:r>
              <w:rPr>
                <w:color w:val="1A1D21"/>
                <w:sz w:val="17"/>
              </w:rPr>
              <w:t>9,054</w:t>
            </w:r>
          </w:p>
        </w:tc>
      </w:tr>
      <w:tr>
        <w:trPr>
          <w:cantSplit/>
        </w:trPr>
        <w:tc>
          <w:tcPr>
            <w:tcW w:type="dxa" w:w="6236"/>
          </w:tcPr>
          <w:p>
            <w:r/>
            <w:r>
              <w:rPr>
                <w:color w:val="1A1D21"/>
                <w:sz w:val="17"/>
              </w:rPr>
              <w:t>Recurring legs at 6x that profit</w:t>
            </w:r>
          </w:p>
        </w:tc>
        <w:tc>
          <w:tcPr>
            <w:tcW w:type="dxa" w:w="2494"/>
          </w:tcPr>
          <w:p>
            <w:pPr>
              <w:jc w:val="right"/>
            </w:pPr>
            <w:r/>
            <w:r>
              <w:rPr>
                <w:color w:val="1A1D21"/>
                <w:sz w:val="17"/>
              </w:rPr>
              <w:t>54,324</w:t>
            </w:r>
          </w:p>
        </w:tc>
      </w:tr>
      <w:tr>
        <w:trPr>
          <w:cantSplit/>
        </w:trPr>
        <w:tc>
          <w:tcPr>
            <w:tcW w:type="dxa" w:w="6236"/>
          </w:tcPr>
          <w:p>
            <w:r/>
            <w:r>
              <w:rPr>
                <w:color w:val="1A1D21"/>
                <w:sz w:val="17"/>
              </w:rPr>
              <w:t>plus net cash and investment property</w:t>
            </w:r>
          </w:p>
        </w:tc>
        <w:tc>
          <w:tcPr>
            <w:tcW w:type="dxa" w:w="2494"/>
          </w:tcPr>
          <w:p>
            <w:pPr>
              <w:jc w:val="right"/>
            </w:pPr>
            <w:r/>
            <w:r>
              <w:rPr>
                <w:color w:val="1A1D21"/>
                <w:sz w:val="17"/>
              </w:rPr>
              <w:t>84,508</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83,549</w:t>
            </w:r>
          </w:p>
        </w:tc>
      </w:tr>
    </w:tbl>
    <w:p>
      <w:pPr>
        <w:spacing w:after="80"/>
      </w:pPr>
      <w:r>
        <w:rPr>
          <w:b w:val="0"/>
          <w:i w:val="0"/>
          <w:color w:val="1A1D21"/>
          <w:sz w:val="8"/>
        </w:rPr>
      </w:r>
    </w:p>
    <w:p>
      <w:pPr>
        <w:spacing w:after="140"/>
      </w:pPr>
      <w:r>
        <w:rPr>
          <w:b/>
          <w:i w:val="0"/>
          <w:color w:val="1A1D21"/>
          <w:sz w:val="20"/>
        </w:rPr>
        <w:t>Value per share: EGP 40.54</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The conversion period</w:t>
            </w:r>
          </w:p>
        </w:tc>
        <w:tc>
          <w:tcPr>
            <w:tcW w:type="dxa" w:w="2268"/>
          </w:tcPr>
          <w:p>
            <w:r/>
            <w:r>
              <w:rPr>
                <w:b/>
                <w:color w:val="5B6570"/>
                <w:sz w:val="17"/>
              </w:rPr>
              <w:t>EGP per share</w:t>
            </w:r>
          </w:p>
        </w:tc>
      </w:tr>
      <w:tr>
        <w:trPr>
          <w:cantSplit/>
        </w:trPr>
        <w:tc>
          <w:tcPr>
            <w:tcW w:type="dxa" w:w="3969"/>
          </w:tcPr>
          <w:p>
            <w:r/>
            <w:r>
              <w:rPr>
                <w:color w:val="1A1D21"/>
                <w:sz w:val="17"/>
              </w:rPr>
              <w:t>8</w:t>
            </w:r>
          </w:p>
        </w:tc>
        <w:tc>
          <w:tcPr>
            <w:tcW w:type="dxa" w:w="2268"/>
          </w:tcPr>
          <w:p>
            <w:pPr>
              <w:jc w:val="right"/>
            </w:pPr>
            <w:r/>
            <w:r>
              <w:rPr>
                <w:color w:val="1A1D21"/>
                <w:sz w:val="17"/>
              </w:rPr>
              <w:t>44.56</w:t>
            </w:r>
          </w:p>
        </w:tc>
      </w:tr>
      <w:tr>
        <w:trPr>
          <w:cantSplit/>
        </w:trPr>
        <w:tc>
          <w:tcPr>
            <w:tcW w:type="dxa" w:w="3969"/>
          </w:tcPr>
          <w:p>
            <w:r/>
            <w:r>
              <w:rPr>
                <w:color w:val="1A1D21"/>
                <w:sz w:val="17"/>
              </w:rPr>
              <w:t>10</w:t>
            </w:r>
          </w:p>
        </w:tc>
        <w:tc>
          <w:tcPr>
            <w:tcW w:type="dxa" w:w="2268"/>
          </w:tcPr>
          <w:p>
            <w:pPr>
              <w:jc w:val="right"/>
            </w:pPr>
            <w:r/>
            <w:r>
              <w:rPr>
                <w:color w:val="1A1D21"/>
                <w:sz w:val="17"/>
              </w:rPr>
              <w:t>42.26</w:t>
            </w:r>
          </w:p>
        </w:tc>
      </w:tr>
      <w:tr>
        <w:trPr>
          <w:cantSplit/>
        </w:trPr>
        <w:tc>
          <w:tcPr>
            <w:tcW w:type="dxa" w:w="3969"/>
          </w:tcPr>
          <w:p>
            <w:r/>
            <w:r>
              <w:rPr>
                <w:color w:val="1A1D21"/>
                <w:sz w:val="17"/>
              </w:rPr>
              <w:t>12</w:t>
            </w:r>
          </w:p>
        </w:tc>
        <w:tc>
          <w:tcPr>
            <w:tcW w:type="dxa" w:w="2268"/>
          </w:tcPr>
          <w:p>
            <w:pPr>
              <w:jc w:val="right"/>
            </w:pPr>
            <w:r/>
            <w:r>
              <w:rPr>
                <w:color w:val="1A1D21"/>
                <w:sz w:val="17"/>
              </w:rPr>
              <w:t>40.54</w:t>
            </w:r>
          </w:p>
        </w:tc>
      </w:tr>
      <w:tr>
        <w:trPr>
          <w:cantSplit/>
        </w:trPr>
        <w:tc>
          <w:tcPr>
            <w:tcW w:type="dxa" w:w="3969"/>
          </w:tcPr>
          <w:p>
            <w:r/>
            <w:r>
              <w:rPr>
                <w:color w:val="1A1D21"/>
                <w:sz w:val="17"/>
              </w:rPr>
              <w:t>14</w:t>
            </w:r>
          </w:p>
        </w:tc>
        <w:tc>
          <w:tcPr>
            <w:tcW w:type="dxa" w:w="2268"/>
          </w:tcPr>
          <w:p>
            <w:pPr>
              <w:jc w:val="right"/>
            </w:pPr>
            <w:r/>
            <w:r>
              <w:rPr>
                <w:color w:val="1A1D21"/>
                <w:sz w:val="17"/>
              </w:rPr>
              <w:t>39.23</w:t>
            </w:r>
          </w:p>
        </w:tc>
      </w:tr>
      <w:tr>
        <w:trPr>
          <w:cantSplit/>
        </w:trPr>
        <w:tc>
          <w:tcPr>
            <w:tcW w:type="dxa" w:w="3969"/>
          </w:tcPr>
          <w:p>
            <w:r/>
            <w:r>
              <w:rPr>
                <w:color w:val="1A1D21"/>
                <w:sz w:val="17"/>
              </w:rPr>
              <w:t>18</w:t>
            </w:r>
          </w:p>
        </w:tc>
        <w:tc>
          <w:tcPr>
            <w:tcW w:type="dxa" w:w="2268"/>
          </w:tcPr>
          <w:p>
            <w:pPr>
              <w:jc w:val="right"/>
            </w:pPr>
            <w:r/>
            <w:r>
              <w:rPr>
                <w:color w:val="1A1D21"/>
                <w:sz w:val="17"/>
              </w:rPr>
              <w:t>37.39</w:t>
            </w:r>
          </w:p>
        </w:tc>
      </w:tr>
    </w:tbl>
    <w:p>
      <w:pPr>
        <w:spacing w:after="80"/>
      </w:pPr>
      <w:r>
        <w:rPr>
          <w:b w:val="0"/>
          <w:i w:val="0"/>
          <w:color w:val="1A1D21"/>
          <w:sz w:val="8"/>
        </w:rPr>
      </w:r>
    </w:p>
    <w:p>
      <w:pPr>
        <w:spacing w:after="140"/>
      </w:pPr>
      <w:r>
        <w:rPr>
          <w:b w:val="0"/>
          <w:i/>
          <w:color w:val="1A1D21"/>
          <w:sz w:val="20"/>
        </w:rPr>
        <w:t>What would prove this wrong: If TMG discloses a delivery schedule showing the book converting materially faster than twelve years AND cancellations staying below 5%, this method's number is too low and I would withdraw it.</w:t>
      </w:r>
    </w:p>
    <w:p>
      <w:pPr>
        <w:pStyle w:val="Heading2"/>
      </w:pPr>
      <w:r>
        <w:t>C.2 Expert 2 — net asset value, goodwill excluded</w:t>
      </w:r>
    </w:p>
    <w:p>
      <w:pPr>
        <w:spacing w:after="140"/>
      </w:pPr>
      <w:r>
        <w:rPr>
          <w:b w:val="0"/>
          <w:i w:val="0"/>
          <w:color w:val="1A1D21"/>
          <w:sz w:val="20"/>
        </w:rPr>
        <w:t>A developer is a pile of land, half-built product and cash, against a stack of obligations. Count them at what the accounts say they cost or are worth, exclude goodwill because it is not an asset anyone can sell, and see what is left for the shareholder.</w:t>
      </w:r>
    </w:p>
    <w:p>
      <w:pPr>
        <w:spacing w:after="140"/>
      </w:pPr>
      <w:r>
        <w:rPr>
          <w:b w:val="0"/>
          <w:i w:val="0"/>
          <w:color w:val="1A1D21"/>
          <w:sz w:val="20"/>
        </w:rPr>
        <w:t>When it works: When the balance sheet is recent, audited and granular, and when land is carried near what it is worth. TMG's is all three.</w:t>
      </w:r>
    </w:p>
    <w:p>
      <w:pPr>
        <w:spacing w:after="140"/>
      </w:pPr>
      <w:r>
        <w:rPr>
          <w:b w:val="0"/>
          <w:i w:val="0"/>
          <w:color w:val="1A1D21"/>
          <w:sz w:val="20"/>
        </w:rPr>
        <w:t>When it fails: When land is carried at a historical cost decades out of date — which is a live concern here, since parts of the Madinaty and Rehab land were acquired long ago and TMG holds about 20 mn sqm. This method will then understate. It also gives no credit for the development margin still to be earned on the book.</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Total assets, 30 June 2026</w:t>
            </w:r>
          </w:p>
        </w:tc>
        <w:tc>
          <w:tcPr>
            <w:tcW w:type="dxa" w:w="2494"/>
          </w:tcPr>
          <w:p>
            <w:pPr>
              <w:jc w:val="right"/>
            </w:pPr>
            <w:r/>
            <w:r>
              <w:rPr>
                <w:color w:val="1A1D21"/>
                <w:sz w:val="17"/>
              </w:rPr>
              <w:t>477,898</w:t>
            </w:r>
          </w:p>
        </w:tc>
      </w:tr>
      <w:tr>
        <w:trPr>
          <w:cantSplit/>
        </w:trPr>
        <w:tc>
          <w:tcPr>
            <w:tcW w:type="dxa" w:w="6236"/>
          </w:tcPr>
          <w:p>
            <w:r/>
            <w:r>
              <w:rPr>
                <w:color w:val="1A1D21"/>
                <w:sz w:val="17"/>
              </w:rPr>
              <w:t>less goodwill — not an asset anyone can sell separately</w:t>
            </w:r>
          </w:p>
        </w:tc>
        <w:tc>
          <w:tcPr>
            <w:tcW w:type="dxa" w:w="2494"/>
          </w:tcPr>
          <w:p>
            <w:pPr>
              <w:jc w:val="right"/>
            </w:pPr>
            <w:r/>
            <w:r>
              <w:rPr>
                <w:color w:val="1A1D21"/>
                <w:sz w:val="17"/>
              </w:rPr>
              <w:t>-12,665</w:t>
            </w:r>
          </w:p>
        </w:tc>
      </w:tr>
      <w:tr>
        <w:trPr>
          <w:cantSplit/>
        </w:trPr>
        <w:tc>
          <w:tcPr>
            <w:tcW w:type="dxa" w:w="6236"/>
          </w:tcPr>
          <w:p>
            <w:r/>
            <w:r>
              <w:rPr>
                <w:color w:val="1A1D21"/>
                <w:sz w:val="17"/>
              </w:rPr>
              <w:t>less intangible assets</w:t>
            </w:r>
          </w:p>
        </w:tc>
        <w:tc>
          <w:tcPr>
            <w:tcW w:type="dxa" w:w="2494"/>
          </w:tcPr>
          <w:p>
            <w:pPr>
              <w:jc w:val="right"/>
            </w:pPr>
            <w:r/>
            <w:r>
              <w:rPr>
                <w:color w:val="1A1D21"/>
                <w:sz w:val="17"/>
              </w:rPr>
              <w:t>-85</w:t>
            </w:r>
          </w:p>
        </w:tc>
      </w:tr>
      <w:tr>
        <w:trPr>
          <w:cantSplit/>
        </w:trPr>
        <w:tc>
          <w:tcPr>
            <w:tcW w:type="dxa" w:w="6236"/>
          </w:tcPr>
          <w:p>
            <w:r/>
            <w:r>
              <w:rPr>
                <w:color w:val="1A1D21"/>
                <w:sz w:val="17"/>
              </w:rPr>
              <w:t>= tangible and financial assets</w:t>
            </w:r>
          </w:p>
        </w:tc>
        <w:tc>
          <w:tcPr>
            <w:tcW w:type="dxa" w:w="2494"/>
          </w:tcPr>
          <w:p>
            <w:pPr>
              <w:jc w:val="right"/>
            </w:pPr>
            <w:r/>
            <w:r>
              <w:rPr>
                <w:color w:val="1A1D21"/>
                <w:sz w:val="17"/>
              </w:rPr>
              <w:t>465,148</w:t>
            </w:r>
          </w:p>
        </w:tc>
      </w:tr>
      <w:tr>
        <w:trPr>
          <w:cantSplit/>
        </w:trPr>
        <w:tc>
          <w:tcPr>
            <w:tcW w:type="dxa" w:w="6236"/>
          </w:tcPr>
          <w:p>
            <w:r/>
            <w:r>
              <w:rPr>
                <w:color w:val="1A1D21"/>
                <w:sz w:val="17"/>
              </w:rPr>
              <w:t>Total liabilities</w:t>
            </w:r>
          </w:p>
        </w:tc>
        <w:tc>
          <w:tcPr>
            <w:tcW w:type="dxa" w:w="2494"/>
          </w:tcPr>
          <w:p>
            <w:pPr>
              <w:jc w:val="right"/>
            </w:pPr>
            <w:r/>
            <w:r>
              <w:rPr>
                <w:color w:val="1A1D21"/>
                <w:sz w:val="17"/>
              </w:rPr>
              <w:t>-310,574</w:t>
            </w:r>
          </w:p>
        </w:tc>
      </w:tr>
      <w:tr>
        <w:trPr>
          <w:cantSplit/>
        </w:trPr>
        <w:tc>
          <w:tcPr>
            <w:tcW w:type="dxa" w:w="6236"/>
          </w:tcPr>
          <w:p>
            <w:r/>
            <w:r>
              <w:rPr>
                <w:color w:val="1A1D21"/>
                <w:sz w:val="17"/>
              </w:rPr>
              <w:t xml:space="preserve">  of which customer advances — units owed, not money owed</w:t>
            </w:r>
          </w:p>
        </w:tc>
        <w:tc>
          <w:tcPr>
            <w:tcW w:type="dxa" w:w="2494"/>
          </w:tcPr>
          <w:p>
            <w:pPr>
              <w:jc w:val="right"/>
            </w:pPr>
            <w:r/>
            <w:r>
              <w:rPr>
                <w:color w:val="1A1D21"/>
                <w:sz w:val="17"/>
              </w:rPr>
              <w:t>-133,993</w:t>
            </w:r>
          </w:p>
        </w:tc>
      </w:tr>
      <w:tr>
        <w:trPr>
          <w:cantSplit/>
        </w:trPr>
        <w:tc>
          <w:tcPr>
            <w:tcW w:type="dxa" w:w="6236"/>
          </w:tcPr>
          <w:p>
            <w:r/>
            <w:r>
              <w:rPr>
                <w:color w:val="1A1D21"/>
                <w:sz w:val="17"/>
              </w:rPr>
              <w:t xml:space="preserve">  of which borrowings and leases</w:t>
            </w:r>
          </w:p>
        </w:tc>
        <w:tc>
          <w:tcPr>
            <w:tcW w:type="dxa" w:w="2494"/>
          </w:tcPr>
          <w:p>
            <w:pPr>
              <w:jc w:val="right"/>
            </w:pPr>
            <w:r/>
            <w:r>
              <w:rPr>
                <w:color w:val="1A1D21"/>
                <w:sz w:val="17"/>
              </w:rPr>
              <w:t>-17,007</w:t>
            </w:r>
          </w:p>
        </w:tc>
      </w:tr>
      <w:tr>
        <w:trPr>
          <w:cantSplit/>
        </w:trPr>
        <w:tc>
          <w:tcPr>
            <w:tcW w:type="dxa" w:w="6236"/>
          </w:tcPr>
          <w:p>
            <w:r/>
            <w:r>
              <w:rPr>
                <w:color w:val="1A1D21"/>
                <w:sz w:val="17"/>
              </w:rPr>
              <w:t>= net asset value, goodwill of 12,665 excluded</w:t>
            </w:r>
          </w:p>
        </w:tc>
        <w:tc>
          <w:tcPr>
            <w:tcW w:type="dxa" w:w="2494"/>
          </w:tcPr>
          <w:p>
            <w:pPr>
              <w:jc w:val="right"/>
            </w:pPr>
            <w:r/>
            <w:r>
              <w:rPr>
                <w:color w:val="1A1D21"/>
                <w:sz w:val="17"/>
              </w:rPr>
              <w:t>154,574</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78,921</w:t>
            </w:r>
          </w:p>
        </w:tc>
      </w:tr>
    </w:tbl>
    <w:p>
      <w:pPr>
        <w:spacing w:after="80"/>
      </w:pPr>
      <w:r>
        <w:rPr>
          <w:b w:val="0"/>
          <w:i w:val="0"/>
          <w:color w:val="1A1D21"/>
          <w:sz w:val="8"/>
        </w:rPr>
      </w:r>
    </w:p>
    <w:p>
      <w:pPr>
        <w:spacing w:after="140"/>
      </w:pPr>
      <w:r>
        <w:rPr>
          <w:b/>
          <w:i w:val="0"/>
          <w:color w:val="1A1D21"/>
          <w:sz w:val="20"/>
        </w:rPr>
        <w:t>Value per share: EGP 38.30</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An uplift on land and work in progress carried at historical cost</w:t>
            </w:r>
          </w:p>
        </w:tc>
        <w:tc>
          <w:tcPr>
            <w:tcW w:type="dxa" w:w="2268"/>
          </w:tcPr>
          <w:p>
            <w:r/>
            <w:r>
              <w:rPr>
                <w:b/>
                <w:color w:val="5B6570"/>
                <w:sz w:val="17"/>
              </w:rPr>
              <w:t>EGP per share</w:t>
            </w:r>
          </w:p>
        </w:tc>
      </w:tr>
      <w:tr>
        <w:trPr>
          <w:cantSplit/>
        </w:trPr>
        <w:tc>
          <w:tcPr>
            <w:tcW w:type="dxa" w:w="3969"/>
          </w:tcPr>
          <w:p>
            <w:r/>
            <w:r>
              <w:rPr>
                <w:color w:val="1A1D21"/>
                <w:sz w:val="17"/>
              </w:rPr>
              <w:t>+0%</w:t>
            </w:r>
          </w:p>
        </w:tc>
        <w:tc>
          <w:tcPr>
            <w:tcW w:type="dxa" w:w="2268"/>
          </w:tcPr>
          <w:p>
            <w:pPr>
              <w:jc w:val="right"/>
            </w:pPr>
            <w:r/>
            <w:r>
              <w:rPr>
                <w:color w:val="1A1D21"/>
                <w:sz w:val="17"/>
              </w:rPr>
              <w:t>38.30</w:t>
            </w:r>
          </w:p>
        </w:tc>
      </w:tr>
      <w:tr>
        <w:trPr>
          <w:cantSplit/>
        </w:trPr>
        <w:tc>
          <w:tcPr>
            <w:tcW w:type="dxa" w:w="3969"/>
          </w:tcPr>
          <w:p>
            <w:r/>
            <w:r>
              <w:rPr>
                <w:color w:val="1A1D21"/>
                <w:sz w:val="17"/>
              </w:rPr>
              <w:t>+25%</w:t>
            </w:r>
          </w:p>
        </w:tc>
        <w:tc>
          <w:tcPr>
            <w:tcW w:type="dxa" w:w="2268"/>
          </w:tcPr>
          <w:p>
            <w:pPr>
              <w:jc w:val="right"/>
            </w:pPr>
            <w:r/>
            <w:r>
              <w:rPr>
                <w:color w:val="1A1D21"/>
                <w:sz w:val="17"/>
              </w:rPr>
              <w:t>56.29</w:t>
            </w:r>
          </w:p>
        </w:tc>
      </w:tr>
      <w:tr>
        <w:trPr>
          <w:cantSplit/>
        </w:trPr>
        <w:tc>
          <w:tcPr>
            <w:tcW w:type="dxa" w:w="3969"/>
          </w:tcPr>
          <w:p>
            <w:r/>
            <w:r>
              <w:rPr>
                <w:color w:val="1A1D21"/>
                <w:sz w:val="17"/>
              </w:rPr>
              <w:t>+50%</w:t>
            </w:r>
          </w:p>
        </w:tc>
        <w:tc>
          <w:tcPr>
            <w:tcW w:type="dxa" w:w="2268"/>
          </w:tcPr>
          <w:p>
            <w:pPr>
              <w:jc w:val="right"/>
            </w:pPr>
            <w:r/>
            <w:r>
              <w:rPr>
                <w:color w:val="1A1D21"/>
                <w:sz w:val="17"/>
              </w:rPr>
              <w:t>74.29</w:t>
            </w:r>
          </w:p>
        </w:tc>
      </w:tr>
      <w:tr>
        <w:trPr>
          <w:cantSplit/>
        </w:trPr>
        <w:tc>
          <w:tcPr>
            <w:tcW w:type="dxa" w:w="3969"/>
          </w:tcPr>
          <w:p>
            <w:r/>
            <w:r>
              <w:rPr>
                <w:color w:val="1A1D21"/>
                <w:sz w:val="17"/>
              </w:rPr>
              <w:t>+100%</w:t>
            </w:r>
          </w:p>
        </w:tc>
        <w:tc>
          <w:tcPr>
            <w:tcW w:type="dxa" w:w="2268"/>
          </w:tcPr>
          <w:p>
            <w:pPr>
              <w:jc w:val="right"/>
            </w:pPr>
            <w:r/>
            <w:r>
              <w:rPr>
                <w:color w:val="1A1D21"/>
                <w:sz w:val="17"/>
              </w:rPr>
              <w:t>110.27</w:t>
            </w:r>
          </w:p>
        </w:tc>
      </w:tr>
    </w:tbl>
    <w:p>
      <w:pPr>
        <w:spacing w:after="80"/>
      </w:pPr>
      <w:r>
        <w:rPr>
          <w:b w:val="0"/>
          <w:i w:val="0"/>
          <w:color w:val="1A1D21"/>
          <w:sz w:val="8"/>
        </w:rPr>
      </w:r>
    </w:p>
    <w:p>
      <w:pPr>
        <w:spacing w:after="140"/>
      </w:pPr>
      <w:r>
        <w:rPr>
          <w:b w:val="0"/>
          <w:i/>
          <w:color w:val="1A1D21"/>
          <w:sz w:val="20"/>
        </w:rPr>
        <w:t>What would prove this wrong: If TMG revalued its development land to market and the uplift were immaterial, the historical-cost concern would be answered and this number would stand as it is rather than as a floor.</w:t>
      </w:r>
    </w:p>
    <w:p>
      <w:pPr>
        <w:pStyle w:val="Heading2"/>
      </w:pPr>
      <w:r>
        <w:t>C.3 Expert 3 — capitalise only what recurs</w:t>
      </w:r>
    </w:p>
    <w:p>
      <w:pPr>
        <w:spacing w:after="140"/>
      </w:pPr>
      <w:r>
        <w:rPr>
          <w:b w:val="0"/>
          <w:i w:val="0"/>
          <w:color w:val="1A1D21"/>
          <w:sz w:val="20"/>
        </w:rPr>
        <w:t>Development income is a wasting asset: every unit handed over is one that will never be handed over again, and the land behind it is finite. What a long-term owner is really buying is the hotels, the clubs, the retail and the community-services annuity. Capitalise that, add the cash, and treat the development book as an option you are not paying for.</w:t>
      </w:r>
    </w:p>
    <w:p>
      <w:pPr>
        <w:spacing w:after="140"/>
      </w:pPr>
      <w:r>
        <w:rPr>
          <w:b w:val="0"/>
          <w:i w:val="0"/>
          <w:color w:val="1A1D21"/>
          <w:sz w:val="20"/>
        </w:rPr>
        <w:t>When it works: When the recurring leg is large enough to stand alone. TMG's is: hospitality and other recurring income were EGP 26bn of revenue in FY2025, and the company's own 1H2026 release puts recurring streams at over half of group gross profit.</w:t>
      </w:r>
    </w:p>
    <w:p>
      <w:pPr>
        <w:spacing w:after="140"/>
      </w:pPr>
      <w:r>
        <w:rPr>
          <w:b w:val="0"/>
          <w:i w:val="0"/>
          <w:color w:val="1A1D21"/>
          <w:sz w:val="20"/>
        </w:rPr>
        <w:t>When it fails: When the development book is genuinely the asset — which, at EGP 491bn against a market capitalisation of EGP 202bn, is exactly the argument against this method here. It is deliberately the most conservative reading in the room.</w:t>
      </w:r>
    </w:p>
    <w:tbl>
      <w:tblPr>
        <w:tblStyle w:val="TableGrid"/>
        <w:tblW w:type="auto" w:w="0"/>
        <w:jc w:val="center"/>
        <w:tblLayout w:type="fixed"/>
        <w:tblLook w:firstColumn="1" w:firstRow="1" w:lastColumn="0" w:lastRow="0" w:noHBand="0" w:noVBand="1" w:val="04A0"/>
        <w:tblLayout w:type="fixed"/>
      </w:tblPr>
      <w:tblGrid>
        <w:gridCol w:w="6237"/>
        <w:gridCol w:w="2495"/>
      </w:tblGrid>
      <w:tr>
        <w:trPr>
          <w:tblHeader w:val="true"/>
        </w:trPr>
        <w:tc>
          <w:tcPr>
            <w:tcW w:type="dxa" w:w="6236"/>
          </w:tcPr>
          <w:p>
            <w:r/>
            <w:r>
              <w:rPr>
                <w:b/>
                <w:color w:val="5B6570"/>
                <w:sz w:val="17"/>
              </w:rPr>
              <w:t>Working</w:t>
            </w:r>
          </w:p>
        </w:tc>
        <w:tc>
          <w:tcPr>
            <w:tcW w:type="dxa" w:w="2494"/>
          </w:tcPr>
          <w:p>
            <w:r/>
            <w:r>
              <w:rPr>
                <w:b/>
                <w:color w:val="5B6570"/>
                <w:sz w:val="17"/>
              </w:rPr>
              <w:t>EGP million</w:t>
            </w:r>
          </w:p>
        </w:tc>
      </w:tr>
      <w:tr>
        <w:trPr>
          <w:cantSplit/>
        </w:trPr>
        <w:tc>
          <w:tcPr>
            <w:tcW w:type="dxa" w:w="6236"/>
          </w:tcPr>
          <w:p>
            <w:r/>
            <w:r>
              <w:rPr>
                <w:color w:val="1A1D21"/>
                <w:sz w:val="17"/>
              </w:rPr>
              <w:t>Hospitality revenue, FY2025</w:t>
            </w:r>
          </w:p>
        </w:tc>
        <w:tc>
          <w:tcPr>
            <w:tcW w:type="dxa" w:w="2494"/>
          </w:tcPr>
          <w:p>
            <w:pPr>
              <w:jc w:val="right"/>
            </w:pPr>
            <w:r/>
            <w:r>
              <w:rPr>
                <w:color w:val="1A1D21"/>
                <w:sz w:val="17"/>
              </w:rPr>
              <w:t>14,890</w:t>
            </w:r>
          </w:p>
        </w:tc>
      </w:tr>
      <w:tr>
        <w:trPr>
          <w:cantSplit/>
        </w:trPr>
        <w:tc>
          <w:tcPr>
            <w:tcW w:type="dxa" w:w="6236"/>
          </w:tcPr>
          <w:p>
            <w:r/>
            <w:r>
              <w:rPr>
                <w:color w:val="1A1D21"/>
                <w:sz w:val="17"/>
              </w:rPr>
              <w:t>Other recurring revenue, FY2025</w:t>
            </w:r>
          </w:p>
        </w:tc>
        <w:tc>
          <w:tcPr>
            <w:tcW w:type="dxa" w:w="2494"/>
          </w:tcPr>
          <w:p>
            <w:pPr>
              <w:jc w:val="right"/>
            </w:pPr>
            <w:r/>
            <w:r>
              <w:rPr>
                <w:color w:val="1A1D21"/>
                <w:sz w:val="17"/>
              </w:rPr>
              <w:t>10,900</w:t>
            </w:r>
          </w:p>
        </w:tc>
      </w:tr>
      <w:tr>
        <w:trPr>
          <w:cantSplit/>
        </w:trPr>
        <w:tc>
          <w:tcPr>
            <w:tcW w:type="dxa" w:w="6236"/>
          </w:tcPr>
          <w:p>
            <w:r/>
            <w:r>
              <w:rPr>
                <w:color w:val="1A1D21"/>
                <w:sz w:val="17"/>
              </w:rPr>
              <w:t>= recurring revenue</w:t>
            </w:r>
          </w:p>
        </w:tc>
        <w:tc>
          <w:tcPr>
            <w:tcW w:type="dxa" w:w="2494"/>
          </w:tcPr>
          <w:p>
            <w:pPr>
              <w:jc w:val="right"/>
            </w:pPr>
            <w:r/>
            <w:r>
              <w:rPr>
                <w:color w:val="1A1D21"/>
                <w:sz w:val="17"/>
              </w:rPr>
              <w:t>25,789</w:t>
            </w:r>
          </w:p>
        </w:tc>
      </w:tr>
      <w:tr>
        <w:trPr>
          <w:cantSplit/>
        </w:trPr>
        <w:tc>
          <w:tcPr>
            <w:tcW w:type="dxa" w:w="6236"/>
          </w:tcPr>
          <w:p>
            <w:r/>
            <w:r>
              <w:rPr>
                <w:color w:val="1A1D21"/>
                <w:sz w:val="17"/>
              </w:rPr>
              <w:t>Hospitality gross profit</w:t>
            </w:r>
          </w:p>
        </w:tc>
        <w:tc>
          <w:tcPr>
            <w:tcW w:type="dxa" w:w="2494"/>
          </w:tcPr>
          <w:p>
            <w:pPr>
              <w:jc w:val="right"/>
            </w:pPr>
            <w:r/>
            <w:r>
              <w:rPr>
                <w:color w:val="1A1D21"/>
                <w:sz w:val="17"/>
              </w:rPr>
              <w:t>7,089</w:t>
            </w:r>
          </w:p>
        </w:tc>
      </w:tr>
      <w:tr>
        <w:trPr>
          <w:cantSplit/>
        </w:trPr>
        <w:tc>
          <w:tcPr>
            <w:tcW w:type="dxa" w:w="6236"/>
          </w:tcPr>
          <w:p>
            <w:r/>
            <w:r>
              <w:rPr>
                <w:color w:val="1A1D21"/>
                <w:sz w:val="17"/>
              </w:rPr>
              <w:t>Other recurring gross profit</w:t>
            </w:r>
          </w:p>
        </w:tc>
        <w:tc>
          <w:tcPr>
            <w:tcW w:type="dxa" w:w="2494"/>
          </w:tcPr>
          <w:p>
            <w:pPr>
              <w:jc w:val="right"/>
            </w:pPr>
            <w:r/>
            <w:r>
              <w:rPr>
                <w:color w:val="1A1D21"/>
                <w:sz w:val="17"/>
              </w:rPr>
              <w:t>3,706</w:t>
            </w:r>
          </w:p>
        </w:tc>
      </w:tr>
      <w:tr>
        <w:trPr>
          <w:cantSplit/>
        </w:trPr>
        <w:tc>
          <w:tcPr>
            <w:tcW w:type="dxa" w:w="6236"/>
          </w:tcPr>
          <w:p>
            <w:r/>
            <w:r>
              <w:rPr>
                <w:color w:val="1A1D21"/>
                <w:sz w:val="17"/>
              </w:rPr>
              <w:t>= recurring gross profit</w:t>
            </w:r>
          </w:p>
        </w:tc>
        <w:tc>
          <w:tcPr>
            <w:tcW w:type="dxa" w:w="2494"/>
          </w:tcPr>
          <w:p>
            <w:pPr>
              <w:jc w:val="right"/>
            </w:pPr>
            <w:r/>
            <w:r>
              <w:rPr>
                <w:color w:val="1A1D21"/>
                <w:sz w:val="17"/>
              </w:rPr>
              <w:t>10,795</w:t>
            </w:r>
          </w:p>
        </w:tc>
      </w:tr>
      <w:tr>
        <w:trPr>
          <w:cantSplit/>
        </w:trPr>
        <w:tc>
          <w:tcPr>
            <w:tcW w:type="dxa" w:w="6236"/>
          </w:tcPr>
          <w:p>
            <w:r/>
            <w:r>
              <w:rPr>
                <w:color w:val="1A1D21"/>
                <w:sz w:val="17"/>
              </w:rPr>
              <w:t>Overhead at the group ratio</w:t>
            </w:r>
          </w:p>
        </w:tc>
        <w:tc>
          <w:tcPr>
            <w:tcW w:type="dxa" w:w="2494"/>
          </w:tcPr>
          <w:p>
            <w:pPr>
              <w:jc w:val="right"/>
            </w:pPr>
            <w:r/>
            <w:r>
              <w:rPr>
                <w:color w:val="1A1D21"/>
                <w:sz w:val="17"/>
              </w:rPr>
              <w:t>-1,741</w:t>
            </w:r>
          </w:p>
        </w:tc>
      </w:tr>
      <w:tr>
        <w:trPr>
          <w:cantSplit/>
        </w:trPr>
        <w:tc>
          <w:tcPr>
            <w:tcW w:type="dxa" w:w="6236"/>
          </w:tcPr>
          <w:p>
            <w:r/>
            <w:r>
              <w:rPr>
                <w:color w:val="1A1D21"/>
                <w:sz w:val="17"/>
              </w:rPr>
              <w:t>= recurring operating profit</w:t>
            </w:r>
          </w:p>
        </w:tc>
        <w:tc>
          <w:tcPr>
            <w:tcW w:type="dxa" w:w="2494"/>
          </w:tcPr>
          <w:p>
            <w:pPr>
              <w:jc w:val="right"/>
            </w:pPr>
            <w:r/>
            <w:r>
              <w:rPr>
                <w:color w:val="1A1D21"/>
                <w:sz w:val="17"/>
              </w:rPr>
              <w:t>9,054</w:t>
            </w:r>
          </w:p>
        </w:tc>
      </w:tr>
      <w:tr>
        <w:trPr>
          <w:cantSplit/>
        </w:trPr>
        <w:tc>
          <w:tcPr>
            <w:tcW w:type="dxa" w:w="6236"/>
          </w:tcPr>
          <w:p>
            <w:r/>
            <w:r>
              <w:rPr>
                <w:color w:val="1A1D21"/>
                <w:sz w:val="17"/>
              </w:rPr>
              <w:t>Tax at 22.5%</w:t>
            </w:r>
          </w:p>
        </w:tc>
        <w:tc>
          <w:tcPr>
            <w:tcW w:type="dxa" w:w="2494"/>
          </w:tcPr>
          <w:p>
            <w:pPr>
              <w:jc w:val="right"/>
            </w:pPr>
            <w:r/>
            <w:r>
              <w:rPr>
                <w:color w:val="1A1D21"/>
                <w:sz w:val="17"/>
              </w:rPr>
              <w:t>-2,037</w:t>
            </w:r>
          </w:p>
        </w:tc>
      </w:tr>
      <w:tr>
        <w:trPr>
          <w:cantSplit/>
        </w:trPr>
        <w:tc>
          <w:tcPr>
            <w:tcW w:type="dxa" w:w="6236"/>
          </w:tcPr>
          <w:p>
            <w:r/>
            <w:r>
              <w:rPr>
                <w:color w:val="1A1D21"/>
                <w:sz w:val="17"/>
              </w:rPr>
              <w:t>= recurring profit after tax</w:t>
            </w:r>
          </w:p>
        </w:tc>
        <w:tc>
          <w:tcPr>
            <w:tcW w:type="dxa" w:w="2494"/>
          </w:tcPr>
          <w:p>
            <w:pPr>
              <w:jc w:val="right"/>
            </w:pPr>
            <w:r/>
            <w:r>
              <w:rPr>
                <w:color w:val="1A1D21"/>
                <w:sz w:val="17"/>
              </w:rPr>
              <w:t>7,017</w:t>
            </w:r>
          </w:p>
        </w:tc>
      </w:tr>
      <w:tr>
        <w:trPr>
          <w:cantSplit/>
        </w:trPr>
        <w:tc>
          <w:tcPr>
            <w:tcW w:type="dxa" w:w="6236"/>
          </w:tcPr>
          <w:p>
            <w:r/>
            <w:r>
              <w:rPr>
                <w:color w:val="1A1D21"/>
                <w:sz w:val="17"/>
              </w:rPr>
              <w:t>Capitalised at Ke 37.15% less growth 15%</w:t>
            </w:r>
          </w:p>
        </w:tc>
        <w:tc>
          <w:tcPr>
            <w:tcW w:type="dxa" w:w="2494"/>
          </w:tcPr>
          <w:p>
            <w:pPr>
              <w:jc w:val="right"/>
            </w:pPr>
            <w:r/>
            <w:r>
              <w:rPr>
                <w:color w:val="1A1D21"/>
                <w:sz w:val="17"/>
              </w:rPr>
              <w:t>36,437</w:t>
            </w:r>
          </w:p>
        </w:tc>
      </w:tr>
      <w:tr>
        <w:trPr>
          <w:cantSplit/>
        </w:trPr>
        <w:tc>
          <w:tcPr>
            <w:tcW w:type="dxa" w:w="6236"/>
          </w:tcPr>
          <w:p>
            <w:r/>
            <w:r>
              <w:rPr>
                <w:color w:val="1A1D21"/>
                <w:sz w:val="17"/>
              </w:rPr>
              <w:t>plus net cash</w:t>
            </w:r>
          </w:p>
        </w:tc>
        <w:tc>
          <w:tcPr>
            <w:tcW w:type="dxa" w:w="2494"/>
          </w:tcPr>
          <w:p>
            <w:pPr>
              <w:jc w:val="right"/>
            </w:pPr>
            <w:r/>
            <w:r>
              <w:rPr>
                <w:color w:val="1A1D21"/>
                <w:sz w:val="17"/>
              </w:rPr>
              <w:t>59,280</w:t>
            </w:r>
          </w:p>
        </w:tc>
      </w:tr>
      <w:tr>
        <w:trPr>
          <w:cantSplit/>
        </w:trPr>
        <w:tc>
          <w:tcPr>
            <w:tcW w:type="dxa" w:w="6236"/>
          </w:tcPr>
          <w:p>
            <w:r/>
            <w:r>
              <w:rPr>
                <w:color w:val="1A1D21"/>
                <w:sz w:val="17"/>
              </w:rPr>
              <w:t>less non-controlling interests at book</w:t>
            </w:r>
          </w:p>
        </w:tc>
        <w:tc>
          <w:tcPr>
            <w:tcW w:type="dxa" w:w="2494"/>
          </w:tcPr>
          <w:p>
            <w:pPr>
              <w:jc w:val="right"/>
            </w:pPr>
            <w:r/>
            <w:r>
              <w:rPr>
                <w:color w:val="1A1D21"/>
                <w:sz w:val="17"/>
              </w:rPr>
              <w:t>-75,653</w:t>
            </w:r>
          </w:p>
        </w:tc>
      </w:tr>
      <w:tr>
        <w:trPr>
          <w:cantSplit/>
        </w:trPr>
        <w:tc>
          <w:tcPr>
            <w:tcW w:type="dxa" w:w="6236"/>
          </w:tcPr>
          <w:p>
            <w:r/>
            <w:r>
              <w:rPr>
                <w:color w:val="1A1D21"/>
                <w:sz w:val="17"/>
              </w:rPr>
              <w:t>= equity value</w:t>
            </w:r>
          </w:p>
        </w:tc>
        <w:tc>
          <w:tcPr>
            <w:tcW w:type="dxa" w:w="2494"/>
          </w:tcPr>
          <w:p>
            <w:pPr>
              <w:jc w:val="right"/>
            </w:pPr>
            <w:r/>
            <w:r>
              <w:rPr>
                <w:color w:val="1A1D21"/>
                <w:sz w:val="17"/>
              </w:rPr>
              <w:t>20,065</w:t>
            </w:r>
          </w:p>
        </w:tc>
      </w:tr>
    </w:tbl>
    <w:p>
      <w:pPr>
        <w:spacing w:after="80"/>
      </w:pPr>
      <w:r>
        <w:rPr>
          <w:b w:val="0"/>
          <w:i w:val="0"/>
          <w:color w:val="1A1D21"/>
          <w:sz w:val="8"/>
        </w:rPr>
      </w:r>
    </w:p>
    <w:p>
      <w:pPr>
        <w:spacing w:after="140"/>
      </w:pPr>
      <w:r>
        <w:rPr>
          <w:b/>
          <w:i w:val="0"/>
          <w:color w:val="1A1D21"/>
          <w:sz w:val="20"/>
        </w:rPr>
        <w:t>Value per share: EGP 9.74</w:t>
      </w:r>
    </w:p>
    <w:tbl>
      <w:tblPr>
        <w:tblStyle w:val="TableGrid"/>
        <w:tblW w:type="auto" w:w="0"/>
        <w:jc w:val="center"/>
        <w:tblLayout w:type="fixed"/>
        <w:tblLook w:firstColumn="1" w:firstRow="1" w:lastColumn="0" w:lastRow="0" w:noHBand="0" w:noVBand="1" w:val="04A0"/>
        <w:tblLayout w:type="fixed"/>
      </w:tblPr>
      <w:tblGrid>
        <w:gridCol w:w="3969"/>
        <w:gridCol w:w="2268"/>
      </w:tblGrid>
      <w:tr>
        <w:trPr>
          <w:tblHeader w:val="true"/>
        </w:trPr>
        <w:tc>
          <w:tcPr>
            <w:tcW w:type="dxa" w:w="3969"/>
          </w:tcPr>
          <w:p>
            <w:r/>
            <w:r>
              <w:rPr>
                <w:b/>
                <w:color w:val="5B6570"/>
                <w:sz w:val="17"/>
              </w:rPr>
              <w:t>The long-run growth rate of the recurring leg</w:t>
            </w:r>
          </w:p>
        </w:tc>
        <w:tc>
          <w:tcPr>
            <w:tcW w:type="dxa" w:w="2268"/>
          </w:tcPr>
          <w:p>
            <w:r/>
            <w:r>
              <w:rPr>
                <w:b/>
                <w:color w:val="5B6570"/>
                <w:sz w:val="17"/>
              </w:rPr>
              <w:t>EGP per share</w:t>
            </w:r>
          </w:p>
        </w:tc>
      </w:tr>
      <w:tr>
        <w:trPr>
          <w:cantSplit/>
        </w:trPr>
        <w:tc>
          <w:tcPr>
            <w:tcW w:type="dxa" w:w="3969"/>
          </w:tcPr>
          <w:p>
            <w:r/>
            <w:r>
              <w:rPr>
                <w:color w:val="1A1D21"/>
                <w:sz w:val="17"/>
              </w:rPr>
              <w:t>10%</w:t>
            </w:r>
          </w:p>
        </w:tc>
        <w:tc>
          <w:tcPr>
            <w:tcW w:type="dxa" w:w="2268"/>
          </w:tcPr>
          <w:p>
            <w:pPr>
              <w:jc w:val="right"/>
            </w:pPr>
            <w:r/>
            <w:r>
              <w:rPr>
                <w:color w:val="1A1D21"/>
                <w:sz w:val="17"/>
              </w:rPr>
              <w:t>5.85</w:t>
            </w:r>
          </w:p>
        </w:tc>
      </w:tr>
      <w:tr>
        <w:trPr>
          <w:cantSplit/>
        </w:trPr>
        <w:tc>
          <w:tcPr>
            <w:tcW w:type="dxa" w:w="3969"/>
          </w:tcPr>
          <w:p>
            <w:r/>
            <w:r>
              <w:rPr>
                <w:color w:val="1A1D21"/>
                <w:sz w:val="17"/>
              </w:rPr>
              <w:t>12%</w:t>
            </w:r>
          </w:p>
        </w:tc>
        <w:tc>
          <w:tcPr>
            <w:tcW w:type="dxa" w:w="2268"/>
          </w:tcPr>
          <w:p>
            <w:pPr>
              <w:jc w:val="right"/>
            </w:pPr>
            <w:r/>
            <w:r>
              <w:rPr>
                <w:color w:val="1A1D21"/>
                <w:sz w:val="17"/>
              </w:rPr>
              <w:t>7.60</w:t>
            </w:r>
          </w:p>
        </w:tc>
      </w:tr>
      <w:tr>
        <w:trPr>
          <w:cantSplit/>
        </w:trPr>
        <w:tc>
          <w:tcPr>
            <w:tcW w:type="dxa" w:w="3969"/>
          </w:tcPr>
          <w:p>
            <w:r/>
            <w:r>
              <w:rPr>
                <w:color w:val="1A1D21"/>
                <w:sz w:val="17"/>
              </w:rPr>
              <w:t>15%</w:t>
            </w:r>
          </w:p>
        </w:tc>
        <w:tc>
          <w:tcPr>
            <w:tcW w:type="dxa" w:w="2268"/>
          </w:tcPr>
          <w:p>
            <w:pPr>
              <w:jc w:val="right"/>
            </w:pPr>
            <w:r/>
            <w:r>
              <w:rPr>
                <w:color w:val="1A1D21"/>
                <w:sz w:val="17"/>
              </w:rPr>
              <w:t>9.74</w:t>
            </w:r>
          </w:p>
        </w:tc>
      </w:tr>
      <w:tr>
        <w:trPr>
          <w:cantSplit/>
        </w:trPr>
        <w:tc>
          <w:tcPr>
            <w:tcW w:type="dxa" w:w="3969"/>
          </w:tcPr>
          <w:p>
            <w:r/>
            <w:r>
              <w:rPr>
                <w:color w:val="1A1D21"/>
                <w:sz w:val="17"/>
              </w:rPr>
              <w:t>18%</w:t>
            </w:r>
          </w:p>
        </w:tc>
        <w:tc>
          <w:tcPr>
            <w:tcW w:type="dxa" w:w="2268"/>
          </w:tcPr>
          <w:p>
            <w:pPr>
              <w:jc w:val="right"/>
            </w:pPr>
            <w:r/>
            <w:r>
              <w:rPr>
                <w:color w:val="1A1D21"/>
                <w:sz w:val="17"/>
              </w:rPr>
              <w:t>12.42</w:t>
            </w:r>
          </w:p>
        </w:tc>
      </w:tr>
      <w:tr>
        <w:trPr>
          <w:cantSplit/>
        </w:trPr>
        <w:tc>
          <w:tcPr>
            <w:tcW w:type="dxa" w:w="3969"/>
          </w:tcPr>
          <w:p>
            <w:r/>
            <w:r>
              <w:rPr>
                <w:color w:val="1A1D21"/>
                <w:sz w:val="17"/>
              </w:rPr>
              <w:t>20%</w:t>
            </w:r>
          </w:p>
        </w:tc>
        <w:tc>
          <w:tcPr>
            <w:tcW w:type="dxa" w:w="2268"/>
          </w:tcPr>
          <w:p>
            <w:pPr>
              <w:jc w:val="right"/>
            </w:pPr>
            <w:r/>
            <w:r>
              <w:rPr>
                <w:color w:val="1A1D21"/>
                <w:sz w:val="17"/>
              </w:rPr>
              <w:t>15.89</w:t>
            </w:r>
          </w:p>
        </w:tc>
      </w:tr>
    </w:tbl>
    <w:p>
      <w:pPr>
        <w:spacing w:after="80"/>
      </w:pPr>
      <w:r>
        <w:rPr>
          <w:b w:val="0"/>
          <w:i w:val="0"/>
          <w:color w:val="1A1D21"/>
          <w:sz w:val="8"/>
        </w:rPr>
      </w:r>
    </w:p>
    <w:p>
      <w:pPr>
        <w:spacing w:after="140"/>
      </w:pPr>
      <w:r>
        <w:rPr>
          <w:b w:val="0"/>
          <w:i/>
          <w:color w:val="1A1D21"/>
          <w:sz w:val="20"/>
        </w:rPr>
        <w:t>What would prove this wrong: If recurring operating profit grew materially slower than Egyptian inflation for three consecutive years, the annuity would not be an annuity and this method would have to be abandoned rather than re-parameterised.</w:t>
      </w:r>
    </w:p>
    <w:p>
      <w:pPr>
        <w:pStyle w:val="Heading2"/>
      </w:pPr>
      <w:r>
        <w:t>C.4 Cross-examination</w:t>
      </w:r>
    </w:p>
    <w:tbl>
      <w:tblPr>
        <w:tblStyle w:val="TableGrid"/>
        <w:tblW w:type="auto" w:w="0"/>
        <w:jc w:val="center"/>
        <w:tblLayout w:type="fixed"/>
        <w:tblLook w:firstColumn="1" w:firstRow="1" w:lastColumn="0" w:lastRow="0" w:noHBand="0" w:noVBand="1" w:val="04A0"/>
        <w:tblLayout w:type="fixed"/>
      </w:tblPr>
      <w:tblGrid>
        <w:gridCol w:w="3969"/>
        <w:gridCol w:w="4763"/>
      </w:tblGrid>
      <w:tr>
        <w:trPr>
          <w:tblHeader w:val="true"/>
        </w:trPr>
        <w:tc>
          <w:tcPr>
            <w:tcW w:type="dxa" w:w="3969"/>
          </w:tcPr>
          <w:p>
            <w:r/>
            <w:r>
              <w:rPr>
                <w:b/>
                <w:color w:val="5B6570"/>
                <w:sz w:val="17"/>
              </w:rPr>
              <w:t>Challenge</w:t>
            </w:r>
          </w:p>
        </w:tc>
        <w:tc>
          <w:tcPr>
            <w:tcW w:type="dxa" w:w="4762"/>
          </w:tcPr>
          <w:p>
            <w:r/>
            <w:r>
              <w:rPr>
                <w:b/>
                <w:color w:val="5B6570"/>
                <w:sz w:val="17"/>
              </w:rPr>
              <w:t>Outcome</w:t>
            </w:r>
          </w:p>
        </w:tc>
      </w:tr>
      <w:tr>
        <w:trPr>
          <w:cantSplit/>
        </w:trPr>
        <w:tc>
          <w:tcPr>
            <w:tcW w:type="dxa" w:w="3969"/>
          </w:tcPr>
          <w:p>
            <w:r/>
            <w:r>
              <w:rPr>
                <w:color w:val="1A1D21"/>
                <w:sz w:val="17"/>
              </w:rPr>
              <w:t>Expert 1 to Expert 2: your net asset value counts customer advances as a liability at face, but the company does not owe money — it owes homes, at a cost below the price.</w:t>
            </w:r>
          </w:p>
        </w:tc>
        <w:tc>
          <w:tcPr>
            <w:tcW w:type="dxa" w:w="4762"/>
          </w:tcPr>
          <w:p>
            <w:r/>
            <w:r>
              <w:rPr>
                <w:color w:val="1A1D21"/>
                <w:sz w:val="17"/>
              </w:rPr>
              <w:t>CONCEDED IN PART. The obligation is a construction cost, not a cash repayment, and carrying it at face understates value by roughly the margin on the undelivered book. Expert 2's number stands as a FLOOR rather than a central case.</w:t>
            </w:r>
          </w:p>
        </w:tc>
      </w:tr>
      <w:tr>
        <w:trPr>
          <w:cantSplit/>
        </w:trPr>
        <w:tc>
          <w:tcPr>
            <w:tcW w:type="dxa" w:w="3969"/>
          </w:tcPr>
          <w:p>
            <w:r/>
            <w:r>
              <w:rPr>
                <w:color w:val="1A1D21"/>
                <w:sz w:val="17"/>
              </w:rPr>
              <w:t>Expert 2 to Expert 1: you discount a twelve-year receivable at a levered equity rate. Contracted instalments from thousands of buyers are not equity risk.</w:t>
            </w:r>
          </w:p>
        </w:tc>
        <w:tc>
          <w:tcPr>
            <w:tcW w:type="dxa" w:w="4762"/>
          </w:tcPr>
          <w:p>
            <w:r/>
            <w:r>
              <w:rPr>
                <w:color w:val="1A1D21"/>
                <w:sz w:val="17"/>
              </w:rPr>
              <w:t>REJECTED. The construction obligation sits inside the same stream and it is emphatically not credit-like: cost overruns, delays and cancellations all land on the developer. Discounting the net stream at the equity rate is the consistent treatment.</w:t>
            </w:r>
          </w:p>
        </w:tc>
      </w:tr>
      <w:tr>
        <w:trPr>
          <w:cantSplit/>
        </w:trPr>
        <w:tc>
          <w:tcPr>
            <w:tcW w:type="dxa" w:w="3969"/>
          </w:tcPr>
          <w:p>
            <w:r/>
            <w:r>
              <w:rPr>
                <w:color w:val="1A1D21"/>
                <w:sz w:val="17"/>
              </w:rPr>
              <w:t>Expert 3 to Experts 1 and 2: both of you assume the development margin survives at 26.6%. It has fallen from 38.4% in FY2019.</w:t>
            </w:r>
          </w:p>
        </w:tc>
        <w:tc>
          <w:tcPr>
            <w:tcW w:type="dxa" w:w="4762"/>
          </w:tcPr>
          <w:p>
            <w:r/>
            <w:r>
              <w:rPr>
                <w:color w:val="1A1D21"/>
                <w:sz w:val="17"/>
              </w:rPr>
              <w:t>CONCEDED. The margin is an output of the disclosed cost ratio and it has compressed steadily. Section 1.9 sensitises it; a 5-point further compression moves the central reading by roughly a fifth.</w:t>
            </w:r>
          </w:p>
        </w:tc>
      </w:tr>
      <w:tr>
        <w:trPr>
          <w:cantSplit/>
        </w:trPr>
        <w:tc>
          <w:tcPr>
            <w:tcW w:type="dxa" w:w="3969"/>
          </w:tcPr>
          <w:p>
            <w:r/>
            <w:r>
              <w:rPr>
                <w:color w:val="1A1D21"/>
                <w:sz w:val="17"/>
              </w:rPr>
              <w:t>Experts 1 and 2 to Expert 3: you value the hotels and clubs and then give the shareholder nothing for EGP 491bn of sold product.</w:t>
            </w:r>
          </w:p>
        </w:tc>
        <w:tc>
          <w:tcPr>
            <w:tcW w:type="dxa" w:w="4762"/>
          </w:tcPr>
          <w:p>
            <w:r/>
            <w:r>
              <w:rPr>
                <w:color w:val="1A1D21"/>
                <w:sz w:val="17"/>
              </w:rPr>
              <w:t>CONCEDED AS A LIMIT, NOT AS AN ERROR. Expert 3's number is explicitly a floor for what an owner is paying for today, and it is presented as such rather than as a central estimate.</w:t>
            </w:r>
          </w:p>
        </w:tc>
      </w:tr>
      <w:tr>
        <w:trPr>
          <w:cantSplit/>
        </w:trPr>
        <w:tc>
          <w:tcPr>
            <w:tcW w:type="dxa" w:w="3969"/>
          </w:tcPr>
          <w:p>
            <w:r/>
            <w:r>
              <w:rPr>
                <w:color w:val="1A1D21"/>
                <w:sz w:val="17"/>
              </w:rPr>
              <w:t>All three to the study: the house discount rate of 35.79% is above anything the market appears to use — 19.4% to 23.1% on the reverse calculation.</w:t>
            </w:r>
          </w:p>
        </w:tc>
        <w:tc>
          <w:tcPr>
            <w:tcW w:type="dxa" w:w="4762"/>
          </w:tcPr>
          <w:p>
            <w:r/>
            <w:r>
              <w:rPr>
                <w:color w:val="1A1D21"/>
                <w:sz w:val="17"/>
              </w:rPr>
              <w:t>ACKNOWLEDGED AND PUBLISHED. The house method levers Egypt's whole country risk premium by a beta of 1.47; the market appears to apply the sovereign yield with little more. The study reports both rather than picking one, and the gap IS the disagreement.</w:t>
            </w:r>
          </w:p>
        </w:tc>
      </w:tr>
    </w:tbl>
    <w:p>
      <w:pPr>
        <w:spacing w:after="80"/>
      </w:pPr>
      <w:r>
        <w:rPr>
          <w:b w:val="0"/>
          <w:i w:val="0"/>
          <w:color w:val="1A1D21"/>
          <w:sz w:val="8"/>
        </w:rPr>
      </w:r>
    </w:p>
    <w:p>
      <w:pPr>
        <w:pStyle w:val="Heading2"/>
      </w:pPr>
      <w:r>
        <w:t>C.5 The three in one room</w:t>
      </w:r>
    </w:p>
    <w:p>
      <w:pPr>
        <w:spacing w:after="140"/>
      </w:pPr>
      <w:r>
        <w:rPr>
          <w:b w:val="0"/>
          <w:i w:val="0"/>
          <w:color w:val="1A1D21"/>
          <w:sz w:val="20"/>
        </w:rPr>
        <w:t>Put in one room, the three agree on less than they disagree on, and the disagreement is legible. All three accept the same balance sheet, the same order book and the same margin; they differ on ONE question, which is whether an order book is an asset, a receivable or neither.</w:t>
      </w:r>
    </w:p>
    <w:p>
      <w:pPr>
        <w:spacing w:after="140"/>
      </w:pPr>
      <w:r>
        <w:rPr>
          <w:b w:val="0"/>
          <w:i w:val="0"/>
          <w:color w:val="1A1D21"/>
          <w:sz w:val="20"/>
        </w:rPr>
        <w:t>Expert 3's EGP 9.74 is the floor, deliberately: it gives the shareholder nothing at all for EGP 491bn of sold product, and says so. Experts 1 and 2 arrive at EGP 40.54 and EGP 38.30 by routes that share almost no arithmetic — one discounts a twelve-year net cash stream, the other reconciles a balance sheet and strips goodwill — and land within EGP 2.25 of each other. Two independent methods converging that closely is the most reassuring thing in this appendix, and it is worth more than any one of the three numbers.</w:t>
      </w:r>
    </w:p>
    <w:p>
      <w:pPr>
        <w:spacing w:after="140"/>
      </w:pPr>
      <w:r>
        <w:rPr>
          <w:b w:val="0"/>
          <w:i w:val="0"/>
          <w:color w:val="1A1D21"/>
          <w:sz w:val="20"/>
        </w:rPr>
        <w:t>None of the three reaches the traded price of EGP 97.80, and none of them is trying to. The spread across the panel is EGP 9.74 to EGP 40.54.</w:t>
      </w:r>
    </w:p>
    <w:p>
      <w:pPr>
        <w:pStyle w:val="Heading2"/>
      </w:pPr>
      <w:r>
        <w:t>C.6 What drives the differences</w:t>
      </w:r>
    </w:p>
    <w:tbl>
      <w:tblPr>
        <w:tblStyle w:val="TableGrid"/>
        <w:tblW w:type="auto" w:w="0"/>
        <w:jc w:val="center"/>
        <w:tblLayout w:type="fixed"/>
        <w:tblLook w:firstColumn="1" w:firstRow="1" w:lastColumn="0" w:lastRow="0" w:noHBand="0" w:noVBand="1" w:val="04A0"/>
        <w:tblLayout w:type="fixed"/>
      </w:tblPr>
      <w:tblGrid>
        <w:gridCol w:w="1247"/>
        <w:gridCol w:w="1701"/>
        <w:gridCol w:w="5783"/>
      </w:tblGrid>
      <w:tr>
        <w:trPr>
          <w:tblHeader w:val="true"/>
        </w:trPr>
        <w:tc>
          <w:tcPr>
            <w:tcW w:type="dxa" w:w="1247"/>
          </w:tcPr>
          <w:p>
            <w:r/>
            <w:r>
              <w:rPr>
                <w:b/>
                <w:color w:val="5B6570"/>
                <w:sz w:val="17"/>
              </w:rPr>
              <w:t>Pair</w:t>
            </w:r>
          </w:p>
        </w:tc>
        <w:tc>
          <w:tcPr>
            <w:tcW w:type="dxa" w:w="1701"/>
          </w:tcPr>
          <w:p>
            <w:r/>
            <w:r>
              <w:rPr>
                <w:b/>
                <w:color w:val="5B6570"/>
                <w:sz w:val="17"/>
              </w:rPr>
              <w:t>Gap, EGP per share</w:t>
            </w:r>
          </w:p>
        </w:tc>
        <w:tc>
          <w:tcPr>
            <w:tcW w:type="dxa" w:w="5783"/>
          </w:tcPr>
          <w:p>
            <w:r/>
            <w:r>
              <w:rPr>
                <w:b/>
                <w:color w:val="5B6570"/>
                <w:sz w:val="17"/>
              </w:rPr>
              <w:t>The assumption behind it</w:t>
            </w:r>
          </w:p>
        </w:tc>
      </w:tr>
      <w:tr>
        <w:trPr>
          <w:cantSplit/>
        </w:trPr>
        <w:tc>
          <w:tcPr>
            <w:tcW w:type="dxa" w:w="1247"/>
          </w:tcPr>
          <w:p>
            <w:r/>
            <w:r>
              <w:rPr>
                <w:color w:val="1A1D21"/>
                <w:sz w:val="17"/>
              </w:rPr>
              <w:t>1 vs 2</w:t>
            </w:r>
          </w:p>
        </w:tc>
        <w:tc>
          <w:tcPr>
            <w:tcW w:type="dxa" w:w="1701"/>
          </w:tcPr>
          <w:p>
            <w:pPr>
              <w:jc w:val="right"/>
            </w:pPr>
            <w:r/>
            <w:r>
              <w:rPr>
                <w:color w:val="1A1D21"/>
                <w:sz w:val="17"/>
              </w:rPr>
              <w:t>2.25</w:t>
            </w:r>
          </w:p>
        </w:tc>
        <w:tc>
          <w:tcPr>
            <w:tcW w:type="dxa" w:w="5783"/>
          </w:tcPr>
          <w:p>
            <w:r/>
            <w:r>
              <w:rPr>
                <w:color w:val="1A1D21"/>
                <w:sz w:val="17"/>
              </w:rPr>
              <w:t>whether customer advances are a cash liability at face or a construction obligation at cost</w:t>
            </w:r>
          </w:p>
        </w:tc>
      </w:tr>
      <w:tr>
        <w:trPr>
          <w:cantSplit/>
        </w:trPr>
        <w:tc>
          <w:tcPr>
            <w:tcW w:type="dxa" w:w="1247"/>
          </w:tcPr>
          <w:p>
            <w:r/>
            <w:r>
              <w:rPr>
                <w:color w:val="1A1D21"/>
                <w:sz w:val="17"/>
              </w:rPr>
              <w:t>1 vs 3</w:t>
            </w:r>
          </w:p>
        </w:tc>
        <w:tc>
          <w:tcPr>
            <w:tcW w:type="dxa" w:w="1701"/>
          </w:tcPr>
          <w:p>
            <w:pPr>
              <w:jc w:val="right"/>
            </w:pPr>
            <w:r/>
            <w:r>
              <w:rPr>
                <w:color w:val="1A1D21"/>
                <w:sz w:val="17"/>
              </w:rPr>
              <w:t>30.81</w:t>
            </w:r>
          </w:p>
        </w:tc>
        <w:tc>
          <w:tcPr>
            <w:tcW w:type="dxa" w:w="5783"/>
          </w:tcPr>
          <w:p>
            <w:r/>
            <w:r>
              <w:rPr>
                <w:color w:val="1A1D21"/>
                <w:sz w:val="17"/>
              </w:rPr>
              <w:t>whether the development book is an asset or a wasting stream with no terminal value</w:t>
            </w:r>
          </w:p>
        </w:tc>
      </w:tr>
      <w:tr>
        <w:trPr>
          <w:cantSplit/>
        </w:trPr>
        <w:tc>
          <w:tcPr>
            <w:tcW w:type="dxa" w:w="1247"/>
          </w:tcPr>
          <w:p>
            <w:r/>
            <w:r>
              <w:rPr>
                <w:color w:val="1A1D21"/>
                <w:sz w:val="17"/>
              </w:rPr>
              <w:t>2 vs 3</w:t>
            </w:r>
          </w:p>
        </w:tc>
        <w:tc>
          <w:tcPr>
            <w:tcW w:type="dxa" w:w="1701"/>
          </w:tcPr>
          <w:p>
            <w:pPr>
              <w:jc w:val="right"/>
            </w:pPr>
            <w:r/>
            <w:r>
              <w:rPr>
                <w:color w:val="1A1D21"/>
                <w:sz w:val="17"/>
              </w:rPr>
              <w:t>28.56</w:t>
            </w:r>
          </w:p>
        </w:tc>
        <w:tc>
          <w:tcPr>
            <w:tcW w:type="dxa" w:w="5783"/>
          </w:tcPr>
          <w:p>
            <w:r/>
            <w:r>
              <w:rPr>
                <w:color w:val="1A1D21"/>
                <w:sz w:val="17"/>
              </w:rPr>
              <w:t>whether land and work in progress at historical cost is a better guide than capitalised recurring profit</w:t>
            </w:r>
          </w:p>
        </w:tc>
      </w:tr>
    </w:tbl>
    <w:p>
      <w:pPr>
        <w:spacing w:after="80"/>
      </w:pPr>
      <w:r>
        <w:rPr>
          <w:b w:val="0"/>
          <w:i w:val="0"/>
          <w:color w:val="1A1D21"/>
          <w:sz w:val="8"/>
        </w:rPr>
      </w:r>
    </w:p>
    <w:p>
      <w:r>
        <w:br w:type="page"/>
      </w:r>
    </w:p>
    <w:p>
      <w:pPr>
        <w:pStyle w:val="Heading1"/>
      </w:pPr>
      <w:r>
        <w:t>About this study</w:t>
      </w:r>
    </w:p>
    <w:p>
      <w:pPr>
        <w:spacing w:after="140"/>
      </w:pPr>
      <w:r>
        <w:rPr>
          <w:b w:val="0"/>
          <w:i w:val="0"/>
          <w:color w:val="1A1D21"/>
          <w:sz w:val="20"/>
        </w:rPr>
        <w:t>This study values one company from its own published documents. Every figure about Talaat Moustafa Group Holding comes from its audited or reviewed financial statements or from documents it published itself; the company's own investor-relations archive was read in full for this edition, back to 2007. Country-level inputs — inflation, exchange rates, population, sovereign spreads — come from named third-party sources and are labelled as such in the accompanying source document.</w:t>
      </w:r>
    </w:p>
    <w:p>
      <w:pPr>
        <w:spacing w:after="140"/>
      </w:pPr>
      <w:r>
        <w:rPr>
          <w:b w:val="0"/>
          <w:i w:val="0"/>
          <w:color w:val="1A1D21"/>
          <w:sz w:val="20"/>
        </w:rPr>
        <w:t>Forecasts are built from drivers, not from growth rates applied to totals. Margins are outputs of disclosed cost lines. Where a figure has two legitimate readings, both are published. Where something is not disclosed, the study says so and leaves it out rather than estimating it; four such gaps are recorded in the accompanying source document.</w:t>
      </w:r>
    </w:p>
    <w:p>
      <w:pPr>
        <w:spacing w:after="140"/>
      </w:pPr>
      <w:r>
        <w:rPr>
          <w:b w:val="0"/>
          <w:i w:val="0"/>
          <w:color w:val="1A1D21"/>
          <w:sz w:val="20"/>
        </w:rPr>
        <w:t>The forecasting method used here was tested against this company's own fifteen-year record before it was used on its future: the driver model was rebuilt as it would have stood at each past year end, projected forward, and scored against what the company actually reported. Section 1.6 reports what that found, including where the method performs worse than simply assuming last year's figure repeats.</w:t>
      </w:r>
    </w:p>
    <w:p>
      <w:pPr>
        <w:pStyle w:val="Heading1"/>
      </w:pPr>
      <w:r>
        <w:t>Disclosure</w:t>
      </w:r>
    </w:p>
    <w:p>
      <w:pPr>
        <w:spacing w:after="140"/>
      </w:pPr>
      <w:r>
        <w:rPr>
          <w:b w:val="0"/>
          <w:i w:val="0"/>
          <w:color w:val="1A1D21"/>
          <w:sz w:val="20"/>
        </w:rPr>
        <w:t>This document is research, not advice. It contains no recommendation, no target price and no rating, and it is not an offer to buy or sell anything. Valuation is uncertain and the ranges here are wide on purpose. Anyone acting on this document does so on their own judgement and should take their own advice.</w:t>
      </w:r>
    </w:p>
    <w:p>
      <w:pPr>
        <w:spacing w:after="140"/>
      </w:pPr>
      <w:r>
        <w:rPr>
          <w:b w:val="0"/>
          <w:i w:val="0"/>
          <w:color w:val="5B6570"/>
          <w:sz w:val="18"/>
        </w:rPr>
        <w:t>Prices and market data are as at the dates stated. The company's financial figures are as at 31 December 2025 and 30 June 2026. Nothing here has been shown to or approved by the company.</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2E5E4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