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32.37% on the credit-default-swap premium — the rating-based premium runs 3.42% higher in the first year —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20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20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20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20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case built on the rating-based equity risk premium, slower conversion, whose first-year rate is 35.79%;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+0.26</w:t>
            </w:r>
          </w:p>
        </w:tc>
        <w:tc>
          <w:tcPr>
            <w:tcW w:type="dxa" w:w="1032"/>
          </w:tcPr>
          <w:p>
            <w:pPr>
              <w:jc w:val="right"/>
            </w:pPr>
            <w:r/>
            <w:r>
              <w:rPr>
                <w:color w:val="1A1D21"/>
                <w:sz w:val="17"/>
              </w:rPr>
              <w:t>0.68</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-0.25</w:t>
            </w:r>
          </w:p>
        </w:tc>
        <w:tc>
          <w:tcPr>
            <w:tcW w:type="dxa" w:w="1032"/>
          </w:tcPr>
          <w:p>
            <w:pPr>
              <w:jc w:val="right"/>
            </w:pPr>
            <w:r/>
            <w:r>
              <w:rPr>
                <w:color w:val="1A1D21"/>
                <w:sz w:val="17"/>
              </w:rPr>
              <w:t>0.44</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118.50 a share and the faster one EGP 63.70.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101%</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53%</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38%</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26%</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16%</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8%</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63.70 – 123.03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