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6 August 2026, issued 3 September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educational valuation study, not investment advice, and it makes no recommendation to buy, sell or hold. What it publishes is a fair-value RANGE and a probability distribution for the price — never a target. Three things are worth knowing before the numbers: the estimate sits well below the market price, which means the burden of proof is on this study and Section 1.14 states exactly what a buyer at the market price would have to believe; the forecasting method behind it has been tested against this company’s own past and did NOT beat a simple no-change rule, which is why the range is wide and why Section 7 leads with that rather than burying it; and the second half of the base year is reviewed rather than fully audited. Everything here is reproducible from the companion workbook, which recalculates the whole study live.</w:t>
            </w:r>
          </w:p>
        </w:tc>
      </w:tr>
    </w:tbl>
    <w:p>
      <w:pPr>
        <w:spacing w:after="40"/>
      </w:pP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17.62 a share against a market price of EGP 13.50. Fair value sits 30.5% ABOVE the price; equivalently the price stands 23.4% BELOW fair value. The range across the lenses is EGP 1.67 to 23.90 and the price is inside it. Three of the four lenses land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central still reaches only EGP 19.14, 41.8% against the price. Section 1.13 walks the whole stack, one full model re-run per row.</w:t>
            </w:r>
          </w:p>
          <w:p>
            <w:pPr>
              <w:spacing w:after="100"/>
            </w:pPr>
            <w:r>
              <w:rPr>
                <w:b/>
                <w:color w:val="1C3A36"/>
                <w:sz w:val="19"/>
              </w:rPr>
              <w:t xml:space="preserve">WHAT A BUYER AT THE PRICE MUST BELIEVE.  </w:t>
            </w:r>
            <w:r>
              <w:rPr>
                <w:color w:val="1C3A36"/>
                <w:sz w:val="19"/>
              </w:rPr>
              <w:t>Solving the model at the market price rather than asserting a number: EGP 13.50 is fair if AMOC sustains a gross margin of 10.58% in every forecast year and in perpetuity. The twelve months just filed ran 9.65% and the six months to June 2026 ran 12.43%. The market price therefore requires a margin BELOW what this company has just reported and well inside the range it has printed since 2021. A buyer at EGP 13.50 is not making a heroic assumption; the burden of proof sits with the seller. Section 1.14 derives it.</w:t>
            </w:r>
          </w:p>
          <w:p>
            <w:pPr>
              <w:spacing w:after="100"/>
            </w:pPr>
            <w:r>
              <w:rPr>
                <w:b/>
                <w:color w:val="1C3A36"/>
                <w:sz w:val="19"/>
              </w:rPr>
              <w:t xml:space="preserve">AND THE HONEST WEAKNESS.  </w:t>
            </w:r>
            <w:r>
              <w:rPr>
                <w:color w:val="1C3A36"/>
                <w:sz w:val="19"/>
              </w:rPr>
              <w:t>The far years carry a wide range and the terminal block is 57% of enterprise value, which is high. The forecasting method behind Section 1 was tested against this company’s own history and did NOT beat a simple no-change rule — Section 7 leads with that. Two exchange disclosures that would move the answer in opposite directions could not be opened.</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880"/>
        <w:gridCol w:w="1037"/>
        <w:gridCol w:w="1037"/>
        <w:gridCol w:w="1037"/>
        <w:gridCol w:w="1037"/>
      </w:tblGrid>
      <w:tr>
        <w:tc>
          <w:tcPr>
            <w:tcW w:type="dxa" w:w="2520"/>
            <w:shd w:val="clear" w:color="auto" w:fill="EAF0EE"/>
          </w:tcPr>
          <w:p>
            <w:pPr>
              <w:spacing w:after="20"/>
            </w:pPr>
            <w:r>
              <w:rPr>
                <w:b/>
                <w:color w:val="1C3A36"/>
                <w:sz w:val="18"/>
              </w:rPr>
              <w:t>Lens</w:t>
            </w:r>
          </w:p>
        </w:tc>
        <w:tc>
          <w:tcPr>
            <w:tcW w:type="dxa" w:w="2880"/>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037"/>
            <w:shd w:val="clear" w:color="auto" w:fill="EAF0EE"/>
          </w:tcPr>
          <w:p>
            <w:pPr>
              <w:spacing w:after="20"/>
            </w:pPr>
            <w:r>
              <w:rPr>
                <w:b/>
                <w:color w:val="1C3A36"/>
                <w:sz w:val="18"/>
              </w:rPr>
              <w:t>vs price</w:t>
            </w:r>
          </w:p>
        </w:tc>
      </w:tr>
      <w:tr>
        <w:tc>
          <w:tcPr>
            <w:tcW w:type="dxa" w:w="2520"/>
          </w:tcPr>
          <w:p>
            <w:pPr>
              <w:spacing w:after="20"/>
            </w:pPr>
            <w:r>
              <w:rPr>
                <w:color w:val="1C3A36"/>
                <w:sz w:val="18"/>
              </w:rPr>
              <w:t>Discounted cash flow — THE ANSWER</w:t>
            </w:r>
          </w:p>
        </w:tc>
        <w:tc>
          <w:tcPr>
            <w:tcW w:type="dxa" w:w="2880"/>
          </w:tcPr>
          <w:p>
            <w:pPr>
              <w:spacing w:after="20"/>
            </w:pPr>
            <w:r>
              <w:rPr>
                <w:color w:val="1C3A36"/>
                <w:sz w:val="18"/>
              </w:rPr>
              <w:t>unlevered cash, discounted on a glide</w:t>
            </w:r>
          </w:p>
        </w:tc>
        <w:tc>
          <w:tcPr>
            <w:tcW w:type="dxa" w:w="1037"/>
          </w:tcPr>
          <w:p>
            <w:pPr>
              <w:spacing w:after="20"/>
              <w:jc w:val="right"/>
            </w:pPr>
            <w:r>
              <w:rPr>
                <w:color w:val="1C3A36"/>
                <w:sz w:val="18"/>
              </w:rPr>
              <w:t>1.67</w:t>
            </w:r>
          </w:p>
        </w:tc>
        <w:tc>
          <w:tcPr>
            <w:tcW w:type="dxa" w:w="1037"/>
          </w:tcPr>
          <w:p>
            <w:pPr>
              <w:spacing w:after="20"/>
              <w:jc w:val="right"/>
            </w:pPr>
            <w:r>
              <w:rPr>
                <w:color w:val="1C3A36"/>
                <w:sz w:val="18"/>
              </w:rPr>
              <w:t>17.62</w:t>
            </w:r>
          </w:p>
        </w:tc>
        <w:tc>
          <w:tcPr>
            <w:tcW w:type="dxa" w:w="1037"/>
          </w:tcPr>
          <w:p>
            <w:pPr>
              <w:spacing w:after="20"/>
              <w:jc w:val="right"/>
            </w:pPr>
            <w:r>
              <w:rPr>
                <w:color w:val="1C3A36"/>
                <w:sz w:val="18"/>
              </w:rPr>
              <w:t>23.90</w:t>
            </w:r>
          </w:p>
        </w:tc>
        <w:tc>
          <w:tcPr>
            <w:tcW w:type="dxa" w:w="1037"/>
          </w:tcPr>
          <w:p>
            <w:pPr>
              <w:spacing w:after="20"/>
              <w:jc w:val="right"/>
            </w:pPr>
            <w:r>
              <w:rPr>
                <w:color w:val="1C3A36"/>
                <w:sz w:val="18"/>
              </w:rPr>
              <w:t>30.5%</w:t>
            </w:r>
          </w:p>
        </w:tc>
      </w:tr>
      <w:tr>
        <w:tc>
          <w:tcPr>
            <w:tcW w:type="dxa" w:w="2520"/>
          </w:tcPr>
          <w:p>
            <w:pPr>
              <w:spacing w:after="20"/>
            </w:pPr>
            <w:r>
              <w:rPr>
                <w:color w:val="1C3A36"/>
                <w:sz w:val="18"/>
              </w:rPr>
              <w:t>Relative multiples — WITHDRAWN</w:t>
            </w:r>
          </w:p>
        </w:tc>
        <w:tc>
          <w:tcPr>
            <w:tcW w:type="dxa" w:w="2880"/>
          </w:tcPr>
          <w:p>
            <w:pPr>
              <w:spacing w:after="20"/>
            </w:pPr>
            <w:r>
              <w:rPr>
                <w:color w:val="1C3A36"/>
                <w:sz w:val="18"/>
              </w:rPr>
              <w:t>its multiple WAS the traded one; a diagnostic of what the market pays, not a valuation</w:t>
            </w:r>
          </w:p>
        </w:tc>
        <w:tc>
          <w:tcPr>
            <w:tcW w:type="dxa" w:w="1037"/>
          </w:tcPr>
          <w:p>
            <w:pPr>
              <w:spacing w:after="20"/>
              <w:jc w:val="right"/>
            </w:pPr>
            <w:r>
              <w:rPr>
                <w:color w:val="1C3A36"/>
                <w:sz w:val="18"/>
              </w:rPr>
              <w:t>—</w:t>
            </w:r>
          </w:p>
        </w:tc>
        <w:tc>
          <w:tcPr>
            <w:tcW w:type="dxa" w:w="1037"/>
          </w:tcPr>
          <w:p>
            <w:pPr>
              <w:spacing w:after="20"/>
              <w:jc w:val="right"/>
            </w:pPr>
            <w:r>
              <w:rPr>
                <w:color w:val="1C3A36"/>
                <w:sz w:val="18"/>
              </w:rPr>
              <w:t>12.59</w:t>
            </w:r>
          </w:p>
        </w:tc>
        <w:tc>
          <w:tcPr>
            <w:tcW w:type="dxa" w:w="1037"/>
          </w:tcPr>
          <w:p>
            <w:pPr>
              <w:spacing w:after="20"/>
              <w:jc w:val="right"/>
            </w:pPr>
            <w:r>
              <w:rPr>
                <w:color w:val="1C3A36"/>
                <w:sz w:val="18"/>
              </w:rPr>
              <w:t>—</w:t>
            </w:r>
          </w:p>
        </w:tc>
        <w:tc>
          <w:tcPr>
            <w:tcW w:type="dxa" w:w="1037"/>
          </w:tcPr>
          <w:p>
            <w:pPr>
              <w:spacing w:after="20"/>
              <w:jc w:val="right"/>
            </w:pPr>
            <w:r>
              <w:rPr>
                <w:color w:val="1C3A36"/>
                <w:sz w:val="18"/>
              </w:rPr>
              <w:t>-6.8%</w:t>
            </w:r>
          </w:p>
        </w:tc>
      </w:tr>
      <w:tr>
        <w:tc>
          <w:tcPr>
            <w:tcW w:type="dxa" w:w="2520"/>
          </w:tcPr>
          <w:p>
            <w:pPr>
              <w:spacing w:after="20"/>
            </w:pPr>
            <w:r>
              <w:rPr>
                <w:color w:val="1C3A36"/>
                <w:sz w:val="18"/>
              </w:rPr>
              <w:t>Normalised earnings — a cross-check</w:t>
            </w:r>
          </w:p>
        </w:tc>
        <w:tc>
          <w:tcPr>
            <w:tcW w:type="dxa" w:w="2880"/>
          </w:tcPr>
          <w:p>
            <w:pPr>
              <w:spacing w:after="20"/>
            </w:pPr>
            <w:r>
              <w:rPr>
                <w:color w:val="1C3A36"/>
                <w:sz w:val="18"/>
              </w:rPr>
              <w:t>mid-cycle operating EPS, discounted</w:t>
            </w:r>
          </w:p>
        </w:tc>
        <w:tc>
          <w:tcPr>
            <w:tcW w:type="dxa" w:w="1037"/>
          </w:tcPr>
          <w:p>
            <w:pPr>
              <w:spacing w:after="20"/>
              <w:jc w:val="right"/>
            </w:pPr>
            <w:r>
              <w:rPr>
                <w:color w:val="1C3A36"/>
                <w:sz w:val="18"/>
              </w:rPr>
              <w:t>9.88</w:t>
            </w:r>
          </w:p>
        </w:tc>
        <w:tc>
          <w:tcPr>
            <w:tcW w:type="dxa" w:w="1037"/>
          </w:tcPr>
          <w:p>
            <w:pPr>
              <w:spacing w:after="20"/>
              <w:jc w:val="right"/>
            </w:pPr>
            <w:r>
              <w:rPr>
                <w:color w:val="1C3A36"/>
                <w:sz w:val="18"/>
              </w:rPr>
              <w:t>12.98</w:t>
            </w:r>
          </w:p>
        </w:tc>
        <w:tc>
          <w:tcPr>
            <w:tcW w:type="dxa" w:w="1037"/>
          </w:tcPr>
          <w:p>
            <w:pPr>
              <w:spacing w:after="20"/>
              <w:jc w:val="right"/>
            </w:pPr>
            <w:r>
              <w:rPr>
                <w:color w:val="1C3A36"/>
                <w:sz w:val="18"/>
              </w:rPr>
              <w:t>16.08</w:t>
            </w:r>
          </w:p>
        </w:tc>
        <w:tc>
          <w:tcPr>
            <w:tcW w:type="dxa" w:w="1037"/>
          </w:tcPr>
          <w:p>
            <w:pPr>
              <w:spacing w:after="20"/>
              <w:jc w:val="right"/>
            </w:pPr>
            <w:r>
              <w:rPr>
                <w:color w:val="1C3A36"/>
                <w:sz w:val="18"/>
              </w:rPr>
              <w:t>-3.8%</w:t>
            </w:r>
          </w:p>
        </w:tc>
      </w:tr>
      <w:tr>
        <w:tc>
          <w:tcPr>
            <w:tcW w:type="dxa" w:w="2520"/>
          </w:tcPr>
          <w:p>
            <w:pPr>
              <w:spacing w:after="20"/>
            </w:pPr>
            <w:r>
              <w:rPr>
                <w:color w:val="1C3A36"/>
                <w:sz w:val="18"/>
              </w:rPr>
              <w:t>Book value — a disclosed floor</w:t>
            </w:r>
          </w:p>
        </w:tc>
        <w:tc>
          <w:tcPr>
            <w:tcW w:type="dxa" w:w="2880"/>
          </w:tcPr>
          <w:p>
            <w:pPr>
              <w:spacing w:after="20"/>
            </w:pPr>
            <w:r>
              <w:rPr>
                <w:color w:val="1C3A36"/>
                <w:sz w:val="18"/>
              </w:rPr>
              <w:t>justified price-to-book</w:t>
            </w:r>
          </w:p>
        </w:tc>
        <w:tc>
          <w:tcPr>
            <w:tcW w:type="dxa" w:w="1037"/>
          </w:tcPr>
          <w:p>
            <w:pPr>
              <w:spacing w:after="20"/>
              <w:jc w:val="right"/>
            </w:pPr>
            <w:r>
              <w:rPr>
                <w:color w:val="1C3A36"/>
                <w:sz w:val="18"/>
              </w:rPr>
              <w:t>4.74</w:t>
            </w:r>
          </w:p>
        </w:tc>
        <w:tc>
          <w:tcPr>
            <w:tcW w:type="dxa" w:w="1037"/>
          </w:tcPr>
          <w:p>
            <w:pPr>
              <w:spacing w:after="20"/>
              <w:jc w:val="right"/>
            </w:pPr>
            <w:r>
              <w:rPr>
                <w:color w:val="1C3A36"/>
                <w:sz w:val="18"/>
              </w:rPr>
              <w:t>6.23</w:t>
            </w:r>
          </w:p>
        </w:tc>
        <w:tc>
          <w:tcPr>
            <w:tcW w:type="dxa" w:w="1037"/>
          </w:tcPr>
          <w:p>
            <w:pPr>
              <w:spacing w:after="20"/>
              <w:jc w:val="right"/>
            </w:pPr>
            <w:r>
              <w:rPr>
                <w:color w:val="1C3A36"/>
                <w:sz w:val="18"/>
              </w:rPr>
              <w:t>7.12</w:t>
            </w:r>
          </w:p>
        </w:tc>
        <w:tc>
          <w:tcPr>
            <w:tcW w:type="dxa" w:w="1037"/>
          </w:tcPr>
          <w:p>
            <w:pPr>
              <w:spacing w:after="20"/>
              <w:jc w:val="right"/>
            </w:pPr>
            <w:r>
              <w:rPr>
                <w:color w:val="1C3A36"/>
                <w:sz w:val="18"/>
              </w:rPr>
              <w:t>-53.9%</w:t>
            </w:r>
          </w:p>
        </w:tc>
      </w:tr>
      <w:tr>
        <w:tc>
          <w:tcPr>
            <w:tcW w:type="dxa" w:w="2520"/>
            <w:shd w:val="clear" w:color="auto" w:fill="F6F1E6"/>
          </w:tcPr>
          <w:p>
            <w:pPr>
              <w:spacing w:after="20"/>
            </w:pPr>
            <w:r>
              <w:rPr>
                <w:b/>
                <w:color w:val="1C3A36"/>
                <w:sz w:val="18"/>
              </w:rPr>
              <w:t>CENTRAL</w:t>
            </w:r>
          </w:p>
        </w:tc>
        <w:tc>
          <w:tcPr>
            <w:tcW w:type="dxa" w:w="2880"/>
            <w:shd w:val="clear" w:color="auto" w:fill="F6F1E6"/>
          </w:tcPr>
          <w:p>
            <w:pPr>
              <w:spacing w:after="20"/>
            </w:pPr>
            <w:r>
              <w:rPr>
                <w:b/>
                <w:color w:val="1C3A36"/>
                <w:sz w:val="18"/>
              </w:rPr>
              <w:t>the cash-flow lens, alone</w:t>
            </w:r>
          </w:p>
        </w:tc>
        <w:tc>
          <w:tcPr>
            <w:tcW w:type="dxa" w:w="1037"/>
            <w:shd w:val="clear" w:color="auto" w:fill="F6F1E6"/>
          </w:tcPr>
          <w:p>
            <w:pPr>
              <w:spacing w:after="20"/>
              <w:jc w:val="right"/>
            </w:pPr>
            <w:r>
              <w:rPr>
                <w:b/>
                <w:color w:val="1C3A36"/>
                <w:sz w:val="18"/>
              </w:rPr>
              <w:t>1.67</w:t>
            </w:r>
          </w:p>
        </w:tc>
        <w:tc>
          <w:tcPr>
            <w:tcW w:type="dxa" w:w="1037"/>
            <w:shd w:val="clear" w:color="auto" w:fill="F6F1E6"/>
          </w:tcPr>
          <w:p>
            <w:pPr>
              <w:spacing w:after="20"/>
              <w:jc w:val="right"/>
            </w:pPr>
            <w:r>
              <w:rPr>
                <w:b/>
                <w:color w:val="1C3A36"/>
                <w:sz w:val="18"/>
              </w:rPr>
              <w:t>17.62</w:t>
            </w:r>
          </w:p>
        </w:tc>
        <w:tc>
          <w:tcPr>
            <w:tcW w:type="dxa" w:w="1037"/>
            <w:shd w:val="clear" w:color="auto" w:fill="F6F1E6"/>
          </w:tcPr>
          <w:p>
            <w:pPr>
              <w:spacing w:after="20"/>
              <w:jc w:val="right"/>
            </w:pPr>
            <w:r>
              <w:rPr>
                <w:b/>
                <w:color w:val="1C3A36"/>
                <w:sz w:val="18"/>
              </w:rPr>
              <w:t>23.90</w:t>
            </w:r>
          </w:p>
        </w:tc>
        <w:tc>
          <w:tcPr>
            <w:tcW w:type="dxa" w:w="1037"/>
            <w:shd w:val="clear" w:color="auto" w:fill="F6F1E6"/>
          </w:tcPr>
          <w:p>
            <w:pPr>
              <w:spacing w:after="20"/>
              <w:jc w:val="right"/>
            </w:pPr>
            <w:r>
              <w:rPr>
                <w:b/>
                <w:color w:val="1C3A36"/>
                <w:sz w:val="18"/>
              </w:rPr>
              <w:t>30.5%</w:t>
            </w:r>
          </w:p>
        </w:tc>
      </w:tr>
    </w:tbl>
    <w:p>
      <w:pPr>
        <w:spacing w:after="40"/>
      </w:pPr>
    </w:p>
    <w:p>
      <w:pPr>
        <w:spacing w:after="200" w:before="0"/>
      </w:pPr>
      <w:r>
        <w:rPr>
          <w:b w:val="0"/>
          <w:i/>
          <w:color w:val="6E7B77"/>
          <w:sz w:val="17"/>
        </w:rPr>
        <w:t>Table 1 — the lenses. ONE CLASS PRIMARY IS THE CENTRAL: the cash-flow lens is the answer and the other three are cross-checks, published beside it and carrying no weight. The bear and bull columns of the central row are that same lens’s own downside and upside, not a weighted combination. The widest single lens spans EGP 1.67–23.90; that is reported as an ENVELOPE. The retired 45/20/20/15 blend of these four would read EGP 13.98 and is shown in the workbook beside the answer, unused: three of the four value a refiner on reported earnings and historical-cost book, and averaging them imports every weakness of the weakest at a weight nobody tested out of sample.</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answer and the reads held beside it. The cash-flow lens is the answer and carries its own bear-to-bull span; the relative multiple is drawn as a point because it is withdrawn, book value as a disclosed floor, and normalised earnings as a diagnostic this class does not value on. The vertical line is the traded price.</w:t>
      </w:r>
    </w:p>
    <w:p>
      <w:pPr>
        <w:spacing w:after="120" w:before="280"/>
      </w:pPr>
      <w:r>
        <w:rPr>
          <w:b/>
          <w:i w:val="0"/>
          <w:color w:val="1C3A36"/>
          <w:sz w:val="30"/>
        </w:rPr>
        <w:t>Company overview</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118,475.6</w:t>
            </w:r>
          </w:p>
        </w:tc>
        <w:tc>
          <w:tcPr>
            <w:tcW w:type="dxa" w:w="1584"/>
          </w:tcPr>
          <w:p>
            <w:pPr>
              <w:spacing w:after="20"/>
              <w:jc w:val="right"/>
            </w:pPr>
            <w:r>
              <w:rPr>
                <w:color w:val="1C3A36"/>
                <w:sz w:val="18"/>
              </w:rPr>
              <w:t>6,910</w:t>
            </w:r>
          </w:p>
        </w:tc>
        <w:tc>
          <w:tcPr>
            <w:tcW w:type="dxa" w:w="1656"/>
          </w:tcPr>
          <w:p>
            <w:pPr>
              <w:spacing w:after="20"/>
              <w:jc w:val="right"/>
            </w:pPr>
            <w:r>
              <w:rPr>
                <w:color w:val="1C3A36"/>
                <w:sz w:val="18"/>
              </w:rPr>
              <w:t>58,327</w:t>
            </w:r>
          </w:p>
        </w:tc>
        <w:tc>
          <w:tcPr>
            <w:tcW w:type="dxa" w:w="1512"/>
          </w:tcPr>
          <w:p>
            <w:pPr>
              <w:spacing w:after="20"/>
              <w:jc w:val="right"/>
            </w:pPr>
            <w:r>
              <w:rPr>
                <w:color w:val="1C3A36"/>
                <w:sz w:val="18"/>
              </w:rPr>
              <w:t>7.89%</w:t>
            </w:r>
          </w:p>
        </w:tc>
        <w:tc>
          <w:tcPr>
            <w:tcW w:type="dxa" w:w="1440"/>
          </w:tcPr>
          <w:p>
            <w:pPr>
              <w:spacing w:after="20"/>
              <w:jc w:val="right"/>
            </w:pPr>
            <w:r>
              <w:rPr>
                <w:color w:val="1C3A36"/>
                <w:sz w:val="18"/>
              </w:rPr>
              <w:t>14.72%</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82,805.7</w:t>
            </w:r>
          </w:p>
        </w:tc>
        <w:tc>
          <w:tcPr>
            <w:tcW w:type="dxa" w:w="1584"/>
          </w:tcPr>
          <w:p>
            <w:pPr>
              <w:spacing w:after="20"/>
              <w:jc w:val="right"/>
            </w:pPr>
            <w:r>
              <w:rPr>
                <w:color w:val="1C3A36"/>
                <w:sz w:val="18"/>
              </w:rPr>
              <w:t>4,653</w:t>
            </w:r>
          </w:p>
        </w:tc>
        <w:tc>
          <w:tcPr>
            <w:tcW w:type="dxa" w:w="1656"/>
          </w:tcPr>
          <w:p>
            <w:pPr>
              <w:spacing w:after="20"/>
              <w:jc w:val="right"/>
            </w:pPr>
            <w:r>
              <w:rPr>
                <w:color w:val="1C3A36"/>
                <w:sz w:val="18"/>
              </w:rPr>
              <w:t>56,190</w:t>
            </w:r>
          </w:p>
        </w:tc>
        <w:tc>
          <w:tcPr>
            <w:tcW w:type="dxa" w:w="1512"/>
          </w:tcPr>
          <w:p>
            <w:pPr>
              <w:spacing w:after="20"/>
              <w:jc w:val="right"/>
            </w:pPr>
            <w:r>
              <w:rPr>
                <w:color w:val="1C3A36"/>
                <w:sz w:val="18"/>
              </w:rPr>
              <w:t>5.51%</w:t>
            </w:r>
          </w:p>
        </w:tc>
        <w:tc>
          <w:tcPr>
            <w:tcW w:type="dxa" w:w="1440"/>
          </w:tcPr>
          <w:p>
            <w:pPr>
              <w:spacing w:after="20"/>
              <w:jc w:val="right"/>
            </w:pPr>
            <w:r>
              <w:rPr>
                <w:color w:val="1C3A36"/>
                <w:sz w:val="18"/>
              </w:rPr>
              <w:t>9.91%</w:t>
            </w:r>
          </w:p>
        </w:tc>
      </w:tr>
      <w:tr>
        <w:tc>
          <w:tcPr>
            <w:tcW w:type="dxa" w:w="2520"/>
          </w:tcPr>
          <w:p>
            <w:pPr>
              <w:spacing w:after="20"/>
            </w:pPr>
            <w:r>
              <w:rPr>
                <w:color w:val="1C3A36"/>
                <w:sz w:val="18"/>
              </w:rPr>
              <w:t>Gas oil</w:t>
            </w:r>
          </w:p>
        </w:tc>
        <w:tc>
          <w:tcPr>
            <w:tcW w:type="dxa" w:w="1440"/>
          </w:tcPr>
          <w:p>
            <w:pPr>
              <w:spacing w:after="20"/>
              <w:jc w:val="right"/>
            </w:pPr>
            <w:r>
              <w:rPr>
                <w:color w:val="1C3A36"/>
                <w:sz w:val="18"/>
              </w:rPr>
              <w:t>346,720.8</w:t>
            </w:r>
          </w:p>
        </w:tc>
        <w:tc>
          <w:tcPr>
            <w:tcW w:type="dxa" w:w="1584"/>
          </w:tcPr>
          <w:p>
            <w:pPr>
              <w:spacing w:after="20"/>
              <w:jc w:val="right"/>
            </w:pPr>
            <w:r>
              <w:rPr>
                <w:color w:val="1C3A36"/>
                <w:sz w:val="18"/>
              </w:rPr>
              <w:t>13,033</w:t>
            </w:r>
          </w:p>
        </w:tc>
        <w:tc>
          <w:tcPr>
            <w:tcW w:type="dxa" w:w="1656"/>
          </w:tcPr>
          <w:p>
            <w:pPr>
              <w:spacing w:after="20"/>
              <w:jc w:val="right"/>
            </w:pPr>
            <w:r>
              <w:rPr>
                <w:color w:val="1C3A36"/>
                <w:sz w:val="18"/>
              </w:rPr>
              <w:t>37,589</w:t>
            </w:r>
          </w:p>
        </w:tc>
        <w:tc>
          <w:tcPr>
            <w:tcW w:type="dxa" w:w="1512"/>
          </w:tcPr>
          <w:p>
            <w:pPr>
              <w:spacing w:after="20"/>
              <w:jc w:val="right"/>
            </w:pPr>
            <w:r>
              <w:rPr>
                <w:color w:val="1C3A36"/>
                <w:sz w:val="18"/>
              </w:rPr>
              <w:t>23.08%</w:t>
            </w:r>
          </w:p>
        </w:tc>
        <w:tc>
          <w:tcPr>
            <w:tcW w:type="dxa" w:w="1440"/>
          </w:tcPr>
          <w:p>
            <w:pPr>
              <w:spacing w:after="20"/>
              <w:jc w:val="right"/>
            </w:pPr>
            <w:r>
              <w:rPr>
                <w:color w:val="1C3A36"/>
                <w:sz w:val="18"/>
              </w:rPr>
              <w:t>27.75%</w:t>
            </w:r>
          </w:p>
        </w:tc>
      </w:tr>
      <w:tr>
        <w:tc>
          <w:tcPr>
            <w:tcW w:type="dxa" w:w="2520"/>
          </w:tcPr>
          <w:p>
            <w:pPr>
              <w:spacing w:after="20"/>
            </w:pPr>
            <w:r>
              <w:rPr>
                <w:color w:val="1C3A36"/>
                <w:sz w:val="18"/>
              </w:rPr>
              <w:t>Naphtha</w:t>
            </w:r>
          </w:p>
        </w:tc>
        <w:tc>
          <w:tcPr>
            <w:tcW w:type="dxa" w:w="1440"/>
          </w:tcPr>
          <w:p>
            <w:pPr>
              <w:spacing w:after="20"/>
              <w:jc w:val="right"/>
            </w:pPr>
            <w:r>
              <w:rPr>
                <w:color w:val="1C3A36"/>
                <w:sz w:val="18"/>
              </w:rPr>
              <w:t>80,543.1</w:t>
            </w:r>
          </w:p>
        </w:tc>
        <w:tc>
          <w:tcPr>
            <w:tcW w:type="dxa" w:w="1584"/>
          </w:tcPr>
          <w:p>
            <w:pPr>
              <w:spacing w:after="20"/>
              <w:jc w:val="right"/>
            </w:pPr>
            <w:r>
              <w:rPr>
                <w:color w:val="1C3A36"/>
                <w:sz w:val="18"/>
              </w:rPr>
              <w:t>2,238</w:t>
            </w:r>
          </w:p>
        </w:tc>
        <w:tc>
          <w:tcPr>
            <w:tcW w:type="dxa" w:w="1656"/>
          </w:tcPr>
          <w:p>
            <w:pPr>
              <w:spacing w:after="20"/>
              <w:jc w:val="right"/>
            </w:pPr>
            <w:r>
              <w:rPr>
                <w:color w:val="1C3A36"/>
                <w:sz w:val="18"/>
              </w:rPr>
              <w:t>27,782</w:t>
            </w:r>
          </w:p>
        </w:tc>
        <w:tc>
          <w:tcPr>
            <w:tcW w:type="dxa" w:w="1512"/>
          </w:tcPr>
          <w:p>
            <w:pPr>
              <w:spacing w:after="20"/>
              <w:jc w:val="right"/>
            </w:pPr>
            <w:r>
              <w:rPr>
                <w:color w:val="1C3A36"/>
                <w:sz w:val="18"/>
              </w:rPr>
              <w:t>5.36%</w:t>
            </w:r>
          </w:p>
        </w:tc>
        <w:tc>
          <w:tcPr>
            <w:tcW w:type="dxa" w:w="1440"/>
          </w:tcPr>
          <w:p>
            <w:pPr>
              <w:spacing w:after="20"/>
              <w:jc w:val="right"/>
            </w:pPr>
            <w:r>
              <w:rPr>
                <w:color w:val="1C3A36"/>
                <w:sz w:val="18"/>
              </w:rPr>
              <w:t>4.77%</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47,938.8</w:t>
            </w:r>
          </w:p>
        </w:tc>
        <w:tc>
          <w:tcPr>
            <w:tcW w:type="dxa" w:w="1584"/>
          </w:tcPr>
          <w:p>
            <w:pPr>
              <w:spacing w:after="20"/>
              <w:jc w:val="right"/>
            </w:pPr>
            <w:r>
              <w:rPr>
                <w:color w:val="1C3A36"/>
                <w:sz w:val="18"/>
              </w:rPr>
              <w:t>2,070</w:t>
            </w:r>
          </w:p>
        </w:tc>
        <w:tc>
          <w:tcPr>
            <w:tcW w:type="dxa" w:w="1656"/>
          </w:tcPr>
          <w:p>
            <w:pPr>
              <w:spacing w:after="20"/>
              <w:jc w:val="right"/>
            </w:pPr>
            <w:r>
              <w:rPr>
                <w:color w:val="1C3A36"/>
                <w:sz w:val="18"/>
              </w:rPr>
              <w:t>43,190</w:t>
            </w:r>
          </w:p>
        </w:tc>
        <w:tc>
          <w:tcPr>
            <w:tcW w:type="dxa" w:w="1512"/>
          </w:tcPr>
          <w:p>
            <w:pPr>
              <w:spacing w:after="20"/>
              <w:jc w:val="right"/>
            </w:pPr>
            <w:r>
              <w:rPr>
                <w:color w:val="1C3A36"/>
                <w:sz w:val="18"/>
              </w:rPr>
              <w:t>3.19%</w:t>
            </w:r>
          </w:p>
        </w:tc>
        <w:tc>
          <w:tcPr>
            <w:tcW w:type="dxa" w:w="1440"/>
          </w:tcPr>
          <w:p>
            <w:pPr>
              <w:spacing w:after="20"/>
              <w:jc w:val="right"/>
            </w:pPr>
            <w:r>
              <w:rPr>
                <w:color w:val="1C3A36"/>
                <w:sz w:val="18"/>
              </w:rPr>
              <w:t>4.41%</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799,642.3</w:t>
            </w:r>
          </w:p>
        </w:tc>
        <w:tc>
          <w:tcPr>
            <w:tcW w:type="dxa" w:w="1584"/>
          </w:tcPr>
          <w:p>
            <w:pPr>
              <w:spacing w:after="20"/>
              <w:jc w:val="right"/>
            </w:pPr>
            <w:r>
              <w:rPr>
                <w:color w:val="1C3A36"/>
                <w:sz w:val="18"/>
              </w:rPr>
              <w:t>17,640</w:t>
            </w:r>
          </w:p>
        </w:tc>
        <w:tc>
          <w:tcPr>
            <w:tcW w:type="dxa" w:w="1656"/>
          </w:tcPr>
          <w:p>
            <w:pPr>
              <w:spacing w:after="20"/>
              <w:jc w:val="right"/>
            </w:pPr>
            <w:r>
              <w:rPr>
                <w:color w:val="1C3A36"/>
                <w:sz w:val="18"/>
              </w:rPr>
              <w:t>22,059</w:t>
            </w:r>
          </w:p>
        </w:tc>
        <w:tc>
          <w:tcPr>
            <w:tcW w:type="dxa" w:w="1512"/>
          </w:tcPr>
          <w:p>
            <w:pPr>
              <w:spacing w:after="20"/>
              <w:jc w:val="right"/>
            </w:pPr>
            <w:r>
              <w:rPr>
                <w:color w:val="1C3A36"/>
                <w:sz w:val="18"/>
              </w:rPr>
              <w:t>53.23%</w:t>
            </w:r>
          </w:p>
        </w:tc>
        <w:tc>
          <w:tcPr>
            <w:tcW w:type="dxa" w:w="1440"/>
          </w:tcPr>
          <w:p>
            <w:pPr>
              <w:spacing w:after="20"/>
              <w:jc w:val="right"/>
            </w:pPr>
            <w:r>
              <w:rPr>
                <w:color w:val="1C3A36"/>
                <w:sz w:val="18"/>
              </w:rPr>
              <w:t>37.56%</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26,181.6</w:t>
            </w:r>
          </w:p>
        </w:tc>
        <w:tc>
          <w:tcPr>
            <w:tcW w:type="dxa" w:w="1584"/>
          </w:tcPr>
          <w:p>
            <w:pPr>
              <w:spacing w:after="20"/>
              <w:jc w:val="right"/>
            </w:pPr>
            <w:r>
              <w:rPr>
                <w:color w:val="1C3A36"/>
                <w:sz w:val="18"/>
              </w:rPr>
              <w:t>415</w:t>
            </w:r>
          </w:p>
        </w:tc>
        <w:tc>
          <w:tcPr>
            <w:tcW w:type="dxa" w:w="1656"/>
          </w:tcPr>
          <w:p>
            <w:pPr>
              <w:spacing w:after="20"/>
              <w:jc w:val="right"/>
            </w:pPr>
            <w:r>
              <w:rPr>
                <w:color w:val="1C3A36"/>
                <w:sz w:val="18"/>
              </w:rPr>
              <w:t>15,843</w:t>
            </w:r>
          </w:p>
        </w:tc>
        <w:tc>
          <w:tcPr>
            <w:tcW w:type="dxa" w:w="1512"/>
          </w:tcPr>
          <w:p>
            <w:pPr>
              <w:spacing w:after="20"/>
              <w:jc w:val="right"/>
            </w:pPr>
            <w:r>
              <w:rPr>
                <w:color w:val="1C3A36"/>
                <w:sz w:val="18"/>
              </w:rPr>
              <w:t>1.74%</w:t>
            </w:r>
          </w:p>
        </w:tc>
        <w:tc>
          <w:tcPr>
            <w:tcW w:type="dxa" w:w="1440"/>
          </w:tcPr>
          <w:p>
            <w:pPr>
              <w:spacing w:after="20"/>
              <w:jc w:val="right"/>
            </w:pPr>
            <w:r>
              <w:rPr>
                <w:color w:val="1C3A36"/>
                <w:sz w:val="18"/>
              </w:rPr>
              <w:t>0.88%</w:t>
            </w:r>
          </w:p>
        </w:tc>
      </w:tr>
      <w:tr>
        <w:tc>
          <w:tcPr>
            <w:tcW w:type="dxa" w:w="2520"/>
          </w:tcPr>
          <w:p>
            <w:pPr>
              <w:spacing w:after="20"/>
            </w:pPr>
            <w:r>
              <w:rPr>
                <w:color w:val="1C3A36"/>
                <w:sz w:val="18"/>
              </w:rPr>
              <w:t>Waste</w:t>
            </w:r>
          </w:p>
        </w:tc>
        <w:tc>
          <w:tcPr>
            <w:tcW w:type="dxa" w:w="1440"/>
          </w:tcPr>
          <w:p>
            <w:pPr>
              <w:spacing w:after="20"/>
              <w:jc w:val="right"/>
            </w:pPr>
            <w:r>
              <w:rPr>
                <w:color w:val="1C3A36"/>
                <w:sz w:val="18"/>
              </w:rPr>
              <w:t>16.7</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11,537</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1,502,324.6</w:t>
            </w:r>
          </w:p>
        </w:tc>
        <w:tc>
          <w:tcPr>
            <w:tcW w:type="dxa" w:w="1584"/>
            <w:shd w:val="clear" w:color="auto" w:fill="F6F1E6"/>
          </w:tcPr>
          <w:p>
            <w:pPr>
              <w:spacing w:after="20"/>
              <w:jc w:val="right"/>
            </w:pPr>
            <w:r>
              <w:rPr>
                <w:b/>
                <w:color w:val="1C3A36"/>
                <w:sz w:val="18"/>
              </w:rPr>
              <w:t>46,959</w:t>
            </w:r>
          </w:p>
        </w:tc>
        <w:tc>
          <w:tcPr>
            <w:tcW w:type="dxa" w:w="1656"/>
            <w:shd w:val="clear" w:color="auto" w:fill="F6F1E6"/>
          </w:tcPr>
          <w:p>
            <w:pPr>
              <w:spacing w:after="20"/>
              <w:jc w:val="right"/>
            </w:pPr>
            <w:r>
              <w:rPr>
                <w:b/>
                <w:color w:val="1C3A36"/>
                <w:sz w:val="18"/>
              </w:rPr>
              <w:t>31,257</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13.4% of the tonnage and 24.6% of the value. That asymmetry is the company.</w:t>
      </w:r>
    </w:p>
    <w:p>
      <w:pPr>
        <w:spacing w:after="120" w:before="0"/>
      </w:pPr>
      <w:r>
        <w:rPr>
          <w:b w:val="0"/>
          <w:i w:val="0"/>
          <w:color w:val="1C3A36"/>
          <w:sz w:val="21"/>
        </w:rPr>
        <w:t>Raw materials are 91.2% of cost of sales (note 15-A) and 82.4% of revenue. A business whose single largest line is that big, and whose gross margin is 9.7%,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3,018</w:t>
            </w:r>
          </w:p>
        </w:tc>
        <w:tc>
          <w:tcPr>
            <w:tcW w:type="dxa" w:w="1080"/>
          </w:tcPr>
          <w:p>
            <w:pPr>
              <w:spacing w:after="20"/>
              <w:jc w:val="right"/>
            </w:pPr>
            <w:r>
              <w:rPr>
                <w:color w:val="1C3A36"/>
                <w:sz w:val="17"/>
              </w:rPr>
              <w:t>2.34</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525</w:t>
            </w:r>
          </w:p>
        </w:tc>
        <w:tc>
          <w:tcPr>
            <w:tcW w:type="dxa" w:w="1080"/>
          </w:tcPr>
          <w:p>
            <w:pPr>
              <w:spacing w:after="20"/>
              <w:jc w:val="right"/>
            </w:pPr>
            <w:r>
              <w:rPr>
                <w:color w:val="1C3A36"/>
                <w:sz w:val="17"/>
              </w:rPr>
              <w:t>0.41</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17</w:t>
            </w:r>
          </w:p>
        </w:tc>
        <w:tc>
          <w:tcPr>
            <w:tcW w:type="dxa" w:w="1080"/>
          </w:tcPr>
          <w:p>
            <w:pPr>
              <w:spacing w:after="20"/>
              <w:jc w:val="right"/>
            </w:pPr>
            <w:r>
              <w:rPr>
                <w:color w:val="1C3A36"/>
                <w:sz w:val="17"/>
              </w:rPr>
              <w:t>0.01</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3,002</w:t>
            </w:r>
          </w:p>
        </w:tc>
        <w:tc>
          <w:tcPr>
            <w:tcW w:type="dxa" w:w="1080"/>
            <w:shd w:val="clear" w:color="auto" w:fill="F6F1E6"/>
          </w:tcPr>
          <w:p>
            <w:pPr>
              <w:spacing w:after="20"/>
              <w:jc w:val="right"/>
            </w:pPr>
            <w:r>
              <w:rPr>
                <w:b/>
                <w:color w:val="1C3A36"/>
                <w:sz w:val="17"/>
              </w:rPr>
              <w:t>2.32</w:t>
            </w:r>
          </w:p>
        </w:tc>
        <w:tc>
          <w:tcPr>
            <w:tcW w:type="dxa" w:w="4464"/>
            <w:shd w:val="clear" w:color="auto" w:fill="F6F1E6"/>
          </w:tcPr>
          <w:p>
            <w:pPr>
              <w:spacing w:after="20"/>
            </w:pPr>
            <w:r>
              <w:rPr>
                <w:b/>
                <w:color w:val="1C3A36"/>
                <w:sz w:val="17"/>
              </w:rPr>
              <w:t>17.2%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997</w:t>
            </w:r>
          </w:p>
        </w:tc>
        <w:tc>
          <w:tcPr>
            <w:tcW w:type="dxa" w:w="1080"/>
          </w:tcPr>
          <w:p>
            <w:pPr>
              <w:spacing w:after="20"/>
              <w:jc w:val="right"/>
            </w:pPr>
            <w:r>
              <w:rPr>
                <w:color w:val="1C3A36"/>
                <w:sz w:val="17"/>
              </w:rPr>
              <w:t>0.77</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258</w:t>
            </w:r>
          </w:p>
        </w:tc>
        <w:tc>
          <w:tcPr>
            <w:tcW w:type="dxa" w:w="1080"/>
          </w:tcPr>
          <w:p>
            <w:pPr>
              <w:spacing w:after="20"/>
              <w:jc w:val="right"/>
            </w:pPr>
            <w:r>
              <w:rPr>
                <w:color w:val="1C3A36"/>
                <w:sz w:val="17"/>
              </w:rPr>
              <w:t>0.20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6,070</w:t>
            </w:r>
          </w:p>
        </w:tc>
        <w:tc>
          <w:tcPr>
            <w:tcW w:type="dxa" w:w="1080"/>
          </w:tcPr>
          <w:p>
            <w:pPr>
              <w:spacing w:after="20"/>
              <w:jc w:val="right"/>
            </w:pPr>
            <w:r>
              <w:rPr>
                <w:color w:val="1C3A36"/>
                <w:sz w:val="17"/>
              </w:rPr>
              <w:t>4.70</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1,288mn and net working capital of EGP 3,389mn against a single equity stake of EGP 70mn. And consolidated profit is dominated by one plant, with the minority in the wax subsidiary running at 2.96%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REVIEWED half to 30 June 2026. No annualisation scalar is applied to either half and no period is estimated. BOTH HALVES ARE FILED — an earlier edition of this study treated the second as a press release and solved its gross profit from the profit line; the reviewed statements settle it, and the released figure was right to within a fraction of a per cent.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3,259</w:t>
            </w:r>
          </w:p>
        </w:tc>
        <w:tc>
          <w:tcPr>
            <w:tcW w:type="dxa" w:w="1512"/>
          </w:tcPr>
          <w:p>
            <w:pPr>
              <w:spacing w:after="20"/>
              <w:jc w:val="right"/>
            </w:pPr>
            <w:r>
              <w:rPr>
                <w:color w:val="1C3A36"/>
                <w:sz w:val="17"/>
              </w:rPr>
              <w:t>4,533</w:t>
            </w:r>
          </w:p>
        </w:tc>
        <w:tc>
          <w:tcPr>
            <w:tcW w:type="dxa" w:w="2520"/>
          </w:tcPr>
          <w:p>
            <w:pPr>
              <w:spacing w:after="20"/>
            </w:pPr>
            <w:r>
              <w:rPr>
                <w:color w:val="1C3A36"/>
                <w:sz w:val="17"/>
              </w:rPr>
              <w:t>both halves FILED</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12.43%</w:t>
            </w:r>
          </w:p>
        </w:tc>
        <w:tc>
          <w:tcPr>
            <w:tcW w:type="dxa" w:w="1512"/>
          </w:tcPr>
          <w:p>
            <w:pPr>
              <w:spacing w:after="20"/>
              <w:jc w:val="right"/>
            </w:pPr>
            <w:r>
              <w:rPr>
                <w:color w:val="1C3A36"/>
                <w:sz w:val="17"/>
              </w:rPr>
              <w:t>9.65%</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1,739</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157</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169</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308</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HALF IS FILED, AND THE RELEASED GROSS PROFIT WAS RIGHT. The reviewed consolidated statements for the six months to 30 June 2026 report net sales of EGP 26,223mn, gross profit of EGP 3,259mn — a margin of 12.43% — and profit attributable to shareholders of EGP 1,882mn. That is MORE IN SIX MONTHS than the whole financial year to June 2025 earned. The previous edition of this study did not have these statements, believed the half existed only as a press release, rejected the released gross-profit line on a coherence test and solved gross profit from the profit line instead. The filing settles it in the release's favour: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1944"/>
        <w:gridCol w:w="2304"/>
      </w:tblGrid>
      <w:tr>
        <w:tc>
          <w:tcPr>
            <w:tcW w:type="dxa" w:w="4320"/>
            <w:shd w:val="clear" w:color="auto" w:fill="EAF0EE"/>
          </w:tcPr>
          <w:p>
            <w:pPr>
              <w:spacing w:after="20"/>
            </w:pPr>
            <w:r>
              <w:rPr>
                <w:b/>
                <w:color w:val="1C3A36"/>
                <w:sz w:val="17"/>
              </w:rPr>
              <w:t>Line, six months to 30 June 2026</w:t>
            </w:r>
          </w:p>
        </w:tc>
        <w:tc>
          <w:tcPr>
            <w:tcW w:type="dxa" w:w="1944"/>
            <w:shd w:val="clear" w:color="auto" w:fill="EAF0EE"/>
          </w:tcPr>
          <w:p>
            <w:pPr>
              <w:spacing w:after="20"/>
            </w:pPr>
            <w:r>
              <w:rPr>
                <w:b/>
                <w:color w:val="1C3A36"/>
                <w:sz w:val="17"/>
              </w:rPr>
              <w:t>As released</w:t>
            </w:r>
          </w:p>
        </w:tc>
        <w:tc>
          <w:tcPr>
            <w:tcW w:type="dxa" w:w="1944"/>
            <w:shd w:val="clear" w:color="auto" w:fill="EAF0EE"/>
          </w:tcPr>
          <w:p>
            <w:pPr>
              <w:spacing w:after="20"/>
            </w:pPr>
            <w:r>
              <w:rPr>
                <w:b/>
                <w:color w:val="1C3A36"/>
                <w:sz w:val="17"/>
              </w:rPr>
              <w:t>As filed</w:t>
            </w:r>
          </w:p>
        </w:tc>
        <w:tc>
          <w:tcPr>
            <w:tcW w:type="dxa" w:w="2304"/>
            <w:shd w:val="clear" w:color="auto" w:fill="EAF0EE"/>
          </w:tcPr>
          <w:p>
            <w:pPr>
              <w:spacing w:after="20"/>
            </w:pPr>
            <w:r>
              <w:rPr>
                <w:b/>
                <w:color w:val="1C3A36"/>
                <w:sz w:val="17"/>
              </w:rPr>
              <w:t>Difference</w:t>
            </w:r>
          </w:p>
        </w:tc>
      </w:tr>
      <w:tr>
        <w:tc>
          <w:tcPr>
            <w:tcW w:type="dxa" w:w="4320"/>
          </w:tcPr>
          <w:p>
            <w:pPr>
              <w:spacing w:after="20"/>
            </w:pPr>
            <w:r>
              <w:rPr>
                <w:color w:val="1C3A36"/>
                <w:sz w:val="17"/>
              </w:rPr>
              <w:t>Net sales</w:t>
            </w:r>
          </w:p>
        </w:tc>
        <w:tc>
          <w:tcPr>
            <w:tcW w:type="dxa" w:w="1944"/>
          </w:tcPr>
          <w:p>
            <w:pPr>
              <w:spacing w:after="20"/>
            </w:pPr>
            <w:r>
              <w:rPr>
                <w:color w:val="1C3A36"/>
                <w:sz w:val="17"/>
              </w:rPr>
              <w:t>26,223</w:t>
            </w:r>
          </w:p>
        </w:tc>
        <w:tc>
          <w:tcPr>
            <w:tcW w:type="dxa" w:w="1944"/>
          </w:tcPr>
          <w:p>
            <w:pPr>
              <w:spacing w:after="20"/>
              <w:jc w:val="right"/>
            </w:pPr>
            <w:r>
              <w:rPr>
                <w:color w:val="1C3A36"/>
                <w:sz w:val="17"/>
              </w:rPr>
              <w:t>26,223</w:t>
            </w:r>
          </w:p>
        </w:tc>
        <w:tc>
          <w:tcPr>
            <w:tcW w:type="dxa" w:w="2304"/>
          </w:tcPr>
          <w:p>
            <w:pPr>
              <w:spacing w:after="20"/>
              <w:jc w:val="right"/>
            </w:pPr>
            <w:r>
              <w:rPr>
                <w:color w:val="1C3A36"/>
                <w:sz w:val="17"/>
              </w:rPr>
              <w:t>-0.00%</w:t>
            </w:r>
          </w:p>
        </w:tc>
      </w:tr>
      <w:tr>
        <w:tc>
          <w:tcPr>
            <w:tcW w:type="dxa" w:w="4320"/>
          </w:tcPr>
          <w:p>
            <w:pPr>
              <w:spacing w:after="20"/>
            </w:pPr>
            <w:r>
              <w:rPr>
                <w:color w:val="1C3A36"/>
                <w:sz w:val="17"/>
              </w:rPr>
              <w:t>Gross profit</w:t>
            </w:r>
          </w:p>
        </w:tc>
        <w:tc>
          <w:tcPr>
            <w:tcW w:type="dxa" w:w="1944"/>
          </w:tcPr>
          <w:p>
            <w:pPr>
              <w:spacing w:after="20"/>
            </w:pPr>
            <w:r>
              <w:rPr>
                <w:color w:val="1C3A36"/>
                <w:sz w:val="17"/>
              </w:rPr>
              <w:t>3,258</w:t>
            </w:r>
          </w:p>
        </w:tc>
        <w:tc>
          <w:tcPr>
            <w:tcW w:type="dxa" w:w="1944"/>
          </w:tcPr>
          <w:p>
            <w:pPr>
              <w:spacing w:after="20"/>
              <w:jc w:val="right"/>
            </w:pPr>
            <w:r>
              <w:rPr>
                <w:color w:val="1C3A36"/>
                <w:sz w:val="17"/>
              </w:rPr>
              <w:t>3,259</w:t>
            </w:r>
          </w:p>
        </w:tc>
        <w:tc>
          <w:tcPr>
            <w:tcW w:type="dxa" w:w="2304"/>
          </w:tcPr>
          <w:p>
            <w:pPr>
              <w:spacing w:after="20"/>
              <w:jc w:val="right"/>
            </w:pPr>
            <w:r>
              <w:rPr>
                <w:color w:val="1C3A36"/>
                <w:sz w:val="17"/>
              </w:rPr>
              <w:t>-0.03%</w:t>
            </w:r>
          </w:p>
        </w:tc>
      </w:tr>
      <w:tr>
        <w:tc>
          <w:tcPr>
            <w:tcW w:type="dxa" w:w="4320"/>
          </w:tcPr>
          <w:p>
            <w:pPr>
              <w:spacing w:after="20"/>
            </w:pPr>
            <w:r>
              <w:rPr>
                <w:color w:val="1C3A36"/>
                <w:sz w:val="17"/>
              </w:rPr>
              <w:t>Profit after tax</w:t>
            </w:r>
          </w:p>
        </w:tc>
        <w:tc>
          <w:tcPr>
            <w:tcW w:type="dxa" w:w="1944"/>
          </w:tcPr>
          <w:p>
            <w:pPr>
              <w:spacing w:after="20"/>
            </w:pPr>
            <w:r>
              <w:rPr>
                <w:color w:val="1C3A36"/>
                <w:sz w:val="17"/>
              </w:rPr>
              <w:t>1,903</w:t>
            </w:r>
          </w:p>
        </w:tc>
        <w:tc>
          <w:tcPr>
            <w:tcW w:type="dxa" w:w="1944"/>
          </w:tcPr>
          <w:p>
            <w:pPr>
              <w:spacing w:after="20"/>
              <w:jc w:val="right"/>
            </w:pPr>
            <w:r>
              <w:rPr>
                <w:color w:val="1C3A36"/>
                <w:sz w:val="17"/>
              </w:rPr>
              <w:t>1,921</w:t>
            </w:r>
          </w:p>
        </w:tc>
        <w:tc>
          <w:tcPr>
            <w:tcW w:type="dxa" w:w="2304"/>
          </w:tcPr>
          <w:p>
            <w:pPr>
              <w:spacing w:after="20"/>
              <w:jc w:val="right"/>
            </w:pPr>
            <w:r>
              <w:rPr>
                <w:color w:val="1C3A36"/>
                <w:sz w:val="17"/>
              </w:rPr>
              <w:t>-0.92%</w:t>
            </w:r>
          </w:p>
        </w:tc>
      </w:tr>
    </w:tbl>
    <w:p>
      <w:pPr>
        <w:spacing w:after="40"/>
      </w:pPr>
    </w:p>
    <w:p>
      <w:pPr>
        <w:spacing w:after="200" w:before="0"/>
      </w:pPr>
      <w:r>
        <w:rPr>
          <w:b w:val="0"/>
          <w:i/>
          <w:color w:val="6E7B77"/>
          <w:sz w:val="17"/>
        </w:rPr>
        <w:t>Table 5 — the press release against the filing. All three lines tie. The coherence test that rejected the gross-profit line estimated the half's other income by DOUBLING the first quarter's, which put EGP 451mn where the filing shows EGP 197mn — other income is the most volatile line in this income statement and the least suited to being doubled. A test built on an extrapolated volatile line refuted a correct disclosure, and the study then carried a gross margin roughly two-thirds of a point too low into every lens. The lesson is kept rather than the conclusion: a coherence test is only as good as the estimate inside it.</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+2.15%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r>
        <w:tc>
          <w:tcPr>
            <w:tcW w:type="dxa" w:w="2448"/>
          </w:tcPr>
          <w:p>
            <w:pPr>
              <w:spacing w:after="20"/>
            </w:pPr>
            <w:r>
              <w:rPr>
                <w:color w:val="1C3A36"/>
                <w:sz w:val="18"/>
              </w:rPr>
              <w:t>6M Jun-2026</w:t>
            </w:r>
          </w:p>
        </w:tc>
        <w:tc>
          <w:tcPr>
            <w:tcW w:type="dxa" w:w="1800"/>
          </w:tcPr>
          <w:p>
            <w:pPr>
              <w:spacing w:after="20"/>
              <w:jc w:val="right"/>
            </w:pPr>
            <w:r>
              <w:rPr>
                <w:color w:val="1C3A36"/>
                <w:sz w:val="18"/>
              </w:rPr>
              <w:t>26,223</w:t>
            </w:r>
          </w:p>
        </w:tc>
        <w:tc>
          <w:tcPr>
            <w:tcW w:type="dxa" w:w="1800"/>
          </w:tcPr>
          <w:p>
            <w:pPr>
              <w:spacing w:after="20"/>
              <w:jc w:val="right"/>
            </w:pPr>
            <w:r>
              <w:rPr>
                <w:color w:val="1C3A36"/>
                <w:sz w:val="18"/>
              </w:rPr>
              <w:t>3,259</w:t>
            </w:r>
          </w:p>
        </w:tc>
        <w:tc>
          <w:tcPr>
            <w:tcW w:type="dxa" w:w="1656"/>
          </w:tcPr>
          <w:p>
            <w:pPr>
              <w:spacing w:after="20"/>
              <w:jc w:val="right"/>
            </w:pPr>
            <w:r>
              <w:rPr>
                <w:color w:val="1C3A36"/>
                <w:sz w:val="18"/>
              </w:rPr>
              <w:t>12.43%</w:t>
            </w:r>
          </w:p>
        </w:tc>
        <w:tc>
          <w:tcPr>
            <w:tcW w:type="dxa" w:w="1944"/>
          </w:tcPr>
          <w:p>
            <w:pPr>
              <w:spacing w:after="20"/>
              <w:jc w:val="right"/>
            </w:pPr>
            <w:r>
              <w:rPr>
                <w:color w:val="1C3A36"/>
                <w:sz w:val="18"/>
              </w:rPr>
              <w:t>2,456</w:t>
            </w:r>
          </w:p>
        </w:tc>
      </w:tr>
    </w:tbl>
    <w:p>
      <w:pPr>
        <w:spacing w:after="40"/>
      </w:pPr>
    </w:p>
    <w:p>
      <w:pPr>
        <w:spacing w:after="200" w:before="0"/>
      </w:pPr>
      <w:r>
        <w:rPr>
          <w:b w:val="0"/>
          <w:i/>
          <w:color w:val="6E7B77"/>
          <w:sz w:val="17"/>
        </w:rPr>
        <w:t>Table 6 — the filed margin record. Five consecutively filed periods; the margin ranges 5.05% to 12.43%, a spread of 737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5.24%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17.91  (+1.6%)</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997mn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18.39  (+4.4%)</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258mn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17.82  (+1.1%)</w:t>
            </w:r>
          </w:p>
        </w:tc>
      </w:tr>
    </w:tbl>
    <w:p>
      <w:pPr>
        <w:spacing w:after="40"/>
      </w:pPr>
    </w:p>
    <w:p>
      <w:pPr>
        <w:spacing w:after="200" w:before="0"/>
      </w:pPr>
      <w:r>
        <w:rPr>
          <w:b w:val="0"/>
          <w:i/>
          <w:color w:val="6E7B77"/>
          <w:sz w:val="17"/>
        </w:rPr>
        <w:t>Table 7 — the three charges. The rightmost column is the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1.000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0.118</w:t>
            </w:r>
          </w:p>
        </w:tc>
        <w:tc>
          <w:tcPr>
            <w:tcW w:type="dxa" w:w="1656"/>
          </w:tcPr>
          <w:p>
            <w:pPr>
              <w:spacing w:after="20"/>
              <w:jc w:val="right"/>
            </w:pPr>
            <w:r>
              <w:rPr>
                <w:color w:val="1C3A36"/>
                <w:sz w:val="16"/>
              </w:rPr>
              <w:t>58,327</w:t>
            </w:r>
          </w:p>
        </w:tc>
        <w:tc>
          <w:tcPr>
            <w:tcW w:type="dxa" w:w="1195"/>
          </w:tcPr>
          <w:p>
            <w:pPr>
              <w:spacing w:after="20"/>
              <w:jc w:val="right"/>
            </w:pPr>
            <w:r>
              <w:rPr>
                <w:color w:val="1C3A36"/>
                <w:sz w:val="16"/>
              </w:rPr>
              <w:t>7,820</w:t>
            </w:r>
          </w:p>
        </w:tc>
        <w:tc>
          <w:tcPr>
            <w:tcW w:type="dxa" w:w="1195"/>
          </w:tcPr>
          <w:p>
            <w:pPr>
              <w:spacing w:after="20"/>
              <w:jc w:val="right"/>
            </w:pPr>
            <w:r>
              <w:rPr>
                <w:color w:val="1C3A36"/>
                <w:sz w:val="16"/>
              </w:rPr>
              <w:t>8,545</w:t>
            </w:r>
          </w:p>
        </w:tc>
        <w:tc>
          <w:tcPr>
            <w:tcW w:type="dxa" w:w="1195"/>
          </w:tcPr>
          <w:p>
            <w:pPr>
              <w:spacing w:after="20"/>
              <w:jc w:val="right"/>
            </w:pPr>
            <w:r>
              <w:rPr>
                <w:color w:val="1C3A36"/>
                <w:sz w:val="16"/>
              </w:rPr>
              <w:t>9,087</w:t>
            </w:r>
          </w:p>
        </w:tc>
        <w:tc>
          <w:tcPr>
            <w:tcW w:type="dxa" w:w="1195"/>
          </w:tcPr>
          <w:p>
            <w:pPr>
              <w:spacing w:after="20"/>
              <w:jc w:val="right"/>
            </w:pPr>
            <w:r>
              <w:rPr>
                <w:color w:val="1C3A36"/>
                <w:sz w:val="16"/>
              </w:rPr>
              <w:t>9,530</w:t>
            </w:r>
          </w:p>
        </w:tc>
        <w:tc>
          <w:tcPr>
            <w:tcW w:type="dxa" w:w="1195"/>
          </w:tcPr>
          <w:p>
            <w:pPr>
              <w:spacing w:after="20"/>
              <w:jc w:val="right"/>
            </w:pPr>
            <w:r>
              <w:rPr>
                <w:color w:val="1C3A36"/>
                <w:sz w:val="16"/>
              </w:rPr>
              <w:t>9,949</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56,190</w:t>
            </w:r>
          </w:p>
        </w:tc>
        <w:tc>
          <w:tcPr>
            <w:tcW w:type="dxa" w:w="1195"/>
          </w:tcPr>
          <w:p>
            <w:pPr>
              <w:spacing w:after="20"/>
              <w:jc w:val="right"/>
            </w:pPr>
            <w:r>
              <w:rPr>
                <w:color w:val="1C3A36"/>
                <w:sz w:val="16"/>
              </w:rPr>
              <w:t>5,266</w:t>
            </w:r>
          </w:p>
        </w:tc>
        <w:tc>
          <w:tcPr>
            <w:tcW w:type="dxa" w:w="1195"/>
          </w:tcPr>
          <w:p>
            <w:pPr>
              <w:spacing w:after="20"/>
              <w:jc w:val="right"/>
            </w:pPr>
            <w:r>
              <w:rPr>
                <w:color w:val="1C3A36"/>
                <w:sz w:val="16"/>
              </w:rPr>
              <w:t>5,754</w:t>
            </w:r>
          </w:p>
        </w:tc>
        <w:tc>
          <w:tcPr>
            <w:tcW w:type="dxa" w:w="1195"/>
          </w:tcPr>
          <w:p>
            <w:pPr>
              <w:spacing w:after="20"/>
              <w:jc w:val="right"/>
            </w:pPr>
            <w:r>
              <w:rPr>
                <w:color w:val="1C3A36"/>
                <w:sz w:val="16"/>
              </w:rPr>
              <w:t>6,119</w:t>
            </w:r>
          </w:p>
        </w:tc>
        <w:tc>
          <w:tcPr>
            <w:tcW w:type="dxa" w:w="1195"/>
          </w:tcPr>
          <w:p>
            <w:pPr>
              <w:spacing w:after="20"/>
              <w:jc w:val="right"/>
            </w:pPr>
            <w:r>
              <w:rPr>
                <w:color w:val="1C3A36"/>
                <w:sz w:val="16"/>
              </w:rPr>
              <w:t>6,417</w:t>
            </w:r>
          </w:p>
        </w:tc>
        <w:tc>
          <w:tcPr>
            <w:tcW w:type="dxa" w:w="1195"/>
          </w:tcPr>
          <w:p>
            <w:pPr>
              <w:spacing w:after="20"/>
              <w:jc w:val="right"/>
            </w:pPr>
            <w:r>
              <w:rPr>
                <w:color w:val="1C3A36"/>
                <w:sz w:val="16"/>
              </w:rPr>
              <w:t>6,699</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0.347</w:t>
            </w:r>
          </w:p>
        </w:tc>
        <w:tc>
          <w:tcPr>
            <w:tcW w:type="dxa" w:w="1656"/>
          </w:tcPr>
          <w:p>
            <w:pPr>
              <w:spacing w:after="20"/>
              <w:jc w:val="right"/>
            </w:pPr>
            <w:r>
              <w:rPr>
                <w:color w:val="1C3A36"/>
                <w:sz w:val="16"/>
              </w:rPr>
              <w:t>37,589</w:t>
            </w:r>
          </w:p>
        </w:tc>
        <w:tc>
          <w:tcPr>
            <w:tcW w:type="dxa" w:w="1195"/>
          </w:tcPr>
          <w:p>
            <w:pPr>
              <w:spacing w:after="20"/>
              <w:jc w:val="right"/>
            </w:pPr>
            <w:r>
              <w:rPr>
                <w:color w:val="1C3A36"/>
                <w:sz w:val="16"/>
              </w:rPr>
              <w:t>14,749</w:t>
            </w:r>
          </w:p>
        </w:tc>
        <w:tc>
          <w:tcPr>
            <w:tcW w:type="dxa" w:w="1195"/>
          </w:tcPr>
          <w:p>
            <w:pPr>
              <w:spacing w:after="20"/>
              <w:jc w:val="right"/>
            </w:pPr>
            <w:r>
              <w:rPr>
                <w:color w:val="1C3A36"/>
                <w:sz w:val="16"/>
              </w:rPr>
              <w:t>16,117</w:t>
            </w:r>
          </w:p>
        </w:tc>
        <w:tc>
          <w:tcPr>
            <w:tcW w:type="dxa" w:w="1195"/>
          </w:tcPr>
          <w:p>
            <w:pPr>
              <w:spacing w:after="20"/>
              <w:jc w:val="right"/>
            </w:pPr>
            <w:r>
              <w:rPr>
                <w:color w:val="1C3A36"/>
                <w:sz w:val="16"/>
              </w:rPr>
              <w:t>17,139</w:t>
            </w:r>
          </w:p>
        </w:tc>
        <w:tc>
          <w:tcPr>
            <w:tcW w:type="dxa" w:w="1195"/>
          </w:tcPr>
          <w:p>
            <w:pPr>
              <w:spacing w:after="20"/>
              <w:jc w:val="right"/>
            </w:pPr>
            <w:r>
              <w:rPr>
                <w:color w:val="1C3A36"/>
                <w:sz w:val="16"/>
              </w:rPr>
              <w:t>17,975</w:t>
            </w:r>
          </w:p>
        </w:tc>
        <w:tc>
          <w:tcPr>
            <w:tcW w:type="dxa" w:w="1195"/>
          </w:tcPr>
          <w:p>
            <w:pPr>
              <w:spacing w:after="20"/>
              <w:jc w:val="right"/>
            </w:pPr>
            <w:r>
              <w:rPr>
                <w:color w:val="1C3A36"/>
                <w:sz w:val="16"/>
              </w:rPr>
              <w:t>18,764</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0.081</w:t>
            </w:r>
          </w:p>
        </w:tc>
        <w:tc>
          <w:tcPr>
            <w:tcW w:type="dxa" w:w="1656"/>
          </w:tcPr>
          <w:p>
            <w:pPr>
              <w:spacing w:after="20"/>
              <w:jc w:val="right"/>
            </w:pPr>
            <w:r>
              <w:rPr>
                <w:color w:val="1C3A36"/>
                <w:sz w:val="16"/>
              </w:rPr>
              <w:t>27,782</w:t>
            </w:r>
          </w:p>
        </w:tc>
        <w:tc>
          <w:tcPr>
            <w:tcW w:type="dxa" w:w="1195"/>
          </w:tcPr>
          <w:p>
            <w:pPr>
              <w:spacing w:after="20"/>
              <w:jc w:val="right"/>
            </w:pPr>
            <w:r>
              <w:rPr>
                <w:color w:val="1C3A36"/>
                <w:sz w:val="16"/>
              </w:rPr>
              <w:t>2,532</w:t>
            </w:r>
          </w:p>
        </w:tc>
        <w:tc>
          <w:tcPr>
            <w:tcW w:type="dxa" w:w="1195"/>
          </w:tcPr>
          <w:p>
            <w:pPr>
              <w:spacing w:after="20"/>
              <w:jc w:val="right"/>
            </w:pPr>
            <w:r>
              <w:rPr>
                <w:color w:val="1C3A36"/>
                <w:sz w:val="16"/>
              </w:rPr>
              <w:t>2,767</w:t>
            </w:r>
          </w:p>
        </w:tc>
        <w:tc>
          <w:tcPr>
            <w:tcW w:type="dxa" w:w="1195"/>
          </w:tcPr>
          <w:p>
            <w:pPr>
              <w:spacing w:after="20"/>
              <w:jc w:val="right"/>
            </w:pPr>
            <w:r>
              <w:rPr>
                <w:color w:val="1C3A36"/>
                <w:sz w:val="16"/>
              </w:rPr>
              <w:t>2,943</w:t>
            </w:r>
          </w:p>
        </w:tc>
        <w:tc>
          <w:tcPr>
            <w:tcW w:type="dxa" w:w="1195"/>
          </w:tcPr>
          <w:p>
            <w:pPr>
              <w:spacing w:after="20"/>
              <w:jc w:val="right"/>
            </w:pPr>
            <w:r>
              <w:rPr>
                <w:color w:val="1C3A36"/>
                <w:sz w:val="16"/>
              </w:rPr>
              <w:t>3,086</w:t>
            </w:r>
          </w:p>
        </w:tc>
        <w:tc>
          <w:tcPr>
            <w:tcW w:type="dxa" w:w="1195"/>
          </w:tcPr>
          <w:p>
            <w:pPr>
              <w:spacing w:after="20"/>
              <w:jc w:val="right"/>
            </w:pPr>
            <w:r>
              <w:rPr>
                <w:color w:val="1C3A36"/>
                <w:sz w:val="16"/>
              </w:rPr>
              <w:t>3,222</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0.048</w:t>
            </w:r>
          </w:p>
        </w:tc>
        <w:tc>
          <w:tcPr>
            <w:tcW w:type="dxa" w:w="1656"/>
          </w:tcPr>
          <w:p>
            <w:pPr>
              <w:spacing w:after="20"/>
              <w:jc w:val="right"/>
            </w:pPr>
            <w:r>
              <w:rPr>
                <w:color w:val="1C3A36"/>
                <w:sz w:val="16"/>
              </w:rPr>
              <w:t>43,190</w:t>
            </w:r>
          </w:p>
        </w:tc>
        <w:tc>
          <w:tcPr>
            <w:tcW w:type="dxa" w:w="1195"/>
          </w:tcPr>
          <w:p>
            <w:pPr>
              <w:spacing w:after="20"/>
              <w:jc w:val="right"/>
            </w:pPr>
            <w:r>
              <w:rPr>
                <w:color w:val="1C3A36"/>
                <w:sz w:val="16"/>
              </w:rPr>
              <w:t>2,343</w:t>
            </w:r>
          </w:p>
        </w:tc>
        <w:tc>
          <w:tcPr>
            <w:tcW w:type="dxa" w:w="1195"/>
          </w:tcPr>
          <w:p>
            <w:pPr>
              <w:spacing w:after="20"/>
              <w:jc w:val="right"/>
            </w:pPr>
            <w:r>
              <w:rPr>
                <w:color w:val="1C3A36"/>
                <w:sz w:val="16"/>
              </w:rPr>
              <w:t>2,560</w:t>
            </w:r>
          </w:p>
        </w:tc>
        <w:tc>
          <w:tcPr>
            <w:tcW w:type="dxa" w:w="1195"/>
          </w:tcPr>
          <w:p>
            <w:pPr>
              <w:spacing w:after="20"/>
              <w:jc w:val="right"/>
            </w:pPr>
            <w:r>
              <w:rPr>
                <w:color w:val="1C3A36"/>
                <w:sz w:val="16"/>
              </w:rPr>
              <w:t>2,723</w:t>
            </w:r>
          </w:p>
        </w:tc>
        <w:tc>
          <w:tcPr>
            <w:tcW w:type="dxa" w:w="1195"/>
          </w:tcPr>
          <w:p>
            <w:pPr>
              <w:spacing w:after="20"/>
              <w:jc w:val="right"/>
            </w:pPr>
            <w:r>
              <w:rPr>
                <w:color w:val="1C3A36"/>
                <w:sz w:val="16"/>
              </w:rPr>
              <w:t>2,856</w:t>
            </w:r>
          </w:p>
        </w:tc>
        <w:tc>
          <w:tcPr>
            <w:tcW w:type="dxa" w:w="1195"/>
          </w:tcPr>
          <w:p>
            <w:pPr>
              <w:spacing w:after="20"/>
              <w:jc w:val="right"/>
            </w:pPr>
            <w:r>
              <w:rPr>
                <w:color w:val="1C3A36"/>
                <w:sz w:val="16"/>
              </w:rPr>
              <w:t>2,981</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0.800</w:t>
            </w:r>
          </w:p>
        </w:tc>
        <w:tc>
          <w:tcPr>
            <w:tcW w:type="dxa" w:w="1656"/>
          </w:tcPr>
          <w:p>
            <w:pPr>
              <w:spacing w:after="20"/>
              <w:jc w:val="right"/>
            </w:pPr>
            <w:r>
              <w:rPr>
                <w:color w:val="1C3A36"/>
                <w:sz w:val="16"/>
              </w:rPr>
              <w:t>22,059</w:t>
            </w:r>
          </w:p>
        </w:tc>
        <w:tc>
          <w:tcPr>
            <w:tcW w:type="dxa" w:w="1195"/>
          </w:tcPr>
          <w:p>
            <w:pPr>
              <w:spacing w:after="20"/>
              <w:jc w:val="right"/>
            </w:pPr>
            <w:r>
              <w:rPr>
                <w:color w:val="1C3A36"/>
                <w:sz w:val="16"/>
              </w:rPr>
              <w:t>19,963</w:t>
            </w:r>
          </w:p>
        </w:tc>
        <w:tc>
          <w:tcPr>
            <w:tcW w:type="dxa" w:w="1195"/>
          </w:tcPr>
          <w:p>
            <w:pPr>
              <w:spacing w:after="20"/>
              <w:jc w:val="right"/>
            </w:pPr>
            <w:r>
              <w:rPr>
                <w:color w:val="1C3A36"/>
                <w:sz w:val="16"/>
              </w:rPr>
              <w:t>21,813</w:t>
            </w:r>
          </w:p>
        </w:tc>
        <w:tc>
          <w:tcPr>
            <w:tcW w:type="dxa" w:w="1195"/>
          </w:tcPr>
          <w:p>
            <w:pPr>
              <w:spacing w:after="20"/>
              <w:jc w:val="right"/>
            </w:pPr>
            <w:r>
              <w:rPr>
                <w:color w:val="1C3A36"/>
                <w:sz w:val="16"/>
              </w:rPr>
              <w:t>23,196</w:t>
            </w:r>
          </w:p>
        </w:tc>
        <w:tc>
          <w:tcPr>
            <w:tcW w:type="dxa" w:w="1195"/>
          </w:tcPr>
          <w:p>
            <w:pPr>
              <w:spacing w:after="20"/>
              <w:jc w:val="right"/>
            </w:pPr>
            <w:r>
              <w:rPr>
                <w:color w:val="1C3A36"/>
                <w:sz w:val="16"/>
              </w:rPr>
              <w:t>24,328</w:t>
            </w:r>
          </w:p>
        </w:tc>
        <w:tc>
          <w:tcPr>
            <w:tcW w:type="dxa" w:w="1195"/>
          </w:tcPr>
          <w:p>
            <w:pPr>
              <w:spacing w:after="20"/>
              <w:jc w:val="right"/>
            </w:pPr>
            <w:r>
              <w:rPr>
                <w:color w:val="1C3A36"/>
                <w:sz w:val="16"/>
              </w:rPr>
              <w:t>25,396</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0.026</w:t>
            </w:r>
          </w:p>
        </w:tc>
        <w:tc>
          <w:tcPr>
            <w:tcW w:type="dxa" w:w="1656"/>
          </w:tcPr>
          <w:p>
            <w:pPr>
              <w:spacing w:after="20"/>
              <w:jc w:val="right"/>
            </w:pPr>
            <w:r>
              <w:rPr>
                <w:color w:val="1C3A36"/>
                <w:sz w:val="16"/>
              </w:rPr>
              <w:t>15,843</w:t>
            </w:r>
          </w:p>
        </w:tc>
        <w:tc>
          <w:tcPr>
            <w:tcW w:type="dxa" w:w="1195"/>
          </w:tcPr>
          <w:p>
            <w:pPr>
              <w:spacing w:after="20"/>
              <w:jc w:val="right"/>
            </w:pPr>
            <w:r>
              <w:rPr>
                <w:color w:val="1C3A36"/>
                <w:sz w:val="16"/>
              </w:rPr>
              <w:t>469</w:t>
            </w:r>
          </w:p>
        </w:tc>
        <w:tc>
          <w:tcPr>
            <w:tcW w:type="dxa" w:w="1195"/>
          </w:tcPr>
          <w:p>
            <w:pPr>
              <w:spacing w:after="20"/>
              <w:jc w:val="right"/>
            </w:pPr>
            <w:r>
              <w:rPr>
                <w:color w:val="1C3A36"/>
                <w:sz w:val="16"/>
              </w:rPr>
              <w:t>513</w:t>
            </w:r>
          </w:p>
        </w:tc>
        <w:tc>
          <w:tcPr>
            <w:tcW w:type="dxa" w:w="1195"/>
          </w:tcPr>
          <w:p>
            <w:pPr>
              <w:spacing w:after="20"/>
              <w:jc w:val="right"/>
            </w:pPr>
            <w:r>
              <w:rPr>
                <w:color w:val="1C3A36"/>
                <w:sz w:val="16"/>
              </w:rPr>
              <w:t>545</w:t>
            </w:r>
          </w:p>
        </w:tc>
        <w:tc>
          <w:tcPr>
            <w:tcW w:type="dxa" w:w="1195"/>
          </w:tcPr>
          <w:p>
            <w:pPr>
              <w:spacing w:after="20"/>
              <w:jc w:val="right"/>
            </w:pPr>
            <w:r>
              <w:rPr>
                <w:color w:val="1C3A36"/>
                <w:sz w:val="16"/>
              </w:rPr>
              <w:t>572</w:t>
            </w:r>
          </w:p>
        </w:tc>
        <w:tc>
          <w:tcPr>
            <w:tcW w:type="dxa" w:w="1195"/>
          </w:tcPr>
          <w:p>
            <w:pPr>
              <w:spacing w:after="20"/>
              <w:jc w:val="right"/>
            </w:pPr>
            <w:r>
              <w:rPr>
                <w:color w:val="1C3A36"/>
                <w:sz w:val="16"/>
              </w:rPr>
              <w:t>597</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1.502</w:t>
            </w:r>
          </w:p>
        </w:tc>
        <w:tc>
          <w:tcPr>
            <w:tcW w:type="dxa" w:w="1656"/>
            <w:shd w:val="clear" w:color="auto" w:fill="F6F1E6"/>
          </w:tcPr>
          <w:p>
            <w:pPr>
              <w:spacing w:after="20"/>
              <w:jc w:val="right"/>
            </w:pPr>
            <w:r>
              <w:rPr>
                <w:b/>
                <w:color w:val="1C3A36"/>
                <w:sz w:val="16"/>
              </w:rPr>
              <w:t>31,257</w:t>
            </w:r>
          </w:p>
        </w:tc>
        <w:tc>
          <w:tcPr>
            <w:tcW w:type="dxa" w:w="1195"/>
            <w:shd w:val="clear" w:color="auto" w:fill="F6F1E6"/>
          </w:tcPr>
          <w:p>
            <w:pPr>
              <w:spacing w:after="20"/>
              <w:jc w:val="right"/>
            </w:pPr>
            <w:r>
              <w:rPr>
                <w:b/>
                <w:color w:val="1C3A36"/>
                <w:sz w:val="16"/>
              </w:rPr>
              <w:t>53,144</w:t>
            </w:r>
          </w:p>
        </w:tc>
        <w:tc>
          <w:tcPr>
            <w:tcW w:type="dxa" w:w="1195"/>
            <w:shd w:val="clear" w:color="auto" w:fill="F6F1E6"/>
          </w:tcPr>
          <w:p>
            <w:pPr>
              <w:spacing w:after="20"/>
              <w:jc w:val="right"/>
            </w:pPr>
            <w:r>
              <w:rPr>
                <w:b/>
                <w:color w:val="1C3A36"/>
                <w:sz w:val="16"/>
              </w:rPr>
              <w:t>58,069</w:t>
            </w:r>
          </w:p>
        </w:tc>
        <w:tc>
          <w:tcPr>
            <w:tcW w:type="dxa" w:w="1195"/>
            <w:shd w:val="clear" w:color="auto" w:fill="F6F1E6"/>
          </w:tcPr>
          <w:p>
            <w:pPr>
              <w:spacing w:after="20"/>
              <w:jc w:val="right"/>
            </w:pPr>
            <w:r>
              <w:rPr>
                <w:b/>
                <w:color w:val="1C3A36"/>
                <w:sz w:val="16"/>
              </w:rPr>
              <w:t>61,752</w:t>
            </w:r>
          </w:p>
        </w:tc>
        <w:tc>
          <w:tcPr>
            <w:tcW w:type="dxa" w:w="1195"/>
            <w:shd w:val="clear" w:color="auto" w:fill="F6F1E6"/>
          </w:tcPr>
          <w:p>
            <w:pPr>
              <w:spacing w:after="20"/>
              <w:jc w:val="right"/>
            </w:pPr>
            <w:r>
              <w:rPr>
                <w:b/>
                <w:color w:val="1C3A36"/>
                <w:sz w:val="16"/>
              </w:rPr>
              <w:t>64,764</w:t>
            </w:r>
          </w:p>
        </w:tc>
        <w:tc>
          <w:tcPr>
            <w:tcW w:type="dxa" w:w="1195"/>
            <w:shd w:val="clear" w:color="auto" w:fill="F6F1E6"/>
          </w:tcPr>
          <w:p>
            <w:pPr>
              <w:spacing w:after="20"/>
              <w:jc w:val="right"/>
            </w:pPr>
            <w:r>
              <w:rPr>
                <w:b/>
                <w:color w:val="1C3A36"/>
                <w:sz w:val="16"/>
              </w:rPr>
              <w:t>67,607</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90.3%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8.8%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58,327</w:t>
            </w:r>
          </w:p>
        </w:tc>
        <w:tc>
          <w:tcPr>
            <w:tcW w:type="dxa" w:w="1469"/>
          </w:tcPr>
          <w:p>
            <w:pPr>
              <w:spacing w:after="20"/>
              <w:jc w:val="right"/>
            </w:pPr>
            <w:r>
              <w:rPr>
                <w:color w:val="1C3A36"/>
                <w:sz w:val="17"/>
              </w:rPr>
              <w:t>10,279</w:t>
            </w:r>
          </w:p>
        </w:tc>
        <w:tc>
          <w:tcPr>
            <w:tcW w:type="dxa" w:w="1469"/>
          </w:tcPr>
          <w:p>
            <w:pPr>
              <w:spacing w:after="20"/>
              <w:jc w:val="right"/>
            </w:pPr>
            <w:r>
              <w:rPr>
                <w:color w:val="1C3A36"/>
                <w:sz w:val="17"/>
              </w:rPr>
              <w:t>43,007</w:t>
            </w:r>
          </w:p>
        </w:tc>
        <w:tc>
          <w:tcPr>
            <w:tcW w:type="dxa" w:w="1469"/>
          </w:tcPr>
          <w:p>
            <w:pPr>
              <w:spacing w:after="20"/>
              <w:jc w:val="right"/>
            </w:pPr>
            <w:r>
              <w:rPr>
                <w:color w:val="1C3A36"/>
                <w:sz w:val="17"/>
              </w:rPr>
              <w:t>53,286</w:t>
            </w:r>
          </w:p>
        </w:tc>
        <w:tc>
          <w:tcPr>
            <w:tcW w:type="dxa" w:w="1368"/>
          </w:tcPr>
          <w:p>
            <w:pPr>
              <w:spacing w:after="20"/>
              <w:jc w:val="right"/>
            </w:pPr>
            <w:r>
              <w:rPr>
                <w:color w:val="1C3A36"/>
                <w:sz w:val="17"/>
              </w:rPr>
              <w:t>5,041</w:t>
            </w:r>
          </w:p>
        </w:tc>
        <w:tc>
          <w:tcPr>
            <w:tcW w:type="dxa" w:w="1008"/>
          </w:tcPr>
          <w:p>
            <w:pPr>
              <w:spacing w:after="20"/>
              <w:jc w:val="right"/>
            </w:pPr>
            <w:r>
              <w:rPr>
                <w:color w:val="1C3A36"/>
                <w:sz w:val="17"/>
              </w:rPr>
              <w:t>8.6%</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56,190</w:t>
            </w:r>
          </w:p>
        </w:tc>
        <w:tc>
          <w:tcPr>
            <w:tcW w:type="dxa" w:w="1469"/>
          </w:tcPr>
          <w:p>
            <w:pPr>
              <w:spacing w:after="20"/>
              <w:jc w:val="right"/>
            </w:pPr>
            <w:r>
              <w:rPr>
                <w:color w:val="1C3A36"/>
                <w:sz w:val="17"/>
              </w:rPr>
              <w:t>11,821</w:t>
            </w:r>
          </w:p>
        </w:tc>
        <w:tc>
          <w:tcPr>
            <w:tcW w:type="dxa" w:w="1469"/>
          </w:tcPr>
          <w:p>
            <w:pPr>
              <w:spacing w:after="20"/>
              <w:jc w:val="right"/>
            </w:pPr>
            <w:r>
              <w:rPr>
                <w:color w:val="1C3A36"/>
                <w:sz w:val="17"/>
              </w:rPr>
              <w:t>39,714</w:t>
            </w:r>
          </w:p>
        </w:tc>
        <w:tc>
          <w:tcPr>
            <w:tcW w:type="dxa" w:w="1469"/>
          </w:tcPr>
          <w:p>
            <w:pPr>
              <w:spacing w:after="20"/>
              <w:jc w:val="right"/>
            </w:pPr>
            <w:r>
              <w:rPr>
                <w:color w:val="1C3A36"/>
                <w:sz w:val="17"/>
              </w:rPr>
              <w:t>51,535</w:t>
            </w:r>
          </w:p>
        </w:tc>
        <w:tc>
          <w:tcPr>
            <w:tcW w:type="dxa" w:w="1368"/>
          </w:tcPr>
          <w:p>
            <w:pPr>
              <w:spacing w:after="20"/>
              <w:jc w:val="right"/>
            </w:pPr>
            <w:r>
              <w:rPr>
                <w:color w:val="1C3A36"/>
                <w:sz w:val="17"/>
              </w:rPr>
              <w:t>4,655</w:t>
            </w:r>
          </w:p>
        </w:tc>
        <w:tc>
          <w:tcPr>
            <w:tcW w:type="dxa" w:w="1008"/>
          </w:tcPr>
          <w:p>
            <w:pPr>
              <w:spacing w:after="20"/>
              <w:jc w:val="right"/>
            </w:pPr>
            <w:r>
              <w:rPr>
                <w:color w:val="1C3A36"/>
                <w:sz w:val="17"/>
              </w:rPr>
              <w:t>8.3%</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37,589</w:t>
            </w:r>
          </w:p>
        </w:tc>
        <w:tc>
          <w:tcPr>
            <w:tcW w:type="dxa" w:w="1469"/>
          </w:tcPr>
          <w:p>
            <w:pPr>
              <w:spacing w:after="20"/>
              <w:jc w:val="right"/>
            </w:pPr>
            <w:r>
              <w:rPr>
                <w:color w:val="1C3A36"/>
                <w:sz w:val="17"/>
              </w:rPr>
              <w:t>2,570</w:t>
            </w:r>
          </w:p>
        </w:tc>
        <w:tc>
          <w:tcPr>
            <w:tcW w:type="dxa" w:w="1469"/>
          </w:tcPr>
          <w:p>
            <w:pPr>
              <w:spacing w:after="20"/>
              <w:jc w:val="right"/>
            </w:pPr>
            <w:r>
              <w:rPr>
                <w:color w:val="1C3A36"/>
                <w:sz w:val="17"/>
              </w:rPr>
              <w:t>31,345</w:t>
            </w:r>
          </w:p>
        </w:tc>
        <w:tc>
          <w:tcPr>
            <w:tcW w:type="dxa" w:w="1469"/>
          </w:tcPr>
          <w:p>
            <w:pPr>
              <w:spacing w:after="20"/>
              <w:jc w:val="right"/>
            </w:pPr>
            <w:r>
              <w:rPr>
                <w:color w:val="1C3A36"/>
                <w:sz w:val="17"/>
              </w:rPr>
              <w:t>33,915</w:t>
            </w:r>
          </w:p>
        </w:tc>
        <w:tc>
          <w:tcPr>
            <w:tcW w:type="dxa" w:w="1368"/>
          </w:tcPr>
          <w:p>
            <w:pPr>
              <w:spacing w:after="20"/>
              <w:jc w:val="right"/>
            </w:pPr>
            <w:r>
              <w:rPr>
                <w:color w:val="1C3A36"/>
                <w:sz w:val="17"/>
              </w:rPr>
              <w:t>3,674</w:t>
            </w:r>
          </w:p>
        </w:tc>
        <w:tc>
          <w:tcPr>
            <w:tcW w:type="dxa" w:w="1008"/>
          </w:tcPr>
          <w:p>
            <w:pPr>
              <w:spacing w:after="20"/>
              <w:jc w:val="right"/>
            </w:pPr>
            <w:r>
              <w:rPr>
                <w:color w:val="1C3A36"/>
                <w:sz w:val="17"/>
              </w:rPr>
              <w:t>9.8%</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27,782</w:t>
            </w:r>
          </w:p>
        </w:tc>
        <w:tc>
          <w:tcPr>
            <w:tcW w:type="dxa" w:w="1469"/>
          </w:tcPr>
          <w:p>
            <w:pPr>
              <w:spacing w:after="20"/>
              <w:jc w:val="right"/>
            </w:pPr>
            <w:r>
              <w:rPr>
                <w:color w:val="1C3A36"/>
                <w:sz w:val="17"/>
              </w:rPr>
              <w:t>2,056</w:t>
            </w:r>
          </w:p>
        </w:tc>
        <w:tc>
          <w:tcPr>
            <w:tcW w:type="dxa" w:w="1469"/>
          </w:tcPr>
          <w:p>
            <w:pPr>
              <w:spacing w:after="20"/>
              <w:jc w:val="right"/>
            </w:pPr>
            <w:r>
              <w:rPr>
                <w:color w:val="1C3A36"/>
                <w:sz w:val="17"/>
              </w:rPr>
              <w:t>23,027</w:t>
            </w:r>
          </w:p>
        </w:tc>
        <w:tc>
          <w:tcPr>
            <w:tcW w:type="dxa" w:w="1469"/>
          </w:tcPr>
          <w:p>
            <w:pPr>
              <w:spacing w:after="20"/>
              <w:jc w:val="right"/>
            </w:pPr>
            <w:r>
              <w:rPr>
                <w:color w:val="1C3A36"/>
                <w:sz w:val="17"/>
              </w:rPr>
              <w:t>25,083</w:t>
            </w:r>
          </w:p>
        </w:tc>
        <w:tc>
          <w:tcPr>
            <w:tcW w:type="dxa" w:w="1368"/>
          </w:tcPr>
          <w:p>
            <w:pPr>
              <w:spacing w:after="20"/>
              <w:jc w:val="right"/>
            </w:pPr>
            <w:r>
              <w:rPr>
                <w:color w:val="1C3A36"/>
                <w:sz w:val="17"/>
              </w:rPr>
              <w:t>2,699</w:t>
            </w:r>
          </w:p>
        </w:tc>
        <w:tc>
          <w:tcPr>
            <w:tcW w:type="dxa" w:w="1008"/>
          </w:tcPr>
          <w:p>
            <w:pPr>
              <w:spacing w:after="20"/>
              <w:jc w:val="right"/>
            </w:pPr>
            <w:r>
              <w:rPr>
                <w:color w:val="1C3A36"/>
                <w:sz w:val="17"/>
              </w:rPr>
              <w:t>9.7%</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43,190</w:t>
            </w:r>
          </w:p>
        </w:tc>
        <w:tc>
          <w:tcPr>
            <w:tcW w:type="dxa" w:w="1469"/>
          </w:tcPr>
          <w:p>
            <w:pPr>
              <w:spacing w:after="20"/>
              <w:jc w:val="right"/>
            </w:pPr>
            <w:r>
              <w:rPr>
                <w:color w:val="1C3A36"/>
                <w:sz w:val="17"/>
              </w:rPr>
              <w:t>1,542</w:t>
            </w:r>
          </w:p>
        </w:tc>
        <w:tc>
          <w:tcPr>
            <w:tcW w:type="dxa" w:w="1469"/>
          </w:tcPr>
          <w:p>
            <w:pPr>
              <w:spacing w:after="20"/>
              <w:jc w:val="right"/>
            </w:pPr>
            <w:r>
              <w:rPr>
                <w:color w:val="1C3A36"/>
                <w:sz w:val="17"/>
              </w:rPr>
              <w:t>37,279</w:t>
            </w:r>
          </w:p>
        </w:tc>
        <w:tc>
          <w:tcPr>
            <w:tcW w:type="dxa" w:w="1469"/>
          </w:tcPr>
          <w:p>
            <w:pPr>
              <w:spacing w:after="20"/>
              <w:jc w:val="right"/>
            </w:pPr>
            <w:r>
              <w:rPr>
                <w:color w:val="1C3A36"/>
                <w:sz w:val="17"/>
              </w:rPr>
              <w:t>38,820</w:t>
            </w:r>
          </w:p>
        </w:tc>
        <w:tc>
          <w:tcPr>
            <w:tcW w:type="dxa" w:w="1368"/>
          </w:tcPr>
          <w:p>
            <w:pPr>
              <w:spacing w:after="20"/>
              <w:jc w:val="right"/>
            </w:pPr>
            <w:r>
              <w:rPr>
                <w:color w:val="1C3A36"/>
                <w:sz w:val="17"/>
              </w:rPr>
              <w:t>4,370</w:t>
            </w:r>
          </w:p>
        </w:tc>
        <w:tc>
          <w:tcPr>
            <w:tcW w:type="dxa" w:w="1008"/>
          </w:tcPr>
          <w:p>
            <w:pPr>
              <w:spacing w:after="20"/>
              <w:jc w:val="right"/>
            </w:pPr>
            <w:r>
              <w:rPr>
                <w:color w:val="1C3A36"/>
                <w:sz w:val="17"/>
              </w:rPr>
              <w:t>10.1%</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22,059</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19,285</w:t>
            </w:r>
          </w:p>
        </w:tc>
        <w:tc>
          <w:tcPr>
            <w:tcW w:type="dxa" w:w="1469"/>
          </w:tcPr>
          <w:p>
            <w:pPr>
              <w:spacing w:after="20"/>
              <w:jc w:val="right"/>
            </w:pPr>
            <w:r>
              <w:rPr>
                <w:color w:val="1C3A36"/>
                <w:sz w:val="17"/>
              </w:rPr>
              <w:t>19,799</w:t>
            </w:r>
          </w:p>
        </w:tc>
        <w:tc>
          <w:tcPr>
            <w:tcW w:type="dxa" w:w="1368"/>
          </w:tcPr>
          <w:p>
            <w:pPr>
              <w:spacing w:after="20"/>
              <w:jc w:val="right"/>
            </w:pPr>
            <w:r>
              <w:rPr>
                <w:color w:val="1C3A36"/>
                <w:sz w:val="17"/>
              </w:rPr>
              <w:t>2,260</w:t>
            </w:r>
          </w:p>
        </w:tc>
        <w:tc>
          <w:tcPr>
            <w:tcW w:type="dxa" w:w="1008"/>
          </w:tcPr>
          <w:p>
            <w:pPr>
              <w:spacing w:after="20"/>
              <w:jc w:val="right"/>
            </w:pPr>
            <w:r>
              <w:rPr>
                <w:color w:val="1C3A36"/>
                <w:sz w:val="17"/>
              </w:rPr>
              <w:t>10.2%</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15,843</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13,720</w:t>
            </w:r>
          </w:p>
        </w:tc>
        <w:tc>
          <w:tcPr>
            <w:tcW w:type="dxa" w:w="1469"/>
          </w:tcPr>
          <w:p>
            <w:pPr>
              <w:spacing w:after="20"/>
              <w:jc w:val="right"/>
            </w:pPr>
            <w:r>
              <w:rPr>
                <w:color w:val="1C3A36"/>
                <w:sz w:val="17"/>
              </w:rPr>
              <w:t>14,234</w:t>
            </w:r>
          </w:p>
        </w:tc>
        <w:tc>
          <w:tcPr>
            <w:tcW w:type="dxa" w:w="1368"/>
          </w:tcPr>
          <w:p>
            <w:pPr>
              <w:spacing w:after="20"/>
              <w:jc w:val="right"/>
            </w:pPr>
            <w:r>
              <w:rPr>
                <w:color w:val="1C3A36"/>
                <w:sz w:val="17"/>
              </w:rPr>
              <w:t>1,608</w:t>
            </w:r>
          </w:p>
        </w:tc>
        <w:tc>
          <w:tcPr>
            <w:tcW w:type="dxa" w:w="1008"/>
          </w:tcPr>
          <w:p>
            <w:pPr>
              <w:spacing w:after="20"/>
              <w:jc w:val="right"/>
            </w:pPr>
            <w:r>
              <w:rPr>
                <w:color w:val="1C3A36"/>
                <w:sz w:val="17"/>
              </w:rPr>
              <w:t>10.2%</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31,257</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28,240</w:t>
            </w:r>
          </w:p>
        </w:tc>
        <w:tc>
          <w:tcPr>
            <w:tcW w:type="dxa" w:w="1368"/>
            <w:shd w:val="clear" w:color="auto" w:fill="F6F1E6"/>
          </w:tcPr>
          <w:p>
            <w:pPr>
              <w:spacing w:after="20"/>
              <w:jc w:val="right"/>
            </w:pPr>
            <w:r>
              <w:rPr>
                <w:b/>
                <w:color w:val="1C3A36"/>
                <w:sz w:val="17"/>
              </w:rPr>
              <w:t>3,017</w:t>
            </w:r>
          </w:p>
        </w:tc>
        <w:tc>
          <w:tcPr>
            <w:tcW w:type="dxa" w:w="1008"/>
            <w:shd w:val="clear" w:color="auto" w:fill="F6F1E6"/>
          </w:tcPr>
          <w:p>
            <w:pPr>
              <w:spacing w:after="20"/>
              <w:jc w:val="right"/>
            </w:pPr>
            <w:r>
              <w:rPr>
                <w:b/>
                <w:color w:val="1C3A36"/>
                <w:sz w:val="17"/>
              </w:rPr>
              <w:t>9.7%</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2.2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12.50%</w:t>
            </w:r>
          </w:p>
        </w:tc>
        <w:tc>
          <w:tcPr>
            <w:tcW w:type="dxa" w:w="4824"/>
          </w:tcPr>
          <w:p>
            <w:pPr>
              <w:spacing w:after="20"/>
            </w:pPr>
            <w:r>
              <w:rPr>
                <w:color w:val="1C3A36"/>
                <w:sz w:val="17"/>
              </w:rPr>
              <w:t>Egypt 10-year local currency. The TERMINAL rate is DERIVED, not typed: the central bank’s inflation target IN FORCE for the terminal horizon (7%) plus a 5.5% real convention</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0.908</w:t>
            </w:r>
          </w:p>
        </w:tc>
        <w:tc>
          <w:tcPr>
            <w:tcW w:type="dxa" w:w="1296"/>
          </w:tcPr>
          <w:p>
            <w:pPr>
              <w:spacing w:after="20"/>
              <w:jc w:val="right"/>
            </w:pPr>
            <w:r>
              <w:rPr>
                <w:color w:val="1C3A36"/>
                <w:sz w:val="17"/>
              </w:rPr>
              <w:t>0.908</w:t>
            </w:r>
          </w:p>
        </w:tc>
        <w:tc>
          <w:tcPr>
            <w:tcW w:type="dxa" w:w="4824"/>
          </w:tcPr>
          <w:p>
            <w:pPr>
              <w:spacing w:after="20"/>
            </w:pPr>
            <w:r>
              <w:rPr>
                <w:color w:val="1C3A36"/>
                <w:sz w:val="17"/>
              </w:rPr>
              <w:t>own-stock regression, n=253, R² 25.9%, standard error 0.165, 90% interval [0.637, 1.179]</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18.86%</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13.21%</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99.90%</w:t>
            </w:r>
          </w:p>
        </w:tc>
        <w:tc>
          <w:tcPr>
            <w:tcW w:type="dxa" w:w="1296"/>
          </w:tcPr>
          <w:p>
            <w:pPr>
              <w:spacing w:after="20"/>
              <w:jc w:val="right"/>
            </w:pPr>
            <w:r>
              <w:rPr>
                <w:color w:val="1C3A36"/>
                <w:sz w:val="17"/>
              </w:rPr>
              <w:t>90.00%</w:t>
            </w:r>
          </w:p>
        </w:tc>
        <w:tc>
          <w:tcPr>
            <w:tcW w:type="dxa" w:w="4824"/>
          </w:tcPr>
          <w:p>
            <w:pPr>
              <w:spacing w:after="20"/>
            </w:pPr>
            <w:r>
              <w:rPr>
                <w:color w:val="1C3A36"/>
                <w:sz w:val="17"/>
              </w:rPr>
              <w:t>on GROSS borrowings: the operations are valued at the unlevered rate and the cash is added once, in the bridge</w:t>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0.10%</w:t>
            </w:r>
          </w:p>
        </w:tc>
        <w:tc>
          <w:tcPr>
            <w:tcW w:type="dxa" w:w="1296"/>
          </w:tcPr>
          <w:p>
            <w:pPr>
              <w:spacing w:after="20"/>
              <w:jc w:val="right"/>
            </w:pPr>
            <w:r>
              <w:rPr>
                <w:color w:val="1C3A36"/>
                <w:sz w:val="17"/>
              </w:rPr>
              <w:t>10.00%</w:t>
            </w:r>
          </w:p>
        </w:tc>
        <w:tc>
          <w:tcPr>
            <w:tcW w:type="dxa" w:w="4824"/>
          </w:tcPr>
          <w:p>
            <w:pPr>
              <w:spacing w:after="20"/>
            </w:pPr>
            <w:r>
              <w:rPr>
                <w:color w:val="1C3A36"/>
                <w:sz w:val="17"/>
              </w:rPr>
              <w:t>gross borrowings are a tenth of one per cent of capital at market value</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18.14%</w:t>
            </w:r>
          </w:p>
        </w:tc>
        <w:tc>
          <w:tcPr>
            <w:tcW w:type="dxa" w:w="4824"/>
            <w:shd w:val="clear" w:color="auto" w:fill="F6F1E6"/>
          </w:tcPr>
          <w:p>
            <w:pPr>
              <w:spacing w:after="20"/>
            </w:pPr>
            <w:r>
              <w:rPr>
                <w:b/>
                <w:color w:val="1C3A36"/>
                <w:sz w:val="17"/>
              </w:rPr>
              <w:t>the operating rate; at that debt weight it IS the cost of equity to three decimals</w:t>
            </w:r>
          </w:p>
        </w:tc>
      </w:tr>
      <w:tr>
        <w:tc>
          <w:tcPr>
            <w:tcW w:type="dxa" w:w="2592"/>
          </w:tcPr>
          <w:p>
            <w:pPr>
              <w:spacing w:after="20"/>
            </w:pPr>
            <w:r>
              <w:rPr>
                <w:color w:val="1C3A36"/>
                <w:sz w:val="17"/>
              </w:rPr>
              <w:t>— the retired net-debt construction</w:t>
            </w:r>
          </w:p>
        </w:tc>
        <w:tc>
          <w:tcPr>
            <w:tcW w:type="dxa" w:w="1512"/>
          </w:tcPr>
          <w:p>
            <w:pPr>
              <w:spacing w:after="20"/>
              <w:jc w:val="right"/>
            </w:pPr>
            <w:r>
              <w:rPr>
                <w:color w:val="1C3A36"/>
                <w:sz w:val="17"/>
              </w:rPr>
              <w:t>30.42%</w:t>
            </w:r>
          </w:p>
        </w:tc>
        <w:tc>
          <w:tcPr>
            <w:tcW w:type="dxa" w:w="1296"/>
          </w:tcPr>
          <w:p>
            <w:pPr>
              <w:spacing w:after="20"/>
              <w:jc w:val="right"/>
            </w:pPr>
            <w:r>
              <w:rPr>
                <w:color w:val="1C3A36"/>
                <w:sz w:val="17"/>
              </w:rPr>
              <w:t>—</w:t>
            </w:r>
          </w:p>
        </w:tc>
        <w:tc>
          <w:tcPr>
            <w:tcW w:type="dxa" w:w="4824"/>
          </w:tcPr>
          <w:p>
            <w:pPr>
              <w:spacing w:after="20"/>
            </w:pPr>
            <w:r>
              <w:rPr>
                <w:color w:val="1C3A36"/>
                <w:sz w:val="17"/>
              </w:rPr>
              <w:t>weights 120.80% equity and -20.80% debt, which is what a NET-cash weighting produces; it is shown because the previous edition used it AND added the cash back at face, charging for the same cash twice</w:t>
            </w:r>
          </w:p>
        </w:tc>
      </w:tr>
    </w:tbl>
    <w:p>
      <w:pPr>
        <w:spacing w:after="40"/>
      </w:pPr>
    </w:p>
    <w:p>
      <w:pPr>
        <w:spacing w:after="200" w:before="0"/>
      </w:pPr>
      <w:r>
        <w:rPr>
          <w:b w:val="0"/>
          <w:i/>
          <w:color w:val="6E7B77"/>
          <w:sz w:val="17"/>
        </w:rPr>
        <w:t>Table 10 — the discount-rate stack. The construction that matters most here is what the cash is doing. A naive model lets a cash pile drag the weighted rate DOWN; the previous edition went the other way, weighting on NET debt at -20.8% and reaching 30.4% — 296 basis points ABOVE the 27.5% cost of equity — and THEN added the same cash back at face in the bridge, which charges for it twice. This edition values the operations at the unlevered rate of 27.45% and adds the cash once,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0.517</w:t>
            </w:r>
          </w:p>
        </w:tc>
        <w:tc>
          <w:tcPr>
            <w:tcW w:type="dxa" w:w="1195"/>
          </w:tcPr>
          <w:p>
            <w:pPr>
              <w:spacing w:after="20"/>
              <w:jc w:val="right"/>
            </w:pPr>
            <w:r>
              <w:rPr>
                <w:color w:val="1C3A36"/>
                <w:sz w:val="17"/>
              </w:rPr>
              <w:t>0.731</w:t>
            </w:r>
          </w:p>
        </w:tc>
        <w:tc>
          <w:tcPr>
            <w:tcW w:type="dxa" w:w="1195"/>
          </w:tcPr>
          <w:p>
            <w:pPr>
              <w:spacing w:after="20"/>
              <w:jc w:val="right"/>
            </w:pPr>
            <w:r>
              <w:rPr>
                <w:color w:val="1C3A36"/>
                <w:sz w:val="17"/>
              </w:rPr>
              <w:t>0.893</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27.45%</w:t>
            </w:r>
          </w:p>
        </w:tc>
        <w:tc>
          <w:tcPr>
            <w:tcW w:type="dxa" w:w="1195"/>
          </w:tcPr>
          <w:p>
            <w:pPr>
              <w:spacing w:after="20"/>
              <w:jc w:val="right"/>
            </w:pPr>
            <w:r>
              <w:rPr>
                <w:color w:val="1C3A36"/>
                <w:sz w:val="17"/>
              </w:rPr>
              <w:t>22.64%</w:t>
            </w:r>
          </w:p>
        </w:tc>
        <w:tc>
          <w:tcPr>
            <w:tcW w:type="dxa" w:w="1195"/>
          </w:tcPr>
          <w:p>
            <w:pPr>
              <w:spacing w:after="20"/>
              <w:jc w:val="right"/>
            </w:pPr>
            <w:r>
              <w:rPr>
                <w:color w:val="1C3A36"/>
                <w:sz w:val="17"/>
              </w:rPr>
              <w:t>20.64%</w:t>
            </w:r>
          </w:p>
        </w:tc>
        <w:tc>
          <w:tcPr>
            <w:tcW w:type="dxa" w:w="1195"/>
          </w:tcPr>
          <w:p>
            <w:pPr>
              <w:spacing w:after="20"/>
              <w:jc w:val="right"/>
            </w:pPr>
            <w:r>
              <w:rPr>
                <w:color w:val="1C3A36"/>
                <w:sz w:val="17"/>
              </w:rPr>
              <w:t>19.14%</w:t>
            </w:r>
          </w:p>
        </w:tc>
        <w:tc>
          <w:tcPr>
            <w:tcW w:type="dxa" w:w="1195"/>
          </w:tcPr>
          <w:p>
            <w:pPr>
              <w:spacing w:after="20"/>
              <w:jc w:val="right"/>
            </w:pPr>
            <w:r>
              <w:rPr>
                <w:color w:val="1C3A36"/>
                <w:sz w:val="17"/>
              </w:rPr>
              <w:t>18.14%</w:t>
            </w:r>
          </w:p>
        </w:tc>
        <w:tc>
          <w:tcPr>
            <w:tcW w:type="dxa" w:w="1224"/>
          </w:tcPr>
          <w:p>
            <w:pPr>
              <w:spacing w:after="20"/>
              <w:jc w:val="right"/>
            </w:pPr>
            <w:r>
              <w:rPr>
                <w:color w:val="1C3A36"/>
                <w:sz w:val="17"/>
              </w:rPr>
              <w:t>18.14%</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0.78460</w:t>
            </w:r>
          </w:p>
        </w:tc>
        <w:tc>
          <w:tcPr>
            <w:tcW w:type="dxa" w:w="1195"/>
          </w:tcPr>
          <w:p>
            <w:pPr>
              <w:spacing w:after="20"/>
              <w:jc w:val="right"/>
            </w:pPr>
            <w:r>
              <w:rPr>
                <w:color w:val="1C3A36"/>
                <w:sz w:val="17"/>
              </w:rPr>
              <w:t>0.63975</w:t>
            </w:r>
          </w:p>
        </w:tc>
        <w:tc>
          <w:tcPr>
            <w:tcW w:type="dxa" w:w="1195"/>
          </w:tcPr>
          <w:p>
            <w:pPr>
              <w:spacing w:after="20"/>
              <w:jc w:val="right"/>
            </w:pPr>
            <w:r>
              <w:rPr>
                <w:color w:val="1C3A36"/>
                <w:sz w:val="17"/>
              </w:rPr>
              <w:t>0.53029</w:t>
            </w:r>
          </w:p>
        </w:tc>
        <w:tc>
          <w:tcPr>
            <w:tcW w:type="dxa" w:w="1195"/>
          </w:tcPr>
          <w:p>
            <w:pPr>
              <w:spacing w:after="20"/>
              <w:jc w:val="right"/>
            </w:pPr>
            <w:r>
              <w:rPr>
                <w:color w:val="1C3A36"/>
                <w:sz w:val="17"/>
              </w:rPr>
              <w:t>0.44510</w:t>
            </w:r>
          </w:p>
        </w:tc>
        <w:tc>
          <w:tcPr>
            <w:tcW w:type="dxa" w:w="1195"/>
          </w:tcPr>
          <w:p>
            <w:pPr>
              <w:spacing w:after="20"/>
              <w:jc w:val="right"/>
            </w:pPr>
            <w:r>
              <w:rPr>
                <w:color w:val="1C3A36"/>
                <w:sz w:val="17"/>
              </w:rPr>
              <w:t>0.37676</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53,144</w:t>
            </w:r>
          </w:p>
        </w:tc>
        <w:tc>
          <w:tcPr>
            <w:tcW w:type="dxa" w:w="1238"/>
          </w:tcPr>
          <w:p>
            <w:pPr>
              <w:spacing w:after="20"/>
              <w:jc w:val="right"/>
            </w:pPr>
            <w:r>
              <w:rPr>
                <w:color w:val="1C3A36"/>
                <w:sz w:val="17"/>
              </w:rPr>
              <w:t>58,069</w:t>
            </w:r>
          </w:p>
        </w:tc>
        <w:tc>
          <w:tcPr>
            <w:tcW w:type="dxa" w:w="1238"/>
          </w:tcPr>
          <w:p>
            <w:pPr>
              <w:spacing w:after="20"/>
              <w:jc w:val="right"/>
            </w:pPr>
            <w:r>
              <w:rPr>
                <w:color w:val="1C3A36"/>
                <w:sz w:val="17"/>
              </w:rPr>
              <w:t>61,752</w:t>
            </w:r>
          </w:p>
        </w:tc>
        <w:tc>
          <w:tcPr>
            <w:tcW w:type="dxa" w:w="1238"/>
          </w:tcPr>
          <w:p>
            <w:pPr>
              <w:spacing w:after="20"/>
              <w:jc w:val="right"/>
            </w:pPr>
            <w:r>
              <w:rPr>
                <w:color w:val="1C3A36"/>
                <w:sz w:val="17"/>
              </w:rPr>
              <w:t>64,764</w:t>
            </w:r>
          </w:p>
        </w:tc>
        <w:tc>
          <w:tcPr>
            <w:tcW w:type="dxa" w:w="1238"/>
          </w:tcPr>
          <w:p>
            <w:pPr>
              <w:spacing w:after="20"/>
              <w:jc w:val="right"/>
            </w:pPr>
            <w:r>
              <w:rPr>
                <w:color w:val="1C3A36"/>
                <w:sz w:val="17"/>
              </w:rPr>
              <w:t>67,607</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46,539</w:t>
            </w:r>
          </w:p>
        </w:tc>
        <w:tc>
          <w:tcPr>
            <w:tcW w:type="dxa" w:w="1238"/>
          </w:tcPr>
          <w:p>
            <w:pPr>
              <w:spacing w:after="20"/>
              <w:jc w:val="right"/>
            </w:pPr>
            <w:r>
              <w:rPr>
                <w:color w:val="1C3A36"/>
                <w:sz w:val="17"/>
              </w:rPr>
              <w:t>50,841</w:t>
            </w:r>
          </w:p>
        </w:tc>
        <w:tc>
          <w:tcPr>
            <w:tcW w:type="dxa" w:w="1238"/>
          </w:tcPr>
          <w:p>
            <w:pPr>
              <w:spacing w:after="20"/>
              <w:jc w:val="right"/>
            </w:pPr>
            <w:r>
              <w:rPr>
                <w:color w:val="1C3A36"/>
                <w:sz w:val="17"/>
              </w:rPr>
              <w:t>54,057</w:t>
            </w:r>
          </w:p>
        </w:tc>
        <w:tc>
          <w:tcPr>
            <w:tcW w:type="dxa" w:w="1238"/>
          </w:tcPr>
          <w:p>
            <w:pPr>
              <w:spacing w:after="20"/>
              <w:jc w:val="right"/>
            </w:pPr>
            <w:r>
              <w:rPr>
                <w:color w:val="1C3A36"/>
                <w:sz w:val="17"/>
              </w:rPr>
              <w:t>56,688</w:t>
            </w:r>
          </w:p>
        </w:tc>
        <w:tc>
          <w:tcPr>
            <w:tcW w:type="dxa" w:w="1238"/>
          </w:tcPr>
          <w:p>
            <w:pPr>
              <w:spacing w:after="20"/>
              <w:jc w:val="right"/>
            </w:pPr>
            <w:r>
              <w:rPr>
                <w:color w:val="1C3A36"/>
                <w:sz w:val="17"/>
              </w:rPr>
              <w:t>59,171</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6,605</w:t>
            </w:r>
          </w:p>
        </w:tc>
        <w:tc>
          <w:tcPr>
            <w:tcW w:type="dxa" w:w="1238"/>
            <w:shd w:val="clear" w:color="auto" w:fill="F6F1E6"/>
          </w:tcPr>
          <w:p>
            <w:pPr>
              <w:spacing w:after="20"/>
              <w:jc w:val="right"/>
            </w:pPr>
            <w:r>
              <w:rPr>
                <w:b/>
                <w:color w:val="1C3A36"/>
                <w:sz w:val="17"/>
              </w:rPr>
              <w:t>7,228</w:t>
            </w:r>
          </w:p>
        </w:tc>
        <w:tc>
          <w:tcPr>
            <w:tcW w:type="dxa" w:w="1238"/>
            <w:shd w:val="clear" w:color="auto" w:fill="F6F1E6"/>
          </w:tcPr>
          <w:p>
            <w:pPr>
              <w:spacing w:after="20"/>
              <w:jc w:val="right"/>
            </w:pPr>
            <w:r>
              <w:rPr>
                <w:b/>
                <w:color w:val="1C3A36"/>
                <w:sz w:val="17"/>
              </w:rPr>
              <w:t>7,694</w:t>
            </w:r>
          </w:p>
        </w:tc>
        <w:tc>
          <w:tcPr>
            <w:tcW w:type="dxa" w:w="1238"/>
            <w:shd w:val="clear" w:color="auto" w:fill="F6F1E6"/>
          </w:tcPr>
          <w:p>
            <w:pPr>
              <w:spacing w:after="20"/>
              <w:jc w:val="right"/>
            </w:pPr>
            <w:r>
              <w:rPr>
                <w:b/>
                <w:color w:val="1C3A36"/>
                <w:sz w:val="17"/>
              </w:rPr>
              <w:t>8,076</w:t>
            </w:r>
          </w:p>
        </w:tc>
        <w:tc>
          <w:tcPr>
            <w:tcW w:type="dxa" w:w="1238"/>
            <w:shd w:val="clear" w:color="auto" w:fill="F6F1E6"/>
          </w:tcPr>
          <w:p>
            <w:pPr>
              <w:spacing w:after="20"/>
              <w:jc w:val="right"/>
            </w:pPr>
            <w:r>
              <w:rPr>
                <w:b/>
                <w:color w:val="1C3A36"/>
                <w:sz w:val="17"/>
              </w:rPr>
              <w:t>8,436</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12.43%</w:t>
            </w:r>
          </w:p>
        </w:tc>
        <w:tc>
          <w:tcPr>
            <w:tcW w:type="dxa" w:w="1238"/>
          </w:tcPr>
          <w:p>
            <w:pPr>
              <w:spacing w:after="20"/>
              <w:jc w:val="right"/>
            </w:pPr>
            <w:r>
              <w:rPr>
                <w:color w:val="1C3A36"/>
                <w:sz w:val="17"/>
              </w:rPr>
              <w:t>12.45%</w:t>
            </w:r>
          </w:p>
        </w:tc>
        <w:tc>
          <w:tcPr>
            <w:tcW w:type="dxa" w:w="1238"/>
          </w:tcPr>
          <w:p>
            <w:pPr>
              <w:spacing w:after="20"/>
              <w:jc w:val="right"/>
            </w:pPr>
            <w:r>
              <w:rPr>
                <w:color w:val="1C3A36"/>
                <w:sz w:val="17"/>
              </w:rPr>
              <w:t>12.46%</w:t>
            </w:r>
          </w:p>
        </w:tc>
        <w:tc>
          <w:tcPr>
            <w:tcW w:type="dxa" w:w="1238"/>
          </w:tcPr>
          <w:p>
            <w:pPr>
              <w:spacing w:after="20"/>
              <w:jc w:val="right"/>
            </w:pPr>
            <w:r>
              <w:rPr>
                <w:color w:val="1C3A36"/>
                <w:sz w:val="17"/>
              </w:rPr>
              <w:t>12.47%</w:t>
            </w:r>
          </w:p>
        </w:tc>
        <w:tc>
          <w:tcPr>
            <w:tcW w:type="dxa" w:w="1238"/>
          </w:tcPr>
          <w:p>
            <w:pPr>
              <w:spacing w:after="20"/>
              <w:jc w:val="right"/>
            </w:pPr>
            <w:r>
              <w:rPr>
                <w:color w:val="1C3A36"/>
                <w:sz w:val="17"/>
              </w:rPr>
              <w:t>12.48%</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2,017</w:t>
            </w:r>
          </w:p>
        </w:tc>
        <w:tc>
          <w:tcPr>
            <w:tcW w:type="dxa" w:w="1238"/>
          </w:tcPr>
          <w:p>
            <w:pPr>
              <w:spacing w:after="20"/>
              <w:jc w:val="right"/>
            </w:pPr>
            <w:r>
              <w:rPr>
                <w:color w:val="1C3A36"/>
                <w:sz w:val="17"/>
              </w:rPr>
              <w:t>2,259</w:t>
            </w:r>
          </w:p>
        </w:tc>
        <w:tc>
          <w:tcPr>
            <w:tcW w:type="dxa" w:w="1238"/>
          </w:tcPr>
          <w:p>
            <w:pPr>
              <w:spacing w:after="20"/>
              <w:jc w:val="right"/>
            </w:pPr>
            <w:r>
              <w:rPr>
                <w:color w:val="1C3A36"/>
                <w:sz w:val="17"/>
              </w:rPr>
              <w:t>2,462</w:t>
            </w:r>
          </w:p>
        </w:tc>
        <w:tc>
          <w:tcPr>
            <w:tcW w:type="dxa" w:w="1238"/>
          </w:tcPr>
          <w:p>
            <w:pPr>
              <w:spacing w:after="20"/>
              <w:jc w:val="right"/>
            </w:pPr>
            <w:r>
              <w:rPr>
                <w:color w:val="1C3A36"/>
                <w:sz w:val="17"/>
              </w:rPr>
              <w:t>2,647</w:t>
            </w:r>
          </w:p>
        </w:tc>
        <w:tc>
          <w:tcPr>
            <w:tcW w:type="dxa" w:w="1238"/>
          </w:tcPr>
          <w:p>
            <w:pPr>
              <w:spacing w:after="20"/>
              <w:jc w:val="right"/>
            </w:pPr>
            <w:r>
              <w:rPr>
                <w:color w:val="1C3A36"/>
                <w:sz w:val="17"/>
              </w:rPr>
              <w:t>2,832</w:t>
            </w:r>
          </w:p>
        </w:tc>
      </w:tr>
      <w:tr>
        <w:tc>
          <w:tcPr>
            <w:tcW w:type="dxa" w:w="3600"/>
          </w:tcPr>
          <w:p>
            <w:pPr>
              <w:spacing w:after="20"/>
            </w:pPr>
            <w:r>
              <w:rPr>
                <w:color w:val="1C3A36"/>
                <w:sz w:val="17"/>
              </w:rPr>
              <w:t>EBITDA</w:t>
            </w:r>
          </w:p>
        </w:tc>
        <w:tc>
          <w:tcPr>
            <w:tcW w:type="dxa" w:w="1238"/>
          </w:tcPr>
          <w:p>
            <w:pPr>
              <w:spacing w:after="20"/>
              <w:jc w:val="right"/>
            </w:pPr>
            <w:r>
              <w:rPr>
                <w:color w:val="1C3A36"/>
                <w:sz w:val="17"/>
              </w:rPr>
              <w:t>4,588</w:t>
            </w:r>
          </w:p>
        </w:tc>
        <w:tc>
          <w:tcPr>
            <w:tcW w:type="dxa" w:w="1238"/>
          </w:tcPr>
          <w:p>
            <w:pPr>
              <w:spacing w:after="20"/>
              <w:jc w:val="right"/>
            </w:pPr>
            <w:r>
              <w:rPr>
                <w:color w:val="1C3A36"/>
                <w:sz w:val="17"/>
              </w:rPr>
              <w:t>4,969</w:t>
            </w:r>
          </w:p>
        </w:tc>
        <w:tc>
          <w:tcPr>
            <w:tcW w:type="dxa" w:w="1238"/>
          </w:tcPr>
          <w:p>
            <w:pPr>
              <w:spacing w:after="20"/>
              <w:jc w:val="right"/>
            </w:pPr>
            <w:r>
              <w:rPr>
                <w:color w:val="1C3A36"/>
                <w:sz w:val="17"/>
              </w:rPr>
              <w:t>5,232</w:t>
            </w:r>
          </w:p>
        </w:tc>
        <w:tc>
          <w:tcPr>
            <w:tcW w:type="dxa" w:w="1238"/>
          </w:tcPr>
          <w:p>
            <w:pPr>
              <w:spacing w:after="20"/>
              <w:jc w:val="right"/>
            </w:pPr>
            <w:r>
              <w:rPr>
                <w:color w:val="1C3A36"/>
                <w:sz w:val="17"/>
              </w:rPr>
              <w:t>5,429</w:t>
            </w:r>
          </w:p>
        </w:tc>
        <w:tc>
          <w:tcPr>
            <w:tcW w:type="dxa" w:w="1238"/>
          </w:tcPr>
          <w:p>
            <w:pPr>
              <w:spacing w:after="20"/>
              <w:jc w:val="right"/>
            </w:pPr>
            <w:r>
              <w:rPr>
                <w:color w:val="1C3A36"/>
                <w:sz w:val="17"/>
              </w:rPr>
              <w:t>5,603</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EBIT</w:t>
            </w:r>
          </w:p>
        </w:tc>
        <w:tc>
          <w:tcPr>
            <w:tcW w:type="dxa" w:w="1238"/>
          </w:tcPr>
          <w:p>
            <w:pPr>
              <w:spacing w:after="20"/>
              <w:jc w:val="right"/>
            </w:pPr>
            <w:r>
              <w:rPr>
                <w:color w:val="1C3A36"/>
                <w:sz w:val="17"/>
              </w:rPr>
              <w:t>4,407</w:t>
            </w:r>
          </w:p>
        </w:tc>
        <w:tc>
          <w:tcPr>
            <w:tcW w:type="dxa" w:w="1238"/>
          </w:tcPr>
          <w:p>
            <w:pPr>
              <w:spacing w:after="20"/>
              <w:jc w:val="right"/>
            </w:pPr>
            <w:r>
              <w:rPr>
                <w:color w:val="1C3A36"/>
                <w:sz w:val="17"/>
              </w:rPr>
              <w:t>4,779</w:t>
            </w:r>
          </w:p>
        </w:tc>
        <w:tc>
          <w:tcPr>
            <w:tcW w:type="dxa" w:w="1238"/>
          </w:tcPr>
          <w:p>
            <w:pPr>
              <w:spacing w:after="20"/>
              <w:jc w:val="right"/>
            </w:pPr>
            <w:r>
              <w:rPr>
                <w:color w:val="1C3A36"/>
                <w:sz w:val="17"/>
              </w:rPr>
              <w:t>5,030</w:t>
            </w:r>
          </w:p>
        </w:tc>
        <w:tc>
          <w:tcPr>
            <w:tcW w:type="dxa" w:w="1238"/>
          </w:tcPr>
          <w:p>
            <w:pPr>
              <w:spacing w:after="20"/>
              <w:jc w:val="right"/>
            </w:pPr>
            <w:r>
              <w:rPr>
                <w:color w:val="1C3A36"/>
                <w:sz w:val="17"/>
              </w:rPr>
              <w:t>5,214</w:t>
            </w:r>
          </w:p>
        </w:tc>
        <w:tc>
          <w:tcPr>
            <w:tcW w:type="dxa" w:w="1238"/>
          </w:tcPr>
          <w:p>
            <w:pPr>
              <w:spacing w:after="20"/>
              <w:jc w:val="right"/>
            </w:pPr>
            <w:r>
              <w:rPr>
                <w:color w:val="1C3A36"/>
                <w:sz w:val="17"/>
              </w:rPr>
              <w:t>5,375</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3,237</w:t>
            </w:r>
          </w:p>
        </w:tc>
        <w:tc>
          <w:tcPr>
            <w:tcW w:type="dxa" w:w="1238"/>
          </w:tcPr>
          <w:p>
            <w:pPr>
              <w:spacing w:after="20"/>
              <w:jc w:val="right"/>
            </w:pPr>
            <w:r>
              <w:rPr>
                <w:color w:val="1C3A36"/>
                <w:sz w:val="17"/>
              </w:rPr>
              <w:t>3,509</w:t>
            </w:r>
          </w:p>
        </w:tc>
        <w:tc>
          <w:tcPr>
            <w:tcW w:type="dxa" w:w="1238"/>
          </w:tcPr>
          <w:p>
            <w:pPr>
              <w:spacing w:after="20"/>
              <w:jc w:val="right"/>
            </w:pPr>
            <w:r>
              <w:rPr>
                <w:color w:val="1C3A36"/>
                <w:sz w:val="17"/>
              </w:rPr>
              <w:t>3,694</w:t>
            </w:r>
          </w:p>
        </w:tc>
        <w:tc>
          <w:tcPr>
            <w:tcW w:type="dxa" w:w="1238"/>
          </w:tcPr>
          <w:p>
            <w:pPr>
              <w:spacing w:after="20"/>
              <w:jc w:val="right"/>
            </w:pPr>
            <w:r>
              <w:rPr>
                <w:color w:val="1C3A36"/>
                <w:sz w:val="17"/>
              </w:rPr>
              <w:t>3,829</w:t>
            </w:r>
          </w:p>
        </w:tc>
        <w:tc>
          <w:tcPr>
            <w:tcW w:type="dxa" w:w="1238"/>
          </w:tcPr>
          <w:p>
            <w:pPr>
              <w:spacing w:after="20"/>
              <w:jc w:val="right"/>
            </w:pPr>
            <w:r>
              <w:rPr>
                <w:color w:val="1C3A36"/>
                <w:sz w:val="17"/>
              </w:rPr>
              <w:t>3,947</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182</w:t>
            </w:r>
          </w:p>
        </w:tc>
        <w:tc>
          <w:tcPr>
            <w:tcW w:type="dxa" w:w="1238"/>
          </w:tcPr>
          <w:p>
            <w:pPr>
              <w:spacing w:after="20"/>
              <w:jc w:val="right"/>
            </w:pPr>
            <w:r>
              <w:rPr>
                <w:color w:val="1C3A36"/>
                <w:sz w:val="17"/>
              </w:rPr>
              <w:t>203</w:t>
            </w:r>
          </w:p>
        </w:tc>
        <w:tc>
          <w:tcPr>
            <w:tcW w:type="dxa" w:w="1238"/>
          </w:tcPr>
          <w:p>
            <w:pPr>
              <w:spacing w:after="20"/>
              <w:jc w:val="right"/>
            </w:pPr>
            <w:r>
              <w:rPr>
                <w:color w:val="1C3A36"/>
                <w:sz w:val="17"/>
              </w:rPr>
              <w:t>222</w:t>
            </w:r>
          </w:p>
        </w:tc>
        <w:tc>
          <w:tcPr>
            <w:tcW w:type="dxa" w:w="1238"/>
          </w:tcPr>
          <w:p>
            <w:pPr>
              <w:spacing w:after="20"/>
              <w:jc w:val="right"/>
            </w:pPr>
            <w:r>
              <w:rPr>
                <w:color w:val="1C3A36"/>
                <w:sz w:val="17"/>
              </w:rPr>
              <w:t>238</w:t>
            </w:r>
          </w:p>
        </w:tc>
        <w:tc>
          <w:tcPr>
            <w:tcW w:type="dxa" w:w="1238"/>
          </w:tcPr>
          <w:p>
            <w:pPr>
              <w:spacing w:after="20"/>
              <w:jc w:val="right"/>
            </w:pPr>
            <w:r>
              <w:rPr>
                <w:color w:val="1C3A36"/>
                <w:sz w:val="17"/>
              </w:rPr>
              <w:t>255</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446</w:t>
            </w:r>
          </w:p>
        </w:tc>
        <w:tc>
          <w:tcPr>
            <w:tcW w:type="dxa" w:w="1238"/>
          </w:tcPr>
          <w:p>
            <w:pPr>
              <w:spacing w:after="20"/>
              <w:jc w:val="right"/>
            </w:pPr>
            <w:r>
              <w:rPr>
                <w:color w:val="1C3A36"/>
                <w:sz w:val="17"/>
              </w:rPr>
              <w:t>355</w:t>
            </w:r>
          </w:p>
        </w:tc>
        <w:tc>
          <w:tcPr>
            <w:tcW w:type="dxa" w:w="1238"/>
          </w:tcPr>
          <w:p>
            <w:pPr>
              <w:spacing w:after="20"/>
              <w:jc w:val="right"/>
            </w:pPr>
            <w:r>
              <w:rPr>
                <w:color w:val="1C3A36"/>
                <w:sz w:val="17"/>
              </w:rPr>
              <w:t>266</w:t>
            </w:r>
          </w:p>
        </w:tc>
        <w:tc>
          <w:tcPr>
            <w:tcW w:type="dxa" w:w="1238"/>
          </w:tcPr>
          <w:p>
            <w:pPr>
              <w:spacing w:after="20"/>
              <w:jc w:val="right"/>
            </w:pPr>
            <w:r>
              <w:rPr>
                <w:color w:val="1C3A36"/>
                <w:sz w:val="17"/>
              </w:rPr>
              <w:t>217</w:t>
            </w:r>
          </w:p>
        </w:tc>
        <w:tc>
          <w:tcPr>
            <w:tcW w:type="dxa" w:w="1238"/>
          </w:tcPr>
          <w:p>
            <w:pPr>
              <w:spacing w:after="20"/>
              <w:jc w:val="right"/>
            </w:pPr>
            <w:r>
              <w:rPr>
                <w:color w:val="1C3A36"/>
                <w:sz w:val="17"/>
              </w:rPr>
              <w:t>205</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2,789</w:t>
            </w:r>
          </w:p>
        </w:tc>
        <w:tc>
          <w:tcPr>
            <w:tcW w:type="dxa" w:w="1238"/>
            <w:shd w:val="clear" w:color="auto" w:fill="F6F1E6"/>
          </w:tcPr>
          <w:p>
            <w:pPr>
              <w:spacing w:after="20"/>
              <w:jc w:val="right"/>
            </w:pPr>
            <w:r>
              <w:rPr>
                <w:b/>
                <w:color w:val="1C3A36"/>
                <w:sz w:val="17"/>
              </w:rPr>
              <w:t>3,141</w:t>
            </w:r>
          </w:p>
        </w:tc>
        <w:tc>
          <w:tcPr>
            <w:tcW w:type="dxa" w:w="1238"/>
            <w:shd w:val="clear" w:color="auto" w:fill="F6F1E6"/>
          </w:tcPr>
          <w:p>
            <w:pPr>
              <w:spacing w:after="20"/>
              <w:jc w:val="right"/>
            </w:pPr>
            <w:r>
              <w:rPr>
                <w:b/>
                <w:color w:val="1C3A36"/>
                <w:sz w:val="17"/>
              </w:rPr>
              <w:t>3,409</w:t>
            </w:r>
          </w:p>
        </w:tc>
        <w:tc>
          <w:tcPr>
            <w:tcW w:type="dxa" w:w="1238"/>
            <w:shd w:val="clear" w:color="auto" w:fill="F6F1E6"/>
          </w:tcPr>
          <w:p>
            <w:pPr>
              <w:spacing w:after="20"/>
              <w:jc w:val="right"/>
            </w:pPr>
            <w:r>
              <w:rPr>
                <w:b/>
                <w:color w:val="1C3A36"/>
                <w:sz w:val="17"/>
              </w:rPr>
              <w:t>3,588</w:t>
            </w:r>
          </w:p>
        </w:tc>
        <w:tc>
          <w:tcPr>
            <w:tcW w:type="dxa" w:w="1238"/>
            <w:shd w:val="clear" w:color="auto" w:fill="F6F1E6"/>
          </w:tcPr>
          <w:p>
            <w:pPr>
              <w:spacing w:after="20"/>
              <w:jc w:val="right"/>
            </w:pPr>
            <w:r>
              <w:rPr>
                <w:b/>
                <w:color w:val="1C3A36"/>
                <w:sz w:val="17"/>
              </w:rPr>
              <w:t>3,716</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0.78460</w:t>
            </w:r>
          </w:p>
        </w:tc>
        <w:tc>
          <w:tcPr>
            <w:tcW w:type="dxa" w:w="1238"/>
          </w:tcPr>
          <w:p>
            <w:pPr>
              <w:spacing w:after="20"/>
              <w:jc w:val="right"/>
            </w:pPr>
            <w:r>
              <w:rPr>
                <w:color w:val="1C3A36"/>
                <w:sz w:val="17"/>
              </w:rPr>
              <w:t>0.63975</w:t>
            </w:r>
          </w:p>
        </w:tc>
        <w:tc>
          <w:tcPr>
            <w:tcW w:type="dxa" w:w="1238"/>
          </w:tcPr>
          <w:p>
            <w:pPr>
              <w:spacing w:after="20"/>
              <w:jc w:val="right"/>
            </w:pPr>
            <w:r>
              <w:rPr>
                <w:color w:val="1C3A36"/>
                <w:sz w:val="17"/>
              </w:rPr>
              <w:t>0.53029</w:t>
            </w:r>
          </w:p>
        </w:tc>
        <w:tc>
          <w:tcPr>
            <w:tcW w:type="dxa" w:w="1238"/>
          </w:tcPr>
          <w:p>
            <w:pPr>
              <w:spacing w:after="20"/>
              <w:jc w:val="right"/>
            </w:pPr>
            <w:r>
              <w:rPr>
                <w:color w:val="1C3A36"/>
                <w:sz w:val="17"/>
              </w:rPr>
              <w:t>0.44510</w:t>
            </w:r>
          </w:p>
        </w:tc>
        <w:tc>
          <w:tcPr>
            <w:tcW w:type="dxa" w:w="1238"/>
          </w:tcPr>
          <w:p>
            <w:pPr>
              <w:spacing w:after="20"/>
              <w:jc w:val="right"/>
            </w:pPr>
            <w:r>
              <w:rPr>
                <w:color w:val="1C3A36"/>
                <w:sz w:val="17"/>
              </w:rPr>
              <w:t>0.37676</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2,189</w:t>
            </w:r>
          </w:p>
        </w:tc>
        <w:tc>
          <w:tcPr>
            <w:tcW w:type="dxa" w:w="1238"/>
            <w:shd w:val="clear" w:color="auto" w:fill="F6F1E6"/>
          </w:tcPr>
          <w:p>
            <w:pPr>
              <w:spacing w:after="20"/>
              <w:jc w:val="right"/>
            </w:pPr>
            <w:r>
              <w:rPr>
                <w:b/>
                <w:color w:val="1C3A36"/>
                <w:sz w:val="17"/>
              </w:rPr>
              <w:t>2,010</w:t>
            </w:r>
          </w:p>
        </w:tc>
        <w:tc>
          <w:tcPr>
            <w:tcW w:type="dxa" w:w="1238"/>
            <w:shd w:val="clear" w:color="auto" w:fill="F6F1E6"/>
          </w:tcPr>
          <w:p>
            <w:pPr>
              <w:spacing w:after="20"/>
              <w:jc w:val="right"/>
            </w:pPr>
            <w:r>
              <w:rPr>
                <w:b/>
                <w:color w:val="1C3A36"/>
                <w:sz w:val="17"/>
              </w:rPr>
              <w:t>1,808</w:t>
            </w:r>
          </w:p>
        </w:tc>
        <w:tc>
          <w:tcPr>
            <w:tcW w:type="dxa" w:w="1238"/>
            <w:shd w:val="clear" w:color="auto" w:fill="F6F1E6"/>
          </w:tcPr>
          <w:p>
            <w:pPr>
              <w:spacing w:after="20"/>
              <w:jc w:val="right"/>
            </w:pPr>
            <w:r>
              <w:rPr>
                <w:b/>
                <w:color w:val="1C3A36"/>
                <w:sz w:val="17"/>
              </w:rPr>
              <w:t>1,597</w:t>
            </w:r>
          </w:p>
        </w:tc>
        <w:tc>
          <w:tcPr>
            <w:tcW w:type="dxa" w:w="1238"/>
            <w:shd w:val="clear" w:color="auto" w:fill="F6F1E6"/>
          </w:tcPr>
          <w:p>
            <w:pPr>
              <w:spacing w:after="20"/>
              <w:jc w:val="right"/>
            </w:pPr>
            <w:r>
              <w:rPr>
                <w:b/>
                <w:color w:val="1C3A36"/>
                <w:sz w:val="17"/>
              </w:rPr>
              <w:t>1,400</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17.5-year life, plus growth at the plant’s own EGP 2,100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9,003</w:t>
            </w:r>
          </w:p>
        </w:tc>
        <w:tc>
          <w:tcPr>
            <w:tcW w:type="dxa" w:w="1296"/>
          </w:tcPr>
          <w:p>
            <w:pPr>
              <w:spacing w:after="20"/>
              <w:jc w:val="right"/>
            </w:pPr>
            <w:r>
              <w:rPr>
                <w:color w:val="1C3A36"/>
                <w:sz w:val="17"/>
              </w:rPr>
              <w:t>6.97</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12,124</w:t>
            </w:r>
          </w:p>
        </w:tc>
        <w:tc>
          <w:tcPr>
            <w:tcW w:type="dxa" w:w="1296"/>
          </w:tcPr>
          <w:p>
            <w:pPr>
              <w:spacing w:after="20"/>
              <w:jc w:val="right"/>
            </w:pPr>
            <w:r>
              <w:rPr>
                <w:color w:val="1C3A36"/>
                <w:sz w:val="17"/>
              </w:rPr>
              <w:t>9.39</w:t>
            </w:r>
          </w:p>
        </w:tc>
        <w:tc>
          <w:tcPr>
            <w:tcW w:type="dxa" w:w="3600"/>
          </w:tcPr>
          <w:p>
            <w:pPr>
              <w:spacing w:after="20"/>
            </w:pPr>
            <w:r>
              <w:rPr>
                <w:color w:val="1C3A36"/>
                <w:sz w:val="17"/>
              </w:rPr>
              <w:t>57.4%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21,127</w:t>
            </w:r>
          </w:p>
        </w:tc>
        <w:tc>
          <w:tcPr>
            <w:tcW w:type="dxa" w:w="1296"/>
            <w:shd w:val="clear" w:color="auto" w:fill="F6F1E6"/>
          </w:tcPr>
          <w:p>
            <w:pPr>
              <w:spacing w:after="20"/>
              <w:jc w:val="right"/>
            </w:pPr>
            <w:r>
              <w:rPr>
                <w:b/>
                <w:color w:val="1C3A36"/>
                <w:sz w:val="17"/>
              </w:rPr>
              <w:t>16.36</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3,002</w:t>
            </w:r>
          </w:p>
        </w:tc>
        <w:tc>
          <w:tcPr>
            <w:tcW w:type="dxa" w:w="1296"/>
          </w:tcPr>
          <w:p>
            <w:pPr>
              <w:spacing w:after="20"/>
              <w:jc w:val="right"/>
            </w:pPr>
            <w:r>
              <w:rPr>
                <w:color w:val="1C3A36"/>
                <w:sz w:val="17"/>
              </w:rPr>
              <w:t>2.32</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24,129</w:t>
            </w:r>
          </w:p>
        </w:tc>
        <w:tc>
          <w:tcPr>
            <w:tcW w:type="dxa" w:w="1296"/>
          </w:tcPr>
          <w:p>
            <w:pPr>
              <w:spacing w:after="20"/>
              <w:jc w:val="right"/>
            </w:pPr>
            <w:r>
              <w:rPr>
                <w:color w:val="1C3A36"/>
                <w:sz w:val="17"/>
              </w:rPr>
              <w:t>18.68</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(715)</w:t>
            </w:r>
          </w:p>
        </w:tc>
        <w:tc>
          <w:tcPr>
            <w:tcW w:type="dxa" w:w="1296"/>
          </w:tcPr>
          <w:p>
            <w:pPr>
              <w:spacing w:after="20"/>
              <w:jc w:val="right"/>
            </w:pPr>
            <w:r>
              <w:rPr>
                <w:color w:val="1C3A36"/>
                <w:sz w:val="17"/>
              </w:rPr>
              <w:t>(0.55)</w:t>
            </w:r>
          </w:p>
        </w:tc>
        <w:tc>
          <w:tcPr>
            <w:tcW w:type="dxa" w:w="3600"/>
          </w:tcPr>
          <w:p>
            <w:pPr>
              <w:spacing w:after="20"/>
            </w:pPr>
            <w:r>
              <w:rPr>
                <w:color w:val="1C3A36"/>
                <w:sz w:val="17"/>
              </w:rPr>
              <w:t>2.963%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(997)</w:t>
            </w:r>
          </w:p>
        </w:tc>
        <w:tc>
          <w:tcPr>
            <w:tcW w:type="dxa" w:w="1296"/>
          </w:tcPr>
          <w:p>
            <w:pPr>
              <w:spacing w:after="20"/>
              <w:jc w:val="right"/>
            </w:pPr>
            <w:r>
              <w:rPr>
                <w:color w:val="1C3A36"/>
                <w:sz w:val="17"/>
              </w:rPr>
              <w:t>(0.77)</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(258)</w:t>
            </w:r>
          </w:p>
        </w:tc>
        <w:tc>
          <w:tcPr>
            <w:tcW w:type="dxa" w:w="1296"/>
          </w:tcPr>
          <w:p>
            <w:pPr>
              <w:spacing w:after="20"/>
              <w:jc w:val="right"/>
            </w:pPr>
            <w:r>
              <w:rPr>
                <w:color w:val="1C3A36"/>
                <w:sz w:val="17"/>
              </w:rPr>
              <w:t>(0.20)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595</w:t>
            </w:r>
          </w:p>
        </w:tc>
        <w:tc>
          <w:tcPr>
            <w:tcW w:type="dxa" w:w="1296"/>
          </w:tcPr>
          <w:p>
            <w:pPr>
              <w:spacing w:after="20"/>
              <w:jc w:val="right"/>
            </w:pPr>
            <w:r>
              <w:rPr>
                <w:color w:val="1C3A36"/>
                <w:sz w:val="17"/>
              </w:rPr>
              <w:t>0.46</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22,753</w:t>
            </w:r>
          </w:p>
        </w:tc>
        <w:tc>
          <w:tcPr>
            <w:tcW w:type="dxa" w:w="1296"/>
            <w:shd w:val="clear" w:color="auto" w:fill="F6F1E6"/>
          </w:tcPr>
          <w:p>
            <w:pPr>
              <w:spacing w:after="20"/>
              <w:jc w:val="right"/>
            </w:pPr>
            <w:r>
              <w:rPr>
                <w:b/>
                <w:color w:val="1C3A36"/>
                <w:sz w:val="17"/>
              </w:rPr>
              <w:t>17.62</w:t>
            </w:r>
          </w:p>
        </w:tc>
        <w:tc>
          <w:tcPr>
            <w:tcW w:type="dxa" w:w="3600"/>
            <w:shd w:val="clear" w:color="auto" w:fill="F6F1E6"/>
          </w:tcPr>
          <w:p>
            <w:pPr>
              <w:spacing w:after="20"/>
            </w:pPr>
            <w:r>
              <w:rPr>
                <w:b/>
                <w:color w:val="1C3A36"/>
                <w:sz w:val="17"/>
              </w:rPr>
              <w:t>against a price of 13.50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1.06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46.2%.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7% terminal growth and a 46.2% return, the terminal block reinvests 15.1% of profit. That is ABOVE the final explicit year’s 5.9%, so the terminal block is funded rather than flattered — a step of +9.27%, disclosed here because it RAISES nothing and a reader is entitled to see it either way. Terminal value carries 57.4%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16.2%</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-1.70%</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42.8%</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2.09%</w:t>
            </w:r>
          </w:p>
        </w:tc>
      </w:tr>
      <w:tr>
        <w:tc>
          <w:tcPr>
            <w:tcW w:type="dxa" w:w="2736"/>
          </w:tcPr>
          <w:p>
            <w:pPr>
              <w:spacing w:after="20"/>
            </w:pPr>
            <w:r>
              <w:rPr>
                <w:color w:val="1C3A36"/>
                <w:sz w:val="17"/>
              </w:rPr>
              <w:t>6M Jun-2026</w:t>
            </w:r>
          </w:p>
        </w:tc>
        <w:tc>
          <w:tcPr>
            <w:tcW w:type="dxa" w:w="2520"/>
          </w:tcPr>
          <w:p>
            <w:pPr>
              <w:spacing w:after="20"/>
              <w:jc w:val="right"/>
            </w:pPr>
            <w:r>
              <w:rPr>
                <w:color w:val="1C3A36"/>
                <w:sz w:val="17"/>
              </w:rPr>
              <w:t>81.8%</w:t>
            </w:r>
          </w:p>
        </w:tc>
        <w:tc>
          <w:tcPr>
            <w:tcW w:type="dxa" w:w="2016"/>
          </w:tcPr>
          <w:p>
            <w:pPr>
              <w:spacing w:after="20"/>
              <w:jc w:val="right"/>
            </w:pPr>
            <w:r>
              <w:rPr>
                <w:color w:val="1C3A36"/>
                <w:sz w:val="17"/>
              </w:rPr>
              <w:t>2.8%</w:t>
            </w:r>
          </w:p>
        </w:tc>
        <w:tc>
          <w:tcPr>
            <w:tcW w:type="dxa" w:w="2664"/>
          </w:tcPr>
          <w:p>
            <w:pPr>
              <w:spacing w:after="20"/>
              <w:jc w:val="right"/>
            </w:pPr>
            <w:r>
              <w:rPr>
                <w:color w:val="1C3A36"/>
                <w:sz w:val="17"/>
              </w:rPr>
              <w:t>2.25%</w:t>
            </w:r>
          </w:p>
        </w:tc>
      </w:tr>
      <w:tr>
        <w:tc>
          <w:tcPr>
            <w:tcW w:type="dxa" w:w="2736"/>
            <w:shd w:val="clear" w:color="auto" w:fill="F6F1E6"/>
          </w:tcPr>
          <w:p>
            <w:pPr>
              <w:spacing w:after="20"/>
            </w:pPr>
            <w:r>
              <w:rPr>
                <w:b/>
                <w:color w:val="1C3A36"/>
                <w:sz w:val="17"/>
              </w:rPr>
              <w:t>Five-period average</w:t>
            </w:r>
          </w:p>
        </w:tc>
        <w:tc>
          <w:tcPr>
            <w:tcW w:type="dxa" w:w="2520"/>
            <w:shd w:val="clear" w:color="auto" w:fill="F6F1E6"/>
          </w:tcPr>
          <w:p>
            <w:pPr>
              <w:spacing w:after="20"/>
              <w:jc w:val="right"/>
            </w:pPr>
            <w:r>
              <w:rPr>
                <w:b/>
                <w:color w:val="1C3A36"/>
                <w:sz w:val="17"/>
              </w:rPr>
            </w:r>
          </w:p>
        </w:tc>
        <w:tc>
          <w:tcPr>
            <w:tcW w:type="dxa" w:w="2016"/>
            <w:shd w:val="clear" w:color="auto" w:fill="F6F1E6"/>
          </w:tcPr>
          <w:p>
            <w:pPr>
              <w:spacing w:after="20"/>
              <w:jc w:val="right"/>
            </w:pPr>
            <w:r>
              <w:rPr>
                <w:b/>
                <w:color w:val="1C3A36"/>
                <w:sz w:val="17"/>
              </w:rPr>
              <w:t>0.6%</w:t>
            </w:r>
          </w:p>
        </w:tc>
        <w:tc>
          <w:tcPr>
            <w:tcW w:type="dxa" w:w="2664"/>
            <w:shd w:val="clear" w:color="auto" w:fill="F6F1E6"/>
          </w:tcPr>
          <w:p>
            <w:pPr>
              <w:spacing w:after="20"/>
              <w:jc w:val="right"/>
            </w:pPr>
            <w:r>
              <w:rPr>
                <w:b/>
                <w:color w:val="1C3A36"/>
                <w:sz w:val="17"/>
              </w:rPr>
              <w:t>0.70%</w:t>
            </w:r>
          </w:p>
        </w:tc>
      </w:tr>
    </w:tbl>
    <w:p>
      <w:pPr>
        <w:spacing w:after="40"/>
      </w:pPr>
    </w:p>
    <w:p>
      <w:pPr>
        <w:spacing w:after="200" w:before="0"/>
      </w:pPr>
      <w:r>
        <w:rPr>
          <w:b w:val="0"/>
          <w:i/>
          <w:color w:val="6E7B77"/>
          <w:sz w:val="17"/>
        </w:rPr>
        <w:t>Table 14 — the reinvestment record. THREE of the 5 filed periods show POSITIVE reinvestment and the 5-period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7% is generous, and the study says so. The reinvestment waterfall itself implies 7.84%; the 5-period average implies far less. The terminal growth sensitivity in section 1.11 shows why the choice barely matters here: because the reinvestment identity FUNDS growth before crediting it, the value moves only from EGP 15.60 at 3% to 17.62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15.35</w:t>
            </w:r>
          </w:p>
        </w:tc>
        <w:tc>
          <w:tcPr>
            <w:tcW w:type="dxa" w:w="1080"/>
          </w:tcPr>
          <w:p>
            <w:pPr>
              <w:spacing w:after="20"/>
              <w:jc w:val="right"/>
            </w:pPr>
            <w:r>
              <w:rPr>
                <w:color w:val="1C3A36"/>
                <w:sz w:val="17"/>
              </w:rPr>
              <w:t>16.48</w:t>
            </w:r>
          </w:p>
        </w:tc>
        <w:tc>
          <w:tcPr>
            <w:tcW w:type="dxa" w:w="1080"/>
          </w:tcPr>
          <w:p>
            <w:pPr>
              <w:spacing w:after="20"/>
              <w:jc w:val="right"/>
            </w:pPr>
            <w:r>
              <w:rPr>
                <w:color w:val="1C3A36"/>
                <w:sz w:val="17"/>
              </w:rPr>
              <w:t>17.62</w:t>
            </w:r>
          </w:p>
        </w:tc>
        <w:tc>
          <w:tcPr>
            <w:tcW w:type="dxa" w:w="1080"/>
          </w:tcPr>
          <w:p>
            <w:pPr>
              <w:spacing w:after="20"/>
              <w:jc w:val="right"/>
            </w:pPr>
            <w:r>
              <w:rPr>
                <w:color w:val="1C3A36"/>
                <w:sz w:val="17"/>
              </w:rPr>
              <w:t>18.75</w:t>
            </w:r>
          </w:p>
        </w:tc>
        <w:tc>
          <w:tcPr>
            <w:tcW w:type="dxa" w:w="1080"/>
          </w:tcPr>
          <w:p>
            <w:pPr>
              <w:spacing w:after="20"/>
              <w:jc w:val="right"/>
            </w:pPr>
            <w:r>
              <w:rPr>
                <w:color w:val="1C3A36"/>
                <w:sz w:val="17"/>
              </w:rPr>
              <w:t>19.88</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12.41</w:t>
            </w:r>
          </w:p>
        </w:tc>
        <w:tc>
          <w:tcPr>
            <w:tcW w:type="dxa" w:w="1080"/>
          </w:tcPr>
          <w:p>
            <w:pPr>
              <w:spacing w:after="20"/>
              <w:jc w:val="right"/>
            </w:pPr>
            <w:r>
              <w:rPr>
                <w:color w:val="1C3A36"/>
                <w:sz w:val="17"/>
              </w:rPr>
              <w:t>14.87</w:t>
            </w:r>
          </w:p>
        </w:tc>
        <w:tc>
          <w:tcPr>
            <w:tcW w:type="dxa" w:w="1080"/>
          </w:tcPr>
          <w:p>
            <w:pPr>
              <w:spacing w:after="20"/>
              <w:jc w:val="right"/>
            </w:pPr>
            <w:r>
              <w:rPr>
                <w:color w:val="1C3A36"/>
                <w:sz w:val="17"/>
              </w:rPr>
              <w:t>17.62</w:t>
            </w:r>
          </w:p>
        </w:tc>
        <w:tc>
          <w:tcPr>
            <w:tcW w:type="dxa" w:w="1080"/>
          </w:tcPr>
          <w:p>
            <w:pPr>
              <w:spacing w:after="20"/>
              <w:jc w:val="right"/>
            </w:pPr>
            <w:r>
              <w:rPr>
                <w:color w:val="1C3A36"/>
                <w:sz w:val="17"/>
              </w:rPr>
              <w:t>20.21</w:t>
            </w:r>
          </w:p>
        </w:tc>
        <w:tc>
          <w:tcPr>
            <w:tcW w:type="dxa" w:w="1080"/>
          </w:tcPr>
          <w:p>
            <w:pPr>
              <w:spacing w:after="20"/>
              <w:jc w:val="right"/>
            </w:pPr>
            <w:r>
              <w:rPr>
                <w:color w:val="1C3A36"/>
                <w:sz w:val="17"/>
              </w:rPr>
              <w:t>23.09</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16.86</w:t>
            </w:r>
          </w:p>
        </w:tc>
        <w:tc>
          <w:tcPr>
            <w:tcW w:type="dxa" w:w="1080"/>
          </w:tcPr>
          <w:p>
            <w:pPr>
              <w:spacing w:after="20"/>
              <w:jc w:val="right"/>
            </w:pPr>
            <w:r>
              <w:rPr>
                <w:color w:val="1C3A36"/>
                <w:sz w:val="17"/>
              </w:rPr>
              <w:t>17.24</w:t>
            </w:r>
          </w:p>
        </w:tc>
        <w:tc>
          <w:tcPr>
            <w:tcW w:type="dxa" w:w="1080"/>
          </w:tcPr>
          <w:p>
            <w:pPr>
              <w:spacing w:after="20"/>
              <w:jc w:val="right"/>
            </w:pPr>
            <w:r>
              <w:rPr>
                <w:color w:val="1C3A36"/>
                <w:sz w:val="17"/>
              </w:rPr>
              <w:t>17.62</w:t>
            </w:r>
          </w:p>
        </w:tc>
        <w:tc>
          <w:tcPr>
            <w:tcW w:type="dxa" w:w="1080"/>
          </w:tcPr>
          <w:p>
            <w:pPr>
              <w:spacing w:after="20"/>
              <w:jc w:val="right"/>
            </w:pPr>
            <w:r>
              <w:rPr>
                <w:color w:val="1C3A36"/>
                <w:sz w:val="17"/>
              </w:rPr>
              <w:t>18.00</w:t>
            </w:r>
          </w:p>
        </w:tc>
        <w:tc>
          <w:tcPr>
            <w:tcW w:type="dxa" w:w="1080"/>
          </w:tcPr>
          <w:p>
            <w:pPr>
              <w:spacing w:after="20"/>
              <w:jc w:val="right"/>
            </w:pPr>
            <w:r>
              <w:rPr>
                <w:color w:val="1C3A36"/>
                <w:sz w:val="17"/>
              </w:rPr>
              <w:t>18.39</w:t>
            </w:r>
          </w:p>
        </w:tc>
      </w:tr>
      <w:tr>
        <w:tc>
          <w:tcPr>
            <w:tcW w:type="dxa" w:w="4104"/>
          </w:tcPr>
          <w:p>
            <w:pPr>
              <w:spacing w:after="20"/>
            </w:pPr>
            <w:r>
              <w:rPr>
                <w:color w:val="1C3A36"/>
                <w:sz w:val="17"/>
              </w:rPr>
              <w:t>Beta</w:t>
            </w:r>
          </w:p>
        </w:tc>
        <w:tc>
          <w:tcPr>
            <w:tcW w:type="dxa" w:w="1080"/>
          </w:tcPr>
          <w:p>
            <w:pPr>
              <w:spacing w:after="20"/>
              <w:jc w:val="right"/>
            </w:pPr>
            <w:r>
              <w:rPr>
                <w:color w:val="1C3A36"/>
                <w:sz w:val="17"/>
              </w:rPr>
              <w:t>21.03</w:t>
            </w:r>
          </w:p>
        </w:tc>
        <w:tc>
          <w:tcPr>
            <w:tcW w:type="dxa" w:w="1080"/>
          </w:tcPr>
          <w:p>
            <w:pPr>
              <w:spacing w:after="20"/>
              <w:jc w:val="right"/>
            </w:pPr>
            <w:r>
              <w:rPr>
                <w:color w:val="1C3A36"/>
                <w:sz w:val="17"/>
              </w:rPr>
              <w:t>18.67</w:t>
            </w:r>
          </w:p>
        </w:tc>
        <w:tc>
          <w:tcPr>
            <w:tcW w:type="dxa" w:w="1080"/>
          </w:tcPr>
          <w:p>
            <w:pPr>
              <w:spacing w:after="20"/>
              <w:jc w:val="right"/>
            </w:pPr>
            <w:r>
              <w:rPr>
                <w:color w:val="1C3A36"/>
                <w:sz w:val="17"/>
              </w:rPr>
              <w:t>17.62</w:t>
            </w:r>
          </w:p>
        </w:tc>
        <w:tc>
          <w:tcPr>
            <w:tcW w:type="dxa" w:w="1080"/>
          </w:tcPr>
          <w:p>
            <w:pPr>
              <w:spacing w:after="20"/>
              <w:jc w:val="right"/>
            </w:pPr>
            <w:r>
              <w:rPr>
                <w:color w:val="1C3A36"/>
                <w:sz w:val="17"/>
              </w:rPr>
              <w:t>15.67</w:t>
            </w:r>
          </w:p>
        </w:tc>
        <w:tc>
          <w:tcPr>
            <w:tcW w:type="dxa" w:w="1080"/>
          </w:tcPr>
          <w:p>
            <w:pPr>
              <w:spacing w:after="20"/>
              <w:jc w:val="right"/>
            </w:pPr>
            <w:r>
              <w:rPr>
                <w:color w:val="1C3A36"/>
                <w:sz w:val="17"/>
              </w:rPr>
              <w:t>14.68</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19.39</w:t>
            </w:r>
          </w:p>
        </w:tc>
        <w:tc>
          <w:tcPr>
            <w:tcW w:type="dxa" w:w="1080"/>
          </w:tcPr>
          <w:p>
            <w:pPr>
              <w:spacing w:after="20"/>
              <w:jc w:val="right"/>
            </w:pPr>
            <w:r>
              <w:rPr>
                <w:color w:val="1C3A36"/>
                <w:sz w:val="17"/>
              </w:rPr>
              <w:t>18.50</w:t>
            </w:r>
          </w:p>
        </w:tc>
        <w:tc>
          <w:tcPr>
            <w:tcW w:type="dxa" w:w="1080"/>
          </w:tcPr>
          <w:p>
            <w:pPr>
              <w:spacing w:after="20"/>
              <w:jc w:val="right"/>
            </w:pPr>
            <w:r>
              <w:rPr>
                <w:color w:val="1C3A36"/>
                <w:sz w:val="17"/>
              </w:rPr>
              <w:t>17.62</w:t>
            </w:r>
          </w:p>
        </w:tc>
        <w:tc>
          <w:tcPr>
            <w:tcW w:type="dxa" w:w="1080"/>
          </w:tcPr>
          <w:p>
            <w:pPr>
              <w:spacing w:after="20"/>
              <w:jc w:val="right"/>
            </w:pPr>
            <w:r>
              <w:rPr>
                <w:color w:val="1C3A36"/>
                <w:sz w:val="17"/>
              </w:rPr>
              <w:t>16.73</w:t>
            </w:r>
          </w:p>
        </w:tc>
        <w:tc>
          <w:tcPr>
            <w:tcW w:type="dxa" w:w="1080"/>
          </w:tcPr>
          <w:p>
            <w:pPr>
              <w:spacing w:after="20"/>
              <w:jc w:val="right"/>
            </w:pPr>
            <w:r>
              <w:rPr>
                <w:color w:val="1C3A36"/>
                <w:sz w:val="17"/>
              </w:rPr>
              <w:t>15.85</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15.60</w:t>
            </w:r>
          </w:p>
        </w:tc>
        <w:tc>
          <w:tcPr>
            <w:tcW w:type="dxa" w:w="1080"/>
          </w:tcPr>
          <w:p>
            <w:pPr>
              <w:spacing w:after="20"/>
              <w:jc w:val="right"/>
            </w:pPr>
            <w:r>
              <w:rPr>
                <w:color w:val="1C3A36"/>
                <w:sz w:val="17"/>
              </w:rPr>
              <w:t>16.00</w:t>
            </w:r>
          </w:p>
        </w:tc>
        <w:tc>
          <w:tcPr>
            <w:tcW w:type="dxa" w:w="1080"/>
          </w:tcPr>
          <w:p>
            <w:pPr>
              <w:spacing w:after="20"/>
              <w:jc w:val="right"/>
            </w:pPr>
            <w:r>
              <w:rPr>
                <w:color w:val="1C3A36"/>
                <w:sz w:val="17"/>
              </w:rPr>
              <w:t>16.45</w:t>
            </w:r>
          </w:p>
        </w:tc>
        <w:tc>
          <w:tcPr>
            <w:tcW w:type="dxa" w:w="1080"/>
          </w:tcPr>
          <w:p>
            <w:pPr>
              <w:spacing w:after="20"/>
              <w:jc w:val="right"/>
            </w:pPr>
            <w:r>
              <w:rPr>
                <w:color w:val="1C3A36"/>
                <w:sz w:val="17"/>
              </w:rPr>
              <w:t>16.99</w:t>
            </w:r>
          </w:p>
        </w:tc>
        <w:tc>
          <w:tcPr>
            <w:tcW w:type="dxa" w:w="1080"/>
          </w:tcPr>
          <w:p>
            <w:pPr>
              <w:spacing w:after="20"/>
              <w:jc w:val="right"/>
            </w:pPr>
            <w:r>
              <w:rPr>
                <w:color w:val="1C3A36"/>
                <w:sz w:val="17"/>
              </w:rPr>
              <w:t>17.62</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1.13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16.14%</w:t>
            </w:r>
          </w:p>
        </w:tc>
        <w:tc>
          <w:tcPr>
            <w:tcW w:type="dxa" w:w="1224"/>
          </w:tcPr>
          <w:p>
            <w:pPr>
              <w:spacing w:after="20"/>
              <w:jc w:val="right"/>
            </w:pPr>
            <w:r>
              <w:rPr>
                <w:color w:val="1C3A36"/>
                <w:sz w:val="17"/>
              </w:rPr>
              <w:t>17.26</w:t>
            </w:r>
          </w:p>
        </w:tc>
        <w:tc>
          <w:tcPr>
            <w:tcW w:type="dxa" w:w="1224"/>
          </w:tcPr>
          <w:p>
            <w:pPr>
              <w:spacing w:after="20"/>
              <w:jc w:val="right"/>
            </w:pPr>
            <w:r>
              <w:rPr>
                <w:color w:val="1C3A36"/>
                <w:sz w:val="17"/>
              </w:rPr>
              <w:t>17.85</w:t>
            </w:r>
          </w:p>
        </w:tc>
        <w:tc>
          <w:tcPr>
            <w:tcW w:type="dxa" w:w="1224"/>
          </w:tcPr>
          <w:p>
            <w:pPr>
              <w:spacing w:after="20"/>
              <w:jc w:val="right"/>
            </w:pPr>
            <w:r>
              <w:rPr>
                <w:color w:val="1C3A36"/>
                <w:sz w:val="17"/>
              </w:rPr>
              <w:t>18.53</w:t>
            </w:r>
          </w:p>
        </w:tc>
        <w:tc>
          <w:tcPr>
            <w:tcW w:type="dxa" w:w="1224"/>
          </w:tcPr>
          <w:p>
            <w:pPr>
              <w:spacing w:after="20"/>
              <w:jc w:val="right"/>
            </w:pPr>
            <w:r>
              <w:rPr>
                <w:color w:val="1C3A36"/>
                <w:sz w:val="17"/>
              </w:rPr>
              <w:t>19.35</w:t>
            </w:r>
          </w:p>
        </w:tc>
        <w:tc>
          <w:tcPr>
            <w:tcW w:type="dxa" w:w="1224"/>
          </w:tcPr>
          <w:p>
            <w:pPr>
              <w:spacing w:after="20"/>
              <w:jc w:val="right"/>
            </w:pPr>
            <w:r>
              <w:rPr>
                <w:color w:val="1C3A36"/>
                <w:sz w:val="17"/>
              </w:rPr>
              <w:t>20.36</w:t>
            </w:r>
          </w:p>
        </w:tc>
      </w:tr>
      <w:tr>
        <w:tc>
          <w:tcPr>
            <w:tcW w:type="dxa" w:w="3384"/>
          </w:tcPr>
          <w:p>
            <w:pPr>
              <w:spacing w:after="20"/>
            </w:pPr>
            <w:r>
              <w:rPr>
                <w:color w:val="1C3A36"/>
                <w:sz w:val="17"/>
              </w:rPr>
              <w:t>17.14%</w:t>
            </w:r>
          </w:p>
        </w:tc>
        <w:tc>
          <w:tcPr>
            <w:tcW w:type="dxa" w:w="1224"/>
          </w:tcPr>
          <w:p>
            <w:pPr>
              <w:spacing w:after="20"/>
              <w:jc w:val="right"/>
            </w:pPr>
            <w:r>
              <w:rPr>
                <w:color w:val="1C3A36"/>
                <w:sz w:val="17"/>
              </w:rPr>
              <w:t>16.37</w:t>
            </w:r>
          </w:p>
        </w:tc>
        <w:tc>
          <w:tcPr>
            <w:tcW w:type="dxa" w:w="1224"/>
          </w:tcPr>
          <w:p>
            <w:pPr>
              <w:spacing w:after="20"/>
              <w:jc w:val="right"/>
            </w:pPr>
            <w:r>
              <w:rPr>
                <w:color w:val="1C3A36"/>
                <w:sz w:val="17"/>
              </w:rPr>
              <w:t>16.85</w:t>
            </w:r>
          </w:p>
        </w:tc>
        <w:tc>
          <w:tcPr>
            <w:tcW w:type="dxa" w:w="1224"/>
          </w:tcPr>
          <w:p>
            <w:pPr>
              <w:spacing w:after="20"/>
              <w:jc w:val="right"/>
            </w:pPr>
            <w:r>
              <w:rPr>
                <w:color w:val="1C3A36"/>
                <w:sz w:val="17"/>
              </w:rPr>
              <w:t>17.41</w:t>
            </w:r>
          </w:p>
        </w:tc>
        <w:tc>
          <w:tcPr>
            <w:tcW w:type="dxa" w:w="1224"/>
          </w:tcPr>
          <w:p>
            <w:pPr>
              <w:spacing w:after="20"/>
              <w:jc w:val="right"/>
            </w:pPr>
            <w:r>
              <w:rPr>
                <w:color w:val="1C3A36"/>
                <w:sz w:val="17"/>
              </w:rPr>
              <w:t>18.07</w:t>
            </w:r>
          </w:p>
        </w:tc>
        <w:tc>
          <w:tcPr>
            <w:tcW w:type="dxa" w:w="1224"/>
          </w:tcPr>
          <w:p>
            <w:pPr>
              <w:spacing w:after="20"/>
              <w:jc w:val="right"/>
            </w:pPr>
            <w:r>
              <w:rPr>
                <w:color w:val="1C3A36"/>
                <w:sz w:val="17"/>
              </w:rPr>
              <w:t>18.85</w:t>
            </w:r>
          </w:p>
        </w:tc>
      </w:tr>
      <w:tr>
        <w:tc>
          <w:tcPr>
            <w:tcW w:type="dxa" w:w="3384"/>
          </w:tcPr>
          <w:p>
            <w:pPr>
              <w:spacing w:after="20"/>
            </w:pPr>
            <w:r>
              <w:rPr>
                <w:color w:val="1C3A36"/>
                <w:sz w:val="17"/>
              </w:rPr>
              <w:t>18.14%</w:t>
            </w:r>
          </w:p>
        </w:tc>
        <w:tc>
          <w:tcPr>
            <w:tcW w:type="dxa" w:w="1224"/>
          </w:tcPr>
          <w:p>
            <w:pPr>
              <w:spacing w:after="20"/>
              <w:jc w:val="right"/>
            </w:pPr>
            <w:r>
              <w:rPr>
                <w:color w:val="1C3A36"/>
                <w:sz w:val="17"/>
              </w:rPr>
              <w:t>15.60</w:t>
            </w:r>
          </w:p>
        </w:tc>
        <w:tc>
          <w:tcPr>
            <w:tcW w:type="dxa" w:w="1224"/>
          </w:tcPr>
          <w:p>
            <w:pPr>
              <w:spacing w:after="20"/>
              <w:jc w:val="right"/>
            </w:pPr>
            <w:r>
              <w:rPr>
                <w:color w:val="1C3A36"/>
                <w:sz w:val="17"/>
              </w:rPr>
              <w:t>16.00</w:t>
            </w:r>
          </w:p>
        </w:tc>
        <w:tc>
          <w:tcPr>
            <w:tcW w:type="dxa" w:w="1224"/>
          </w:tcPr>
          <w:p>
            <w:pPr>
              <w:spacing w:after="20"/>
              <w:jc w:val="right"/>
            </w:pPr>
            <w:r>
              <w:rPr>
                <w:color w:val="1C3A36"/>
                <w:sz w:val="17"/>
              </w:rPr>
              <w:t>16.45</w:t>
            </w:r>
          </w:p>
        </w:tc>
        <w:tc>
          <w:tcPr>
            <w:tcW w:type="dxa" w:w="1224"/>
          </w:tcPr>
          <w:p>
            <w:pPr>
              <w:spacing w:after="20"/>
              <w:jc w:val="right"/>
            </w:pPr>
            <w:r>
              <w:rPr>
                <w:color w:val="1C3A36"/>
                <w:sz w:val="17"/>
              </w:rPr>
              <w:t>16.99</w:t>
            </w:r>
          </w:p>
        </w:tc>
        <w:tc>
          <w:tcPr>
            <w:tcW w:type="dxa" w:w="1224"/>
          </w:tcPr>
          <w:p>
            <w:pPr>
              <w:spacing w:after="20"/>
              <w:jc w:val="right"/>
            </w:pPr>
            <w:r>
              <w:rPr>
                <w:color w:val="1C3A36"/>
                <w:sz w:val="17"/>
              </w:rPr>
              <w:t>17.62</w:t>
            </w:r>
          </w:p>
        </w:tc>
      </w:tr>
      <w:tr>
        <w:tc>
          <w:tcPr>
            <w:tcW w:type="dxa" w:w="3384"/>
          </w:tcPr>
          <w:p>
            <w:pPr>
              <w:spacing w:after="20"/>
            </w:pPr>
            <w:r>
              <w:rPr>
                <w:color w:val="1C3A36"/>
                <w:sz w:val="17"/>
              </w:rPr>
              <w:t>19.14%</w:t>
            </w:r>
          </w:p>
        </w:tc>
        <w:tc>
          <w:tcPr>
            <w:tcW w:type="dxa" w:w="1224"/>
          </w:tcPr>
          <w:p>
            <w:pPr>
              <w:spacing w:after="20"/>
              <w:jc w:val="right"/>
            </w:pPr>
            <w:r>
              <w:rPr>
                <w:color w:val="1C3A36"/>
                <w:sz w:val="17"/>
              </w:rPr>
              <w:t>14.92</w:t>
            </w:r>
          </w:p>
        </w:tc>
        <w:tc>
          <w:tcPr>
            <w:tcW w:type="dxa" w:w="1224"/>
          </w:tcPr>
          <w:p>
            <w:pPr>
              <w:spacing w:after="20"/>
              <w:jc w:val="right"/>
            </w:pPr>
            <w:r>
              <w:rPr>
                <w:color w:val="1C3A36"/>
                <w:sz w:val="17"/>
              </w:rPr>
              <w:t>15.25</w:t>
            </w:r>
          </w:p>
        </w:tc>
        <w:tc>
          <w:tcPr>
            <w:tcW w:type="dxa" w:w="1224"/>
          </w:tcPr>
          <w:p>
            <w:pPr>
              <w:spacing w:after="20"/>
              <w:jc w:val="right"/>
            </w:pPr>
            <w:r>
              <w:rPr>
                <w:color w:val="1C3A36"/>
                <w:sz w:val="17"/>
              </w:rPr>
              <w:t>15.63</w:t>
            </w:r>
          </w:p>
        </w:tc>
        <w:tc>
          <w:tcPr>
            <w:tcW w:type="dxa" w:w="1224"/>
          </w:tcPr>
          <w:p>
            <w:pPr>
              <w:spacing w:after="20"/>
              <w:jc w:val="right"/>
            </w:pPr>
            <w:r>
              <w:rPr>
                <w:color w:val="1C3A36"/>
                <w:sz w:val="17"/>
              </w:rPr>
              <w:t>16.07</w:t>
            </w:r>
          </w:p>
        </w:tc>
        <w:tc>
          <w:tcPr>
            <w:tcW w:type="dxa" w:w="1224"/>
          </w:tcPr>
          <w:p>
            <w:pPr>
              <w:spacing w:after="20"/>
              <w:jc w:val="right"/>
            </w:pPr>
            <w:r>
              <w:rPr>
                <w:color w:val="1C3A36"/>
                <w:sz w:val="17"/>
              </w:rPr>
              <w:t>16.58</w:t>
            </w:r>
          </w:p>
        </w:tc>
      </w:tr>
      <w:tr>
        <w:tc>
          <w:tcPr>
            <w:tcW w:type="dxa" w:w="3384"/>
          </w:tcPr>
          <w:p>
            <w:pPr>
              <w:spacing w:after="20"/>
            </w:pPr>
            <w:r>
              <w:rPr>
                <w:color w:val="1C3A36"/>
                <w:sz w:val="17"/>
              </w:rPr>
              <w:t>20.14%</w:t>
            </w:r>
          </w:p>
        </w:tc>
        <w:tc>
          <w:tcPr>
            <w:tcW w:type="dxa" w:w="1224"/>
          </w:tcPr>
          <w:p>
            <w:pPr>
              <w:spacing w:after="20"/>
              <w:jc w:val="right"/>
            </w:pPr>
            <w:r>
              <w:rPr>
                <w:color w:val="1C3A36"/>
                <w:sz w:val="17"/>
              </w:rPr>
              <w:t>14.32</w:t>
            </w:r>
          </w:p>
        </w:tc>
        <w:tc>
          <w:tcPr>
            <w:tcW w:type="dxa" w:w="1224"/>
          </w:tcPr>
          <w:p>
            <w:pPr>
              <w:spacing w:after="20"/>
              <w:jc w:val="right"/>
            </w:pPr>
            <w:r>
              <w:rPr>
                <w:color w:val="1C3A36"/>
                <w:sz w:val="17"/>
              </w:rPr>
              <w:t>14.60</w:t>
            </w:r>
          </w:p>
        </w:tc>
        <w:tc>
          <w:tcPr>
            <w:tcW w:type="dxa" w:w="1224"/>
          </w:tcPr>
          <w:p>
            <w:pPr>
              <w:spacing w:after="20"/>
              <w:jc w:val="right"/>
            </w:pPr>
            <w:r>
              <w:rPr>
                <w:color w:val="1C3A36"/>
                <w:sz w:val="17"/>
              </w:rPr>
              <w:t>14.92</w:t>
            </w:r>
          </w:p>
        </w:tc>
        <w:tc>
          <w:tcPr>
            <w:tcW w:type="dxa" w:w="1224"/>
          </w:tcPr>
          <w:p>
            <w:pPr>
              <w:spacing w:after="20"/>
              <w:jc w:val="right"/>
            </w:pPr>
            <w:r>
              <w:rPr>
                <w:color w:val="1C3A36"/>
                <w:sz w:val="17"/>
              </w:rPr>
              <w:t>15.28</w:t>
            </w:r>
          </w:p>
        </w:tc>
        <w:tc>
          <w:tcPr>
            <w:tcW w:type="dxa" w:w="1224"/>
          </w:tcPr>
          <w:p>
            <w:pPr>
              <w:spacing w:after="20"/>
              <w:jc w:val="right"/>
            </w:pPr>
            <w:r>
              <w:rPr>
                <w:color w:val="1C3A36"/>
                <w:sz w:val="17"/>
              </w:rPr>
              <w:t>15.70</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move only what this company's own audited filings have printed — the gross margin across its filed span and the tonnage across its own — and the macro path does not move with them. A previous edition also flexed the exchange-rate path, the cost of capital at both anchors and the terminal growth rate; all three carry the same Egyptian inflation, so its bull corner needed inflation to be high and low at the same time and its bear corner needed the mirror image. The width of a range built that way is a choice of dial settings rather than anything the world has shown. No probability attaches to either end.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-4.6%</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4.2%</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r>
      <w:tr>
        <w:tc>
          <w:tcPr>
            <w:tcW w:type="dxa" w:w="4392"/>
          </w:tcPr>
          <w:p>
            <w:pPr>
              <w:spacing w:after="20"/>
            </w:pPr>
            <w:r>
              <w:rPr>
                <w:color w:val="1C3A36"/>
                <w:sz w:val="17"/>
              </w:rPr>
              <w:t>RESULTING FAIR VALUE, cash-flow lens</w:t>
            </w:r>
          </w:p>
        </w:tc>
        <w:tc>
          <w:tcPr>
            <w:tcW w:type="dxa" w:w="1512"/>
          </w:tcPr>
          <w:p>
            <w:pPr>
              <w:spacing w:after="20"/>
              <w:jc w:val="right"/>
            </w:pPr>
            <w:r>
              <w:rPr>
                <w:color w:val="1C3A36"/>
                <w:sz w:val="17"/>
              </w:rPr>
              <w:t>1.67</w:t>
            </w:r>
          </w:p>
        </w:tc>
        <w:tc>
          <w:tcPr>
            <w:tcW w:type="dxa" w:w="1512"/>
          </w:tcPr>
          <w:p>
            <w:pPr>
              <w:spacing w:after="20"/>
              <w:jc w:val="right"/>
            </w:pPr>
            <w:r>
              <w:rPr>
                <w:color w:val="1C3A36"/>
                <w:sz w:val="17"/>
              </w:rPr>
              <w:t>17.62</w:t>
            </w:r>
          </w:p>
        </w:tc>
        <w:tc>
          <w:tcPr>
            <w:tcW w:type="dxa" w:w="1512"/>
          </w:tcPr>
          <w:p>
            <w:pPr>
              <w:spacing w:after="20"/>
              <w:jc w:val="right"/>
            </w:pPr>
            <w:r>
              <w:rPr>
                <w:color w:val="1C3A36"/>
                <w:sz w:val="17"/>
              </w:rPr>
              <w:t>23.90</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4.89 times enterprise value to EBITDA and 10.6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4.89 times TRAILING EBITDA through the same bridge: EGP 12.59.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2.775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12.98.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1.32 times = (sustainable return 28% less growth) over (cost of equity 22.85% less growth), on book value of EGP 4.70: EGP 6.23.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28.9%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17.62</w:t>
            </w:r>
          </w:p>
        </w:tc>
        <w:tc>
          <w:tcPr>
            <w:tcW w:type="dxa" w:w="1224"/>
          </w:tcPr>
          <w:p>
            <w:pPr>
              <w:spacing w:after="20"/>
              <w:jc w:val="right"/>
            </w:pPr>
            <w:r>
              <w:rPr>
                <w:color w:val="1C3A36"/>
                <w:sz w:val="17"/>
              </w:rPr>
              <w:t>30.5%</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18.39</w:t>
            </w:r>
          </w:p>
        </w:tc>
        <w:tc>
          <w:tcPr>
            <w:tcW w:type="dxa" w:w="1224"/>
          </w:tcPr>
          <w:p>
            <w:pPr>
              <w:spacing w:after="20"/>
              <w:jc w:val="right"/>
            </w:pPr>
            <w:r>
              <w:rPr>
                <w:color w:val="1C3A36"/>
                <w:sz w:val="17"/>
              </w:rPr>
              <w:t>36.2%</w:t>
            </w:r>
          </w:p>
        </w:tc>
        <w:tc>
          <w:tcPr>
            <w:tcW w:type="dxa" w:w="4320"/>
          </w:tcPr>
          <w:p>
            <w:pPr>
              <w:spacing w:after="20"/>
            </w:pPr>
            <w:r>
              <w:rPr>
                <w:color w:val="1C3A36"/>
                <w:sz w:val="17"/>
              </w:rPr>
              <w:t>EGP 997mn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17.82</w:t>
            </w:r>
          </w:p>
        </w:tc>
        <w:tc>
          <w:tcPr>
            <w:tcW w:type="dxa" w:w="1224"/>
          </w:tcPr>
          <w:p>
            <w:pPr>
              <w:spacing w:after="20"/>
              <w:jc w:val="right"/>
            </w:pPr>
            <w:r>
              <w:rPr>
                <w:color w:val="1C3A36"/>
                <w:sz w:val="17"/>
              </w:rPr>
              <w:t>32.0%</w:t>
            </w:r>
          </w:p>
        </w:tc>
        <w:tc>
          <w:tcPr>
            <w:tcW w:type="dxa" w:w="4320"/>
          </w:tcPr>
          <w:p>
            <w:pPr>
              <w:spacing w:after="20"/>
            </w:pPr>
            <w:r>
              <w:rPr>
                <w:color w:val="1C3A36"/>
                <w:sz w:val="17"/>
              </w:rPr>
              <w:t>EGP 258mn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17.91</w:t>
            </w:r>
          </w:p>
        </w:tc>
        <w:tc>
          <w:tcPr>
            <w:tcW w:type="dxa" w:w="1224"/>
          </w:tcPr>
          <w:p>
            <w:pPr>
              <w:spacing w:after="20"/>
              <w:jc w:val="right"/>
            </w:pPr>
            <w:r>
              <w:rPr>
                <w:color w:val="1C3A36"/>
                <w:sz w:val="17"/>
              </w:rPr>
              <w:t>32.6%</w:t>
            </w:r>
          </w:p>
        </w:tc>
        <w:tc>
          <w:tcPr>
            <w:tcW w:type="dxa" w:w="4320"/>
          </w:tcPr>
          <w:p>
            <w:pPr>
              <w:spacing w:after="20"/>
            </w:pPr>
            <w:r>
              <w:rPr>
                <w:color w:val="1C3A36"/>
                <w:sz w:val="17"/>
              </w:rPr>
              <w:t>the 5.2%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16.45</w:t>
            </w:r>
          </w:p>
        </w:tc>
        <w:tc>
          <w:tcPr>
            <w:tcW w:type="dxa" w:w="1224"/>
          </w:tcPr>
          <w:p>
            <w:pPr>
              <w:spacing w:after="20"/>
              <w:jc w:val="right"/>
            </w:pPr>
            <w:r>
              <w:rPr>
                <w:color w:val="1C3A36"/>
                <w:sz w:val="17"/>
              </w:rPr>
              <w:t>21.9%</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17.62</w:t>
            </w:r>
          </w:p>
        </w:tc>
        <w:tc>
          <w:tcPr>
            <w:tcW w:type="dxa" w:w="1224"/>
          </w:tcPr>
          <w:p>
            <w:pPr>
              <w:spacing w:after="20"/>
              <w:jc w:val="right"/>
            </w:pPr>
            <w:r>
              <w:rPr>
                <w:color w:val="1C3A36"/>
                <w:sz w:val="17"/>
              </w:rPr>
              <w:t>30.5%</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19.14</w:t>
            </w:r>
          </w:p>
        </w:tc>
        <w:tc>
          <w:tcPr>
            <w:tcW w:type="dxa" w:w="1224"/>
            <w:shd w:val="clear" w:color="auto" w:fill="F6F1E6"/>
          </w:tcPr>
          <w:p>
            <w:pPr>
              <w:spacing w:after="20"/>
              <w:jc w:val="right"/>
            </w:pPr>
            <w:r>
              <w:rPr>
                <w:b/>
                <w:color w:val="1C3A36"/>
                <w:sz w:val="17"/>
              </w:rPr>
              <w:t>41.8%</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everything and the price is still -41.8% above the model.</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No single concession, and not all of them together, reaches the price.</w:t>
      </w:r>
    </w:p>
    <w:p>
      <w:pPr>
        <w:spacing w:after="120" w:before="0"/>
      </w:pPr>
      <w:r>
        <w:rPr>
          <w:b w:val="0"/>
          <w:i w:val="0"/>
          <w:color w:val="1C3A36"/>
          <w:sz w:val="21"/>
        </w:rPr>
        <w:t>Two further contested choices are computed rather than conceded. On the RATING-BASIS equity risk premium instead of the CDS basis, the cash-flow lens is EGP 13.97;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18.33. Both are below the market price.</w:t>
      </w:r>
    </w:p>
    <w:p>
      <w:pPr>
        <w:spacing w:after="120" w:before="0"/>
      </w:pPr>
      <w:r>
        <w:rPr>
          <w:b w:val="0"/>
          <w:i w:val="0"/>
          <w:color w:val="1C3A36"/>
          <w:sz w:val="21"/>
        </w:rPr>
        <w:t>What survives the give-backs is the part of the verdict that cannot be negotiated away by accounting choices: a pass-through processor earning a 9.7% gross margin, discounted at an Egyptian cost of equity of 27.5% falling to 18.9%, is worth less than EGP 13.50 a share on any internally consistent arithmetic this study can construct.</w:t>
      </w:r>
    </w:p>
    <w:p>
      <w:pPr>
        <w:spacing w:after="80" w:before="200"/>
      </w:pPr>
      <w:r>
        <w:rPr>
          <w:b/>
          <w:i w:val="0"/>
          <w:color w:val="1C3A36"/>
          <w:sz w:val="24"/>
        </w:rPr>
        <w:t>1.14  What a buyer at EGP 13.50 must believe</w:t>
      </w:r>
    </w:p>
    <w:p>
      <w:pPr>
        <w:spacing w:after="120" w:before="0"/>
      </w:pPr>
      <w:r>
        <w:rPr>
          <w:b w:val="0"/>
          <w:i w:val="0"/>
          <w:color w:val="1C3A36"/>
          <w:sz w:val="21"/>
        </w:rPr>
        <w:t>The model is inverted at the market price rather than argued with. Every other driver is held at its published value and the gross margin is solved for.</w:t>
      </w:r>
    </w:p>
    <w:p>
      <w:pPr>
        <w:pStyle w:val="ListBullet"/>
        <w:spacing w:after="60"/>
      </w:pPr>
      <w:r>
        <w:rPr>
          <w:b/>
          <w:color w:val="1C3A36"/>
          <w:sz w:val="21"/>
        </w:rPr>
        <w:t xml:space="preserve">AS MARGIN — </w:t>
      </w:r>
      <w:r>
        <w:rPr>
          <w:color w:val="1C3A36"/>
          <w:sz w:val="21"/>
        </w:rPr>
        <w:t>a gross margin of 10.58% sustained in EVERY forecast year and in perpetuity, against a base year of 9.65% — that is a REDUCTION of -0.93% from what the company has just filed, not an increase;</w:t>
      </w:r>
    </w:p>
    <w:p>
      <w:pPr>
        <w:pStyle w:val="ListBullet"/>
        <w:spacing w:after="60"/>
      </w:pPr>
      <w:r>
        <w:rPr>
          <w:b/>
          <w:color w:val="1C3A36"/>
          <w:sz w:val="21"/>
        </w:rPr>
        <w:t xml:space="preserve">AGAINST THE RECORD — </w:t>
      </w:r>
      <w:r>
        <w:rPr>
          <w:color w:val="1C3A36"/>
          <w:sz w:val="21"/>
        </w:rPr>
        <w:t>the filed record puts that requirement well inside the range: 13.84% for the whole year to June 2022, 12.43% for the half to June 2026 and 13.92% for the June 2026 quarter alone;</w:t>
      </w:r>
    </w:p>
    <w:p>
      <w:pPr>
        <w:pStyle w:val="ListBullet"/>
        <w:spacing w:after="60"/>
      </w:pPr>
      <w:r>
        <w:rPr>
          <w:b/>
          <w:color w:val="1C3A36"/>
          <w:sz w:val="21"/>
        </w:rPr>
        <w:t xml:space="preserve">WHAT THAT MEANS — </w:t>
      </w:r>
      <w:r>
        <w:rPr>
          <w:color w:val="1C3A36"/>
          <w:sz w:val="21"/>
        </w:rPr>
        <w:t>so the price does not require a re-rating, a capacity addition or a change in the business. It requires the company to hold slightly less margin than it is holding now.</w:t>
      </w:r>
    </w:p>
    <w:p>
      <w:pPr>
        <w:spacing w:after="120" w:before="0"/>
      </w:pPr>
      <w:r>
        <w:rPr>
          <w:b w:val="0"/>
          <w:i w:val="0"/>
          <w:color w:val="1C3A36"/>
          <w:sz w:val="21"/>
        </w:rPr>
        <w:t>THE PREVIOUS EDITION OF THIS STUDY PUT THIS FIGURE AT A PERMANENT 12.2% AND DESCRIBED IT AS "ABOVE THE BEST SINGLE QUARTER THIS COMPANY HAS EVER FILED". Both halves of that sentence were wrong. The number was typed rather than solved and was never recomputed as the model moved; solved, it is 10.58%. And the company had already filed 13.84% for a full year and 13.92% for a quarter. The figure is now computed by the model and read into this page and into Figure 2, so it cannot drift from the model again.</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6.0, width calibration 0.951. The drift is the CARRY — ln(1+risk-free) less ln(1+dividend yield) — and NO part of it comes from the valuation, so the cone can and does sit above a fair value well below it.</w:t>
      </w:r>
    </w:p>
    <w:p>
      <w:pPr>
        <w:spacing w:after="120" w:before="0"/>
      </w:pPr>
      <w:r>
        <w:rPr>
          <w:b w:val="0"/>
          <w:i w:val="0"/>
          <w:color w:val="1C3A36"/>
          <w:sz w:val="21"/>
        </w:rPr>
        <w:t>READ THIS SECTION AGAINST EGP 9.10, NOT AGAINST THE PRICE ON THE MASTHEAD. The cone was simulated from the closing price of 2026-08-06, which is the last session in the price history it was built on; the valuation is struck against the later close of EGP 13.50. Those are two different clocks and they are supposed to be: a fresh price moves the valuation without re-running the simulation, and a fresh price history moves the simulation without re-striking the valuation. Every percentile and every probability in this section is measured against EGP 9.10.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9.10)</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7.71</w:t>
            </w:r>
          </w:p>
        </w:tc>
        <w:tc>
          <w:tcPr>
            <w:tcW w:type="dxa" w:w="1037"/>
          </w:tcPr>
          <w:p>
            <w:pPr>
              <w:spacing w:after="20"/>
              <w:jc w:val="right"/>
            </w:pPr>
            <w:r>
              <w:rPr>
                <w:color w:val="1C3A36"/>
                <w:sz w:val="17"/>
              </w:rPr>
              <w:t>8.60</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9.79</w:t>
            </w:r>
          </w:p>
        </w:tc>
        <w:tc>
          <w:tcPr>
            <w:tcW w:type="dxa" w:w="1037"/>
          </w:tcPr>
          <w:p>
            <w:pPr>
              <w:spacing w:after="20"/>
              <w:jc w:val="right"/>
            </w:pPr>
            <w:r>
              <w:rPr>
                <w:color w:val="1C3A36"/>
                <w:sz w:val="17"/>
              </w:rPr>
              <w:t>10.91</w:t>
            </w:r>
          </w:p>
        </w:tc>
        <w:tc>
          <w:tcPr>
            <w:tcW w:type="dxa" w:w="1512"/>
          </w:tcPr>
          <w:p>
            <w:pPr>
              <w:spacing w:after="20"/>
              <w:jc w:val="right"/>
            </w:pPr>
            <w:r>
              <w:rPr>
                <w:color w:val="1C3A36"/>
                <w:sz w:val="17"/>
              </w:rPr>
              <w:t>53.3%</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6.90</w:t>
            </w:r>
          </w:p>
        </w:tc>
        <w:tc>
          <w:tcPr>
            <w:tcW w:type="dxa" w:w="1037"/>
          </w:tcPr>
          <w:p>
            <w:pPr>
              <w:spacing w:after="20"/>
              <w:jc w:val="right"/>
            </w:pPr>
            <w:r>
              <w:rPr>
                <w:color w:val="1C3A36"/>
                <w:sz w:val="17"/>
              </w:rPr>
              <w:t>8.34</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10.42</w:t>
            </w:r>
          </w:p>
        </w:tc>
        <w:tc>
          <w:tcPr>
            <w:tcW w:type="dxa" w:w="1037"/>
          </w:tcPr>
          <w:p>
            <w:pPr>
              <w:spacing w:after="20"/>
              <w:jc w:val="right"/>
            </w:pPr>
            <w:r>
              <w:rPr>
                <w:color w:val="1C3A36"/>
                <w:sz w:val="17"/>
              </w:rPr>
              <w:t>12.60</w:t>
            </w:r>
          </w:p>
        </w:tc>
        <w:tc>
          <w:tcPr>
            <w:tcW w:type="dxa" w:w="1512"/>
          </w:tcPr>
          <w:p>
            <w:pPr>
              <w:spacing w:after="20"/>
              <w:jc w:val="right"/>
            </w:pPr>
            <w:r>
              <w:rPr>
                <w:color w:val="1C3A36"/>
                <w:sz w:val="17"/>
              </w:rPr>
              <w:t>56.0%</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160"/>
        <w:gridCol w:w="3024"/>
      </w:tblGrid>
      <w:tr>
        <w:tc>
          <w:tcPr>
            <w:tcW w:type="dxa" w:w="3456"/>
            <w:shd w:val="clear" w:color="auto" w:fill="EAF0EE"/>
          </w:tcPr>
          <w:p>
            <w:pPr>
              <w:spacing w:after="20"/>
            </w:pPr>
            <w:r>
              <w:rPr>
                <w:b/>
                <w:color w:val="1C3A36"/>
                <w:sz w:val="17"/>
              </w:rPr>
              <w:t>What is measured</w:t>
            </w:r>
          </w:p>
        </w:tc>
        <w:tc>
          <w:tcPr>
            <w:tcW w:type="dxa" w:w="2160"/>
            <w:shd w:val="clear" w:color="auto" w:fill="EAF0EE"/>
          </w:tcPr>
          <w:p>
            <w:pPr>
              <w:spacing w:after="20"/>
            </w:pPr>
            <w:r>
              <w:rPr>
                <w:b/>
                <w:color w:val="1C3A36"/>
                <w:sz w:val="17"/>
              </w:rPr>
              <w:t>Value</w:t>
            </w:r>
          </w:p>
        </w:tc>
        <w:tc>
          <w:tcPr>
            <w:tcW w:type="dxa" w:w="3024"/>
            <w:shd w:val="clear" w:color="auto" w:fill="EAF0EE"/>
          </w:tcPr>
          <w:p>
            <w:pPr>
              <w:spacing w:after="20"/>
            </w:pPr>
            <w:r>
              <w:rPr>
                <w:b/>
                <w:color w:val="1C3A36"/>
                <w:sz w:val="17"/>
              </w:rPr>
              <w:t>Reading</w:t>
            </w:r>
          </w:p>
        </w:tc>
      </w:tr>
      <w:tr>
        <w:tc>
          <w:tcPr>
            <w:tcW w:type="dxa" w:w="3456"/>
          </w:tcPr>
          <w:p>
            <w:pPr>
              <w:spacing w:after="20"/>
            </w:pPr>
            <w:r>
              <w:rPr>
                <w:color w:val="1C3A36"/>
                <w:sz w:val="17"/>
              </w:rPr>
              <w:t>Resolved three-month forecasts</w:t>
            </w:r>
          </w:p>
        </w:tc>
        <w:tc>
          <w:tcPr>
            <w:tcW w:type="dxa" w:w="2160"/>
          </w:tcPr>
          <w:p>
            <w:pPr>
              <w:spacing w:after="20"/>
              <w:jc w:val="right"/>
            </w:pPr>
            <w:r>
              <w:rPr>
                <w:color w:val="1C3A36"/>
                <w:sz w:val="17"/>
              </w:rPr>
              <w:t>57</w:t>
            </w:r>
          </w:p>
        </w:tc>
        <w:tc>
          <w:tcPr>
            <w:tcW w:type="dxa" w:w="3024"/>
          </w:tcPr>
          <w:p>
            <w:pPr>
              <w:spacing w:after="20"/>
              <w:jc w:val="right"/>
            </w:pPr>
            <w:r>
              <w:rPr>
                <w:color w:val="1C3A36"/>
                <w:sz w:val="17"/>
              </w:rPr>
              <w:t>every forecast this name has made that has since matured</w:t>
            </w:r>
          </w:p>
        </w:tc>
      </w:tr>
      <w:tr>
        <w:tc>
          <w:tcPr>
            <w:tcW w:type="dxa" w:w="3456"/>
          </w:tcPr>
          <w:p>
            <w:pPr>
              <w:spacing w:after="20"/>
            </w:pPr>
            <w:r>
              <w:rPr>
                <w:color w:val="1C3A36"/>
                <w:sz w:val="17"/>
              </w:rPr>
              <w:t>Finished inside the 90% band</w:t>
            </w:r>
          </w:p>
        </w:tc>
        <w:tc>
          <w:tcPr>
            <w:tcW w:type="dxa" w:w="2160"/>
          </w:tcPr>
          <w:p>
            <w:pPr>
              <w:spacing w:after="20"/>
              <w:jc w:val="right"/>
            </w:pPr>
            <w:r>
              <w:rPr>
                <w:color w:val="1C3A36"/>
                <w:sz w:val="17"/>
              </w:rPr>
              <w:t>51 of 57 (89.5%)</w:t>
            </w:r>
          </w:p>
        </w:tc>
        <w:tc>
          <w:tcPr>
            <w:tcW w:type="dxa" w:w="3024"/>
          </w:tcPr>
          <w:p>
            <w:pPr>
              <w:spacing w:after="20"/>
              <w:jc w:val="right"/>
            </w:pPr>
            <w:r>
              <w:rPr>
                <w:color w:val="1C3A36"/>
                <w:sz w:val="17"/>
              </w:rPr>
              <w:t>against a 90% promise</w:t>
            </w:r>
          </w:p>
        </w:tc>
      </w:tr>
      <w:tr>
        <w:tc>
          <w:tcPr>
            <w:tcW w:type="dxa" w:w="3456"/>
          </w:tcPr>
          <w:p>
            <w:pPr>
              <w:spacing w:after="20"/>
            </w:pPr>
            <w:r>
              <w:rPr>
                <w:color w:val="1C3A36"/>
                <w:sz w:val="17"/>
              </w:rPr>
              <w:t>Finished inside the 80% band</w:t>
            </w:r>
          </w:p>
        </w:tc>
        <w:tc>
          <w:tcPr>
            <w:tcW w:type="dxa" w:w="2160"/>
          </w:tcPr>
          <w:p>
            <w:pPr>
              <w:spacing w:after="20"/>
              <w:jc w:val="right"/>
            </w:pPr>
            <w:r>
              <w:rPr>
                <w:color w:val="1C3A36"/>
                <w:sz w:val="17"/>
              </w:rPr>
              <w:t>82.5%</w:t>
            </w:r>
          </w:p>
        </w:tc>
        <w:tc>
          <w:tcPr>
            <w:tcW w:type="dxa" w:w="3024"/>
          </w:tcPr>
          <w:p>
            <w:pPr>
              <w:spacing w:after="20"/>
              <w:jc w:val="right"/>
            </w:pPr>
            <w:r>
              <w:rPr>
                <w:color w:val="1C3A36"/>
                <w:sz w:val="17"/>
              </w:rPr>
              <w:t>against an 80% promise</w:t>
            </w:r>
          </w:p>
        </w:tc>
      </w:tr>
      <w:tr>
        <w:tc>
          <w:tcPr>
            <w:tcW w:type="dxa" w:w="3456"/>
          </w:tcPr>
          <w:p>
            <w:pPr>
              <w:spacing w:after="20"/>
            </w:pPr>
            <w:r>
              <w:rPr>
                <w:color w:val="1C3A36"/>
                <w:sz w:val="17"/>
              </w:rPr>
              <w:t>Finished inside the 50% band</w:t>
            </w:r>
          </w:p>
        </w:tc>
        <w:tc>
          <w:tcPr>
            <w:tcW w:type="dxa" w:w="2160"/>
          </w:tcPr>
          <w:p>
            <w:pPr>
              <w:spacing w:after="20"/>
              <w:jc w:val="right"/>
            </w:pPr>
            <w:r>
              <w:rPr>
                <w:color w:val="1C3A36"/>
                <w:sz w:val="17"/>
              </w:rPr>
              <w:t>54.4%</w:t>
            </w:r>
          </w:p>
        </w:tc>
        <w:tc>
          <w:tcPr>
            <w:tcW w:type="dxa" w:w="3024"/>
          </w:tcPr>
          <w:p>
            <w:pPr>
              <w:spacing w:after="20"/>
              <w:jc w:val="right"/>
            </w:pPr>
            <w:r>
              <w:rPr>
                <w:color w:val="1C3A36"/>
                <w:sz w:val="17"/>
              </w:rPr>
              <w:t>against a 50% promise</w:t>
            </w:r>
          </w:p>
        </w:tc>
      </w:tr>
      <w:tr>
        <w:tc>
          <w:tcPr>
            <w:tcW w:type="dxa" w:w="3456"/>
          </w:tcPr>
          <w:p>
            <w:pPr>
              <w:spacing w:after="20"/>
            </w:pPr>
            <w:r>
              <w:rPr>
                <w:color w:val="1C3A36"/>
                <w:sz w:val="17"/>
              </w:rPr>
              <w:t>Band width against a no-forecast rule</w:t>
            </w:r>
          </w:p>
        </w:tc>
        <w:tc>
          <w:tcPr>
            <w:tcW w:type="dxa" w:w="2160"/>
          </w:tcPr>
          <w:p>
            <w:pPr>
              <w:spacing w:after="20"/>
              <w:jc w:val="right"/>
            </w:pPr>
            <w:r>
              <w:rPr>
                <w:color w:val="1C3A36"/>
                <w:sz w:val="17"/>
              </w:rPr>
              <w:t>1.194x</w:t>
            </w:r>
          </w:p>
        </w:tc>
        <w:tc>
          <w:tcPr>
            <w:tcW w:type="dxa" w:w="3024"/>
          </w:tcPr>
          <w:p>
            <w:pPr>
              <w:spacing w:after="20"/>
              <w:jc w:val="right"/>
            </w:pPr>
            <w:r>
              <w:rPr>
                <w:color w:val="1C3A36"/>
                <w:sz w:val="17"/>
              </w:rPr>
              <w:t>above 1.00 means our band is the wider of the two</w:t>
            </w:r>
          </w:p>
        </w:tc>
      </w:tr>
      <w:tr>
        <w:tc>
          <w:tcPr>
            <w:tcW w:type="dxa" w:w="3456"/>
          </w:tcPr>
          <w:p>
            <w:pPr>
              <w:spacing w:after="20"/>
            </w:pPr>
            <w:r>
              <w:rPr>
                <w:color w:val="1C3A36"/>
                <w:sz w:val="17"/>
              </w:rPr>
              <w:t>Length of record</w:t>
            </w:r>
          </w:p>
        </w:tc>
        <w:tc>
          <w:tcPr>
            <w:tcW w:type="dxa" w:w="2160"/>
          </w:tcPr>
          <w:p>
            <w:pPr>
              <w:spacing w:after="20"/>
              <w:jc w:val="right"/>
            </w:pPr>
            <w:r>
              <w:rPr>
                <w:color w:val="1C3A36"/>
                <w:sz w:val="17"/>
              </w:rPr>
              <w:t>LONG</w:t>
            </w:r>
          </w:p>
        </w:tc>
        <w:tc>
          <w:tcPr>
            <w:tcW w:type="dxa" w:w="3024"/>
          </w:tcPr>
          <w:p>
            <w:pPr>
              <w:spacing w:after="20"/>
              <w:jc w:val="right"/>
            </w:pPr>
            <w:r>
              <w:rPr>
                <w:color w:val="1C3A36"/>
                <w:sz w:val="17"/>
              </w:rPr>
              <w:t>long enough for the percentage above to mean something</w:t>
            </w:r>
          </w:p>
        </w:tc>
      </w:tr>
    </w:tbl>
    <w:p>
      <w:pPr>
        <w:spacing w:after="40"/>
      </w:pPr>
    </w:p>
    <w:p>
      <w:pPr>
        <w:spacing w:after="200" w:before="0"/>
      </w:pPr>
      <w:r>
        <w:rPr>
          <w:b w:val="0"/>
          <w:i/>
          <w:color w:val="6E7B77"/>
          <w:sz w:val="17"/>
        </w:rPr>
        <w:t>Table 20 — the band record, published beside the forecast rather than behind it. Over 57 resolved three-month forecasts on this name the price finished inside the 90% band 89.5% of the time against a 90% promise. The count is printed beside the percentage because a percentage without its count is the number that misleads. No flag is raised here: on a two-sided test at the 5% level this record is not distinguishable from a cone that did what it said, and the honest response to the ordinary case is to say nothing further. The band is 1.19x the width of a simple no-forecast rule’s — wider, not narrower — and that is disclosed rather than treated as a fault, because on Egyptian tail risk a wider band is often the truthful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9.7%</w:t>
            </w:r>
          </w:p>
        </w:tc>
        <w:tc>
          <w:tcPr>
            <w:tcW w:type="dxa" w:w="2376"/>
          </w:tcPr>
          <w:p>
            <w:pPr>
              <w:spacing w:after="20"/>
              <w:jc w:val="right"/>
            </w:pPr>
            <w:r>
              <w:rPr>
                <w:color w:val="1C3A36"/>
                <w:sz w:val="17"/>
              </w:rPr>
              <w:t>36.2%</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21.4%</w:t>
            </w:r>
          </w:p>
        </w:tc>
        <w:tc>
          <w:tcPr>
            <w:tcW w:type="dxa" w:w="2376"/>
          </w:tcPr>
          <w:p>
            <w:pPr>
              <w:spacing w:after="20"/>
              <w:jc w:val="right"/>
            </w:pPr>
            <w:r>
              <w:rPr>
                <w:color w:val="1C3A36"/>
                <w:sz w:val="17"/>
              </w:rPr>
              <w:t>49.7%</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41.8%</w:t>
            </w:r>
          </w:p>
        </w:tc>
        <w:tc>
          <w:tcPr>
            <w:tcW w:type="dxa" w:w="2376"/>
          </w:tcPr>
          <w:p>
            <w:pPr>
              <w:spacing w:after="20"/>
              <w:jc w:val="right"/>
            </w:pPr>
            <w:r>
              <w:rPr>
                <w:color w:val="1C3A36"/>
                <w:sz w:val="17"/>
              </w:rPr>
              <w:t>66.0%</w:t>
            </w:r>
          </w:p>
        </w:tc>
        <w:tc>
          <w:tcPr>
            <w:tcW w:type="dxa" w:w="2880"/>
          </w:tcPr>
          <w:p>
            <w:pPr>
              <w:spacing w:after="20"/>
            </w:pPr>
            <w:r>
              <w:rPr>
                <w:color w:val="1C3A36"/>
                <w:sz w:val="17"/>
              </w:rPr>
            </w:r>
          </w:p>
        </w:tc>
      </w:tr>
      <w:tr>
        <w:tc>
          <w:tcPr>
            <w:tcW w:type="dxa" w:w="1512"/>
          </w:tcPr>
          <w:p>
            <w:pPr>
              <w:spacing w:after="20"/>
            </w:pPr>
            <w:r>
              <w:rPr>
                <w:color w:val="1C3A36"/>
                <w:sz w:val="17"/>
              </w:rPr>
              <w:t>13.50</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5.0%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51.4%</w:t>
            </w:r>
          </w:p>
        </w:tc>
        <w:tc>
          <w:tcPr>
            <w:tcW w:type="dxa" w:w="2376"/>
          </w:tcPr>
          <w:p>
            <w:pPr>
              <w:spacing w:after="20"/>
              <w:jc w:val="right"/>
            </w:pPr>
            <w:r>
              <w:rPr>
                <w:color w:val="1C3A36"/>
                <w:sz w:val="17"/>
              </w:rPr>
              <w:t>68.6%</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22.5%</w:t>
            </w:r>
          </w:p>
        </w:tc>
        <w:tc>
          <w:tcPr>
            <w:tcW w:type="dxa" w:w="2376"/>
          </w:tcPr>
          <w:p>
            <w:pPr>
              <w:spacing w:after="20"/>
              <w:jc w:val="right"/>
            </w:pPr>
            <w:r>
              <w:rPr>
                <w:color w:val="1C3A36"/>
                <w:sz w:val="17"/>
              </w:rPr>
              <w:t>45.5%</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7.1%</w:t>
            </w:r>
          </w:p>
        </w:tc>
        <w:tc>
          <w:tcPr>
            <w:tcW w:type="dxa" w:w="2376"/>
          </w:tcPr>
          <w:p>
            <w:pPr>
              <w:spacing w:after="20"/>
              <w:jc w:val="right"/>
            </w:pPr>
            <w:r>
              <w:rPr>
                <w:color w:val="1C3A36"/>
                <w:sz w:val="17"/>
              </w:rPr>
              <w:t>27.0%</w:t>
            </w:r>
          </w:p>
        </w:tc>
        <w:tc>
          <w:tcPr>
            <w:tcW w:type="dxa" w:w="2880"/>
          </w:tcPr>
          <w:p>
            <w:pPr>
              <w:spacing w:after="20"/>
            </w:pPr>
            <w:r>
              <w:rPr>
                <w:color w:val="1C3A36"/>
                <w:sz w:val="17"/>
              </w:rPr>
            </w:r>
          </w:p>
        </w:tc>
      </w:tr>
      <w:tr>
        <w:tc>
          <w:tcPr>
            <w:tcW w:type="dxa" w:w="1512"/>
          </w:tcPr>
          <w:p>
            <w:pPr>
              <w:spacing w:after="20"/>
            </w:pPr>
            <w:r>
              <w:rPr>
                <w:color w:val="1C3A36"/>
                <w:sz w:val="17"/>
              </w:rPr>
              <w:t>17.62</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0.1%</w:t>
            </w:r>
          </w:p>
        </w:tc>
        <w:tc>
          <w:tcPr>
            <w:tcW w:type="dxa" w:w="2880"/>
          </w:tcPr>
          <w:p>
            <w:pPr>
              <w:spacing w:after="20"/>
            </w:pPr>
            <w:r>
              <w:rPr>
                <w:color w:val="1C3A36"/>
                <w:sz w:val="17"/>
              </w:rPr>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88.2%</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0.461</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0.969x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on this name’s own history. Coverage sits close to what was promised at all three levels and the centring test shows no material bias, so the band record in Table 20 is a statement about how often the cone held rather than about the cone being mis-shaped. Published because a record that shows only a headline is not a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fair value</w:t>
            </w:r>
          </w:p>
        </w:tc>
        <w:tc>
          <w:tcPr>
            <w:tcW w:type="dxa" w:w="3456"/>
          </w:tcPr>
          <w:p>
            <w:pPr>
              <w:spacing w:after="20"/>
            </w:pPr>
            <w:r>
              <w:rPr>
                <w:color w:val="1C3A36"/>
                <w:sz w:val="17"/>
              </w:rPr>
              <w:t>EGP 17.62  (range 1.67–23.90)</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(6.90–12.60)</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13.50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1.13 on the cash-flow lens, and the filed record spans 514 basis points;</w:t>
      </w:r>
    </w:p>
    <w:p>
      <w:pPr>
        <w:pStyle w:val="ListBullet"/>
        <w:spacing w:after="60"/>
      </w:pPr>
      <w:r>
        <w:rPr>
          <w:b/>
          <w:color w:val="1C3A36"/>
          <w:sz w:val="21"/>
        </w:rPr>
        <w:t xml:space="preserve">THE BASE ANCHOR — </w:t>
      </w:r>
      <w:r>
        <w:rPr>
          <w:color w:val="1C3A36"/>
          <w:sz w:val="21"/>
        </w:rPr>
        <w:t>the base year averages a strong reviewed half with a weaker audited one. If the weakness before 2026 turns out to be a superseded level rather than a season, the base is too low and the whole build moves with it — and note the direction, because it is the opposite of the usual caveat: anchoring on the latest reviewed half alone prices the central HIGHER, not lower, by about half again;</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EGP 7.50</w:t>
            </w:r>
          </w:p>
        </w:tc>
        <w:tc>
          <w:tcPr>
            <w:tcW w:type="dxa" w:w="2736"/>
          </w:tcPr>
          <w:p>
            <w:pPr>
              <w:spacing w:after="20"/>
              <w:jc w:val="right"/>
            </w:pPr>
            <w:r>
              <w:rPr>
                <w:color w:val="1C3A36"/>
                <w:sz w:val="18"/>
              </w:rPr>
              <w:t>13.8%</w:t>
            </w:r>
          </w:p>
        </w:tc>
      </w:tr>
      <w:tr>
        <w:tc>
          <w:tcPr>
            <w:tcW w:type="dxa" w:w="6048"/>
          </w:tcPr>
          <w:p>
            <w:pPr>
              <w:spacing w:after="20"/>
            </w:pPr>
            <w:r>
              <w:rPr>
                <w:color w:val="1C3A36"/>
                <w:sz w:val="18"/>
              </w:rPr>
              <w:t>EGP 7.50 to EGP 11.00</w:t>
            </w:r>
          </w:p>
        </w:tc>
        <w:tc>
          <w:tcPr>
            <w:tcW w:type="dxa" w:w="2736"/>
          </w:tcPr>
          <w:p>
            <w:pPr>
              <w:spacing w:after="20"/>
              <w:jc w:val="right"/>
            </w:pPr>
            <w:r>
              <w:rPr>
                <w:color w:val="1C3A36"/>
                <w:sz w:val="18"/>
              </w:rPr>
              <w:t>66.9%</w:t>
            </w:r>
          </w:p>
        </w:tc>
      </w:tr>
      <w:tr>
        <w:tc>
          <w:tcPr>
            <w:tcW w:type="dxa" w:w="6048"/>
          </w:tcPr>
          <w:p>
            <w:pPr>
              <w:spacing w:after="20"/>
            </w:pPr>
            <w:r>
              <w:rPr>
                <w:color w:val="1C3A36"/>
                <w:sz w:val="18"/>
              </w:rPr>
              <w:t>EGP 11.00 to EGP 13.50 (the traded price)</w:t>
            </w:r>
          </w:p>
        </w:tc>
        <w:tc>
          <w:tcPr>
            <w:tcW w:type="dxa" w:w="2736"/>
          </w:tcPr>
          <w:p>
            <w:pPr>
              <w:spacing w:after="20"/>
              <w:jc w:val="right"/>
            </w:pPr>
            <w:r>
              <w:rPr>
                <w:color w:val="1C3A36"/>
                <w:sz w:val="18"/>
              </w:rPr>
              <w:t>16.0%</w:t>
            </w:r>
          </w:p>
        </w:tc>
      </w:tr>
      <w:tr>
        <w:tc>
          <w:tcPr>
            <w:tcW w:type="dxa" w:w="6048"/>
          </w:tcPr>
          <w:p>
            <w:pPr>
              <w:spacing w:after="20"/>
            </w:pPr>
            <w:r>
              <w:rPr>
                <w:color w:val="1C3A36"/>
                <w:sz w:val="18"/>
              </w:rPr>
              <w:t>EGP 13.50 (the traded price) to EGP 17.62 (fair value)</w:t>
            </w:r>
          </w:p>
        </w:tc>
        <w:tc>
          <w:tcPr>
            <w:tcW w:type="dxa" w:w="2736"/>
          </w:tcPr>
          <w:p>
            <w:pPr>
              <w:spacing w:after="20"/>
              <w:jc w:val="right"/>
            </w:pPr>
            <w:r>
              <w:rPr>
                <w:color w:val="1C3A36"/>
                <w:sz w:val="18"/>
              </w:rPr>
              <w:t>2.6%</w:t>
            </w:r>
          </w:p>
        </w:tc>
      </w:tr>
      <w:tr>
        <w:tc>
          <w:tcPr>
            <w:tcW w:type="dxa" w:w="6048"/>
          </w:tcPr>
          <w:p>
            <w:pPr>
              <w:spacing w:after="20"/>
            </w:pPr>
            <w:r>
              <w:rPr>
                <w:color w:val="1C3A36"/>
                <w:sz w:val="18"/>
              </w:rPr>
              <w:t>Above EGP 17.62 (fair value)</w:t>
            </w:r>
          </w:p>
        </w:tc>
        <w:tc>
          <w:tcPr>
            <w:tcW w:type="dxa" w:w="2736"/>
          </w:tcPr>
          <w:p>
            <w:pPr>
              <w:spacing w:after="20"/>
              <w:jc w:val="right"/>
            </w:pPr>
            <w:r>
              <w:rPr>
                <w:color w:val="1C3A36"/>
                <w:sz w:val="18"/>
              </w:rPr>
              <w:t>0.7%</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spacing w:after="120" w:before="0"/>
      </w:pPr>
      <w:r>
        <w:rPr>
          <w:b w:val="0"/>
          <w:i w:val="0"/>
          <w:color w:val="1C3A36"/>
          <w:sz w:val="21"/>
        </w:rPr>
        <w:t>This edition is the first to test the forecasting method against AMOC’s own past. The model was rebuilt as it would have stood at each of the five financial year-ends from 2021 to 2025 using only what had been published by that date, run forward, and scored against what the company went on to report. It is a test of the method rather than of any judgement, and its result belongs at the front of this section rather than buried at the back of it.</w:t>
      </w:r>
    </w:p>
    <w:p>
      <w:pPr>
        <w:pStyle w:val="ListBullet"/>
        <w:spacing w:after="60"/>
      </w:pPr>
      <w:r>
        <w:rPr>
          <w:color w:val="1C3A36"/>
          <w:sz w:val="21"/>
        </w:rPr>
        <w:t>THE METHOD DID NOT BEAT “NO CHANGE” ON THIS COMPANY. Over nine scoreable forecasts, profit attributable to shareholders was under-forecast every single time, by 64% on average, and the method’s average miss was more than twice what you get by writing down last year’s profit and stopping. That is the honest state of the evidence and no figure in this study is entitled to more precision than it supports.</w:t>
      </w:r>
    </w:p>
    <w:p>
      <w:pPr>
        <w:pStyle w:val="ListBullet"/>
        <w:spacing w:after="60"/>
      </w:pPr>
      <w:r>
        <w:rPr>
          <w:color w:val="1C3A36"/>
          <w:sz w:val="21"/>
        </w:rPr>
        <w:t>THE REASON IS INSTRUCTIVE AND IT IS NOT A TUNING PROBLEM. A forecaster standing at one of those year-ends could not know the pound was about to fall. Holding the currency still while Egyptian costs compounded at 20–30% a year froze revenue in pounds and inflated every cost line, which on a refiner guarantees a one-sided miss. Given the exchange rate and the crude price, the same driver structure predicted revenue to within 6% and cost of sales to within 2% — the machinery works; forecasting the currency is what nobody can do.</w:t>
      </w:r>
    </w:p>
    <w:p>
      <w:pPr>
        <w:pStyle w:val="ListBullet"/>
        <w:spacing w:after="60"/>
      </w:pPr>
      <w:r>
        <w:rPr>
          <w:color w:val="1C3A36"/>
          <w:sz w:val="21"/>
        </w:rPr>
        <w:t>AND EVEN THEN THE PROFIT LINE MISSED BY 68%. AMOC’s gross margin is a 6.6% residual between two numbers each above EGP 35 billion. An error of 6% on revenue against 2% on cost does not stay small — almost all of it lands in the margin. This is the single most important thing to understand about forecasting this company, and it is why Section 1.9 sensitises the two sides together rather than one at a time.</w:t>
      </w:r>
    </w:p>
    <w:p>
      <w:pPr>
        <w:pStyle w:val="ListBullet"/>
        <w:spacing w:after="60"/>
      </w:pPr>
      <w:r>
        <w:rPr>
          <w:color w:val="1C3A36"/>
          <w:sz w:val="21"/>
        </w:rPr>
        <w:t>THE TEST CHANGED THIS EDITION’S VOLUME ASSUMPTION. The previous edition grew every product line and drew its ranking from two disclosed half-years. The audited five-year record shows sales tonnage down 18.5% from its FY2022 peak with six of eight lines shrinking, and the test measures even a FLAT volume rule as already over-forecasting by 7.6%. The base path here is flat, which on this record is the optimistic case, not the neutral one.</w:t>
      </w:r>
    </w:p>
    <w:p>
      <w:pPr>
        <w:pStyle w:val="ListBullet"/>
        <w:spacing w:after="60"/>
      </w:pPr>
      <w:r>
        <w:rPr>
          <w:color w:val="1C3A36"/>
          <w:sz w:val="21"/>
        </w:rPr>
        <w:t>THE FAR FORECAST YEARS SUPPORT A RANGE AND NEVER A POINT. On its own measured error the method’s three-year profit forecast spans roughly a fifteen-fold band. That is not a useful forecast and this study does not pretend otherwise; it is why the fair value here is a range, why the terminal block is disclosed as 57.4% of enterprise value, and why Section 1.7 identifies the one thing that would settle the case.</w:t>
      </w:r>
    </w:p>
    <w:p>
      <w:pPr>
        <w:pStyle w:val="ListBullet"/>
        <w:spacing w:after="60"/>
      </w:pPr>
      <w:r>
        <w:rPr>
          <w:color w:val="1C3A36"/>
          <w:sz w:val="21"/>
        </w:rPr>
        <w:t>THE TEST ITSELF IS SMALL. Five origins, nine scored forecasts, one company. AMOC publishes no accounts older than FY2022, so the window could not be lengthened. Nothing from it has been adopted as a correction — that was decided before any error was computed — and every finding is provisional.</w:t>
      </w:r>
    </w:p>
    <w:p>
      <w:pPr>
        <w:pStyle w:val="ListBullet"/>
        <w:spacing w:after="60"/>
      </w:pPr>
      <w:r>
        <w:rPr>
          <w:color w:val="1C3A36"/>
          <w:sz w:val="21"/>
        </w:rPr>
        <w:t>THE SECOND HALF OF THE BASE YEAR IS REVIEWED, NOT AUDITED. The six months to 30 June 2026 carries a limited review report rather than a full audit. The PREVIOUS edition of this study went further and called it “a press release rather than a filing”, rejected its gross-profit line on a coherence test and solved gross profit from the profit line instead. The reviewed statements are in hand and the released figure was right to three hundredths of a per cent; the test failed because it estimated the half’s other income by doubling one quarter’s, which put 451mn where the filing shows 197mn. That error ran through every lens in the previous edition.</w:t>
      </w:r>
    </w:p>
    <w:p>
      <w:pPr>
        <w:pStyle w:val="ListBullet"/>
        <w:spacing w:after="60"/>
      </w:pPr>
      <w:r>
        <w:rPr>
          <w:color w:val="1C3A36"/>
          <w:sz w:val="21"/>
        </w:rPr>
        <w:t>TWO DISCLOSURES WERE UNREACHABLE, AND ONE EARLIER CLAIM OF UNREACHABILITY WAS WRONG. A board-approved FY2025/26 capital-expenditure budget and a revised FY2026 operating-profit budget were both reported by outside reviewers and neither could be opened. They move the answer roughly −12% and +17% respectively; both are named here rather than silently absent, and neither is in the numbers. The previous edition also stated that the company’s own investor-relations site refused connections. THAT WAS NOT TRUE, and it was not true because the wrong domain had been tried: amoc.com.eg does not resolve and is not the company’s site. The archive is amoceg.com, and this edition is built on 104 documents downloaded from it, including every annual consolidated filing from FY2022 to FY2025. A source recorded as unreachable is a claim about the world and it is audited like one.</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737-basis-point range across five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five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AS FILED</w:t>
            </w:r>
          </w:p>
        </w:tc>
        <w:tc>
          <w:tcPr>
            <w:tcW w:type="dxa" w:w="1224"/>
            <w:shd w:val="clear" w:color="auto" w:fill="EAF0EE"/>
          </w:tcPr>
          <w:p>
            <w:pPr>
              <w:spacing w:after="20"/>
            </w:pPr>
            <w:r>
              <w:rPr>
                <w:b/>
                <w:color w:val="1C3A36"/>
                <w:sz w:val="15"/>
              </w:rPr>
              <w:t>6M Dec-2024</w:t>
            </w:r>
          </w:p>
        </w:tc>
        <w:tc>
          <w:tcPr>
            <w:tcW w:type="dxa" w:w="1224"/>
            <w:shd w:val="clear" w:color="auto" w:fill="EAF0EE"/>
          </w:tcPr>
          <w:p>
            <w:pPr>
              <w:spacing w:after="20"/>
            </w:pPr>
            <w:r>
              <w:rPr>
                <w:b/>
                <w:color w:val="1C3A36"/>
                <w:sz w:val="15"/>
              </w:rPr>
              <w:t>3M Mar-2025</w:t>
            </w:r>
          </w:p>
        </w:tc>
        <w:tc>
          <w:tcPr>
            <w:tcW w:type="dxa" w:w="1224"/>
            <w:shd w:val="clear" w:color="auto" w:fill="EAF0EE"/>
          </w:tcPr>
          <w:p>
            <w:pPr>
              <w:spacing w:after="20"/>
            </w:pPr>
            <w:r>
              <w:rPr>
                <w:b/>
                <w:color w:val="1C3A36"/>
                <w:sz w:val="15"/>
              </w:rPr>
              <w:t>6M Dec-2025</w:t>
            </w:r>
          </w:p>
        </w:tc>
        <w:tc>
          <w:tcPr>
            <w:tcW w:type="dxa" w:w="1224"/>
            <w:shd w:val="clear" w:color="auto" w:fill="EAF0EE"/>
          </w:tcPr>
          <w:p>
            <w:pPr>
              <w:spacing w:after="20"/>
            </w:pPr>
            <w:r>
              <w:rPr>
                <w:b/>
                <w:color w:val="1C3A36"/>
                <w:sz w:val="15"/>
              </w:rPr>
              <w:t>3M Mar-2026</w:t>
            </w:r>
          </w:p>
        </w:tc>
        <w:tc>
          <w:tcPr>
            <w:tcW w:type="dxa" w:w="1224"/>
            <w:shd w:val="clear" w:color="auto" w:fill="EAF0EE"/>
          </w:tcPr>
          <w:p>
            <w:pPr>
              <w:spacing w:after="20"/>
            </w:pPr>
            <w:r>
              <w:rPr>
                <w:b/>
                <w:color w:val="1C3A36"/>
                <w:sz w:val="15"/>
              </w:rPr>
              <w:t>6M Jun-2026</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18,246</w:t>
            </w:r>
          </w:p>
        </w:tc>
        <w:tc>
          <w:tcPr>
            <w:tcW w:type="dxa" w:w="1224"/>
          </w:tcPr>
          <w:p>
            <w:pPr>
              <w:spacing w:after="20"/>
              <w:jc w:val="right"/>
            </w:pPr>
            <w:r>
              <w:rPr>
                <w:color w:val="1C3A36"/>
                <w:sz w:val="15"/>
              </w:rPr>
              <w:t>10,068</w:t>
            </w:r>
          </w:p>
        </w:tc>
        <w:tc>
          <w:tcPr>
            <w:tcW w:type="dxa" w:w="1224"/>
          </w:tcPr>
          <w:p>
            <w:pPr>
              <w:spacing w:after="20"/>
              <w:jc w:val="right"/>
            </w:pPr>
            <w:r>
              <w:rPr>
                <w:color w:val="1C3A36"/>
                <w:sz w:val="15"/>
              </w:rPr>
              <w:t>20,736</w:t>
            </w:r>
          </w:p>
        </w:tc>
        <w:tc>
          <w:tcPr>
            <w:tcW w:type="dxa" w:w="1224"/>
          </w:tcPr>
          <w:p>
            <w:pPr>
              <w:spacing w:after="20"/>
              <w:jc w:val="right"/>
            </w:pPr>
            <w:r>
              <w:rPr>
                <w:color w:val="1C3A36"/>
                <w:sz w:val="15"/>
              </w:rPr>
              <w:t>10,511</w:t>
            </w:r>
          </w:p>
        </w:tc>
        <w:tc>
          <w:tcPr>
            <w:tcW w:type="dxa" w:w="1224"/>
          </w:tcPr>
          <w:p>
            <w:pPr>
              <w:spacing w:after="20"/>
              <w:jc w:val="right"/>
            </w:pPr>
            <w:r>
              <w:rPr>
                <w:color w:val="1C3A36"/>
                <w:sz w:val="15"/>
              </w:rPr>
              <w:t>26,223</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16,995</w:t>
            </w:r>
          </w:p>
        </w:tc>
        <w:tc>
          <w:tcPr>
            <w:tcW w:type="dxa" w:w="1224"/>
          </w:tcPr>
          <w:p>
            <w:pPr>
              <w:spacing w:after="20"/>
              <w:jc w:val="right"/>
            </w:pPr>
            <w:r>
              <w:rPr>
                <w:color w:val="1C3A36"/>
                <w:sz w:val="15"/>
              </w:rPr>
              <w:t>9,560</w:t>
            </w:r>
          </w:p>
        </w:tc>
        <w:tc>
          <w:tcPr>
            <w:tcW w:type="dxa" w:w="1224"/>
          </w:tcPr>
          <w:p>
            <w:pPr>
              <w:spacing w:after="20"/>
              <w:jc w:val="right"/>
            </w:pPr>
            <w:r>
              <w:rPr>
                <w:color w:val="1C3A36"/>
                <w:sz w:val="15"/>
              </w:rPr>
              <w:t>19,462</w:t>
            </w:r>
          </w:p>
        </w:tc>
        <w:tc>
          <w:tcPr>
            <w:tcW w:type="dxa" w:w="1224"/>
          </w:tcPr>
          <w:p>
            <w:pPr>
              <w:spacing w:after="20"/>
              <w:jc w:val="right"/>
            </w:pPr>
            <w:r>
              <w:rPr>
                <w:color w:val="1C3A36"/>
                <w:sz w:val="15"/>
              </w:rPr>
              <w:t>9,440</w:t>
            </w:r>
          </w:p>
        </w:tc>
        <w:tc>
          <w:tcPr>
            <w:tcW w:type="dxa" w:w="1224"/>
          </w:tcPr>
          <w:p>
            <w:pPr>
              <w:spacing w:after="20"/>
              <w:jc w:val="right"/>
            </w:pPr>
            <w:r>
              <w:rPr>
                <w:color w:val="1C3A36"/>
                <w:sz w:val="15"/>
              </w:rPr>
              <w:t>22,964</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1,251</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1,274</w:t>
            </w:r>
          </w:p>
        </w:tc>
        <w:tc>
          <w:tcPr>
            <w:tcW w:type="dxa" w:w="1224"/>
          </w:tcPr>
          <w:p>
            <w:pPr>
              <w:spacing w:after="20"/>
              <w:jc w:val="right"/>
            </w:pPr>
            <w:r>
              <w:rPr>
                <w:color w:val="1C3A36"/>
                <w:sz w:val="15"/>
              </w:rPr>
              <w:t>1,071</w:t>
            </w:r>
          </w:p>
        </w:tc>
        <w:tc>
          <w:tcPr>
            <w:tcW w:type="dxa" w:w="1224"/>
          </w:tcPr>
          <w:p>
            <w:pPr>
              <w:spacing w:after="20"/>
              <w:jc w:val="right"/>
            </w:pPr>
            <w:r>
              <w:rPr>
                <w:color w:val="1C3A36"/>
                <w:sz w:val="15"/>
              </w:rPr>
              <w:t>3,259</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6.85%</w:t>
            </w:r>
          </w:p>
        </w:tc>
        <w:tc>
          <w:tcPr>
            <w:tcW w:type="dxa" w:w="1224"/>
          </w:tcPr>
          <w:p>
            <w:pPr>
              <w:spacing w:after="20"/>
              <w:jc w:val="right"/>
            </w:pPr>
            <w:r>
              <w:rPr>
                <w:color w:val="1C3A36"/>
                <w:sz w:val="15"/>
              </w:rPr>
              <w:t>5.05%</w:t>
            </w:r>
          </w:p>
        </w:tc>
        <w:tc>
          <w:tcPr>
            <w:tcW w:type="dxa" w:w="1224"/>
          </w:tcPr>
          <w:p>
            <w:pPr>
              <w:spacing w:after="20"/>
              <w:jc w:val="right"/>
            </w:pPr>
            <w:r>
              <w:rPr>
                <w:color w:val="1C3A36"/>
                <w:sz w:val="15"/>
              </w:rPr>
              <w:t>6.14%</w:t>
            </w:r>
          </w:p>
        </w:tc>
        <w:tc>
          <w:tcPr>
            <w:tcW w:type="dxa" w:w="1224"/>
          </w:tcPr>
          <w:p>
            <w:pPr>
              <w:spacing w:after="20"/>
              <w:jc w:val="right"/>
            </w:pPr>
            <w:r>
              <w:rPr>
                <w:color w:val="1C3A36"/>
                <w:sz w:val="15"/>
              </w:rPr>
              <w:t>10.19%</w:t>
            </w:r>
          </w:p>
        </w:tc>
        <w:tc>
          <w:tcPr>
            <w:tcW w:type="dxa" w:w="1224"/>
          </w:tcPr>
          <w:p>
            <w:pPr>
              <w:spacing w:after="20"/>
              <w:jc w:val="right"/>
            </w:pPr>
            <w:r>
              <w:rPr>
                <w:color w:val="1C3A36"/>
                <w:sz w:val="15"/>
              </w:rPr>
              <w:t>12.43%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FORECAST</w:t>
            </w:r>
          </w:p>
        </w:tc>
        <w:tc>
          <w:tcPr>
            <w:tcW w:type="dxa" w:w="1224"/>
            <w:shd w:val="clear" w:color="auto" w:fill="EAF0EE"/>
          </w:tcPr>
          <w:p>
            <w:pPr>
              <w:spacing w:after="20"/>
            </w:pPr>
            <w:r>
              <w:rPr>
                <w:b/>
                <w:color w:val="1C3A36"/>
                <w:sz w:val="15"/>
              </w:rPr>
              <w:t>2026E</w:t>
            </w:r>
          </w:p>
        </w:tc>
        <w:tc>
          <w:tcPr>
            <w:tcW w:type="dxa" w:w="1224"/>
            <w:shd w:val="clear" w:color="auto" w:fill="EAF0EE"/>
          </w:tcPr>
          <w:p>
            <w:pPr>
              <w:spacing w:after="20"/>
            </w:pPr>
            <w:r>
              <w:rPr>
                <w:b/>
                <w:color w:val="1C3A36"/>
                <w:sz w:val="15"/>
              </w:rPr>
              <w:t>2027E</w:t>
            </w:r>
          </w:p>
        </w:tc>
        <w:tc>
          <w:tcPr>
            <w:tcW w:type="dxa" w:w="1224"/>
            <w:shd w:val="clear" w:color="auto" w:fill="EAF0EE"/>
          </w:tcPr>
          <w:p>
            <w:pPr>
              <w:spacing w:after="20"/>
            </w:pPr>
            <w:r>
              <w:rPr>
                <w:b/>
                <w:color w:val="1C3A36"/>
                <w:sz w:val="15"/>
              </w:rPr>
              <w:t>2028E</w:t>
            </w:r>
          </w:p>
        </w:tc>
        <w:tc>
          <w:tcPr>
            <w:tcW w:type="dxa" w:w="1224"/>
            <w:shd w:val="clear" w:color="auto" w:fill="EAF0EE"/>
          </w:tcPr>
          <w:p>
            <w:pPr>
              <w:spacing w:after="20"/>
            </w:pPr>
            <w:r>
              <w:rPr>
                <w:b/>
                <w:color w:val="1C3A36"/>
                <w:sz w:val="15"/>
              </w:rPr>
              <w:t>2029E</w:t>
            </w:r>
          </w:p>
        </w:tc>
        <w:tc>
          <w:tcPr>
            <w:tcW w:type="dxa" w:w="1224"/>
            <w:shd w:val="clear" w:color="auto" w:fill="EAF0EE"/>
          </w:tcPr>
          <w:p>
            <w:pPr>
              <w:spacing w:after="20"/>
            </w:pPr>
            <w:r>
              <w:rPr>
                <w:b/>
                <w:color w:val="1C3A36"/>
                <w:sz w:val="15"/>
              </w:rPr>
              <w:t>2030E</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53,144</w:t>
            </w:r>
          </w:p>
        </w:tc>
        <w:tc>
          <w:tcPr>
            <w:tcW w:type="dxa" w:w="1224"/>
          </w:tcPr>
          <w:p>
            <w:pPr>
              <w:spacing w:after="20"/>
              <w:jc w:val="right"/>
            </w:pPr>
            <w:r>
              <w:rPr>
                <w:color w:val="1C3A36"/>
                <w:sz w:val="15"/>
              </w:rPr>
              <w:t>58,069</w:t>
            </w:r>
          </w:p>
        </w:tc>
        <w:tc>
          <w:tcPr>
            <w:tcW w:type="dxa" w:w="1224"/>
          </w:tcPr>
          <w:p>
            <w:pPr>
              <w:spacing w:after="20"/>
              <w:jc w:val="right"/>
            </w:pPr>
            <w:r>
              <w:rPr>
                <w:color w:val="1C3A36"/>
                <w:sz w:val="15"/>
              </w:rPr>
              <w:t>61,752</w:t>
            </w:r>
          </w:p>
        </w:tc>
        <w:tc>
          <w:tcPr>
            <w:tcW w:type="dxa" w:w="1224"/>
          </w:tcPr>
          <w:p>
            <w:pPr>
              <w:spacing w:after="20"/>
              <w:jc w:val="right"/>
            </w:pPr>
            <w:r>
              <w:rPr>
                <w:color w:val="1C3A36"/>
                <w:sz w:val="15"/>
              </w:rPr>
              <w:t>64,764</w:t>
            </w:r>
          </w:p>
        </w:tc>
        <w:tc>
          <w:tcPr>
            <w:tcW w:type="dxa" w:w="1224"/>
          </w:tcPr>
          <w:p>
            <w:pPr>
              <w:spacing w:after="20"/>
              <w:jc w:val="right"/>
            </w:pPr>
            <w:r>
              <w:rPr>
                <w:color w:val="1C3A36"/>
                <w:sz w:val="15"/>
              </w:rPr>
              <w:t>67,607</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46,539</w:t>
            </w:r>
          </w:p>
        </w:tc>
        <w:tc>
          <w:tcPr>
            <w:tcW w:type="dxa" w:w="1224"/>
          </w:tcPr>
          <w:p>
            <w:pPr>
              <w:spacing w:after="20"/>
              <w:jc w:val="right"/>
            </w:pPr>
            <w:r>
              <w:rPr>
                <w:color w:val="1C3A36"/>
                <w:sz w:val="15"/>
              </w:rPr>
              <w:t>50,841</w:t>
            </w:r>
          </w:p>
        </w:tc>
        <w:tc>
          <w:tcPr>
            <w:tcW w:type="dxa" w:w="1224"/>
          </w:tcPr>
          <w:p>
            <w:pPr>
              <w:spacing w:after="20"/>
              <w:jc w:val="right"/>
            </w:pPr>
            <w:r>
              <w:rPr>
                <w:color w:val="1C3A36"/>
                <w:sz w:val="15"/>
              </w:rPr>
              <w:t>54,057</w:t>
            </w:r>
          </w:p>
        </w:tc>
        <w:tc>
          <w:tcPr>
            <w:tcW w:type="dxa" w:w="1224"/>
          </w:tcPr>
          <w:p>
            <w:pPr>
              <w:spacing w:after="20"/>
              <w:jc w:val="right"/>
            </w:pPr>
            <w:r>
              <w:rPr>
                <w:color w:val="1C3A36"/>
                <w:sz w:val="15"/>
              </w:rPr>
              <w:t>56,688</w:t>
            </w:r>
          </w:p>
        </w:tc>
        <w:tc>
          <w:tcPr>
            <w:tcW w:type="dxa" w:w="1224"/>
          </w:tcPr>
          <w:p>
            <w:pPr>
              <w:spacing w:after="20"/>
              <w:jc w:val="right"/>
            </w:pPr>
            <w:r>
              <w:rPr>
                <w:color w:val="1C3A36"/>
                <w:sz w:val="15"/>
              </w:rPr>
              <w:t>59,171</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6,605</w:t>
            </w:r>
          </w:p>
        </w:tc>
        <w:tc>
          <w:tcPr>
            <w:tcW w:type="dxa" w:w="1224"/>
          </w:tcPr>
          <w:p>
            <w:pPr>
              <w:spacing w:after="20"/>
              <w:jc w:val="right"/>
            </w:pPr>
            <w:r>
              <w:rPr>
                <w:color w:val="1C3A36"/>
                <w:sz w:val="15"/>
              </w:rPr>
              <w:t>7,228</w:t>
            </w:r>
          </w:p>
        </w:tc>
        <w:tc>
          <w:tcPr>
            <w:tcW w:type="dxa" w:w="1224"/>
          </w:tcPr>
          <w:p>
            <w:pPr>
              <w:spacing w:after="20"/>
              <w:jc w:val="right"/>
            </w:pPr>
            <w:r>
              <w:rPr>
                <w:color w:val="1C3A36"/>
                <w:sz w:val="15"/>
              </w:rPr>
              <w:t>7,694</w:t>
            </w:r>
          </w:p>
        </w:tc>
        <w:tc>
          <w:tcPr>
            <w:tcW w:type="dxa" w:w="1224"/>
          </w:tcPr>
          <w:p>
            <w:pPr>
              <w:spacing w:after="20"/>
              <w:jc w:val="right"/>
            </w:pPr>
            <w:r>
              <w:rPr>
                <w:color w:val="1C3A36"/>
                <w:sz w:val="15"/>
              </w:rPr>
              <w:t>8,076</w:t>
            </w:r>
          </w:p>
        </w:tc>
        <w:tc>
          <w:tcPr>
            <w:tcW w:type="dxa" w:w="1224"/>
          </w:tcPr>
          <w:p>
            <w:pPr>
              <w:spacing w:after="20"/>
              <w:jc w:val="right"/>
            </w:pPr>
            <w:r>
              <w:rPr>
                <w:color w:val="1C3A36"/>
                <w:sz w:val="15"/>
              </w:rPr>
              <w:t>8,436</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12.43%</w:t>
            </w:r>
          </w:p>
        </w:tc>
        <w:tc>
          <w:tcPr>
            <w:tcW w:type="dxa" w:w="1224"/>
          </w:tcPr>
          <w:p>
            <w:pPr>
              <w:spacing w:after="20"/>
              <w:jc w:val="right"/>
            </w:pPr>
            <w:r>
              <w:rPr>
                <w:color w:val="1C3A36"/>
                <w:sz w:val="15"/>
              </w:rPr>
              <w:t>12.45%</w:t>
            </w:r>
          </w:p>
        </w:tc>
        <w:tc>
          <w:tcPr>
            <w:tcW w:type="dxa" w:w="1224"/>
          </w:tcPr>
          <w:p>
            <w:pPr>
              <w:spacing w:after="20"/>
              <w:jc w:val="right"/>
            </w:pPr>
            <w:r>
              <w:rPr>
                <w:color w:val="1C3A36"/>
                <w:sz w:val="15"/>
              </w:rPr>
              <w:t>12.46%</w:t>
            </w:r>
          </w:p>
        </w:tc>
        <w:tc>
          <w:tcPr>
            <w:tcW w:type="dxa" w:w="1224"/>
          </w:tcPr>
          <w:p>
            <w:pPr>
              <w:spacing w:after="20"/>
              <w:jc w:val="right"/>
            </w:pPr>
            <w:r>
              <w:rPr>
                <w:color w:val="1C3A36"/>
                <w:sz w:val="15"/>
              </w:rPr>
              <w:t>12.47%</w:t>
            </w:r>
          </w:p>
        </w:tc>
        <w:tc>
          <w:tcPr>
            <w:tcW w:type="dxa" w:w="1224"/>
          </w:tcPr>
          <w:p>
            <w:pPr>
              <w:spacing w:after="20"/>
              <w:jc w:val="right"/>
            </w:pPr>
            <w:r>
              <w:rPr>
                <w:color w:val="1C3A36"/>
                <w:sz w:val="15"/>
              </w:rPr>
              <w:t>12.48%</w:t>
            </w:r>
          </w:p>
        </w:tc>
      </w:tr>
      <w:tr>
        <w:tc>
          <w:tcPr>
            <w:tcW w:type="dxa" w:w="2232"/>
          </w:tcPr>
          <w:p>
            <w:pPr>
              <w:spacing w:after="20"/>
            </w:pPr>
            <w:r>
              <w:rPr>
                <w:color w:val="1C3A36"/>
                <w:sz w:val="15"/>
              </w:rPr>
              <w:t>Operating profit</w:t>
            </w:r>
          </w:p>
        </w:tc>
        <w:tc>
          <w:tcPr>
            <w:tcW w:type="dxa" w:w="1224"/>
          </w:tcPr>
          <w:p>
            <w:pPr>
              <w:spacing w:after="20"/>
              <w:jc w:val="right"/>
            </w:pPr>
            <w:r>
              <w:rPr>
                <w:color w:val="1C3A36"/>
                <w:sz w:val="15"/>
              </w:rPr>
              <w:t>4,407</w:t>
            </w:r>
          </w:p>
        </w:tc>
        <w:tc>
          <w:tcPr>
            <w:tcW w:type="dxa" w:w="1224"/>
          </w:tcPr>
          <w:p>
            <w:pPr>
              <w:spacing w:after="20"/>
              <w:jc w:val="right"/>
            </w:pPr>
            <w:r>
              <w:rPr>
                <w:color w:val="1C3A36"/>
                <w:sz w:val="15"/>
              </w:rPr>
              <w:t>4,779</w:t>
            </w:r>
          </w:p>
        </w:tc>
        <w:tc>
          <w:tcPr>
            <w:tcW w:type="dxa" w:w="1224"/>
          </w:tcPr>
          <w:p>
            <w:pPr>
              <w:spacing w:after="20"/>
              <w:jc w:val="right"/>
            </w:pPr>
            <w:r>
              <w:rPr>
                <w:color w:val="1C3A36"/>
                <w:sz w:val="15"/>
              </w:rPr>
              <w:t>5,030</w:t>
            </w:r>
          </w:p>
        </w:tc>
        <w:tc>
          <w:tcPr>
            <w:tcW w:type="dxa" w:w="1224"/>
          </w:tcPr>
          <w:p>
            <w:pPr>
              <w:spacing w:after="20"/>
              <w:jc w:val="right"/>
            </w:pPr>
            <w:r>
              <w:rPr>
                <w:color w:val="1C3A36"/>
                <w:sz w:val="15"/>
              </w:rPr>
              <w:t>5,214</w:t>
            </w:r>
          </w:p>
        </w:tc>
        <w:tc>
          <w:tcPr>
            <w:tcW w:type="dxa" w:w="1224"/>
          </w:tcPr>
          <w:p>
            <w:pPr>
              <w:spacing w:after="20"/>
              <w:jc w:val="right"/>
            </w:pPr>
            <w:r>
              <w:rPr>
                <w:color w:val="1C3A36"/>
                <w:sz w:val="15"/>
              </w:rPr>
              <w:t>5,375</w:t>
            </w:r>
          </w:p>
        </w:tc>
      </w:tr>
      <w:tr>
        <w:tc>
          <w:tcPr>
            <w:tcW w:type="dxa" w:w="2232"/>
          </w:tcPr>
          <w:p>
            <w:pPr>
              <w:spacing w:after="20"/>
            </w:pPr>
            <w:r>
              <w:rPr>
                <w:color w:val="1C3A36"/>
                <w:sz w:val="15"/>
              </w:rPr>
              <w:t>Net finance income</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359</w:t>
            </w:r>
          </w:p>
        </w:tc>
        <w:tc>
          <w:tcPr>
            <w:tcW w:type="dxa" w:w="1224"/>
          </w:tcPr>
          <w:p>
            <w:pPr>
              <w:spacing w:after="20"/>
              <w:jc w:val="right"/>
            </w:pPr>
            <w:r>
              <w:rPr>
                <w:color w:val="1C3A36"/>
                <w:sz w:val="15"/>
              </w:rPr>
              <w:t>251</w:t>
            </w:r>
          </w:p>
        </w:tc>
        <w:tc>
          <w:tcPr>
            <w:tcW w:type="dxa" w:w="1224"/>
          </w:tcPr>
          <w:p>
            <w:pPr>
              <w:spacing w:after="20"/>
              <w:jc w:val="right"/>
            </w:pPr>
            <w:r>
              <w:rPr>
                <w:color w:val="1C3A36"/>
                <w:sz w:val="15"/>
              </w:rPr>
              <w:t>175</w:t>
            </w:r>
          </w:p>
        </w:tc>
        <w:tc>
          <w:tcPr>
            <w:tcW w:type="dxa" w:w="1224"/>
          </w:tcPr>
          <w:p>
            <w:pPr>
              <w:spacing w:after="20"/>
              <w:jc w:val="right"/>
            </w:pPr>
            <w:r>
              <w:rPr>
                <w:color w:val="1C3A36"/>
                <w:sz w:val="15"/>
              </w:rPr>
              <w:t>115</w:t>
            </w:r>
          </w:p>
        </w:tc>
      </w:tr>
      <w:tr>
        <w:tc>
          <w:tcPr>
            <w:tcW w:type="dxa" w:w="2232"/>
          </w:tcPr>
          <w:p>
            <w:pPr>
              <w:spacing w:after="20"/>
            </w:pPr>
            <w:r>
              <w:rPr>
                <w:color w:val="1C3A36"/>
                <w:sz w:val="15"/>
              </w:rPr>
              <w:t>Attributable profit</w:t>
            </w:r>
          </w:p>
        </w:tc>
        <w:tc>
          <w:tcPr>
            <w:tcW w:type="dxa" w:w="1224"/>
          </w:tcPr>
          <w:p>
            <w:pPr>
              <w:spacing w:after="20"/>
              <w:jc w:val="right"/>
            </w:pPr>
            <w:r>
              <w:rPr>
                <w:color w:val="1C3A36"/>
                <w:sz w:val="15"/>
              </w:rPr>
              <w:t>3,651</w:t>
            </w:r>
          </w:p>
        </w:tc>
        <w:tc>
          <w:tcPr>
            <w:tcW w:type="dxa" w:w="1224"/>
          </w:tcPr>
          <w:p>
            <w:pPr>
              <w:spacing w:after="20"/>
              <w:jc w:val="right"/>
            </w:pPr>
            <w:r>
              <w:rPr>
                <w:color w:val="1C3A36"/>
                <w:sz w:val="15"/>
              </w:rPr>
              <w:t>3,816</w:t>
            </w:r>
          </w:p>
        </w:tc>
        <w:tc>
          <w:tcPr>
            <w:tcW w:type="dxa" w:w="1224"/>
          </w:tcPr>
          <w:p>
            <w:pPr>
              <w:spacing w:after="20"/>
              <w:jc w:val="right"/>
            </w:pPr>
            <w:r>
              <w:rPr>
                <w:color w:val="1C3A36"/>
                <w:sz w:val="15"/>
              </w:rPr>
              <w:t>3,922</w:t>
            </w:r>
          </w:p>
        </w:tc>
        <w:tc>
          <w:tcPr>
            <w:tcW w:type="dxa" w:w="1224"/>
          </w:tcPr>
          <w:p>
            <w:pPr>
              <w:spacing w:after="20"/>
              <w:jc w:val="right"/>
            </w:pPr>
            <w:r>
              <w:rPr>
                <w:color w:val="1C3A36"/>
                <w:sz w:val="15"/>
              </w:rPr>
              <w:t>4,002</w:t>
            </w:r>
          </w:p>
        </w:tc>
        <w:tc>
          <w:tcPr>
            <w:tcW w:type="dxa" w:w="1224"/>
          </w:tcPr>
          <w:p>
            <w:pPr>
              <w:spacing w:after="20"/>
              <w:jc w:val="right"/>
            </w:pPr>
            <w:r>
              <w:rPr>
                <w:color w:val="1C3A36"/>
                <w:sz w:val="15"/>
              </w:rPr>
              <w:t>4,077</w:t>
            </w:r>
          </w:p>
        </w:tc>
      </w:tr>
    </w:tbl>
    <w:p>
      <w:pPr>
        <w:spacing w:after="40"/>
      </w:pPr>
    </w:p>
    <w:p>
      <w:pPr>
        <w:spacing w:after="200" w:before="0"/>
      </w:pPr>
      <w:r>
        <w:rPr>
          <w:b w:val="0"/>
          <w:i/>
          <w:color w:val="6E7B77"/>
          <w:sz w:val="17"/>
        </w:rPr>
        <w:t>Table A.1 — the 5 filed periods are AS FILED and are of unequal length (six-month periods and quarters), so they are shown as reported rather than annualised. The forecast columns are the model.</w:t>
      </w:r>
    </w:p>
    <w:p>
      <w:pPr>
        <w:spacing w:after="120" w:before="0"/>
      </w:pPr>
      <w:r>
        <w:rPr>
          <w:b w:val="0"/>
          <w:i w:val="0"/>
          <w:color w:val="1C3A36"/>
          <w:sz w:val="21"/>
        </w:rPr>
        <w:t>READ THE LAST FILED COLUMN AGAINST THE FIRST FORECAST COLUMN. The most recent filed period, 6M Jun-2026, carries a gross margin of 12.43%; the first forecast year opens at 12.43% and the path is held roughly flat from there. THE FORECAST IS THEREFORE BELOW THE LATEST FILED PERIOD, and a reader is entitled to know that without deriving it. The reason is the base year: the model is anchored on the twelve months to 30 June 2026, which averages that half with the weaker one before it (6.14%), rather than on the latest half alone. Whether that weakness is seasonal or a superseded level is this study’s largest contested judgement: the same quarter a year apart runs 5.05% against 10.19%, which no seasonal pattern produces. Anchoring on the latest half and holding it flat gives EGP 17.62 a share against the published EGP 17.62. It is priced here and NOT taken, because corrections are made one at a time and this study has already made one this edition; taking a second would carry it from below the traded price to well above it in a single step.</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1,288</w:t>
            </w:r>
          </w:p>
        </w:tc>
        <w:tc>
          <w:tcPr>
            <w:tcW w:type="dxa" w:w="1037"/>
          </w:tcPr>
          <w:p>
            <w:pPr>
              <w:spacing w:after="20"/>
              <w:jc w:val="right"/>
            </w:pPr>
            <w:r>
              <w:rPr>
                <w:color w:val="1C3A36"/>
                <w:sz w:val="16"/>
              </w:rPr>
              <w:t>1,289</w:t>
            </w:r>
          </w:p>
        </w:tc>
        <w:tc>
          <w:tcPr>
            <w:tcW w:type="dxa" w:w="1037"/>
          </w:tcPr>
          <w:p>
            <w:pPr>
              <w:spacing w:after="20"/>
              <w:jc w:val="right"/>
            </w:pPr>
            <w:r>
              <w:rPr>
                <w:color w:val="1C3A36"/>
                <w:sz w:val="16"/>
              </w:rPr>
              <w:t>1,302</w:t>
            </w:r>
          </w:p>
        </w:tc>
        <w:tc>
          <w:tcPr>
            <w:tcW w:type="dxa" w:w="1037"/>
          </w:tcPr>
          <w:p>
            <w:pPr>
              <w:spacing w:after="20"/>
              <w:jc w:val="right"/>
            </w:pPr>
            <w:r>
              <w:rPr>
                <w:color w:val="1C3A36"/>
                <w:sz w:val="16"/>
              </w:rPr>
              <w:t>1,321</w:t>
            </w:r>
          </w:p>
        </w:tc>
        <w:tc>
          <w:tcPr>
            <w:tcW w:type="dxa" w:w="1037"/>
          </w:tcPr>
          <w:p>
            <w:pPr>
              <w:spacing w:after="20"/>
              <w:jc w:val="right"/>
            </w:pPr>
            <w:r>
              <w:rPr>
                <w:color w:val="1C3A36"/>
                <w:sz w:val="16"/>
              </w:rPr>
              <w:t>1,345</w:t>
            </w:r>
          </w:p>
        </w:tc>
        <w:tc>
          <w:tcPr>
            <w:tcW w:type="dxa" w:w="1037"/>
          </w:tcPr>
          <w:p>
            <w:pPr>
              <w:spacing w:after="20"/>
              <w:jc w:val="right"/>
            </w:pPr>
            <w:r>
              <w:rPr>
                <w:color w:val="1C3A36"/>
                <w:sz w:val="16"/>
              </w:rPr>
              <w:t>1,371</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3,389</w:t>
            </w:r>
          </w:p>
        </w:tc>
        <w:tc>
          <w:tcPr>
            <w:tcW w:type="dxa" w:w="1037"/>
          </w:tcPr>
          <w:p>
            <w:pPr>
              <w:spacing w:after="20"/>
              <w:jc w:val="right"/>
            </w:pPr>
            <w:r>
              <w:rPr>
                <w:color w:val="1C3A36"/>
                <w:sz w:val="16"/>
              </w:rPr>
              <w:t>3,836</w:t>
            </w:r>
          </w:p>
        </w:tc>
        <w:tc>
          <w:tcPr>
            <w:tcW w:type="dxa" w:w="1037"/>
          </w:tcPr>
          <w:p>
            <w:pPr>
              <w:spacing w:after="20"/>
              <w:jc w:val="right"/>
            </w:pPr>
            <w:r>
              <w:rPr>
                <w:color w:val="1C3A36"/>
                <w:sz w:val="16"/>
              </w:rPr>
              <w:t>4,191</w:t>
            </w:r>
          </w:p>
        </w:tc>
        <w:tc>
          <w:tcPr>
            <w:tcW w:type="dxa" w:w="1037"/>
          </w:tcPr>
          <w:p>
            <w:pPr>
              <w:spacing w:after="20"/>
              <w:jc w:val="right"/>
            </w:pPr>
            <w:r>
              <w:rPr>
                <w:color w:val="1C3A36"/>
                <w:sz w:val="16"/>
              </w:rPr>
              <w:t>4,456</w:t>
            </w:r>
          </w:p>
        </w:tc>
        <w:tc>
          <w:tcPr>
            <w:tcW w:type="dxa" w:w="1037"/>
          </w:tcPr>
          <w:p>
            <w:pPr>
              <w:spacing w:after="20"/>
              <w:jc w:val="right"/>
            </w:pPr>
            <w:r>
              <w:rPr>
                <w:color w:val="1C3A36"/>
                <w:sz w:val="16"/>
              </w:rPr>
              <w:t>4,674</w:t>
            </w:r>
          </w:p>
        </w:tc>
        <w:tc>
          <w:tcPr>
            <w:tcW w:type="dxa" w:w="1037"/>
          </w:tcPr>
          <w:p>
            <w:pPr>
              <w:spacing w:after="20"/>
              <w:jc w:val="right"/>
            </w:pPr>
            <w:r>
              <w:rPr>
                <w:color w:val="1C3A36"/>
                <w:sz w:val="16"/>
              </w:rPr>
              <w:t>4,879</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4,677</w:t>
            </w:r>
          </w:p>
        </w:tc>
        <w:tc>
          <w:tcPr>
            <w:tcW w:type="dxa" w:w="1037"/>
            <w:shd w:val="clear" w:color="auto" w:fill="F6F1E6"/>
          </w:tcPr>
          <w:p>
            <w:pPr>
              <w:spacing w:after="20"/>
              <w:jc w:val="right"/>
            </w:pPr>
            <w:r>
              <w:rPr>
                <w:b/>
                <w:color w:val="1C3A36"/>
                <w:sz w:val="16"/>
              </w:rPr>
              <w:t>5,125</w:t>
            </w:r>
          </w:p>
        </w:tc>
        <w:tc>
          <w:tcPr>
            <w:tcW w:type="dxa" w:w="1037"/>
            <w:shd w:val="clear" w:color="auto" w:fill="F6F1E6"/>
          </w:tcPr>
          <w:p>
            <w:pPr>
              <w:spacing w:after="20"/>
              <w:jc w:val="right"/>
            </w:pPr>
            <w:r>
              <w:rPr>
                <w:b/>
                <w:color w:val="1C3A36"/>
                <w:sz w:val="16"/>
              </w:rPr>
              <w:t>5,493</w:t>
            </w:r>
          </w:p>
        </w:tc>
        <w:tc>
          <w:tcPr>
            <w:tcW w:type="dxa" w:w="1037"/>
            <w:shd w:val="clear" w:color="auto" w:fill="F6F1E6"/>
          </w:tcPr>
          <w:p>
            <w:pPr>
              <w:spacing w:after="20"/>
              <w:jc w:val="right"/>
            </w:pPr>
            <w:r>
              <w:rPr>
                <w:b/>
                <w:color w:val="1C3A36"/>
                <w:sz w:val="16"/>
              </w:rPr>
              <w:t>5,778</w:t>
            </w:r>
          </w:p>
        </w:tc>
        <w:tc>
          <w:tcPr>
            <w:tcW w:type="dxa" w:w="1037"/>
            <w:shd w:val="clear" w:color="auto" w:fill="F6F1E6"/>
          </w:tcPr>
          <w:p>
            <w:pPr>
              <w:spacing w:after="20"/>
              <w:jc w:val="right"/>
            </w:pPr>
            <w:r>
              <w:rPr>
                <w:b/>
                <w:color w:val="1C3A36"/>
                <w:sz w:val="16"/>
              </w:rPr>
              <w:t>6,018</w:t>
            </w:r>
          </w:p>
        </w:tc>
        <w:tc>
          <w:tcPr>
            <w:tcW w:type="dxa" w:w="1037"/>
            <w:shd w:val="clear" w:color="auto" w:fill="F6F1E6"/>
          </w:tcPr>
          <w:p>
            <w:pPr>
              <w:spacing w:after="20"/>
              <w:jc w:val="right"/>
            </w:pPr>
            <w:r>
              <w:rPr>
                <w:b/>
                <w:color w:val="1C3A36"/>
                <w:sz w:val="16"/>
              </w:rPr>
              <w:t>6,250</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3,018</w:t>
            </w:r>
          </w:p>
        </w:tc>
        <w:tc>
          <w:tcPr>
            <w:tcW w:type="dxa" w:w="1037"/>
          </w:tcPr>
          <w:p>
            <w:pPr>
              <w:spacing w:after="20"/>
              <w:jc w:val="right"/>
            </w:pPr>
            <w:r>
              <w:rPr>
                <w:color w:val="1C3A36"/>
                <w:sz w:val="16"/>
              </w:rPr>
              <w:t>2,417</w:t>
            </w:r>
          </w:p>
        </w:tc>
        <w:tc>
          <w:tcPr>
            <w:tcW w:type="dxa" w:w="1037"/>
          </w:tcPr>
          <w:p>
            <w:pPr>
              <w:spacing w:after="20"/>
              <w:jc w:val="right"/>
            </w:pPr>
            <w:r>
              <w:rPr>
                <w:color w:val="1C3A36"/>
                <w:sz w:val="16"/>
              </w:rPr>
              <w:t>1,881</w:t>
            </w:r>
          </w:p>
        </w:tc>
        <w:tc>
          <w:tcPr>
            <w:tcW w:type="dxa" w:w="1037"/>
          </w:tcPr>
          <w:p>
            <w:pPr>
              <w:spacing w:after="20"/>
              <w:jc w:val="right"/>
            </w:pPr>
            <w:r>
              <w:rPr>
                <w:color w:val="1C3A36"/>
                <w:sz w:val="16"/>
              </w:rPr>
              <w:t>1,418</w:t>
            </w:r>
          </w:p>
        </w:tc>
        <w:tc>
          <w:tcPr>
            <w:tcW w:type="dxa" w:w="1037"/>
          </w:tcPr>
          <w:p>
            <w:pPr>
              <w:spacing w:after="20"/>
              <w:jc w:val="right"/>
            </w:pPr>
            <w:r>
              <w:rPr>
                <w:color w:val="1C3A36"/>
                <w:sz w:val="16"/>
              </w:rPr>
              <w:t>992</w:t>
            </w:r>
          </w:p>
        </w:tc>
        <w:tc>
          <w:tcPr>
            <w:tcW w:type="dxa" w:w="1037"/>
          </w:tcPr>
          <w:p>
            <w:pPr>
              <w:spacing w:after="20"/>
              <w:jc w:val="right"/>
            </w:pPr>
            <w:r>
              <w:rPr>
                <w:color w:val="1C3A36"/>
                <w:sz w:val="16"/>
              </w:rPr>
              <w:t>569</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-3,002</w:t>
            </w:r>
          </w:p>
        </w:tc>
        <w:tc>
          <w:tcPr>
            <w:tcW w:type="dxa" w:w="1037"/>
          </w:tcPr>
          <w:p>
            <w:pPr>
              <w:spacing w:after="20"/>
              <w:jc w:val="right"/>
            </w:pPr>
            <w:r>
              <w:rPr>
                <w:color w:val="1C3A36"/>
                <w:sz w:val="16"/>
              </w:rPr>
              <w:t>-2,401</w:t>
            </w:r>
          </w:p>
        </w:tc>
        <w:tc>
          <w:tcPr>
            <w:tcW w:type="dxa" w:w="1037"/>
          </w:tcPr>
          <w:p>
            <w:pPr>
              <w:spacing w:after="20"/>
              <w:jc w:val="right"/>
            </w:pPr>
            <w:r>
              <w:rPr>
                <w:color w:val="1C3A36"/>
                <w:sz w:val="16"/>
              </w:rPr>
              <w:t>-1,864</w:t>
            </w:r>
          </w:p>
        </w:tc>
        <w:tc>
          <w:tcPr>
            <w:tcW w:type="dxa" w:w="1037"/>
          </w:tcPr>
          <w:p>
            <w:pPr>
              <w:spacing w:after="20"/>
              <w:jc w:val="right"/>
            </w:pPr>
            <w:r>
              <w:rPr>
                <w:color w:val="1C3A36"/>
                <w:sz w:val="16"/>
              </w:rPr>
              <w:t>-1,401</w:t>
            </w:r>
          </w:p>
        </w:tc>
        <w:tc>
          <w:tcPr>
            <w:tcW w:type="dxa" w:w="1037"/>
          </w:tcPr>
          <w:p>
            <w:pPr>
              <w:spacing w:after="20"/>
              <w:jc w:val="right"/>
            </w:pPr>
            <w:r>
              <w:rPr>
                <w:color w:val="1C3A36"/>
                <w:sz w:val="16"/>
              </w:rPr>
              <w:t>-975</w:t>
            </w:r>
          </w:p>
        </w:tc>
        <w:tc>
          <w:tcPr>
            <w:tcW w:type="dxa" w:w="1037"/>
          </w:tcPr>
          <w:p>
            <w:pPr>
              <w:spacing w:after="20"/>
              <w:jc w:val="right"/>
            </w:pPr>
            <w:r>
              <w:rPr>
                <w:color w:val="1C3A36"/>
                <w:sz w:val="16"/>
              </w:rPr>
              <w:t>-552</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6,070</w:t>
            </w:r>
          </w:p>
        </w:tc>
        <w:tc>
          <w:tcPr>
            <w:tcW w:type="dxa" w:w="1037"/>
          </w:tcPr>
          <w:p>
            <w:pPr>
              <w:spacing w:after="20"/>
              <w:jc w:val="right"/>
            </w:pPr>
            <w:r>
              <w:rPr>
                <w:color w:val="1C3A36"/>
                <w:sz w:val="16"/>
              </w:rPr>
              <w:t>5,935</w:t>
            </w:r>
          </w:p>
        </w:tc>
        <w:tc>
          <w:tcPr>
            <w:tcW w:type="dxa" w:w="1037"/>
          </w:tcPr>
          <w:p>
            <w:pPr>
              <w:spacing w:after="20"/>
              <w:jc w:val="right"/>
            </w:pPr>
            <w:r>
              <w:rPr>
                <w:color w:val="1C3A36"/>
                <w:sz w:val="16"/>
              </w:rPr>
              <w:t>5,793</w:t>
            </w:r>
          </w:p>
        </w:tc>
        <w:tc>
          <w:tcPr>
            <w:tcW w:type="dxa" w:w="1037"/>
          </w:tcPr>
          <w:p>
            <w:pPr>
              <w:spacing w:after="20"/>
              <w:jc w:val="right"/>
            </w:pPr>
            <w:r>
              <w:rPr>
                <w:color w:val="1C3A36"/>
                <w:sz w:val="16"/>
              </w:rPr>
              <w:t>5,647</w:t>
            </w:r>
          </w:p>
        </w:tc>
        <w:tc>
          <w:tcPr>
            <w:tcW w:type="dxa" w:w="1037"/>
          </w:tcPr>
          <w:p>
            <w:pPr>
              <w:spacing w:after="20"/>
              <w:jc w:val="right"/>
            </w:pPr>
            <w:r>
              <w:rPr>
                <w:color w:val="1C3A36"/>
                <w:sz w:val="16"/>
              </w:rPr>
              <w:t>5,499</w:t>
            </w:r>
          </w:p>
        </w:tc>
        <w:tc>
          <w:tcPr>
            <w:tcW w:type="dxa" w:w="1037"/>
          </w:tcPr>
          <w:p>
            <w:pPr>
              <w:spacing w:after="20"/>
              <w:jc w:val="right"/>
            </w:pPr>
            <w:r>
              <w:rPr>
                <w:color w:val="1C3A36"/>
                <w:sz w:val="16"/>
              </w:rPr>
              <w:t>5,347</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11,405</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5,262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73</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3,237</w:t>
            </w:r>
          </w:p>
        </w:tc>
        <w:tc>
          <w:tcPr>
            <w:tcW w:type="dxa" w:w="1195"/>
          </w:tcPr>
          <w:p>
            <w:pPr>
              <w:spacing w:after="20"/>
              <w:jc w:val="right"/>
            </w:pPr>
            <w:r>
              <w:rPr>
                <w:color w:val="1C3A36"/>
                <w:sz w:val="16"/>
              </w:rPr>
              <w:t>3,509</w:t>
            </w:r>
          </w:p>
        </w:tc>
        <w:tc>
          <w:tcPr>
            <w:tcW w:type="dxa" w:w="1195"/>
          </w:tcPr>
          <w:p>
            <w:pPr>
              <w:spacing w:after="20"/>
              <w:jc w:val="right"/>
            </w:pPr>
            <w:r>
              <w:rPr>
                <w:color w:val="1C3A36"/>
                <w:sz w:val="16"/>
              </w:rPr>
              <w:t>3,694</w:t>
            </w:r>
          </w:p>
        </w:tc>
        <w:tc>
          <w:tcPr>
            <w:tcW w:type="dxa" w:w="1195"/>
          </w:tcPr>
          <w:p>
            <w:pPr>
              <w:spacing w:after="20"/>
              <w:jc w:val="right"/>
            </w:pPr>
            <w:r>
              <w:rPr>
                <w:color w:val="1C3A36"/>
                <w:sz w:val="16"/>
              </w:rPr>
              <w:t>3,829</w:t>
            </w:r>
          </w:p>
        </w:tc>
        <w:tc>
          <w:tcPr>
            <w:tcW w:type="dxa" w:w="1195"/>
          </w:tcPr>
          <w:p>
            <w:pPr>
              <w:spacing w:after="20"/>
              <w:jc w:val="right"/>
            </w:pPr>
            <w:r>
              <w:rPr>
                <w:color w:val="1C3A36"/>
                <w:sz w:val="16"/>
              </w:rPr>
              <w:t>3,947</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180</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202</w:t>
            </w:r>
          </w:p>
        </w:tc>
        <w:tc>
          <w:tcPr>
            <w:tcW w:type="dxa" w:w="1195"/>
          </w:tcPr>
          <w:p>
            <w:pPr>
              <w:spacing w:after="20"/>
              <w:jc w:val="right"/>
            </w:pPr>
            <w:r>
              <w:rPr>
                <w:color w:val="1C3A36"/>
                <w:sz w:val="16"/>
              </w:rPr>
              <w:t>215</w:t>
            </w:r>
          </w:p>
        </w:tc>
        <w:tc>
          <w:tcPr>
            <w:tcW w:type="dxa" w:w="1195"/>
          </w:tcPr>
          <w:p>
            <w:pPr>
              <w:spacing w:after="20"/>
              <w:jc w:val="right"/>
            </w:pPr>
            <w:r>
              <w:rPr>
                <w:color w:val="1C3A36"/>
                <w:sz w:val="16"/>
              </w:rPr>
              <w:t>229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(182)</w:t>
            </w:r>
          </w:p>
        </w:tc>
        <w:tc>
          <w:tcPr>
            <w:tcW w:type="dxa" w:w="1195"/>
          </w:tcPr>
          <w:p>
            <w:pPr>
              <w:spacing w:after="20"/>
              <w:jc w:val="right"/>
            </w:pPr>
            <w:r>
              <w:rPr>
                <w:color w:val="1C3A36"/>
                <w:sz w:val="16"/>
              </w:rPr>
              <w:t>(203)</w:t>
            </w:r>
          </w:p>
        </w:tc>
        <w:tc>
          <w:tcPr>
            <w:tcW w:type="dxa" w:w="1195"/>
          </w:tcPr>
          <w:p>
            <w:pPr>
              <w:spacing w:after="20"/>
              <w:jc w:val="right"/>
            </w:pPr>
            <w:r>
              <w:rPr>
                <w:color w:val="1C3A36"/>
                <w:sz w:val="16"/>
              </w:rPr>
              <w:t>(222)</w:t>
            </w:r>
          </w:p>
        </w:tc>
        <w:tc>
          <w:tcPr>
            <w:tcW w:type="dxa" w:w="1195"/>
          </w:tcPr>
          <w:p>
            <w:pPr>
              <w:spacing w:after="20"/>
              <w:jc w:val="right"/>
            </w:pPr>
            <w:r>
              <w:rPr>
                <w:color w:val="1C3A36"/>
                <w:sz w:val="16"/>
              </w:rPr>
              <w:t>(238)</w:t>
            </w:r>
          </w:p>
        </w:tc>
        <w:tc>
          <w:tcPr>
            <w:tcW w:type="dxa" w:w="1195"/>
          </w:tcPr>
          <w:p>
            <w:pPr>
              <w:spacing w:after="20"/>
              <w:jc w:val="right"/>
            </w:pPr>
            <w:r>
              <w:rPr>
                <w:color w:val="1C3A36"/>
                <w:sz w:val="16"/>
              </w:rPr>
              <w:t>(255)</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(446)</w:t>
            </w:r>
          </w:p>
        </w:tc>
        <w:tc>
          <w:tcPr>
            <w:tcW w:type="dxa" w:w="1195"/>
          </w:tcPr>
          <w:p>
            <w:pPr>
              <w:spacing w:after="20"/>
              <w:jc w:val="right"/>
            </w:pPr>
            <w:r>
              <w:rPr>
                <w:color w:val="1C3A36"/>
                <w:sz w:val="16"/>
              </w:rPr>
              <w:t>(355)</w:t>
            </w:r>
          </w:p>
        </w:tc>
        <w:tc>
          <w:tcPr>
            <w:tcW w:type="dxa" w:w="1195"/>
          </w:tcPr>
          <w:p>
            <w:pPr>
              <w:spacing w:after="20"/>
              <w:jc w:val="right"/>
            </w:pPr>
            <w:r>
              <w:rPr>
                <w:color w:val="1C3A36"/>
                <w:sz w:val="16"/>
              </w:rPr>
              <w:t>(266)</w:t>
            </w:r>
          </w:p>
        </w:tc>
        <w:tc>
          <w:tcPr>
            <w:tcW w:type="dxa" w:w="1195"/>
          </w:tcPr>
          <w:p>
            <w:pPr>
              <w:spacing w:after="20"/>
              <w:jc w:val="right"/>
            </w:pPr>
            <w:r>
              <w:rPr>
                <w:color w:val="1C3A36"/>
                <w:sz w:val="16"/>
              </w:rPr>
              <w:t>(217)</w:t>
            </w:r>
          </w:p>
        </w:tc>
        <w:tc>
          <w:tcPr>
            <w:tcW w:type="dxa" w:w="1195"/>
          </w:tcPr>
          <w:p>
            <w:pPr>
              <w:spacing w:after="20"/>
              <w:jc w:val="right"/>
            </w:pPr>
            <w:r>
              <w:rPr>
                <w:color w:val="1C3A36"/>
                <w:sz w:val="16"/>
              </w:rPr>
              <w:t>(205)</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2,789</w:t>
            </w:r>
          </w:p>
        </w:tc>
        <w:tc>
          <w:tcPr>
            <w:tcW w:type="dxa" w:w="1195"/>
            <w:shd w:val="clear" w:color="auto" w:fill="F6F1E6"/>
          </w:tcPr>
          <w:p>
            <w:pPr>
              <w:spacing w:after="20"/>
              <w:jc w:val="right"/>
            </w:pPr>
            <w:r>
              <w:rPr>
                <w:b/>
                <w:color w:val="1C3A36"/>
                <w:sz w:val="16"/>
              </w:rPr>
              <w:t>3,141</w:t>
            </w:r>
          </w:p>
        </w:tc>
        <w:tc>
          <w:tcPr>
            <w:tcW w:type="dxa" w:w="1195"/>
            <w:shd w:val="clear" w:color="auto" w:fill="F6F1E6"/>
          </w:tcPr>
          <w:p>
            <w:pPr>
              <w:spacing w:after="20"/>
              <w:jc w:val="right"/>
            </w:pPr>
            <w:r>
              <w:rPr>
                <w:b/>
                <w:color w:val="1C3A36"/>
                <w:sz w:val="16"/>
              </w:rPr>
              <w:t>3,409</w:t>
            </w:r>
          </w:p>
        </w:tc>
        <w:tc>
          <w:tcPr>
            <w:tcW w:type="dxa" w:w="1195"/>
            <w:shd w:val="clear" w:color="auto" w:fill="F6F1E6"/>
          </w:tcPr>
          <w:p>
            <w:pPr>
              <w:spacing w:after="20"/>
              <w:jc w:val="right"/>
            </w:pPr>
            <w:r>
              <w:rPr>
                <w:b/>
                <w:color w:val="1C3A36"/>
                <w:sz w:val="16"/>
              </w:rPr>
              <w:t>3,588</w:t>
            </w:r>
          </w:p>
        </w:tc>
        <w:tc>
          <w:tcPr>
            <w:tcW w:type="dxa" w:w="1195"/>
            <w:shd w:val="clear" w:color="auto" w:fill="F6F1E6"/>
          </w:tcPr>
          <w:p>
            <w:pPr>
              <w:spacing w:after="20"/>
              <w:jc w:val="right"/>
            </w:pPr>
            <w:r>
              <w:rPr>
                <w:b/>
                <w:color w:val="1C3A36"/>
                <w:sz w:val="16"/>
              </w:rPr>
              <w:t>3,716</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63.2%</w:t>
            </w:r>
          </w:p>
        </w:tc>
        <w:tc>
          <w:tcPr>
            <w:tcW w:type="dxa" w:w="1195"/>
          </w:tcPr>
          <w:p>
            <w:pPr>
              <w:spacing w:after="20"/>
              <w:jc w:val="right"/>
            </w:pPr>
            <w:r>
              <w:rPr>
                <w:color w:val="1C3A36"/>
                <w:sz w:val="16"/>
              </w:rPr>
              <w:t>63.9%</w:t>
            </w:r>
          </w:p>
        </w:tc>
        <w:tc>
          <w:tcPr>
            <w:tcW w:type="dxa" w:w="1195"/>
          </w:tcPr>
          <w:p>
            <w:pPr>
              <w:spacing w:after="20"/>
              <w:jc w:val="right"/>
            </w:pPr>
            <w:r>
              <w:rPr>
                <w:color w:val="1C3A36"/>
                <w:sz w:val="16"/>
              </w:rPr>
              <w:t>63.9%</w:t>
            </w:r>
          </w:p>
        </w:tc>
        <w:tc>
          <w:tcPr>
            <w:tcW w:type="dxa" w:w="1195"/>
          </w:tcPr>
          <w:p>
            <w:pPr>
              <w:spacing w:after="20"/>
              <w:jc w:val="right"/>
            </w:pPr>
            <w:r>
              <w:rPr>
                <w:color w:val="1C3A36"/>
                <w:sz w:val="16"/>
              </w:rPr>
              <w:t>63.6%</w:t>
            </w:r>
          </w:p>
        </w:tc>
        <w:tc>
          <w:tcPr>
            <w:tcW w:type="dxa" w:w="1195"/>
          </w:tcPr>
          <w:p>
            <w:pPr>
              <w:spacing w:after="20"/>
              <w:jc w:val="right"/>
            </w:pPr>
            <w:r>
              <w:rPr>
                <w:color w:val="1C3A36"/>
                <w:sz w:val="16"/>
              </w:rPr>
              <w:t>63.2%</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1.01x</w:t>
            </w:r>
          </w:p>
        </w:tc>
        <w:tc>
          <w:tcPr>
            <w:tcW w:type="dxa" w:w="1195"/>
          </w:tcPr>
          <w:p>
            <w:pPr>
              <w:spacing w:after="20"/>
              <w:jc w:val="right"/>
            </w:pPr>
            <w:r>
              <w:rPr>
                <w:color w:val="1C3A36"/>
                <w:sz w:val="16"/>
              </w:rPr>
              <w:t>1.07x</w:t>
            </w:r>
          </w:p>
        </w:tc>
        <w:tc>
          <w:tcPr>
            <w:tcW w:type="dxa" w:w="1195"/>
          </w:tcPr>
          <w:p>
            <w:pPr>
              <w:spacing w:after="20"/>
              <w:jc w:val="right"/>
            </w:pPr>
            <w:r>
              <w:rPr>
                <w:color w:val="1C3A36"/>
                <w:sz w:val="16"/>
              </w:rPr>
              <w:t>1.10x</w:t>
            </w:r>
          </w:p>
        </w:tc>
        <w:tc>
          <w:tcPr>
            <w:tcW w:type="dxa" w:w="1195"/>
          </w:tcPr>
          <w:p>
            <w:pPr>
              <w:spacing w:after="20"/>
              <w:jc w:val="right"/>
            </w:pPr>
            <w:r>
              <w:rPr>
                <w:color w:val="1C3A36"/>
                <w:sz w:val="16"/>
              </w:rPr>
              <w:t>1.11x</w:t>
            </w:r>
          </w:p>
        </w:tc>
        <w:tc>
          <w:tcPr>
            <w:tcW w:type="dxa" w:w="1195"/>
          </w:tcPr>
          <w:p>
            <w:pPr>
              <w:spacing w:after="20"/>
              <w:jc w:val="right"/>
            </w:pPr>
            <w:r>
              <w:rPr>
                <w:color w:val="1C3A36"/>
                <w:sz w:val="16"/>
              </w:rPr>
              <w:t>1.12x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0.908</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253</w:t>
            </w:r>
          </w:p>
        </w:tc>
        <w:tc>
          <w:tcPr>
            <w:tcW w:type="dxa" w:w="4824"/>
          </w:tcPr>
          <w:p>
            <w:pPr>
              <w:spacing w:after="20"/>
            </w:pPr>
            <w:r>
              <w:rPr>
                <w:color w:val="1C3A36"/>
                <w:sz w:val="17"/>
              </w:rPr>
              <w:t>4.89-year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25.9%</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0.165</w:t>
            </w:r>
          </w:p>
        </w:tc>
        <w:tc>
          <w:tcPr>
            <w:tcW w:type="dxa" w:w="4824"/>
          </w:tcPr>
          <w:p>
            <w:pPr>
              <w:spacing w:after="20"/>
            </w:pPr>
            <w:r>
              <w:rPr>
                <w:color w:val="1C3A36"/>
                <w:sz w:val="17"/>
              </w:rPr>
              <w:t>0.18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[0.637, 1.179]</w:t>
            </w:r>
          </w:p>
        </w:tc>
        <w:tc>
          <w:tcPr>
            <w:tcW w:type="dxa" w:w="4824"/>
          </w:tcPr>
          <w:p>
            <w:pPr>
              <w:spacing w:after="20"/>
            </w:pPr>
            <w:r>
              <w:rPr>
                <w:color w:val="1C3A36"/>
                <w:sz w:val="17"/>
              </w:rPr>
              <w:t>spans 0.60x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2026-07-22</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0.908,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21.03 to 14.68,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17mn against a market capitalisation of EGP 17,435mn — 0.0966% of the capital structure. A 500 basis-point error in the cost of debt moves the weighted cost of capital by 0.38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27.45%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18.14%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30.61% and the cash-flow lens is EGP 13.97. On GROSS rather than net debt weights — the construction this study rejects, because it counts the cash pile twice — the lens is EGP 17.62.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C.1  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 unless stated</w:t>
            </w:r>
          </w:p>
        </w:tc>
      </w:tr>
      <w:tr>
        <w:tc>
          <w:tcPr>
            <w:tcW w:type="dxa" w:w="7056"/>
          </w:tcPr>
          <w:p>
            <w:pPr>
              <w:spacing w:after="20"/>
            </w:pPr>
            <w:r>
              <w:rPr>
                <w:color w:val="1C3A36"/>
                <w:sz w:val="17"/>
              </w:rPr>
              <w:t>Operating profit, 2028E</w:t>
            </w:r>
          </w:p>
        </w:tc>
        <w:tc>
          <w:tcPr>
            <w:tcW w:type="dxa" w:w="1584"/>
          </w:tcPr>
          <w:p>
            <w:pPr>
              <w:spacing w:after="20"/>
              <w:jc w:val="right"/>
            </w:pPr>
            <w:r>
              <w:rPr>
                <w:color w:val="1C3A36"/>
                <w:sz w:val="17"/>
              </w:rPr>
              <w:t>5,030</w:t>
            </w:r>
          </w:p>
        </w:tc>
      </w:tr>
      <w:tr>
        <w:tc>
          <w:tcPr>
            <w:tcW w:type="dxa" w:w="7056"/>
          </w:tcPr>
          <w:p>
            <w:pPr>
              <w:spacing w:after="20"/>
            </w:pPr>
            <w:r>
              <w:rPr>
                <w:color w:val="1C3A36"/>
                <w:sz w:val="17"/>
              </w:rPr>
              <w:t>plus net finance income</w:t>
            </w:r>
          </w:p>
        </w:tc>
        <w:tc>
          <w:tcPr>
            <w:tcW w:type="dxa" w:w="1584"/>
          </w:tcPr>
          <w:p>
            <w:pPr>
              <w:spacing w:after="20"/>
              <w:jc w:val="right"/>
            </w:pPr>
            <w:r>
              <w:rPr>
                <w:color w:val="1C3A36"/>
                <w:sz w:val="17"/>
              </w:rPr>
              <w:t>251</w:t>
            </w:r>
          </w:p>
        </w:tc>
      </w:tr>
      <w:tr>
        <w:tc>
          <w:tcPr>
            <w:tcW w:type="dxa" w:w="7056"/>
          </w:tcPr>
          <w:p>
            <w:pPr>
              <w:spacing w:after="20"/>
            </w:pPr>
            <w:r>
              <w:rPr>
                <w:color w:val="1C3A36"/>
                <w:sz w:val="17"/>
              </w:rPr>
              <w:t>taxed at the statutory 22.5% and after the minority</w:t>
            </w:r>
          </w:p>
        </w:tc>
        <w:tc>
          <w:tcPr>
            <w:tcW w:type="dxa" w:w="1584"/>
          </w:tcPr>
          <w:p>
            <w:pPr>
              <w:spacing w:after="20"/>
              <w:jc w:val="right"/>
            </w:pPr>
            <w:r>
              <w:rPr>
                <w:color w:val="1C3A36"/>
                <w:sz w:val="17"/>
              </w:rPr>
            </w:r>
          </w:p>
        </w:tc>
      </w:tr>
      <w:tr>
        <w:tc>
          <w:tcPr>
            <w:tcW w:type="dxa" w:w="7056"/>
          </w:tcPr>
          <w:p>
            <w:pPr>
              <w:spacing w:after="20"/>
            </w:pPr>
            <w:r>
              <w:rPr>
                <w:color w:val="1C3A36"/>
                <w:sz w:val="17"/>
              </w:rPr>
              <w:t>Attributable earnings per share, EGP</w:t>
            </w:r>
          </w:p>
        </w:tc>
        <w:tc>
          <w:tcPr>
            <w:tcW w:type="dxa" w:w="1584"/>
          </w:tcPr>
          <w:p>
            <w:pPr>
              <w:spacing w:after="20"/>
              <w:jc w:val="right"/>
            </w:pPr>
            <w:r>
              <w:rPr>
                <w:color w:val="1C3A36"/>
                <w:sz w:val="17"/>
              </w:rPr>
              <w:t>3.037</w:t>
            </w:r>
          </w:p>
        </w:tc>
      </w:tr>
      <w:tr>
        <w:tc>
          <w:tcPr>
            <w:tcW w:type="dxa" w:w="7056"/>
          </w:tcPr>
          <w:p>
            <w:pPr>
              <w:spacing w:after="20"/>
            </w:pPr>
            <w:r>
              <w:rPr>
                <w:color w:val="1C3A36"/>
                <w:sz w:val="17"/>
              </w:rPr>
              <w:t>Justified price / earnings</w:t>
            </w:r>
          </w:p>
        </w:tc>
        <w:tc>
          <w:tcPr>
            <w:tcW w:type="dxa" w:w="1584"/>
          </w:tcPr>
          <w:p>
            <w:pPr>
              <w:spacing w:after="20"/>
              <w:jc w:val="right"/>
            </w:pPr>
            <w:r>
              <w:rPr>
                <w:color w:val="1C3A36"/>
                <w:sz w:val="17"/>
              </w:rPr>
              <w:t>7.0x</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21.26</w:t>
            </w:r>
          </w:p>
        </w:tc>
      </w:tr>
    </w:tbl>
    <w:p>
      <w:pPr>
        <w:spacing w:after="40"/>
      </w:pPr>
    </w:p>
    <w:p>
      <w:pPr>
        <w:spacing w:after="200" w:before="0"/>
      </w:pPr>
      <w:r>
        <w:rPr>
          <w:b w:val="0"/>
          <w:i/>
          <w:color w:val="6E7B77"/>
          <w:sz w:val="17"/>
        </w:rPr>
        <w:t>Table C.1 — Expert 1. Range EGP 15.18 to 28.85 on a 5.0x to 9.5x multiple band. This is the HIGHEST of the three and it is still 57.5% against the market price. Note that it is an undiscounted 2028E number, which is why it sits above the primary lens.</w:t>
      </w:r>
    </w:p>
    <w:p>
      <w:pPr>
        <w:spacing w:after="80" w:before="200"/>
      </w:pPr>
      <w:r>
        <w:rPr>
          <w:b/>
          <w:i w:val="0"/>
          <w:color w:val="1C3A36"/>
          <w:sz w:val="24"/>
        </w:rPr>
        <w:t>C.2  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3,038</w:t>
            </w:r>
          </w:p>
        </w:tc>
        <w:tc>
          <w:tcPr>
            <w:tcW w:type="dxa" w:w="1296"/>
          </w:tcPr>
          <w:p>
            <w:pPr>
              <w:spacing w:after="20"/>
              <w:jc w:val="right"/>
            </w:pPr>
            <w:r>
              <w:rPr>
                <w:color w:val="1C3A36"/>
                <w:sz w:val="16"/>
              </w:rPr>
              <w:t>3,262</w:t>
            </w:r>
          </w:p>
        </w:tc>
        <w:tc>
          <w:tcPr>
            <w:tcW w:type="dxa" w:w="1296"/>
          </w:tcPr>
          <w:p>
            <w:pPr>
              <w:spacing w:after="20"/>
              <w:jc w:val="right"/>
            </w:pPr>
            <w:r>
              <w:rPr>
                <w:color w:val="1C3A36"/>
                <w:sz w:val="16"/>
              </w:rPr>
              <w:t>3,437</w:t>
            </w:r>
          </w:p>
        </w:tc>
        <w:tc>
          <w:tcPr>
            <w:tcW w:type="dxa" w:w="1296"/>
          </w:tcPr>
          <w:p>
            <w:pPr>
              <w:spacing w:after="20"/>
              <w:jc w:val="right"/>
            </w:pPr>
            <w:r>
              <w:rPr>
                <w:color w:val="1C3A36"/>
                <w:sz w:val="16"/>
              </w:rPr>
              <w:t>3,551</w:t>
            </w:r>
          </w:p>
        </w:tc>
        <w:tc>
          <w:tcPr>
            <w:tcW w:type="dxa" w:w="1296"/>
          </w:tcPr>
          <w:p>
            <w:pPr>
              <w:spacing w:after="20"/>
              <w:jc w:val="right"/>
            </w:pPr>
            <w:r>
              <w:rPr>
                <w:color w:val="1C3A36"/>
                <w:sz w:val="16"/>
              </w:rPr>
              <w:t>3,628</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27.45%</w:t>
            </w:r>
          </w:p>
        </w:tc>
        <w:tc>
          <w:tcPr>
            <w:tcW w:type="dxa" w:w="1296"/>
          </w:tcPr>
          <w:p>
            <w:pPr>
              <w:spacing w:after="20"/>
              <w:jc w:val="right"/>
            </w:pPr>
            <w:r>
              <w:rPr>
                <w:color w:val="1C3A36"/>
                <w:sz w:val="16"/>
              </w:rPr>
              <w:t>23.01%</w:t>
            </w:r>
          </w:p>
        </w:tc>
        <w:tc>
          <w:tcPr>
            <w:tcW w:type="dxa" w:w="1296"/>
          </w:tcPr>
          <w:p>
            <w:pPr>
              <w:spacing w:after="20"/>
              <w:jc w:val="right"/>
            </w:pPr>
            <w:r>
              <w:rPr>
                <w:color w:val="1C3A36"/>
                <w:sz w:val="16"/>
              </w:rPr>
              <w:t>21.16%</w:t>
            </w:r>
          </w:p>
        </w:tc>
        <w:tc>
          <w:tcPr>
            <w:tcW w:type="dxa" w:w="1296"/>
          </w:tcPr>
          <w:p>
            <w:pPr>
              <w:spacing w:after="20"/>
              <w:jc w:val="right"/>
            </w:pPr>
            <w:r>
              <w:rPr>
                <w:color w:val="1C3A36"/>
                <w:sz w:val="16"/>
              </w:rPr>
              <w:t>19.78%</w:t>
            </w:r>
          </w:p>
        </w:tc>
        <w:tc>
          <w:tcPr>
            <w:tcW w:type="dxa" w:w="1296"/>
          </w:tcPr>
          <w:p>
            <w:pPr>
              <w:spacing w:after="20"/>
              <w:jc w:val="right"/>
            </w:pPr>
            <w:r>
              <w:rPr>
                <w:color w:val="1C3A36"/>
                <w:sz w:val="16"/>
              </w:rPr>
              <w:t>18.86%</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0.7846</w:t>
            </w:r>
          </w:p>
        </w:tc>
        <w:tc>
          <w:tcPr>
            <w:tcW w:type="dxa" w:w="1296"/>
          </w:tcPr>
          <w:p>
            <w:pPr>
              <w:spacing w:after="20"/>
              <w:jc w:val="right"/>
            </w:pPr>
            <w:r>
              <w:rPr>
                <w:color w:val="1C3A36"/>
                <w:sz w:val="16"/>
              </w:rPr>
              <w:t>0.6378</w:t>
            </w:r>
          </w:p>
        </w:tc>
        <w:tc>
          <w:tcPr>
            <w:tcW w:type="dxa" w:w="1296"/>
          </w:tcPr>
          <w:p>
            <w:pPr>
              <w:spacing w:after="20"/>
              <w:jc w:val="right"/>
            </w:pPr>
            <w:r>
              <w:rPr>
                <w:color w:val="1C3A36"/>
                <w:sz w:val="16"/>
              </w:rPr>
              <w:t>0.5264</w:t>
            </w:r>
          </w:p>
        </w:tc>
        <w:tc>
          <w:tcPr>
            <w:tcW w:type="dxa" w:w="1296"/>
          </w:tcPr>
          <w:p>
            <w:pPr>
              <w:spacing w:after="20"/>
              <w:jc w:val="right"/>
            </w:pPr>
            <w:r>
              <w:rPr>
                <w:color w:val="1C3A36"/>
                <w:sz w:val="16"/>
              </w:rPr>
              <w:t>0.4395</w:t>
            </w:r>
          </w:p>
        </w:tc>
        <w:tc>
          <w:tcPr>
            <w:tcW w:type="dxa" w:w="1296"/>
          </w:tcPr>
          <w:p>
            <w:pPr>
              <w:spacing w:after="20"/>
              <w:jc w:val="right"/>
            </w:pPr>
            <w:r>
              <w:rPr>
                <w:color w:val="1C3A36"/>
                <w:sz w:val="16"/>
              </w:rPr>
              <w:t>0.3698</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2,383</w:t>
            </w:r>
          </w:p>
        </w:tc>
        <w:tc>
          <w:tcPr>
            <w:tcW w:type="dxa" w:w="1296"/>
          </w:tcPr>
          <w:p>
            <w:pPr>
              <w:spacing w:after="20"/>
              <w:jc w:val="right"/>
            </w:pPr>
            <w:r>
              <w:rPr>
                <w:color w:val="1C3A36"/>
                <w:sz w:val="16"/>
              </w:rPr>
              <w:t>2,081</w:t>
            </w:r>
          </w:p>
        </w:tc>
        <w:tc>
          <w:tcPr>
            <w:tcW w:type="dxa" w:w="1296"/>
          </w:tcPr>
          <w:p>
            <w:pPr>
              <w:spacing w:after="20"/>
              <w:jc w:val="right"/>
            </w:pPr>
            <w:r>
              <w:rPr>
                <w:color w:val="1C3A36"/>
                <w:sz w:val="16"/>
              </w:rPr>
              <w:t>1,809</w:t>
            </w:r>
          </w:p>
        </w:tc>
        <w:tc>
          <w:tcPr>
            <w:tcW w:type="dxa" w:w="1296"/>
          </w:tcPr>
          <w:p>
            <w:pPr>
              <w:spacing w:after="20"/>
              <w:jc w:val="right"/>
            </w:pPr>
            <w:r>
              <w:rPr>
                <w:color w:val="1C3A36"/>
                <w:sz w:val="16"/>
              </w:rPr>
              <w:t>1,561</w:t>
            </w:r>
          </w:p>
        </w:tc>
        <w:tc>
          <w:tcPr>
            <w:tcW w:type="dxa" w:w="1296"/>
          </w:tcPr>
          <w:p>
            <w:pPr>
              <w:spacing w:after="20"/>
              <w:jc w:val="right"/>
            </w:pPr>
            <w:r>
              <w:rPr>
                <w:color w:val="1C3A36"/>
                <w:sz w:val="16"/>
              </w:rPr>
              <w:t>1,342</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Present value of the explicit window</w:t>
            </w:r>
          </w:p>
        </w:tc>
        <w:tc>
          <w:tcPr>
            <w:tcW w:type="dxa" w:w="1584"/>
          </w:tcPr>
          <w:p>
            <w:pPr>
              <w:spacing w:after="20"/>
              <w:jc w:val="right"/>
            </w:pPr>
            <w:r>
              <w:rPr>
                <w:color w:val="1C3A36"/>
                <w:sz w:val="17"/>
              </w:rPr>
              <w:t>9,176</w:t>
            </w:r>
          </w:p>
        </w:tc>
      </w:tr>
      <w:tr>
        <w:tc>
          <w:tcPr>
            <w:tcW w:type="dxa" w:w="7056"/>
          </w:tcPr>
          <w:p>
            <w:pPr>
              <w:spacing w:after="20"/>
            </w:pPr>
            <w:r>
              <w:rPr>
                <w:color w:val="1C3A36"/>
                <w:sz w:val="17"/>
              </w:rPr>
              <w:t>Present value of the terminal block</w:t>
            </w:r>
          </w:p>
        </w:tc>
        <w:tc>
          <w:tcPr>
            <w:tcW w:type="dxa" w:w="1584"/>
          </w:tcPr>
          <w:p>
            <w:pPr>
              <w:spacing w:after="20"/>
              <w:jc w:val="right"/>
            </w:pPr>
            <w:r>
              <w:rPr>
                <w:color w:val="1C3A36"/>
                <w:sz w:val="17"/>
              </w:rPr>
              <w:t>10,275</w:t>
            </w:r>
          </w:p>
        </w:tc>
      </w:tr>
      <w:tr>
        <w:tc>
          <w:tcPr>
            <w:tcW w:type="dxa" w:w="7056"/>
          </w:tcPr>
          <w:p>
            <w:pPr>
              <w:spacing w:after="20"/>
            </w:pPr>
            <w:r>
              <w:rPr>
                <w:color w:val="1C3A36"/>
                <w:sz w:val="17"/>
              </w:rPr>
              <w:t>less the disclosed claims carried in the bridge</w:t>
            </w:r>
          </w:p>
        </w:tc>
        <w:tc>
          <w:tcPr>
            <w:tcW w:type="dxa" w:w="1584"/>
          </w:tcPr>
          <w:p>
            <w:pPr>
              <w:spacing w:after="20"/>
              <w:jc w:val="right"/>
            </w:pPr>
            <w:r>
              <w:rPr>
                <w:color w:val="1C3A36"/>
                <w:sz w:val="17"/>
              </w:rPr>
              <w:t>(1,255)</w:t>
            </w:r>
          </w:p>
        </w:tc>
      </w:tr>
      <w:tr>
        <w:tc>
          <w:tcPr>
            <w:tcW w:type="dxa" w:w="7056"/>
          </w:tcPr>
          <w:p>
            <w:pPr>
              <w:spacing w:after="20"/>
            </w:pPr>
            <w:r>
              <w:rPr>
                <w:color w:val="1C3A36"/>
                <w:sz w:val="17"/>
              </w:rPr>
              <w:t>EQUITY VALUE</w:t>
            </w:r>
          </w:p>
        </w:tc>
        <w:tc>
          <w:tcPr>
            <w:tcW w:type="dxa" w:w="1584"/>
          </w:tcPr>
          <w:p>
            <w:pPr>
              <w:spacing w:after="20"/>
              <w:jc w:val="right"/>
            </w:pPr>
            <w:r>
              <w:rPr>
                <w:color w:val="1C3A36"/>
                <w:sz w:val="17"/>
              </w:rPr>
              <w:t>19,451</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15.06</w:t>
            </w:r>
          </w:p>
        </w:tc>
      </w:tr>
    </w:tbl>
    <w:p>
      <w:pPr>
        <w:spacing w:after="40"/>
      </w:pPr>
    </w:p>
    <w:p>
      <w:pPr>
        <w:spacing w:after="200" w:before="0"/>
      </w:pPr>
      <w:r>
        <w:rPr>
          <w:b w:val="0"/>
          <w:i/>
          <w:color w:val="6E7B77"/>
          <w:sz w:val="17"/>
        </w:rPr>
        <w:t>Table C.2 — Expert 2. Range EGP 0.58 to 19.86. This is the LOWEST of the three at 11.6% against the price, and the reason is the discount rate: an equity claim discounted on the equity glide from 27.5% to 18.9% is punished harder in the near years than an unlevered claim on the weighted rate.</w:t>
      </w:r>
    </w:p>
    <w:p>
      <w:pPr>
        <w:spacing w:after="80" w:before="200"/>
      </w:pPr>
      <w:r>
        <w:rPr>
          <w:b/>
          <w:i w:val="0"/>
          <w:color w:val="1C3A36"/>
          <w:sz w:val="24"/>
        </w:rPr>
        <w:t>C.3  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Invested capital at the valuation date</w:t>
            </w:r>
          </w:p>
        </w:tc>
        <w:tc>
          <w:tcPr>
            <w:tcW w:type="dxa" w:w="1584"/>
          </w:tcPr>
          <w:p>
            <w:pPr>
              <w:spacing w:after="20"/>
              <w:jc w:val="right"/>
            </w:pPr>
            <w:r>
              <w:rPr>
                <w:color w:val="1C3A36"/>
                <w:sz w:val="17"/>
              </w:rPr>
              <w:t>4,677</w:t>
            </w:r>
          </w:p>
        </w:tc>
      </w:tr>
      <w:tr>
        <w:tc>
          <w:tcPr>
            <w:tcW w:type="dxa" w:w="7056"/>
          </w:tcPr>
          <w:p>
            <w:pPr>
              <w:spacing w:after="20"/>
            </w:pPr>
            <w:r>
              <w:rPr>
                <w:color w:val="1C3A36"/>
                <w:sz w:val="17"/>
              </w:rPr>
              <w:t>plus present value of economic profit, explicit window</w:t>
            </w:r>
          </w:p>
        </w:tc>
        <w:tc>
          <w:tcPr>
            <w:tcW w:type="dxa" w:w="1584"/>
          </w:tcPr>
          <w:p>
            <w:pPr>
              <w:spacing w:after="20"/>
              <w:jc w:val="right"/>
            </w:pPr>
            <w:r>
              <w:rPr>
                <w:color w:val="1C3A36"/>
                <w:sz w:val="17"/>
              </w:rPr>
              <w:t>6,681</w:t>
            </w:r>
          </w:p>
        </w:tc>
      </w:tr>
      <w:tr>
        <w:tc>
          <w:tcPr>
            <w:tcW w:type="dxa" w:w="7056"/>
          </w:tcPr>
          <w:p>
            <w:pPr>
              <w:spacing w:after="20"/>
            </w:pPr>
            <w:r>
              <w:rPr>
                <w:color w:val="1C3A36"/>
                <w:sz w:val="17"/>
              </w:rPr>
              <w:t>plus present value of economic profit, terminal</w:t>
            </w:r>
          </w:p>
        </w:tc>
        <w:tc>
          <w:tcPr>
            <w:tcW w:type="dxa" w:w="1584"/>
          </w:tcPr>
          <w:p>
            <w:pPr>
              <w:spacing w:after="20"/>
              <w:jc w:val="right"/>
            </w:pPr>
            <w:r>
              <w:rPr>
                <w:color w:val="1C3A36"/>
                <w:sz w:val="17"/>
              </w:rPr>
              <w:t>10,452</w:t>
            </w:r>
          </w:p>
        </w:tc>
      </w:tr>
      <w:tr>
        <w:tc>
          <w:tcPr>
            <w:tcW w:type="dxa" w:w="7056"/>
            <w:shd w:val="clear" w:color="auto" w:fill="F6F1E6"/>
          </w:tcPr>
          <w:p>
            <w:pPr>
              <w:spacing w:after="20"/>
            </w:pPr>
            <w:r>
              <w:rPr>
                <w:b/>
                <w:color w:val="1C3A36"/>
                <w:sz w:val="17"/>
              </w:rPr>
              <w:t>ENTERPRISE VALUE</w:t>
            </w:r>
          </w:p>
        </w:tc>
        <w:tc>
          <w:tcPr>
            <w:tcW w:type="dxa" w:w="1584"/>
            <w:shd w:val="clear" w:color="auto" w:fill="F6F1E6"/>
          </w:tcPr>
          <w:p>
            <w:pPr>
              <w:spacing w:after="20"/>
              <w:jc w:val="right"/>
            </w:pPr>
            <w:r>
              <w:rPr>
                <w:b/>
                <w:color w:val="1C3A36"/>
                <w:sz w:val="17"/>
              </w:rPr>
              <w:t>21,810</w:t>
            </w:r>
          </w:p>
        </w:tc>
      </w:tr>
      <w:tr>
        <w:tc>
          <w:tcPr>
            <w:tcW w:type="dxa" w:w="7056"/>
          </w:tcPr>
          <w:p>
            <w:pPr>
              <w:spacing w:after="20"/>
            </w:pPr>
            <w:r>
              <w:rPr>
                <w:color w:val="1C3A36"/>
                <w:sz w:val="17"/>
              </w:rPr>
              <w:t>VALUE PER SHARE after the bridge, EGP</w:t>
            </w:r>
          </w:p>
        </w:tc>
        <w:tc>
          <w:tcPr>
            <w:tcW w:type="dxa" w:w="1584"/>
          </w:tcPr>
          <w:p>
            <w:pPr>
              <w:spacing w:after="20"/>
              <w:jc w:val="right"/>
            </w:pPr>
            <w:r>
              <w:rPr>
                <w:color w:val="1C3A36"/>
                <w:sz w:val="17"/>
              </w:rPr>
              <w:t>18.43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1,953</w:t>
            </w:r>
          </w:p>
        </w:tc>
        <w:tc>
          <w:tcPr>
            <w:tcW w:type="dxa" w:w="1224"/>
          </w:tcPr>
          <w:p>
            <w:pPr>
              <w:spacing w:after="20"/>
              <w:jc w:val="right"/>
            </w:pPr>
            <w:r>
              <w:rPr>
                <w:color w:val="1C3A36"/>
                <w:sz w:val="17"/>
              </w:rPr>
              <w:t>2,349</w:t>
            </w:r>
          </w:p>
        </w:tc>
        <w:tc>
          <w:tcPr>
            <w:tcW w:type="dxa" w:w="1224"/>
          </w:tcPr>
          <w:p>
            <w:pPr>
              <w:spacing w:after="20"/>
              <w:jc w:val="right"/>
            </w:pPr>
            <w:r>
              <w:rPr>
                <w:color w:val="1C3A36"/>
                <w:sz w:val="17"/>
              </w:rPr>
              <w:t>2,560</w:t>
            </w:r>
          </w:p>
        </w:tc>
        <w:tc>
          <w:tcPr>
            <w:tcW w:type="dxa" w:w="1224"/>
          </w:tcPr>
          <w:p>
            <w:pPr>
              <w:spacing w:after="20"/>
              <w:jc w:val="right"/>
            </w:pPr>
            <w:r>
              <w:rPr>
                <w:color w:val="1C3A36"/>
                <w:sz w:val="17"/>
              </w:rPr>
              <w:t>2,723</w:t>
            </w:r>
          </w:p>
        </w:tc>
        <w:tc>
          <w:tcPr>
            <w:tcW w:type="dxa" w:w="1224"/>
          </w:tcPr>
          <w:p>
            <w:pPr>
              <w:spacing w:after="20"/>
              <w:jc w:val="right"/>
            </w:pPr>
            <w:r>
              <w:rPr>
                <w:color w:val="1C3A36"/>
                <w:sz w:val="17"/>
              </w:rPr>
              <w:t>2,856</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35.71%</w:t>
            </w:r>
          </w:p>
        </w:tc>
        <w:tc>
          <w:tcPr>
            <w:tcW w:type="dxa" w:w="1224"/>
          </w:tcPr>
          <w:p>
            <w:pPr>
              <w:spacing w:after="20"/>
              <w:jc w:val="right"/>
            </w:pPr>
            <w:r>
              <w:rPr>
                <w:color w:val="1C3A36"/>
                <w:sz w:val="17"/>
              </w:rPr>
              <w:t>41.25%</w:t>
            </w:r>
          </w:p>
        </w:tc>
        <w:tc>
          <w:tcPr>
            <w:tcW w:type="dxa" w:w="1224"/>
          </w:tcPr>
          <w:p>
            <w:pPr>
              <w:spacing w:after="20"/>
              <w:jc w:val="right"/>
            </w:pPr>
            <w:r>
              <w:rPr>
                <w:color w:val="1C3A36"/>
                <w:sz w:val="17"/>
              </w:rPr>
              <w:t>43.29%</w:t>
            </w:r>
          </w:p>
        </w:tc>
        <w:tc>
          <w:tcPr>
            <w:tcW w:type="dxa" w:w="1224"/>
          </w:tcPr>
          <w:p>
            <w:pPr>
              <w:spacing w:after="20"/>
              <w:jc w:val="right"/>
            </w:pPr>
            <w:r>
              <w:rPr>
                <w:color w:val="1C3A36"/>
                <w:sz w:val="17"/>
              </w:rPr>
              <w:t>44.48%</w:t>
            </w:r>
          </w:p>
        </w:tc>
        <w:tc>
          <w:tcPr>
            <w:tcW w:type="dxa" w:w="1224"/>
          </w:tcPr>
          <w:p>
            <w:pPr>
              <w:spacing w:after="20"/>
              <w:jc w:val="right"/>
            </w:pPr>
            <w:r>
              <w:rPr>
                <w:color w:val="1C3A36"/>
                <w:sz w:val="17"/>
              </w:rPr>
              <w:t>45.02%</w:t>
            </w:r>
          </w:p>
        </w:tc>
      </w:tr>
    </w:tbl>
    <w:p>
      <w:pPr>
        <w:spacing w:after="40"/>
      </w:pPr>
    </w:p>
    <w:p>
      <w:pPr>
        <w:spacing w:after="200" w:before="0"/>
      </w:pPr>
      <w:r>
        <w:rPr>
          <w:b w:val="0"/>
          <w:i/>
          <w:color w:val="6E7B77"/>
          <w:sz w:val="17"/>
        </w:rPr>
        <w:t>Table C.3 — Expert 3. Range EGP 0.88 to 24.62.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9.7% of gross margin can support.</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to their number, and each objection is either CONCEDED or REJECTED with the arithmetic that settles it. Nothing here is rhetorical: every figure in the table is computed from the three constructions above.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656"/>
        <w:gridCol w:w="3672"/>
      </w:tblGrid>
      <w:tr>
        <w:tc>
          <w:tcPr>
            <w:tcW w:type="dxa" w:w="3096"/>
            <w:shd w:val="clear" w:color="auto" w:fill="EAF0EE"/>
          </w:tcPr>
          <w:p>
            <w:pPr>
              <w:spacing w:after="20"/>
            </w:pPr>
            <w:r>
              <w:rPr>
                <w:b/>
                <w:color w:val="1C3A36"/>
                <w:sz w:val="16"/>
              </w:rPr>
              <w:t>Objection</w:t>
            </w:r>
          </w:p>
        </w:tc>
        <w:tc>
          <w:tcPr>
            <w:tcW w:type="dxa" w:w="1368"/>
            <w:shd w:val="clear" w:color="auto" w:fill="EAF0EE"/>
          </w:tcPr>
          <w:p>
            <w:pPr>
              <w:spacing w:after="20"/>
            </w:pPr>
            <w:r>
              <w:rPr>
                <w:b/>
                <w:color w:val="1C3A36"/>
                <w:sz w:val="16"/>
              </w:rPr>
              <w:t>Raised by</w:t>
            </w:r>
          </w:p>
        </w:tc>
        <w:tc>
          <w:tcPr>
            <w:tcW w:type="dxa" w:w="1656"/>
            <w:shd w:val="clear" w:color="auto" w:fill="EAF0EE"/>
          </w:tcPr>
          <w:p>
            <w:pPr>
              <w:spacing w:after="20"/>
            </w:pPr>
            <w:r>
              <w:rPr>
                <w:b/>
                <w:color w:val="1C3A36"/>
                <w:sz w:val="16"/>
              </w:rPr>
              <w:t>Answered</w:t>
            </w:r>
          </w:p>
        </w:tc>
        <w:tc>
          <w:tcPr>
            <w:tcW w:type="dxa" w:w="3672"/>
            <w:shd w:val="clear" w:color="auto" w:fill="EAF0EE"/>
          </w:tcPr>
          <w:p>
            <w:pPr>
              <w:spacing w:after="20"/>
            </w:pPr>
            <w:r>
              <w:rPr>
                <w:b/>
                <w:color w:val="1C3A36"/>
                <w:sz w:val="16"/>
              </w:rPr>
              <w:t>The arithmetic</w:t>
            </w:r>
          </w:p>
        </w:tc>
      </w:tr>
      <w:tr>
        <w:tc>
          <w:tcPr>
            <w:tcW w:type="dxa" w:w="3096"/>
          </w:tcPr>
          <w:p>
            <w:pPr>
              <w:spacing w:after="20"/>
            </w:pPr>
            <w:r>
              <w:rPr>
                <w:color w:val="1C3A36"/>
                <w:sz w:val="16"/>
              </w:rPr>
              <w:t>Expert 1 values 2028E earnings and never brings them back to the valuation date.</w:t>
            </w:r>
          </w:p>
        </w:tc>
        <w:tc>
          <w:tcPr>
            <w:tcW w:type="dxa" w:w="1368"/>
          </w:tcPr>
          <w:p>
            <w:pPr>
              <w:spacing w:after="20"/>
            </w:pPr>
            <w:r>
              <w:rPr>
                <w:color w:val="1C3A36"/>
                <w:sz w:val="16"/>
              </w:rPr>
              <w:t>Experts 2 and 3</w:t>
            </w:r>
          </w:p>
        </w:tc>
        <w:tc>
          <w:tcPr>
            <w:tcW w:type="dxa" w:w="1656"/>
          </w:tcPr>
          <w:p>
            <w:pPr>
              <w:spacing w:after="20"/>
            </w:pPr>
            <w:r>
              <w:rPr>
                <w:color w:val="1C3A36"/>
                <w:sz w:val="16"/>
              </w:rPr>
              <w:t>CONCEDED</w:t>
            </w:r>
          </w:p>
        </w:tc>
        <w:tc>
          <w:tcPr>
            <w:tcW w:type="dxa" w:w="3672"/>
          </w:tcPr>
          <w:p>
            <w:pPr>
              <w:spacing w:after="20"/>
            </w:pPr>
            <w:r>
              <w:rPr>
                <w:color w:val="1C3A36"/>
                <w:sz w:val="16"/>
              </w:rPr>
              <w:t>Discounted 2.4 years at the cost of equity, Expert 1 is worth EGP 11.87, not 21.26 — below Expert 3 and above Expert 2.</w:t>
            </w:r>
          </w:p>
        </w:tc>
      </w:tr>
      <w:tr>
        <w:tc>
          <w:tcPr>
            <w:tcW w:type="dxa" w:w="3096"/>
          </w:tcPr>
          <w:p>
            <w:pPr>
              <w:spacing w:after="20"/>
            </w:pPr>
            <w:r>
              <w:rPr>
                <w:color w:val="1C3A36"/>
                <w:sz w:val="16"/>
              </w:rPr>
              <w:t>Expert 1 applies 7.0x when this company trades at 10.6x its own trailing earnings.</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7.0x is struck BELOW the trailing multiple deliberately. Using the traded multiple would value the company at what it already costs, which the relative lens is separately forbidden from doing.</w:t>
            </w:r>
          </w:p>
        </w:tc>
      </w:tr>
      <w:tr>
        <w:tc>
          <w:tcPr>
            <w:tcW w:type="dxa" w:w="3096"/>
          </w:tcPr>
          <w:p>
            <w:pPr>
              <w:spacing w:after="20"/>
            </w:pPr>
            <w:r>
              <w:rPr>
                <w:color w:val="1C3A36"/>
                <w:sz w:val="16"/>
              </w:rPr>
              <w:t>Expert 2 carries no bridge at all, so the tax-disputes provision and the declared dividend never reach the shareholder.</w:t>
            </w:r>
          </w:p>
        </w:tc>
        <w:tc>
          <w:tcPr>
            <w:tcW w:type="dxa" w:w="1368"/>
          </w:tcPr>
          <w:p>
            <w:pPr>
              <w:spacing w:after="20"/>
            </w:pPr>
            <w:r>
              <w:rPr>
                <w:color w:val="1C3A36"/>
                <w:sz w:val="16"/>
              </w:rPr>
              <w:t>Expert 1</w:t>
            </w:r>
          </w:p>
        </w:tc>
        <w:tc>
          <w:tcPr>
            <w:tcW w:type="dxa" w:w="1656"/>
          </w:tcPr>
          <w:p>
            <w:pPr>
              <w:spacing w:after="20"/>
            </w:pPr>
            <w:r>
              <w:rPr>
                <w:color w:val="1C3A36"/>
                <w:sz w:val="16"/>
              </w:rPr>
              <w:t>CONCEDED IN PART</w:t>
            </w:r>
          </w:p>
        </w:tc>
        <w:tc>
          <w:tcPr>
            <w:tcW w:type="dxa" w:w="3672"/>
          </w:tcPr>
          <w:p>
            <w:pPr>
              <w:spacing w:after="20"/>
            </w:pPr>
            <w:r>
              <w:rPr>
                <w:color w:val="1C3A36"/>
                <w:sz w:val="16"/>
              </w:rPr>
              <w:t>Both are deducted: EGP 1,255mn, or EGP 0.97 a share. What is NOT added back is the cash itself — it reaches the holder through finance income instead, which is what keeps this read independent of the primary lens.</w:t>
            </w:r>
          </w:p>
        </w:tc>
      </w:tr>
      <w:tr>
        <w:tc>
          <w:tcPr>
            <w:tcW w:type="dxa" w:w="3096"/>
          </w:tcPr>
          <w:p>
            <w:pPr>
              <w:spacing w:after="20"/>
            </w:pPr>
            <w:r>
              <w:rPr>
                <w:color w:val="1C3A36"/>
                <w:sz w:val="16"/>
              </w:rPr>
              <w:t>Expert 2 puts 52.8% of its value beyond year five.</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The primary lens puts 57.4% there on the same horizon. A terminal block this size is a property of a five-year window on a company still recovering, not of this expert's choices.</w:t>
            </w:r>
          </w:p>
        </w:tc>
      </w:tr>
      <w:tr>
        <w:tc>
          <w:tcPr>
            <w:tcW w:type="dxa" w:w="3096"/>
          </w:tcPr>
          <w:p>
            <w:pPr>
              <w:spacing w:after="20"/>
            </w:pPr>
            <w:r>
              <w:rPr>
                <w:color w:val="1C3A36"/>
                <w:sz w:val="16"/>
              </w:rPr>
              <w:t>Expert 3 must reconcile to the primary lens by construction, so it is not an independent read.</w:t>
            </w:r>
          </w:p>
        </w:tc>
        <w:tc>
          <w:tcPr>
            <w:tcW w:type="dxa" w:w="1368"/>
          </w:tcPr>
          <w:p>
            <w:pPr>
              <w:spacing w:after="20"/>
            </w:pPr>
            <w:r>
              <w:rPr>
                <w:color w:val="1C3A36"/>
                <w:sz w:val="16"/>
              </w:rPr>
              <w:t>Experts 1 and 2</w:t>
            </w:r>
          </w:p>
        </w:tc>
        <w:tc>
          <w:tcPr>
            <w:tcW w:type="dxa" w:w="1656"/>
          </w:tcPr>
          <w:p>
            <w:pPr>
              <w:spacing w:after="20"/>
            </w:pPr>
            <w:r>
              <w:rPr>
                <w:color w:val="1C3A36"/>
                <w:sz w:val="16"/>
              </w:rPr>
              <w:t>CONCEDED — AND THAT IS WHY IT IS HERE</w:t>
            </w:r>
          </w:p>
        </w:tc>
        <w:tc>
          <w:tcPr>
            <w:tcW w:type="dxa" w:w="3672"/>
          </w:tcPr>
          <w:p>
            <w:pPr>
              <w:spacing w:after="20"/>
            </w:pPr>
            <w:r>
              <w:rPr>
                <w:color w:val="1C3A36"/>
                <w:sz w:val="16"/>
              </w:rPr>
              <w:t>It is included to make the SPLIT visible: 21.4% of its enterprise value is capital already in the ground and 47.9% is economic profit beyond year five. Neither of the other two shows that.</w:t>
            </w:r>
          </w:p>
        </w:tc>
      </w:tr>
      <w:tr>
        <w:tc>
          <w:tcPr>
            <w:tcW w:type="dxa" w:w="3096"/>
          </w:tcPr>
          <w:p>
            <w:pPr>
              <w:spacing w:after="20"/>
            </w:pPr>
            <w:r>
              <w:rPr>
                <w:color w:val="1C3A36"/>
                <w:sz w:val="16"/>
              </w:rPr>
              <w:t>Expert 3 charges the cost of capital on opening invested capital, which flatters economic profit in a growing year.</w:t>
            </w:r>
          </w:p>
        </w:tc>
        <w:tc>
          <w:tcPr>
            <w:tcW w:type="dxa" w:w="1368"/>
          </w:tcPr>
          <w:p>
            <w:pPr>
              <w:spacing w:after="20"/>
            </w:pPr>
            <w:r>
              <w:rPr>
                <w:color w:val="1C3A36"/>
                <w:sz w:val="16"/>
              </w:rPr>
              <w:t>Expert 2</w:t>
            </w:r>
          </w:p>
        </w:tc>
        <w:tc>
          <w:tcPr>
            <w:tcW w:type="dxa" w:w="1656"/>
          </w:tcPr>
          <w:p>
            <w:pPr>
              <w:spacing w:after="20"/>
            </w:pPr>
            <w:r>
              <w:rPr>
                <w:color w:val="1C3A36"/>
                <w:sz w:val="16"/>
              </w:rPr>
              <w:t>REJECTED</w:t>
            </w:r>
          </w:p>
        </w:tc>
        <w:tc>
          <w:tcPr>
            <w:tcW w:type="dxa" w:w="3672"/>
          </w:tcPr>
          <w:p>
            <w:pPr>
              <w:spacing w:after="20"/>
            </w:pPr>
            <w:r>
              <w:rPr>
                <w:color w:val="1C3A36"/>
                <w:sz w:val="16"/>
              </w:rPr>
              <w:t>Opening capital is the capital the year had available to earn on. Charging closing capital would charge for assets bought with the year's own cash flow.</w:t>
            </w:r>
          </w:p>
        </w:tc>
      </w:tr>
    </w:tbl>
    <w:p>
      <w:pPr>
        <w:spacing w:after="40"/>
      </w:pPr>
    </w:p>
    <w:p>
      <w:pPr>
        <w:spacing w:after="200" w:before="0"/>
      </w:pPr>
      <w:r>
        <w:rPr>
          <w:b w:val="0"/>
          <w:i/>
          <w:color w:val="6E7B77"/>
          <w:sz w:val="17"/>
        </w:rPr>
        <w:t>Table C.4 — cross-examination. Two of the six objections are conceded outright and one in part; the three rejections each rest on a number rather than a preference. The largest single correction in the room is the first one, and it is the reason the panel median is not simply the highest of the three.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15.06 and EGP 21.26, a spread of 41.1% of the lower number, with a median of EGP 18.43 against a market price of EGP 13.50 — 36.5%. One of the three sit below the price.</w:t>
      </w:r>
    </w:p>
    <w:p>
      <w:pPr>
        <w:spacing w:after="120" w:before="0"/>
      </w:pPr>
      <w:r>
        <w:rPr>
          <w:b w:val="0"/>
          <w:i w:val="0"/>
          <w:color w:val="1C3A36"/>
          <w:sz w:val="21"/>
        </w:rPr>
        <w:t>Where they agree is more informative than where they differ, because the agreement is not built in. All three are struck on the same audited base year and the same house macro path, and none of them is allowed to set an inflation rate of its own — so the disagreement between them is entirely about how a peso of operating profit should be capitalised, never about what the economy is doing. All three also agree on the one thing that matters most for this name: the company earns a positive return over its cost of capital in every forecast year — Expert 3 measures the spread at 35.7% rising to 45.0% — and is still not worth the market price on any of the three constructions.</w:t>
      </w:r>
    </w:p>
    <w:p>
      <w:pPr>
        <w:spacing w:after="120" w:before="0"/>
      </w:pPr>
      <w:r>
        <w:rPr>
          <w:b w:val="0"/>
          <w:i w:val="0"/>
          <w:color w:val="1C3A36"/>
          <w:sz w:val="21"/>
        </w:rPr>
        <w:t>Where they part company is the treatment of TIME. Expert 1 states a value at 2028E and does not discount it; Expert 2 discounts an equity claim on the cost of equity's own glide, which is the harshest treatment of the near years available; Expert 3 discounts at the weighted rate and separates capital already in place from the return earned on it. Bring Expert 1 back to the valuation date and the three collapse into a band of EGP 11.87 to EGP 18.43 — narrower than the spread as published, which says that most of the visible disagreement in this panel is a disagreement about the valuation date rather than about the company.</w:t>
      </w:r>
    </w:p>
    <w:p>
      <w:pPr>
        <w:spacing w:after="80" w:before="200"/>
      </w:pPr>
      <w:r>
        <w:rPr>
          <w:b/>
          <w:i w:val="0"/>
          <w:color w:val="1C3A36"/>
          <w:sz w:val="24"/>
        </w:rPr>
        <w:t>C.6  Reading the divergence</w:t>
      </w:r>
    </w:p>
    <w:p>
      <w:pPr>
        <w:spacing w:after="120" w:before="0"/>
      </w:pPr>
      <w:r>
        <w:rPr>
          <w:b w:val="0"/>
          <w:i w:val="0"/>
          <w:color w:val="1C3A36"/>
          <w:sz w:val="21"/>
        </w:rPr>
        <w:t>One row per pair, isolating the single assumption that accounts for most of the gap between them. The last column is what is LEFT of the gap once that assumption is removed — the honest measure of how much the two methods really disagree. Where removing it takes the pair past each other rather than together, the cell says so: an assumption can over-explain a gap, and that is worth more to a reader than a tidy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864"/>
        <w:gridCol w:w="792"/>
        <w:gridCol w:w="3528"/>
        <w:gridCol w:w="2664"/>
      </w:tblGrid>
      <w:tr>
        <w:tc>
          <w:tcPr>
            <w:tcW w:type="dxa" w:w="2088"/>
            <w:shd w:val="clear" w:color="auto" w:fill="EAF0EE"/>
          </w:tcPr>
          <w:p>
            <w:pPr>
              <w:spacing w:after="20"/>
            </w:pPr>
            <w:r>
              <w:rPr>
                <w:b/>
                <w:color w:val="1C3A36"/>
                <w:sz w:val="16"/>
              </w:rPr>
              <w:t>Pair</w:t>
            </w:r>
          </w:p>
        </w:tc>
        <w:tc>
          <w:tcPr>
            <w:tcW w:type="dxa" w:w="864"/>
            <w:shd w:val="clear" w:color="auto" w:fill="EAF0EE"/>
          </w:tcPr>
          <w:p>
            <w:pPr>
              <w:spacing w:after="20"/>
            </w:pPr>
            <w:r>
              <w:rPr>
                <w:b/>
                <w:color w:val="1C3A36"/>
                <w:sz w:val="16"/>
              </w:rPr>
              <w:t>Gap, EGP</w:t>
            </w:r>
          </w:p>
        </w:tc>
        <w:tc>
          <w:tcPr>
            <w:tcW w:type="dxa" w:w="792"/>
            <w:shd w:val="clear" w:color="auto" w:fill="EAF0EE"/>
          </w:tcPr>
          <w:p>
            <w:pPr>
              <w:spacing w:after="20"/>
            </w:pPr>
            <w:r>
              <w:rPr>
                <w:b/>
                <w:color w:val="1C3A36"/>
                <w:sz w:val="16"/>
              </w:rPr>
              <w:t>Gap, %</w:t>
            </w:r>
          </w:p>
        </w:tc>
        <w:tc>
          <w:tcPr>
            <w:tcW w:type="dxa" w:w="3528"/>
            <w:shd w:val="clear" w:color="auto" w:fill="EAF0EE"/>
          </w:tcPr>
          <w:p>
            <w:pPr>
              <w:spacing w:after="20"/>
            </w:pPr>
            <w:r>
              <w:rPr>
                <w:b/>
                <w:color w:val="1C3A36"/>
                <w:sz w:val="16"/>
              </w:rPr>
              <w:t>What drives it</w:t>
            </w:r>
          </w:p>
        </w:tc>
        <w:tc>
          <w:tcPr>
            <w:tcW w:type="dxa" w:w="2664"/>
            <w:shd w:val="clear" w:color="auto" w:fill="EAF0EE"/>
          </w:tcPr>
          <w:p>
            <w:pPr>
              <w:spacing w:after="20"/>
            </w:pPr>
            <w:r>
              <w:rPr>
                <w:b/>
                <w:color w:val="1C3A36"/>
                <w:sz w:val="16"/>
              </w:rPr>
              <w:t>Left after removing it</w:t>
            </w:r>
          </w:p>
        </w:tc>
      </w:tr>
      <w:tr>
        <w:tc>
          <w:tcPr>
            <w:tcW w:type="dxa" w:w="2088"/>
          </w:tcPr>
          <w:p>
            <w:pPr>
              <w:spacing w:after="20"/>
            </w:pPr>
            <w:r>
              <w:rPr>
                <w:color w:val="1C3A36"/>
                <w:sz w:val="16"/>
              </w:rPr>
              <w:t>Expert 1 vs Expert 2</w:t>
            </w:r>
          </w:p>
        </w:tc>
        <w:tc>
          <w:tcPr>
            <w:tcW w:type="dxa" w:w="864"/>
          </w:tcPr>
          <w:p>
            <w:pPr>
              <w:spacing w:after="20"/>
              <w:jc w:val="right"/>
            </w:pPr>
            <w:r>
              <w:rPr>
                <w:color w:val="1C3A36"/>
                <w:sz w:val="16"/>
              </w:rPr>
              <w:t>6.20</w:t>
            </w:r>
          </w:p>
        </w:tc>
        <w:tc>
          <w:tcPr>
            <w:tcW w:type="dxa" w:w="792"/>
          </w:tcPr>
          <w:p>
            <w:pPr>
              <w:spacing w:after="20"/>
              <w:jc w:val="right"/>
            </w:pPr>
            <w:r>
              <w:rPr>
                <w:color w:val="1C3A36"/>
                <w:sz w:val="16"/>
              </w:rPr>
              <w:t>41.1%</w:t>
            </w:r>
          </w:p>
        </w:tc>
        <w:tc>
          <w:tcPr>
            <w:tcW w:type="dxa" w:w="3528"/>
          </w:tcPr>
          <w:p>
            <w:pPr>
              <w:spacing w:after="20"/>
            </w:pPr>
            <w:r>
              <w:rPr>
                <w:color w:val="1C3A36"/>
                <w:sz w:val="16"/>
              </w:rPr>
              <w:t>the valuation date — Expert 1 is an undiscounted forward number</w:t>
            </w:r>
          </w:p>
        </w:tc>
        <w:tc>
          <w:tcPr>
            <w:tcW w:type="dxa" w:w="2664"/>
          </w:tcPr>
          <w:p>
            <w:pPr>
              <w:spacing w:after="20"/>
            </w:pPr>
            <w:r>
              <w:rPr>
                <w:color w:val="1C3A36"/>
                <w:sz w:val="16"/>
              </w:rPr>
              <w:t>3.19 — overshoots</w:t>
            </w:r>
          </w:p>
        </w:tc>
      </w:tr>
      <w:tr>
        <w:tc>
          <w:tcPr>
            <w:tcW w:type="dxa" w:w="2088"/>
          </w:tcPr>
          <w:p>
            <w:pPr>
              <w:spacing w:after="20"/>
            </w:pPr>
            <w:r>
              <w:rPr>
                <w:color w:val="1C3A36"/>
                <w:sz w:val="16"/>
              </w:rPr>
              <w:t>Expert 1 vs Expert 3</w:t>
            </w:r>
          </w:p>
        </w:tc>
        <w:tc>
          <w:tcPr>
            <w:tcW w:type="dxa" w:w="864"/>
          </w:tcPr>
          <w:p>
            <w:pPr>
              <w:spacing w:after="20"/>
              <w:jc w:val="right"/>
            </w:pPr>
            <w:r>
              <w:rPr>
                <w:color w:val="1C3A36"/>
                <w:sz w:val="16"/>
              </w:rPr>
              <w:t>2.83</w:t>
            </w:r>
          </w:p>
        </w:tc>
        <w:tc>
          <w:tcPr>
            <w:tcW w:type="dxa" w:w="792"/>
          </w:tcPr>
          <w:p>
            <w:pPr>
              <w:spacing w:after="20"/>
              <w:jc w:val="right"/>
            </w:pPr>
            <w:r>
              <w:rPr>
                <w:color w:val="1C3A36"/>
                <w:sz w:val="16"/>
              </w:rPr>
              <w:t>15.4%</w:t>
            </w:r>
          </w:p>
        </w:tc>
        <w:tc>
          <w:tcPr>
            <w:tcW w:type="dxa" w:w="3528"/>
          </w:tcPr>
          <w:p>
            <w:pPr>
              <w:spacing w:after="20"/>
            </w:pPr>
            <w:r>
              <w:rPr>
                <w:color w:val="1C3A36"/>
                <w:sz w:val="16"/>
              </w:rPr>
              <w:t>the valuation date, again — which here CROSSES rather than closes: discounted, Expert 1 falls below Expert 3</w:t>
            </w:r>
          </w:p>
        </w:tc>
        <w:tc>
          <w:tcPr>
            <w:tcW w:type="dxa" w:w="2664"/>
          </w:tcPr>
          <w:p>
            <w:pPr>
              <w:spacing w:after="20"/>
            </w:pPr>
            <w:r>
              <w:rPr>
                <w:color w:val="1C3A36"/>
                <w:sz w:val="16"/>
              </w:rPr>
              <w:t>6.55 — overshoots</w:t>
            </w:r>
          </w:p>
        </w:tc>
      </w:tr>
      <w:tr>
        <w:tc>
          <w:tcPr>
            <w:tcW w:type="dxa" w:w="2088"/>
          </w:tcPr>
          <w:p>
            <w:pPr>
              <w:spacing w:after="20"/>
            </w:pPr>
            <w:r>
              <w:rPr>
                <w:color w:val="1C3A36"/>
                <w:sz w:val="16"/>
              </w:rPr>
              <w:t>Expert 2 vs Expert 3</w:t>
            </w:r>
          </w:p>
        </w:tc>
        <w:tc>
          <w:tcPr>
            <w:tcW w:type="dxa" w:w="864"/>
          </w:tcPr>
          <w:p>
            <w:pPr>
              <w:spacing w:after="20"/>
              <w:jc w:val="right"/>
            </w:pPr>
            <w:r>
              <w:rPr>
                <w:color w:val="1C3A36"/>
                <w:sz w:val="16"/>
              </w:rPr>
              <w:t>3.37</w:t>
            </w:r>
          </w:p>
        </w:tc>
        <w:tc>
          <w:tcPr>
            <w:tcW w:type="dxa" w:w="792"/>
          </w:tcPr>
          <w:p>
            <w:pPr>
              <w:spacing w:after="20"/>
              <w:jc w:val="right"/>
            </w:pPr>
            <w:r>
              <w:rPr>
                <w:color w:val="1C3A36"/>
                <w:sz w:val="16"/>
              </w:rPr>
              <w:t>22.4%</w:t>
            </w:r>
          </w:p>
        </w:tc>
        <w:tc>
          <w:tcPr>
            <w:tcW w:type="dxa" w:w="3528"/>
          </w:tcPr>
          <w:p>
            <w:pPr>
              <w:spacing w:after="20"/>
            </w:pPr>
            <w:r>
              <w:rPr>
                <w:color w:val="1C3A36"/>
                <w:sz w:val="16"/>
              </w:rPr>
              <w:t>the BRIDGE — Expert 3 adds net cash of +2.32 a share at face, Expert 2 takes it through finance income only. The discount rate, measured by re-running Expert 2 on the weighted rate, is worth only +0.72</w:t>
            </w:r>
          </w:p>
        </w:tc>
        <w:tc>
          <w:tcPr>
            <w:tcW w:type="dxa" w:w="2664"/>
          </w:tcPr>
          <w:p>
            <w:pPr>
              <w:spacing w:after="20"/>
            </w:pPr>
            <w:r>
              <w:rPr>
                <w:color w:val="1C3A36"/>
                <w:sz w:val="16"/>
              </w:rPr>
              <w:t>0.32</w:t>
            </w:r>
          </w:p>
        </w:tc>
      </w:tr>
      <w:tr>
        <w:tc>
          <w:tcPr>
            <w:tcW w:type="dxa" w:w="2088"/>
          </w:tcPr>
          <w:p>
            <w:pPr>
              <w:spacing w:after="20"/>
            </w:pPr>
            <w:r>
              <w:rPr>
                <w:color w:val="1C3A36"/>
                <w:sz w:val="16"/>
              </w:rPr>
              <w:t>Panel median vs the primary lens</w:t>
            </w:r>
          </w:p>
        </w:tc>
        <w:tc>
          <w:tcPr>
            <w:tcW w:type="dxa" w:w="864"/>
          </w:tcPr>
          <w:p>
            <w:pPr>
              <w:spacing w:after="20"/>
              <w:jc w:val="right"/>
            </w:pPr>
            <w:r>
              <w:rPr>
                <w:color w:val="1C3A36"/>
                <w:sz w:val="16"/>
              </w:rPr>
              <w:t>0.81</w:t>
            </w:r>
          </w:p>
        </w:tc>
        <w:tc>
          <w:tcPr>
            <w:tcW w:type="dxa" w:w="792"/>
          </w:tcPr>
          <w:p>
            <w:pPr>
              <w:spacing w:after="20"/>
              <w:jc w:val="right"/>
            </w:pPr>
            <w:r>
              <w:rPr>
                <w:color w:val="1C3A36"/>
                <w:sz w:val="16"/>
              </w:rPr>
              <w:t>4.6%</w:t>
            </w:r>
          </w:p>
        </w:tc>
        <w:tc>
          <w:tcPr>
            <w:tcW w:type="dxa" w:w="3528"/>
          </w:tcPr>
          <w:p>
            <w:pPr>
              <w:spacing w:after="20"/>
            </w:pPr>
            <w:r>
              <w:rPr>
                <w:color w:val="1C3A36"/>
                <w:sz w:val="16"/>
              </w:rPr>
              <w:t>nothing structural — the primary lens is one of the same constructions</w:t>
            </w:r>
          </w:p>
        </w:tc>
        <w:tc>
          <w:tcPr>
            <w:tcW w:type="dxa" w:w="2664"/>
          </w:tcPr>
          <w:p>
            <w:pPr>
              <w:spacing w:after="20"/>
            </w:pPr>
            <w:r>
              <w:rPr>
                <w:color w:val="1C3A36"/>
                <w:sz w:val="16"/>
              </w:rPr>
              <w:t>not decomposed</w:t>
            </w:r>
          </w:p>
        </w:tc>
      </w:tr>
    </w:tbl>
    <w:p>
      <w:pPr>
        <w:spacing w:after="40"/>
      </w:pPr>
    </w:p>
    <w:p>
      <w:pPr>
        <w:spacing w:after="200" w:before="0"/>
      </w:pPr>
      <w:r>
        <w:rPr>
          <w:b w:val="0"/>
          <w:i/>
          <w:color w:val="6E7B77"/>
          <w:sz w:val="17"/>
        </w:rPr>
        <w:t>Table C.6 — the divergence. The two largest gaps in the panel are both explained by ONE thing, and it is not an assumption about the business: Expert 1 states a value at 2028E while the other two state one today. The third row is measured the same way, and the measurement OVERTURNED the label this table first carried. Discounting Expert 2's own cash flows on the WEIGHTED rate rather than the cost of equity's glide gives EGP 15.78 — so the price of time is worth only EGP 0.72 of a 3.37 gap, about 21% of it. What carries the rest is the BRIDGE: Expert 3 adds the net cash at face and Expert 2 does not. The last row carries no residual because there is no single driver to remove: the median IS one of these three constructions and the primary lens is a fourth read of the same statements.</w:t>
      </w:r>
    </w:p>
    <w:p>
      <w:pPr>
        <w:spacing w:after="80" w:before="200"/>
      </w:pPr>
      <w:r>
        <w:rPr>
          <w:b/>
          <w:i w:val="0"/>
          <w:color w:val="1C3A36"/>
          <w:sz w:val="24"/>
        </w:rPr>
        <w:t>C.7  The panel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21.26</w:t>
            </w:r>
          </w:p>
        </w:tc>
        <w:tc>
          <w:tcPr>
            <w:tcW w:type="dxa" w:w="1728"/>
          </w:tcPr>
          <w:p>
            <w:pPr>
              <w:spacing w:after="20"/>
              <w:jc w:val="right"/>
            </w:pPr>
            <w:r>
              <w:rPr>
                <w:color w:val="1C3A36"/>
                <w:sz w:val="17"/>
              </w:rPr>
              <w:t>15.18–28.85</w:t>
            </w:r>
          </w:p>
        </w:tc>
        <w:tc>
          <w:tcPr>
            <w:tcW w:type="dxa" w:w="1296"/>
          </w:tcPr>
          <w:p>
            <w:pPr>
              <w:spacing w:after="20"/>
              <w:jc w:val="right"/>
            </w:pPr>
            <w:r>
              <w:rPr>
                <w:color w:val="1C3A36"/>
                <w:sz w:val="17"/>
              </w:rPr>
              <w:t>57.5%</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15.06</w:t>
            </w:r>
          </w:p>
        </w:tc>
        <w:tc>
          <w:tcPr>
            <w:tcW w:type="dxa" w:w="1728"/>
          </w:tcPr>
          <w:p>
            <w:pPr>
              <w:spacing w:after="20"/>
              <w:jc w:val="right"/>
            </w:pPr>
            <w:r>
              <w:rPr>
                <w:color w:val="1C3A36"/>
                <w:sz w:val="17"/>
              </w:rPr>
              <w:t>0.58–19.86</w:t>
            </w:r>
          </w:p>
        </w:tc>
        <w:tc>
          <w:tcPr>
            <w:tcW w:type="dxa" w:w="1296"/>
          </w:tcPr>
          <w:p>
            <w:pPr>
              <w:spacing w:after="20"/>
              <w:jc w:val="right"/>
            </w:pPr>
            <w:r>
              <w:rPr>
                <w:color w:val="1C3A36"/>
                <w:sz w:val="17"/>
              </w:rPr>
              <w:t>11.6%</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18.43</w:t>
            </w:r>
          </w:p>
        </w:tc>
        <w:tc>
          <w:tcPr>
            <w:tcW w:type="dxa" w:w="1728"/>
          </w:tcPr>
          <w:p>
            <w:pPr>
              <w:spacing w:after="20"/>
              <w:jc w:val="right"/>
            </w:pPr>
            <w:r>
              <w:rPr>
                <w:color w:val="1C3A36"/>
                <w:sz w:val="17"/>
              </w:rPr>
              <w:t>0.88–24.62</w:t>
            </w:r>
          </w:p>
        </w:tc>
        <w:tc>
          <w:tcPr>
            <w:tcW w:type="dxa" w:w="1296"/>
          </w:tcPr>
          <w:p>
            <w:pPr>
              <w:spacing w:after="20"/>
              <w:jc w:val="right"/>
            </w:pPr>
            <w:r>
              <w:rPr>
                <w:color w:val="1C3A36"/>
                <w:sz w:val="17"/>
              </w:rPr>
              <w:t>36.5%</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18.43</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36.5%</w:t>
            </w:r>
          </w:p>
        </w:tc>
      </w:tr>
    </w:tbl>
    <w:p>
      <w:pPr>
        <w:spacing w:after="40"/>
      </w:pPr>
    </w:p>
    <w:p>
      <w:pPr>
        <w:spacing w:after="200" w:before="0"/>
      </w:pPr>
      <w:r>
        <w:rPr>
          <w:b w:val="0"/>
          <w:i/>
          <w:color w:val="6E7B77"/>
          <w:sz w:val="17"/>
        </w:rPr>
        <w:t>Table C.7 — the panel. Each range is that expert's OWN method re-run at the two filed-evidence corners the primary lens publishes — the worst gross margin in the audited record and the best full year — so the panel and the envelope are read on one clock. Earlier editions typed these bands beside the methods, and two of them had gone stale enough to publish a central outside its own range.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consolidated financial statements, taken from its own investor-relations archive: the five financial years to 30 June 2021, 2022, 2023, 2024 and 2025;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The financial year to 30 June 2023 carries a QUALIFIED audit opinion, on two balance-sheet matters that do not touch the revenue or cost lines this study forecasts; it is named here rather than left for a reader to find.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across sixteen sheets: 6,069 formulas against 251 pasted filing values (96.0% live), with all thirty sensitivity grid points written out as complete formula engines and every formula cell verified against the model by an independent evaluator — 0 unresolvable, 0 unchecked, 0 disagreements. The bibliography lists all 180 registered inputs with their sources, the triangulations, and the negative results.</w:t>
            </w:r>
          </w:p>
          <w:p>
            <w:pPr>
              <w:spacing w:after="100"/>
            </w:pPr>
            <w:r>
              <w:rPr>
                <w:b/>
                <w:color w:val="1C3A36"/>
                <w:sz w:val="19"/>
              </w:rPr>
              <w:t xml:space="preserve">HOW FAR THIS METHOD HAS BEEN TESTED.  </w:t>
            </w:r>
            <w:r>
              <w:rPr>
                <w:color w:val="1C3A36"/>
                <w:sz w:val="19"/>
              </w:rPr>
              <w:t>The forecasting method behind Section 1 was rebuilt at each of the five financial year-ends from 2021 to 2025 and scored against what the company went on to report. It did not beat the simple rule of assuming last year’s profit repeats. Section 7 sets out what that means and what it changed here; the short version is that nobody standing at those year-ends could forecast the pound, and on a business whose margin is a six-per-cent residual between two very large numbers, that is enough to make the profit line unreliable more than a year out. The range in this study is wide because the evidence says it should be.</w:t>
            </w:r>
          </w:p>
        </w:tc>
      </w:tr>
    </w:tbl>
    <w:p>
      <w:pPr>
        <w:spacing w:after="40"/>
      </w:pP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NO RECOMMENDATION.  </w:t>
            </w:r>
            <w:r>
              <w:rPr>
                <w:color w:val="1C3A36"/>
                <w:sz w:val="19"/>
              </w:rPr>
              <w:t>Nothing in this document is a recommendation to buy, sell or hold any security, and no price target is expressed or implied. A fair-value range is an estimate of what a business is worth on stated assumptions; it is not a forecast of where a share price will go, and the two regularly disagree for long periods.</w:t>
            </w:r>
          </w:p>
          <w:p>
            <w:pPr>
              <w:spacing w:after="100"/>
            </w:pPr>
            <w:r>
              <w:rPr>
                <w:b/>
                <w:color w:val="1C3A36"/>
                <w:sz w:val="19"/>
              </w:rPr>
              <w:t xml:space="preserve">NO POSITION, NO RELATIONSHIP, NO FEE.  </w:t>
            </w:r>
            <w:r>
              <w:rPr>
                <w:color w:val="1C3A36"/>
                <w:sz w:val="19"/>
              </w:rPr>
              <w:t>The author holds no position in the security, has no relationship with the company, its management, its advisers or its shareholders, and received no payment or consideration from any of them for this work.</w:t>
            </w:r>
          </w:p>
          <w:p>
            <w:pPr>
              <w:spacing w:after="100"/>
            </w:pPr>
            <w:r>
              <w:rPr>
                <w:b/>
                <w:color w:val="1C3A36"/>
                <w:sz w:val="19"/>
              </w:rPr>
              <w:t xml:space="preserve">WHAT COULD BE WRONG.  </w:t>
            </w:r>
            <w:r>
              <w:rPr>
                <w:color w:val="1C3A36"/>
                <w:sz w:val="19"/>
              </w:rPr>
              <w:t>The estimate rests on published filings, a forecasting method whose measured accuracy on this company is set out in Section 7, and judgements listed with what would overturn each of them in the companion bibliography. Section 7 states the known weaknesses; it is written to be read, not to be skipped.</w:t>
            </w:r>
          </w:p>
          <w:p>
            <w:pPr>
              <w:spacing w:after="100"/>
            </w:pPr>
            <w:r>
              <w:rPr>
                <w:b/>
                <w:color w:val="1C3A36"/>
                <w:sz w:val="19"/>
              </w:rPr>
              <w:t xml:space="preserve">EDUCATIONAL PURPOSE.  </w:t>
            </w:r>
            <w:r>
              <w:rPr>
                <w:color w:val="1C3A36"/>
                <w:sz w:val="19"/>
              </w:rPr>
              <w:t>This study is published to show a valuation method being applied and graded in public. Its forecasts are recorded when made and scored when they resolve, including the ones that turn out wrong.</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