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2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and it is not one rate. A company whose order book converts over the next fifteen years cannot be discounted at today's crisis rate in every one of those years, because the central bank publishes a path back to a seven per cent inflation target and this study's own borrowing assumptions already follow it. Each year therefore carries its own rate, falling from 32.34% in the first year to 21.90% once the economy has normalised; a pound arriving in year nineteen is worth about four times what a single flat rate would have said. Earlier editions of this study used one flat rate throughout, and that is the largest single change here.</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three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63.80 and EGP 123.20 a share. The shares last traded at EGP 96.60.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single flat discount rate would reproduce the traded price, and the answer is 17.4% to 31.9%. This study does not use a single rate: it discounts each year at its own, starting at 32.34% on the credit-default-swap premium — the rating-based premium runs 3.40% higher in the first year — and settling at 21.90% once the central bank's published path has played out. The comparison is still worth making, and what it shows is that the market and this study are closer than the headline rates suggest.</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each spans the three bases on which the minority interest can be deducted, and each is labelled with the basis adopted followed by that span, so the figure the label reads is the figure the summary table carries.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2625"/>
        <w:gridCol w:w="1151"/>
        <w:gridCol w:w="1378"/>
        <w:gridCol w:w="1202"/>
        <w:gridCol w:w="1151"/>
        <w:gridCol w:w="868"/>
        <w:gridCol w:w="868"/>
      </w:tblGrid>
      <w:tr>
        <w:trPr>
          <w:tblHeader w:val="true"/>
        </w:trPr>
        <w:tc>
          <w:tcPr>
            <w:tcW w:type="dxa" w:w="2625"/>
          </w:tcPr>
          <w:p>
            <w:r/>
            <w:r>
              <w:rPr>
                <w:b/>
                <w:color w:val="5B6570"/>
                <w:sz w:val="17"/>
              </w:rPr>
              <w:t>Case</w:t>
            </w:r>
          </w:p>
        </w:tc>
        <w:tc>
          <w:tcPr>
            <w:tcW w:type="dxa" w:w="1151"/>
          </w:tcPr>
          <w:p>
            <w:r/>
            <w:r>
              <w:rPr>
                <w:b/>
                <w:color w:val="5B6570"/>
                <w:sz w:val="17"/>
              </w:rPr>
              <w:t>Discount rate</w:t>
            </w:r>
          </w:p>
        </w:tc>
        <w:tc>
          <w:tcPr>
            <w:tcW w:type="dxa" w:w="1378"/>
          </w:tcPr>
          <w:p>
            <w:r/>
            <w:r>
              <w:rPr>
                <w:b/>
                <w:color w:val="5B6570"/>
                <w:sz w:val="17"/>
              </w:rPr>
              <w:t>Enterprise value</w:t>
            </w:r>
          </w:p>
        </w:tc>
        <w:tc>
          <w:tcPr>
            <w:tcW w:type="dxa" w:w="1202"/>
          </w:tcPr>
          <w:p>
            <w:r/>
            <w:r>
              <w:rPr>
                <w:b/>
                <w:color w:val="5B6570"/>
                <w:sz w:val="17"/>
              </w:rPr>
              <w:t>Equity value (adopted)</w:t>
            </w:r>
          </w:p>
        </w:tc>
        <w:tc>
          <w:tcPr>
            <w:tcW w:type="dxa" w:w="1151"/>
          </w:tcPr>
          <w:p>
            <w:r/>
            <w:r>
              <w:rPr>
                <w:b/>
                <w:color w:val="5B6570"/>
                <w:sz w:val="17"/>
              </w:rPr>
              <w:t>Per share, minority at value share</w:t>
            </w:r>
          </w:p>
        </w:tc>
        <w:tc>
          <w:tcPr>
            <w:tcW w:type="dxa" w:w="867"/>
          </w:tcPr>
          <w:p>
            <w:r/>
            <w:r>
              <w:rPr>
                <w:b/>
                <w:color w:val="5B6570"/>
                <w:sz w:val="17"/>
              </w:rPr>
              <w:t>Per share, at book</w:t>
            </w:r>
          </w:p>
        </w:tc>
        <w:tc>
          <w:tcPr>
            <w:tcW w:type="dxa" w:w="867"/>
          </w:tcPr>
          <w:p>
            <w:r/>
            <w:r>
              <w:rPr>
                <w:b/>
                <w:color w:val="5B6570"/>
                <w:sz w:val="17"/>
              </w:rPr>
              <w:t>Per share, pro rata</w:t>
            </w:r>
          </w:p>
        </w:tc>
      </w:tr>
      <w:tr>
        <w:trPr>
          <w:cantSplit/>
        </w:trPr>
        <w:tc>
          <w:tcPr>
            <w:tcW w:type="dxa" w:w="2625"/>
          </w:tcPr>
          <w:p>
            <w:r/>
            <w:r>
              <w:rPr>
                <w:color w:val="1A1D21"/>
                <w:sz w:val="17"/>
              </w:rPr>
              <w:t>Rating-based premium, slower conversion</w:t>
            </w:r>
          </w:p>
        </w:tc>
        <w:tc>
          <w:tcPr>
            <w:tcW w:type="dxa" w:w="1151"/>
          </w:tcPr>
          <w:p>
            <w:pPr>
              <w:jc w:val="right"/>
            </w:pPr>
            <w:r/>
            <w:r>
              <w:rPr>
                <w:color w:val="1A1D21"/>
                <w:sz w:val="17"/>
              </w:rPr>
              <w:t>35.74%</w:t>
            </w:r>
          </w:p>
        </w:tc>
        <w:tc>
          <w:tcPr>
            <w:tcW w:type="dxa" w:w="1378"/>
          </w:tcPr>
          <w:p>
            <w:pPr>
              <w:jc w:val="right"/>
            </w:pPr>
            <w:r/>
            <w:r>
              <w:rPr>
                <w:color w:val="1A1D21"/>
                <w:sz w:val="17"/>
              </w:rPr>
              <w:t>222,172</w:t>
            </w:r>
          </w:p>
        </w:tc>
        <w:tc>
          <w:tcPr>
            <w:tcW w:type="dxa" w:w="1202"/>
          </w:tcPr>
          <w:p>
            <w:pPr>
              <w:jc w:val="right"/>
            </w:pPr>
            <w:r/>
            <w:r>
              <w:rPr>
                <w:color w:val="1A1D21"/>
                <w:sz w:val="17"/>
              </w:rPr>
              <w:t>244,551</w:t>
            </w:r>
          </w:p>
        </w:tc>
        <w:tc>
          <w:tcPr>
            <w:tcW w:type="dxa" w:w="1151"/>
          </w:tcPr>
          <w:p>
            <w:pPr>
              <w:jc w:val="right"/>
            </w:pPr>
            <w:r/>
            <w:r>
              <w:rPr>
                <w:color w:val="1A1D21"/>
                <w:sz w:val="17"/>
              </w:rPr>
              <w:t>118.68</w:t>
            </w:r>
          </w:p>
        </w:tc>
        <w:tc>
          <w:tcPr>
            <w:tcW w:type="dxa" w:w="867"/>
          </w:tcPr>
          <w:p>
            <w:pPr>
              <w:jc w:val="right"/>
            </w:pPr>
            <w:r/>
            <w:r>
              <w:rPr>
                <w:color w:val="1A1D21"/>
                <w:sz w:val="17"/>
              </w:rPr>
              <w:t>113.47</w:t>
            </w:r>
          </w:p>
        </w:tc>
        <w:tc>
          <w:tcPr>
            <w:tcW w:type="dxa" w:w="867"/>
          </w:tcPr>
          <w:p>
            <w:pPr>
              <w:jc w:val="right"/>
            </w:pPr>
            <w:r/>
            <w:r>
              <w:rPr>
                <w:color w:val="1A1D21"/>
                <w:sz w:val="17"/>
              </w:rPr>
              <w:t>82.28</w:t>
            </w:r>
          </w:p>
        </w:tc>
      </w:tr>
      <w:tr>
        <w:trPr>
          <w:cantSplit/>
        </w:trPr>
        <w:tc>
          <w:tcPr>
            <w:tcW w:type="dxa" w:w="2625"/>
          </w:tcPr>
          <w:p>
            <w:r/>
            <w:r>
              <w:rPr>
                <w:color w:val="1A1D21"/>
                <w:sz w:val="17"/>
              </w:rPr>
              <w:t>Rating-based premium, faster conversion</w:t>
            </w:r>
          </w:p>
        </w:tc>
        <w:tc>
          <w:tcPr>
            <w:tcW w:type="dxa" w:w="1151"/>
          </w:tcPr>
          <w:p>
            <w:pPr>
              <w:jc w:val="right"/>
            </w:pPr>
            <w:r/>
            <w:r>
              <w:rPr>
                <w:color w:val="1A1D21"/>
                <w:sz w:val="17"/>
              </w:rPr>
              <w:t>35.74%</w:t>
            </w:r>
          </w:p>
        </w:tc>
        <w:tc>
          <w:tcPr>
            <w:tcW w:type="dxa" w:w="1378"/>
          </w:tcPr>
          <w:p>
            <w:pPr>
              <w:jc w:val="right"/>
            </w:pPr>
            <w:r/>
            <w:r>
              <w:rPr>
                <w:color w:val="1A1D21"/>
                <w:sz w:val="17"/>
              </w:rPr>
              <w:t>79,080</w:t>
            </w:r>
          </w:p>
        </w:tc>
        <w:tc>
          <w:tcPr>
            <w:tcW w:type="dxa" w:w="1202"/>
          </w:tcPr>
          <w:p>
            <w:pPr>
              <w:jc w:val="right"/>
            </w:pPr>
            <w:r/>
            <w:r>
              <w:rPr>
                <w:color w:val="1A1D21"/>
                <w:sz w:val="17"/>
              </w:rPr>
              <w:t>131,475</w:t>
            </w:r>
          </w:p>
        </w:tc>
        <w:tc>
          <w:tcPr>
            <w:tcW w:type="dxa" w:w="1151"/>
          </w:tcPr>
          <w:p>
            <w:pPr>
              <w:jc w:val="right"/>
            </w:pPr>
            <w:r/>
            <w:r>
              <w:rPr>
                <w:color w:val="1A1D21"/>
                <w:sz w:val="17"/>
              </w:rPr>
              <w:t>63.80</w:t>
            </w:r>
          </w:p>
        </w:tc>
        <w:tc>
          <w:tcPr>
            <w:tcW w:type="dxa" w:w="867"/>
          </w:tcPr>
          <w:p>
            <w:pPr>
              <w:jc w:val="right"/>
            </w:pPr>
            <w:r/>
            <w:r>
              <w:rPr>
                <w:color w:val="1A1D21"/>
                <w:sz w:val="17"/>
              </w:rPr>
              <w:t>44.03</w:t>
            </w:r>
          </w:p>
        </w:tc>
        <w:tc>
          <w:tcPr>
            <w:tcW w:type="dxa" w:w="867"/>
          </w:tcPr>
          <w:p>
            <w:pPr>
              <w:jc w:val="right"/>
            </w:pPr>
            <w:r/>
            <w:r>
              <w:rPr>
                <w:color w:val="1A1D21"/>
                <w:sz w:val="17"/>
              </w:rPr>
              <w:t>44.23</w:t>
            </w:r>
          </w:p>
        </w:tc>
      </w:tr>
      <w:tr>
        <w:trPr>
          <w:cantSplit/>
        </w:trPr>
        <w:tc>
          <w:tcPr>
            <w:tcW w:type="dxa" w:w="2625"/>
          </w:tcPr>
          <w:p>
            <w:r/>
            <w:r>
              <w:rPr>
                <w:color w:val="1A1D21"/>
                <w:sz w:val="17"/>
              </w:rPr>
              <w:t>Credit-default-swap premium, slower conversion</w:t>
            </w:r>
          </w:p>
        </w:tc>
        <w:tc>
          <w:tcPr>
            <w:tcW w:type="dxa" w:w="1151"/>
          </w:tcPr>
          <w:p>
            <w:pPr>
              <w:jc w:val="right"/>
            </w:pPr>
            <w:r/>
            <w:r>
              <w:rPr>
                <w:color w:val="1A1D21"/>
                <w:sz w:val="17"/>
              </w:rPr>
              <w:t>32.34%</w:t>
            </w:r>
          </w:p>
        </w:tc>
        <w:tc>
          <w:tcPr>
            <w:tcW w:type="dxa" w:w="1378"/>
          </w:tcPr>
          <w:p>
            <w:pPr>
              <w:jc w:val="right"/>
            </w:pPr>
            <w:r/>
            <w:r>
              <w:rPr>
                <w:color w:val="1A1D21"/>
                <w:sz w:val="17"/>
              </w:rPr>
              <w:t>233,959</w:t>
            </w:r>
          </w:p>
        </w:tc>
        <w:tc>
          <w:tcPr>
            <w:tcW w:type="dxa" w:w="1202"/>
          </w:tcPr>
          <w:p>
            <w:pPr>
              <w:jc w:val="right"/>
            </w:pPr>
            <w:r/>
            <w:r>
              <w:rPr>
                <w:color w:val="1A1D21"/>
                <w:sz w:val="17"/>
              </w:rPr>
              <w:t>253,866</w:t>
            </w:r>
          </w:p>
        </w:tc>
        <w:tc>
          <w:tcPr>
            <w:tcW w:type="dxa" w:w="1151"/>
          </w:tcPr>
          <w:p>
            <w:pPr>
              <w:jc w:val="right"/>
            </w:pPr>
            <w:r/>
            <w:r>
              <w:rPr>
                <w:color w:val="1A1D21"/>
                <w:sz w:val="17"/>
              </w:rPr>
              <w:t>123.20</w:t>
            </w:r>
          </w:p>
        </w:tc>
        <w:tc>
          <w:tcPr>
            <w:tcW w:type="dxa" w:w="867"/>
          </w:tcPr>
          <w:p>
            <w:pPr>
              <w:jc w:val="right"/>
            </w:pPr>
            <w:r/>
            <w:r>
              <w:rPr>
                <w:color w:val="1A1D21"/>
                <w:sz w:val="17"/>
              </w:rPr>
              <w:t>119.19</w:t>
            </w:r>
          </w:p>
        </w:tc>
        <w:tc>
          <w:tcPr>
            <w:tcW w:type="dxa" w:w="867"/>
          </w:tcPr>
          <w:p>
            <w:pPr>
              <w:jc w:val="right"/>
            </w:pPr>
            <w:r/>
            <w:r>
              <w:rPr>
                <w:color w:val="1A1D21"/>
                <w:sz w:val="17"/>
              </w:rPr>
              <w:t>85.41</w:t>
            </w:r>
          </w:p>
        </w:tc>
      </w:tr>
      <w:tr>
        <w:trPr>
          <w:cantSplit/>
        </w:trPr>
        <w:tc>
          <w:tcPr>
            <w:tcW w:type="dxa" w:w="2625"/>
          </w:tcPr>
          <w:p>
            <w:r/>
            <w:r>
              <w:rPr>
                <w:color w:val="1A1D21"/>
                <w:sz w:val="17"/>
              </w:rPr>
              <w:t>Credit-default-swap premium, faster conversion</w:t>
            </w:r>
          </w:p>
        </w:tc>
        <w:tc>
          <w:tcPr>
            <w:tcW w:type="dxa" w:w="1151"/>
          </w:tcPr>
          <w:p>
            <w:pPr>
              <w:jc w:val="right"/>
            </w:pPr>
            <w:r/>
            <w:r>
              <w:rPr>
                <w:color w:val="1A1D21"/>
                <w:sz w:val="17"/>
              </w:rPr>
              <w:t>32.34%</w:t>
            </w:r>
          </w:p>
        </w:tc>
        <w:tc>
          <w:tcPr>
            <w:tcW w:type="dxa" w:w="1378"/>
          </w:tcPr>
          <w:p>
            <w:pPr>
              <w:jc w:val="right"/>
            </w:pPr>
            <w:r/>
            <w:r>
              <w:rPr>
                <w:color w:val="1A1D21"/>
                <w:sz w:val="17"/>
              </w:rPr>
              <w:t>82,904</w:t>
            </w:r>
          </w:p>
        </w:tc>
        <w:tc>
          <w:tcPr>
            <w:tcW w:type="dxa" w:w="1202"/>
          </w:tcPr>
          <w:p>
            <w:pPr>
              <w:jc w:val="right"/>
            </w:pPr>
            <w:r/>
            <w:r>
              <w:rPr>
                <w:color w:val="1A1D21"/>
                <w:sz w:val="17"/>
              </w:rPr>
              <w:t>134,497</w:t>
            </w:r>
          </w:p>
        </w:tc>
        <w:tc>
          <w:tcPr>
            <w:tcW w:type="dxa" w:w="1151"/>
          </w:tcPr>
          <w:p>
            <w:pPr>
              <w:jc w:val="right"/>
            </w:pPr>
            <w:r/>
            <w:r>
              <w:rPr>
                <w:color w:val="1A1D21"/>
                <w:sz w:val="17"/>
              </w:rPr>
              <w:t>65.27</w:t>
            </w:r>
          </w:p>
        </w:tc>
        <w:tc>
          <w:tcPr>
            <w:tcW w:type="dxa" w:w="867"/>
          </w:tcPr>
          <w:p>
            <w:pPr>
              <w:jc w:val="right"/>
            </w:pPr>
            <w:r/>
            <w:r>
              <w:rPr>
                <w:color w:val="1A1D21"/>
                <w:sz w:val="17"/>
              </w:rPr>
              <w:t>45.88</w:t>
            </w:r>
          </w:p>
        </w:tc>
        <w:tc>
          <w:tcPr>
            <w:tcW w:type="dxa" w:w="867"/>
          </w:tcPr>
          <w:p>
            <w:pPr>
              <w:jc w:val="right"/>
            </w:pPr>
            <w:r/>
            <w:r>
              <w:rPr>
                <w:color w:val="1A1D21"/>
                <w:sz w:val="17"/>
              </w:rPr>
              <w:t>45.25</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12.63</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15.44 – 23.77</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Depreciation and amortisation added back</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Movement in homes built ahead of handover — a release adds, a build subtracts</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0.7367</w:t>
            </w:r>
          </w:p>
        </w:tc>
        <w:tc>
          <w:tcPr>
            <w:tcW w:type="dxa" w:w="1134"/>
          </w:tcPr>
          <w:p>
            <w:pPr>
              <w:jc w:val="right"/>
            </w:pPr>
            <w:r/>
            <w:r>
              <w:rPr>
                <w:color w:val="1A1D21"/>
                <w:sz w:val="17"/>
              </w:rPr>
              <w:t>0.5632</w:t>
            </w:r>
          </w:p>
        </w:tc>
        <w:tc>
          <w:tcPr>
            <w:tcW w:type="dxa" w:w="1134"/>
          </w:tcPr>
          <w:p>
            <w:pPr>
              <w:jc w:val="right"/>
            </w:pPr>
            <w:r/>
            <w:r>
              <w:rPr>
                <w:color w:val="1A1D21"/>
                <w:sz w:val="17"/>
              </w:rPr>
              <w:t>0.4440</w:t>
            </w:r>
          </w:p>
        </w:tc>
        <w:tc>
          <w:tcPr>
            <w:tcW w:type="dxa" w:w="1134"/>
          </w:tcPr>
          <w:p>
            <w:pPr>
              <w:jc w:val="right"/>
            </w:pPr>
            <w:r/>
            <w:r>
              <w:rPr>
                <w:color w:val="1A1D21"/>
                <w:sz w:val="17"/>
              </w:rPr>
              <w:t>0.3585</w:t>
            </w:r>
          </w:p>
        </w:tc>
        <w:tc>
          <w:tcPr>
            <w:tcW w:type="dxa" w:w="1134"/>
          </w:tcPr>
          <w:p>
            <w:pPr>
              <w:jc w:val="right"/>
            </w:pPr>
            <w:r/>
            <w:r>
              <w:rPr>
                <w:color w:val="1A1D21"/>
                <w:sz w:val="17"/>
              </w:rPr>
              <w:t>0.2940</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18,311</w:t>
            </w:r>
          </w:p>
        </w:tc>
        <w:tc>
          <w:tcPr>
            <w:tcW w:type="dxa" w:w="1134"/>
          </w:tcPr>
          <w:p>
            <w:pPr>
              <w:jc w:val="right"/>
            </w:pPr>
            <w:r/>
            <w:r>
              <w:rPr>
                <w:color w:val="1A1D21"/>
                <w:sz w:val="17"/>
              </w:rPr>
              <w:t>20,849</w:t>
            </w:r>
          </w:p>
        </w:tc>
        <w:tc>
          <w:tcPr>
            <w:tcW w:type="dxa" w:w="1134"/>
          </w:tcPr>
          <w:p>
            <w:pPr>
              <w:jc w:val="right"/>
            </w:pPr>
            <w:r/>
            <w:r>
              <w:rPr>
                <w:color w:val="1A1D21"/>
                <w:sz w:val="17"/>
              </w:rPr>
              <w:t>21,022</w:t>
            </w:r>
          </w:p>
        </w:tc>
        <w:tc>
          <w:tcPr>
            <w:tcW w:type="dxa" w:w="1134"/>
          </w:tcPr>
          <w:p>
            <w:pPr>
              <w:jc w:val="right"/>
            </w:pPr>
            <w:r/>
            <w:r>
              <w:rPr>
                <w:color w:val="1A1D21"/>
                <w:sz w:val="17"/>
              </w:rPr>
              <w:t>20,411</w:t>
            </w:r>
          </w:p>
        </w:tc>
        <w:tc>
          <w:tcPr>
            <w:tcW w:type="dxa" w:w="1134"/>
          </w:tcPr>
          <w:p>
            <w:pPr>
              <w:jc w:val="right"/>
            </w:pPr>
            <w:r/>
            <w:r>
              <w:rPr>
                <w:color w:val="1A1D21"/>
                <w:sz w:val="17"/>
              </w:rPr>
              <w:t>19,603</w:t>
            </w:r>
          </w:p>
        </w:tc>
      </w:tr>
    </w:tbl>
    <w:p>
      <w:pPr>
        <w:spacing w:after="200"/>
      </w:pPr>
      <w:r>
        <w:rPr>
          <w:b w:val="0"/>
          <w:i/>
          <w:color w:val="5B6570"/>
          <w:sz w:val="16"/>
        </w:rPr>
        <w:t>The first five of the ten explicit years, on the case built on the rating-based equity risk premium, slower conversion, whose first-year rate is 35.74%; the other three cases are in the workbook, as is the full ten-year waterfall.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183,999</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14,084</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24,089</w:t>
            </w:r>
          </w:p>
        </w:tc>
      </w:tr>
      <w:tr>
        <w:trPr>
          <w:cantSplit/>
        </w:trPr>
        <w:tc>
          <w:tcPr>
            <w:tcW w:type="dxa" w:w="6236"/>
          </w:tcPr>
          <w:p>
            <w:r/>
            <w:r>
              <w:rPr>
                <w:color w:val="1A1D21"/>
                <w:sz w:val="17"/>
              </w:rPr>
              <w:t>Enterprise value</w:t>
            </w:r>
          </w:p>
        </w:tc>
        <w:tc>
          <w:tcPr>
            <w:tcW w:type="dxa" w:w="2948"/>
          </w:tcPr>
          <w:p>
            <w:pPr>
              <w:jc w:val="right"/>
            </w:pPr>
            <w:r/>
            <w:r>
              <w:rPr>
                <w:color w:val="1A1D21"/>
                <w:sz w:val="17"/>
              </w:rPr>
              <w:t>222,172</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309,466</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(64,914)</w:t>
            </w:r>
          </w:p>
        </w:tc>
      </w:tr>
      <w:tr>
        <w:trPr>
          <w:cantSplit/>
        </w:trPr>
        <w:tc>
          <w:tcPr>
            <w:tcW w:type="dxa" w:w="6236"/>
          </w:tcPr>
          <w:p>
            <w:r/>
            <w:r>
              <w:rPr>
                <w:color w:val="1A1D21"/>
                <w:sz w:val="17"/>
              </w:rPr>
              <w:t xml:space="preserve">  for reference: at book 75,653; pro rata to book 139,920</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244,551</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118.68</w:t>
            </w:r>
          </w:p>
        </w:tc>
      </w:tr>
    </w:tbl>
    <w:p>
      <w:pPr>
        <w:spacing w:after="200"/>
      </w:pPr>
      <w:r>
        <w:rPr>
          <w:b w:val="0"/>
          <w:i/>
          <w:color w:val="5B6570"/>
          <w:sz w:val="16"/>
        </w:rPr>
        <w:t>The case built on the rating-based equity risk premium, slower conversion, with the minority deducted at its share of value, which is the basis adopted. The other three cases run the same bridge on their own numbers, and the two other minority bases are in the summary table.</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10.91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13.8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3317"/>
        <w:gridCol w:w="1610"/>
        <w:gridCol w:w="1497"/>
        <w:gridCol w:w="1151"/>
        <w:gridCol w:w="1610"/>
      </w:tblGrid>
      <w:tr>
        <w:trPr>
          <w:tblHeader w:val="true"/>
        </w:trPr>
        <w:tc>
          <w:tcPr>
            <w:tcW w:type="dxa" w:w="3317"/>
          </w:tcPr>
          <w:p>
            <w:r/>
            <w:r>
              <w:rPr>
                <w:b/>
                <w:color w:val="5B6570"/>
                <w:sz w:val="17"/>
              </w:rPr>
              <w:t>Year</w:t>
            </w:r>
          </w:p>
        </w:tc>
        <w:tc>
          <w:tcPr>
            <w:tcW w:type="dxa" w:w="1610"/>
          </w:tcPr>
          <w:p>
            <w:r/>
            <w:r>
              <w:rPr>
                <w:b/>
                <w:color w:val="5B6570"/>
                <w:sz w:val="17"/>
              </w:rPr>
              <w:t>Attributable profit as reported</w:t>
            </w:r>
          </w:p>
        </w:tc>
        <w:tc>
          <w:tcPr>
            <w:tcW w:type="dxa" w:w="1497"/>
          </w:tcPr>
          <w:p>
            <w:r/>
            <w:r>
              <w:rPr>
                <w:b/>
                <w:color w:val="5B6570"/>
                <w:sz w:val="17"/>
              </w:rPr>
              <w:t>Revaluation gain at group level</w:t>
            </w:r>
          </w:p>
        </w:tc>
        <w:tc>
          <w:tcPr>
            <w:tcW w:type="dxa" w:w="1151"/>
          </w:tcPr>
          <w:p>
            <w:r/>
            <w:r>
              <w:rPr>
                <w:b/>
                <w:color w:val="5B6570"/>
                <w:sz w:val="17"/>
              </w:rPr>
              <w:t>Parent's share of that gain</w:t>
            </w:r>
          </w:p>
        </w:tc>
        <w:tc>
          <w:tcPr>
            <w:tcW w:type="dxa" w:w="1610"/>
          </w:tcPr>
          <w:p>
            <w:r/>
            <w:r>
              <w:rPr>
                <w:b/>
                <w:color w:val="5B6570"/>
                <w:sz w:val="17"/>
              </w:rPr>
              <w:t>Cleaned attributable profit</w:t>
            </w:r>
          </w:p>
        </w:tc>
      </w:tr>
      <w:tr>
        <w:trPr>
          <w:cantSplit/>
        </w:trPr>
        <w:tc>
          <w:tcPr>
            <w:tcW w:type="dxa" w:w="3317"/>
          </w:tcPr>
          <w:p>
            <w:r/>
            <w:r>
              <w:rPr>
                <w:color w:val="1A1D21"/>
                <w:sz w:val="17"/>
              </w:rPr>
              <w:t>2023</w:t>
            </w:r>
          </w:p>
        </w:tc>
        <w:tc>
          <w:tcPr>
            <w:tcW w:type="dxa" w:w="1610"/>
          </w:tcPr>
          <w:p>
            <w:pPr>
              <w:jc w:val="right"/>
            </w:pPr>
            <w:r/>
            <w:r>
              <w:rPr>
                <w:color w:val="1A1D21"/>
                <w:sz w:val="17"/>
              </w:rPr>
              <w:t>3,313</w:t>
            </w:r>
          </w:p>
        </w:tc>
        <w:tc>
          <w:tcPr>
            <w:tcW w:type="dxa" w:w="1497"/>
          </w:tcPr>
          <w:p>
            <w:pPr>
              <w:jc w:val="right"/>
            </w:pPr>
            <w:r/>
            <w:r>
              <w:rPr>
                <w:color w:val="1A1D21"/>
                <w:sz w:val="17"/>
              </w:rPr>
              <w:t>0</w:t>
            </w:r>
          </w:p>
        </w:tc>
        <w:tc>
          <w:tcPr>
            <w:tcW w:type="dxa" w:w="1151"/>
          </w:tcPr>
          <w:p>
            <w:pPr>
              <w:jc w:val="right"/>
            </w:pPr>
            <w:r/>
            <w:r>
              <w:rPr>
                <w:color w:val="1A1D21"/>
                <w:sz w:val="17"/>
              </w:rPr>
              <w:t>0</w:t>
            </w:r>
          </w:p>
        </w:tc>
        <w:tc>
          <w:tcPr>
            <w:tcW w:type="dxa" w:w="1610"/>
          </w:tcPr>
          <w:p>
            <w:pPr>
              <w:jc w:val="right"/>
            </w:pPr>
            <w:r/>
            <w:r>
              <w:rPr>
                <w:color w:val="1A1D21"/>
                <w:sz w:val="17"/>
              </w:rPr>
              <w:t>3,313</w:t>
            </w:r>
          </w:p>
        </w:tc>
      </w:tr>
      <w:tr>
        <w:trPr>
          <w:cantSplit/>
        </w:trPr>
        <w:tc>
          <w:tcPr>
            <w:tcW w:type="dxa" w:w="3317"/>
          </w:tcPr>
          <w:p>
            <w:r/>
            <w:r>
              <w:rPr>
                <w:color w:val="1A1D21"/>
                <w:sz w:val="17"/>
              </w:rPr>
              <w:t>2024</w:t>
            </w:r>
          </w:p>
        </w:tc>
        <w:tc>
          <w:tcPr>
            <w:tcW w:type="dxa" w:w="1610"/>
          </w:tcPr>
          <w:p>
            <w:pPr>
              <w:jc w:val="right"/>
            </w:pPr>
            <w:r/>
            <w:r>
              <w:rPr>
                <w:color w:val="1A1D21"/>
                <w:sz w:val="17"/>
              </w:rPr>
              <w:t>10,723</w:t>
            </w:r>
          </w:p>
        </w:tc>
        <w:tc>
          <w:tcPr>
            <w:tcW w:type="dxa" w:w="1497"/>
          </w:tcPr>
          <w:p>
            <w:pPr>
              <w:jc w:val="right"/>
            </w:pPr>
            <w:r/>
            <w:r>
              <w:rPr>
                <w:color w:val="1A1D21"/>
                <w:sz w:val="17"/>
              </w:rPr>
              <w:t>4,924</w:t>
            </w:r>
          </w:p>
        </w:tc>
        <w:tc>
          <w:tcPr>
            <w:tcW w:type="dxa" w:w="1151"/>
          </w:tcPr>
          <w:p>
            <w:pPr>
              <w:jc w:val="right"/>
            </w:pPr>
            <w:r/>
            <w:r>
              <w:rPr>
                <w:color w:val="1A1D21"/>
                <w:sz w:val="17"/>
              </w:rPr>
              <w:t>2,698</w:t>
            </w:r>
          </w:p>
        </w:tc>
        <w:tc>
          <w:tcPr>
            <w:tcW w:type="dxa" w:w="1610"/>
          </w:tcPr>
          <w:p>
            <w:pPr>
              <w:jc w:val="right"/>
            </w:pPr>
            <w:r/>
            <w:r>
              <w:rPr>
                <w:color w:val="1A1D21"/>
                <w:sz w:val="17"/>
              </w:rPr>
              <w:t>8,025</w:t>
            </w:r>
          </w:p>
        </w:tc>
      </w:tr>
      <w:tr>
        <w:trPr>
          <w:cantSplit/>
        </w:trPr>
        <w:tc>
          <w:tcPr>
            <w:tcW w:type="dxa" w:w="3317"/>
          </w:tcPr>
          <w:p>
            <w:r/>
            <w:r>
              <w:rPr>
                <w:color w:val="1A1D21"/>
                <w:sz w:val="17"/>
              </w:rPr>
              <w:t>2025</w:t>
            </w:r>
          </w:p>
        </w:tc>
        <w:tc>
          <w:tcPr>
            <w:tcW w:type="dxa" w:w="1610"/>
          </w:tcPr>
          <w:p>
            <w:pPr>
              <w:jc w:val="right"/>
            </w:pPr>
            <w:r/>
            <w:r>
              <w:rPr>
                <w:color w:val="1A1D21"/>
                <w:sz w:val="17"/>
              </w:rPr>
              <w:t>14,384</w:t>
            </w:r>
          </w:p>
        </w:tc>
        <w:tc>
          <w:tcPr>
            <w:tcW w:type="dxa" w:w="1497"/>
          </w:tcPr>
          <w:p>
            <w:pPr>
              <w:jc w:val="right"/>
            </w:pPr>
            <w:r/>
            <w:r>
              <w:rPr>
                <w:color w:val="1A1D21"/>
                <w:sz w:val="17"/>
              </w:rPr>
              <w:t>3,952</w:t>
            </w:r>
          </w:p>
        </w:tc>
        <w:tc>
          <w:tcPr>
            <w:tcW w:type="dxa" w:w="1151"/>
          </w:tcPr>
          <w:p>
            <w:pPr>
              <w:jc w:val="right"/>
            </w:pPr>
            <w:r/>
            <w:r>
              <w:rPr>
                <w:color w:val="1A1D21"/>
                <w:sz w:val="17"/>
              </w:rPr>
              <w:t>2,165</w:t>
            </w:r>
          </w:p>
        </w:tc>
        <w:tc>
          <w:tcPr>
            <w:tcW w:type="dxa" w:w="1610"/>
          </w:tcPr>
          <w:p>
            <w:pPr>
              <w:jc w:val="right"/>
            </w:pPr>
            <w:r/>
            <w:r>
              <w:rPr>
                <w:color w:val="1A1D21"/>
                <w:sz w:val="17"/>
              </w:rPr>
              <w:t>12,218</w:t>
            </w:r>
          </w:p>
        </w:tc>
      </w:tr>
    </w:tbl>
    <w:p>
      <w:pPr>
        <w:spacing w:after="200"/>
      </w:pPr>
      <w:r>
        <w:rPr>
          <w:b w:val="0"/>
          <w:i/>
          <w:color w:val="5B6570"/>
          <w:sz w:val="16"/>
        </w:rPr>
        <w:t>EGP million. The gain is disclosed at group level and only the parent's share of it is stripped, which is why the parent's share is smaller than the group gain.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15.44 to EGP 23.77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4128"/>
        <w:gridCol w:w="1610"/>
        <w:gridCol w:w="1032"/>
        <w:gridCol w:w="1032"/>
        <w:gridCol w:w="1378"/>
      </w:tblGrid>
      <w:tr>
        <w:trPr>
          <w:tblHeader w:val="true"/>
        </w:trPr>
        <w:tc>
          <w:tcPr>
            <w:tcW w:type="dxa" w:w="4127"/>
          </w:tcPr>
          <w:p>
            <w:r/>
            <w:r>
              <w:rPr>
                <w:b/>
                <w:color w:val="5B6570"/>
                <w:sz w:val="17"/>
              </w:rPr>
              <w:t>Driver</w:t>
            </w:r>
          </w:p>
        </w:tc>
        <w:tc>
          <w:tcPr>
            <w:tcW w:type="dxa" w:w="1610"/>
          </w:tcPr>
          <w:p>
            <w:r/>
            <w:r>
              <w:rPr>
                <w:b/>
                <w:color w:val="5B6570"/>
                <w:sz w:val="17"/>
              </w:rPr>
              <w:t>Observations</w:t>
            </w:r>
          </w:p>
        </w:tc>
        <w:tc>
          <w:tcPr>
            <w:tcW w:type="dxa" w:w="1032"/>
          </w:tcPr>
          <w:p>
            <w:r/>
            <w:r>
              <w:rPr>
                <w:b/>
                <w:color w:val="5B6570"/>
                <w:sz w:val="17"/>
              </w:rPr>
              <w:t>Average error</w:t>
            </w:r>
          </w:p>
        </w:tc>
        <w:tc>
          <w:tcPr>
            <w:tcW w:type="dxa" w:w="1032"/>
          </w:tcPr>
          <w:p>
            <w:r/>
            <w:r>
              <w:rPr>
                <w:b/>
                <w:color w:val="5B6570"/>
                <w:sz w:val="17"/>
              </w:rPr>
              <w:t>Average size of error</w:t>
            </w:r>
          </w:p>
        </w:tc>
        <w:tc>
          <w:tcPr>
            <w:tcW w:type="dxa" w:w="1378"/>
          </w:tcPr>
          <w:p>
            <w:r/>
            <w:r>
              <w:rPr>
                <w:b/>
                <w:color w:val="5B6570"/>
                <w:sz w:val="17"/>
              </w:rPr>
              <w:t>Consistent across the record</w:t>
            </w:r>
          </w:p>
        </w:tc>
      </w:tr>
      <w:tr>
        <w:trPr>
          <w:cantSplit/>
        </w:trPr>
        <w:tc>
          <w:tcPr>
            <w:tcW w:type="dxa" w:w="4127"/>
          </w:tcPr>
          <w:p>
            <w:r/>
            <w:r>
              <w:rPr>
                <w:color w:val="1A1D21"/>
                <w:sz w:val="17"/>
              </w:rPr>
              <w:t>Development revenue</w:t>
            </w:r>
          </w:p>
        </w:tc>
        <w:tc>
          <w:tcPr>
            <w:tcW w:type="dxa" w:w="1610"/>
          </w:tcPr>
          <w:p>
            <w:pPr>
              <w:jc w:val="right"/>
            </w:pPr>
            <w:r/>
            <w:r>
              <w:rPr>
                <w:color w:val="1A1D21"/>
                <w:sz w:val="17"/>
              </w:rPr>
              <w:t>35</w:t>
            </w:r>
          </w:p>
        </w:tc>
        <w:tc>
          <w:tcPr>
            <w:tcW w:type="dxa" w:w="1032"/>
          </w:tcPr>
          <w:p>
            <w:pPr>
              <w:jc w:val="right"/>
            </w:pPr>
            <w:r/>
            <w:r>
              <w:rPr>
                <w:color w:val="1A1D21"/>
                <w:sz w:val="17"/>
              </w:rPr>
              <w:t>-0.06</w:t>
            </w:r>
          </w:p>
        </w:tc>
        <w:tc>
          <w:tcPr>
            <w:tcW w:type="dxa" w:w="1032"/>
          </w:tcPr>
          <w:p>
            <w:pPr>
              <w:jc w:val="right"/>
            </w:pPr>
            <w:r/>
            <w:r>
              <w:rPr>
                <w:color w:val="1A1D21"/>
                <w:sz w:val="17"/>
              </w:rPr>
              <w:t>0.28</w:t>
            </w:r>
          </w:p>
        </w:tc>
        <w:tc>
          <w:tcPr>
            <w:tcW w:type="dxa" w:w="1378"/>
          </w:tcPr>
          <w:p>
            <w:r/>
            <w:r>
              <w:rPr>
                <w:color w:val="1A1D21"/>
                <w:sz w:val="17"/>
              </w:rPr>
              <w:t>no</w:t>
            </w:r>
          </w:p>
        </w:tc>
      </w:tr>
      <w:tr>
        <w:trPr>
          <w:cantSplit/>
        </w:trPr>
        <w:tc>
          <w:tcPr>
            <w:tcW w:type="dxa" w:w="4127"/>
          </w:tcPr>
          <w:p>
            <w:r/>
            <w:r>
              <w:rPr>
                <w:color w:val="1A1D21"/>
                <w:sz w:val="17"/>
              </w:rPr>
              <w:t>Total revenue</w:t>
            </w:r>
          </w:p>
        </w:tc>
        <w:tc>
          <w:tcPr>
            <w:tcW w:type="dxa" w:w="1610"/>
          </w:tcPr>
          <w:p>
            <w:pPr>
              <w:jc w:val="right"/>
            </w:pPr>
            <w:r/>
            <w:r>
              <w:rPr>
                <w:color w:val="1A1D21"/>
                <w:sz w:val="17"/>
              </w:rPr>
              <w:t>35</w:t>
            </w:r>
          </w:p>
        </w:tc>
        <w:tc>
          <w:tcPr>
            <w:tcW w:type="dxa" w:w="1032"/>
          </w:tcPr>
          <w:p>
            <w:pPr>
              <w:jc w:val="right"/>
            </w:pPr>
            <w:r/>
            <w:r>
              <w:rPr>
                <w:color w:val="1A1D21"/>
                <w:sz w:val="17"/>
              </w:rPr>
              <w:t>-0.09</w:t>
            </w:r>
          </w:p>
        </w:tc>
        <w:tc>
          <w:tcPr>
            <w:tcW w:type="dxa" w:w="1032"/>
          </w:tcPr>
          <w:p>
            <w:pPr>
              <w:jc w:val="right"/>
            </w:pPr>
            <w:r/>
            <w:r>
              <w:rPr>
                <w:color w:val="1A1D21"/>
                <w:sz w:val="17"/>
              </w:rPr>
              <w:t>0.37</w:t>
            </w:r>
          </w:p>
        </w:tc>
        <w:tc>
          <w:tcPr>
            <w:tcW w:type="dxa" w:w="1378"/>
          </w:tcPr>
          <w:p>
            <w:r/>
            <w:r>
              <w:rPr>
                <w:color w:val="1A1D21"/>
                <w:sz w:val="17"/>
              </w:rPr>
              <w:t>no</w:t>
            </w:r>
          </w:p>
        </w:tc>
      </w:tr>
      <w:tr>
        <w:trPr>
          <w:cantSplit/>
        </w:trPr>
        <w:tc>
          <w:tcPr>
            <w:tcW w:type="dxa" w:w="4127"/>
          </w:tcPr>
          <w:p>
            <w:r/>
            <w:r>
              <w:rPr>
                <w:color w:val="1A1D21"/>
                <w:sz w:val="17"/>
              </w:rPr>
              <w:t>Gross profit</w:t>
            </w:r>
          </w:p>
        </w:tc>
        <w:tc>
          <w:tcPr>
            <w:tcW w:type="dxa" w:w="1610"/>
          </w:tcPr>
          <w:p>
            <w:pPr>
              <w:jc w:val="right"/>
            </w:pPr>
            <w:r/>
            <w:r>
              <w:rPr>
                <w:color w:val="1A1D21"/>
                <w:sz w:val="17"/>
              </w:rPr>
              <w:t>35</w:t>
            </w:r>
          </w:p>
        </w:tc>
        <w:tc>
          <w:tcPr>
            <w:tcW w:type="dxa" w:w="1032"/>
          </w:tcPr>
          <w:p>
            <w:pPr>
              <w:jc w:val="right"/>
            </w:pPr>
            <w:r/>
            <w:r>
              <w:rPr>
                <w:color w:val="1A1D21"/>
                <w:sz w:val="17"/>
              </w:rPr>
              <w:t>-0.08</w:t>
            </w:r>
          </w:p>
        </w:tc>
        <w:tc>
          <w:tcPr>
            <w:tcW w:type="dxa" w:w="1032"/>
          </w:tcPr>
          <w:p>
            <w:pPr>
              <w:jc w:val="right"/>
            </w:pPr>
            <w:r/>
            <w:r>
              <w:rPr>
                <w:color w:val="1A1D21"/>
                <w:sz w:val="17"/>
              </w:rPr>
              <w:t>0.42</w:t>
            </w:r>
          </w:p>
        </w:tc>
        <w:tc>
          <w:tcPr>
            <w:tcW w:type="dxa" w:w="1378"/>
          </w:tcPr>
          <w:p>
            <w:r/>
            <w:r>
              <w:rPr>
                <w:color w:val="1A1D21"/>
                <w:sz w:val="17"/>
              </w:rPr>
              <w:t>no</w:t>
            </w:r>
          </w:p>
        </w:tc>
      </w:tr>
      <w:tr>
        <w:trPr>
          <w:cantSplit/>
        </w:trPr>
        <w:tc>
          <w:tcPr>
            <w:tcW w:type="dxa" w:w="4127"/>
          </w:tcPr>
          <w:p>
            <w:r/>
            <w:r>
              <w:rPr>
                <w:color w:val="1A1D21"/>
                <w:sz w:val="17"/>
              </w:rPr>
              <w:t>Net profit</w:t>
            </w:r>
          </w:p>
        </w:tc>
        <w:tc>
          <w:tcPr>
            <w:tcW w:type="dxa" w:w="1610"/>
          </w:tcPr>
          <w:p>
            <w:pPr>
              <w:jc w:val="right"/>
            </w:pPr>
            <w:r/>
            <w:r>
              <w:rPr>
                <w:color w:val="1A1D21"/>
                <w:sz w:val="17"/>
              </w:rPr>
              <w:t>34</w:t>
            </w:r>
          </w:p>
        </w:tc>
        <w:tc>
          <w:tcPr>
            <w:tcW w:type="dxa" w:w="1032"/>
          </w:tcPr>
          <w:p>
            <w:pPr>
              <w:jc w:val="right"/>
            </w:pPr>
            <w:r/>
            <w:r>
              <w:rPr>
                <w:color w:val="1A1D21"/>
                <w:sz w:val="17"/>
              </w:rPr>
              <w:t>+0.19</w:t>
            </w:r>
          </w:p>
        </w:tc>
        <w:tc>
          <w:tcPr>
            <w:tcW w:type="dxa" w:w="1032"/>
          </w:tcPr>
          <w:p>
            <w:pPr>
              <w:jc w:val="right"/>
            </w:pPr>
            <w:r/>
            <w:r>
              <w:rPr>
                <w:color w:val="1A1D21"/>
                <w:sz w:val="17"/>
              </w:rPr>
              <w:t>0.66</w:t>
            </w:r>
          </w:p>
        </w:tc>
        <w:tc>
          <w:tcPr>
            <w:tcW w:type="dxa" w:w="1378"/>
          </w:tcPr>
          <w:p>
            <w:r/>
            <w:r>
              <w:rPr>
                <w:color w:val="1A1D21"/>
                <w:sz w:val="17"/>
              </w:rPr>
              <w:t>no</w:t>
            </w:r>
          </w:p>
        </w:tc>
      </w:tr>
      <w:tr>
        <w:trPr>
          <w:cantSplit/>
        </w:trPr>
        <w:tc>
          <w:tcPr>
            <w:tcW w:type="dxa" w:w="4127"/>
          </w:tcPr>
          <w:p>
            <w:r/>
            <w:r>
              <w:rPr>
                <w:color w:val="1A1D21"/>
                <w:sz w:val="17"/>
              </w:rPr>
              <w:t>New contracted sales</w:t>
            </w:r>
          </w:p>
        </w:tc>
        <w:tc>
          <w:tcPr>
            <w:tcW w:type="dxa" w:w="1610"/>
          </w:tcPr>
          <w:p>
            <w:pPr>
              <w:jc w:val="right"/>
            </w:pPr>
            <w:r/>
            <w:r>
              <w:rPr>
                <w:color w:val="1A1D21"/>
                <w:sz w:val="17"/>
              </w:rPr>
              <w:t>33</w:t>
            </w:r>
          </w:p>
        </w:tc>
        <w:tc>
          <w:tcPr>
            <w:tcW w:type="dxa" w:w="1032"/>
          </w:tcPr>
          <w:p>
            <w:pPr>
              <w:jc w:val="right"/>
            </w:pPr>
            <w:r/>
            <w:r>
              <w:rPr>
                <w:color w:val="1A1D21"/>
                <w:sz w:val="17"/>
              </w:rPr>
              <w:t>-0.88</w:t>
            </w:r>
          </w:p>
        </w:tc>
        <w:tc>
          <w:tcPr>
            <w:tcW w:type="dxa" w:w="1032"/>
          </w:tcPr>
          <w:p>
            <w:pPr>
              <w:jc w:val="right"/>
            </w:pPr>
            <w:r/>
            <w:r>
              <w:rPr>
                <w:color w:val="1A1D21"/>
                <w:sz w:val="17"/>
              </w:rPr>
              <w:t>1.02</w:t>
            </w:r>
          </w:p>
        </w:tc>
        <w:tc>
          <w:tcPr>
            <w:tcW w:type="dxa" w:w="1378"/>
          </w:tcPr>
          <w:p>
            <w:r/>
            <w:r>
              <w:rPr>
                <w:color w:val="1A1D21"/>
                <w:sz w:val="17"/>
              </w:rPr>
              <w:t>yes</w:t>
            </w:r>
          </w:p>
        </w:tc>
      </w:tr>
      <w:tr>
        <w:trPr>
          <w:cantSplit/>
        </w:trPr>
        <w:tc>
          <w:tcPr>
            <w:tcW w:type="dxa" w:w="4127"/>
          </w:tcPr>
          <w:p>
            <w:r/>
            <w:r>
              <w:rPr>
                <w:color w:val="1A1D21"/>
                <w:sz w:val="17"/>
              </w:rPr>
              <w:t>Depreciation</w:t>
            </w:r>
          </w:p>
        </w:tc>
        <w:tc>
          <w:tcPr>
            <w:tcW w:type="dxa" w:w="1610"/>
          </w:tcPr>
          <w:p>
            <w:pPr>
              <w:jc w:val="right"/>
            </w:pPr>
            <w:r/>
            <w:r>
              <w:rPr>
                <w:color w:val="1A1D21"/>
                <w:sz w:val="17"/>
              </w:rPr>
              <w:t>30</w:t>
            </w:r>
          </w:p>
        </w:tc>
        <w:tc>
          <w:tcPr>
            <w:tcW w:type="dxa" w:w="1032"/>
          </w:tcPr>
          <w:p>
            <w:pPr>
              <w:jc w:val="right"/>
            </w:pPr>
            <w:r/>
            <w:r>
              <w:rPr>
                <w:color w:val="1A1D21"/>
                <w:sz w:val="17"/>
              </w:rPr>
              <w:t>-0.37</w:t>
            </w:r>
          </w:p>
        </w:tc>
        <w:tc>
          <w:tcPr>
            <w:tcW w:type="dxa" w:w="1032"/>
          </w:tcPr>
          <w:p>
            <w:pPr>
              <w:jc w:val="right"/>
            </w:pPr>
            <w:r/>
            <w:r>
              <w:rPr>
                <w:color w:val="1A1D21"/>
                <w:sz w:val="17"/>
              </w:rPr>
              <w:t>0.52</w:t>
            </w:r>
          </w:p>
        </w:tc>
        <w:tc>
          <w:tcPr>
            <w:tcW w:type="dxa" w:w="1378"/>
          </w:tcPr>
          <w:p>
            <w:r/>
            <w:r>
              <w:rPr>
                <w:color w:val="1A1D21"/>
                <w:sz w:val="17"/>
              </w:rPr>
              <w:t>yes</w:t>
            </w:r>
          </w:p>
        </w:tc>
      </w:tr>
      <w:tr>
        <w:trPr>
          <w:cantSplit/>
        </w:trPr>
        <w:tc>
          <w:tcPr>
            <w:tcW w:type="dxa" w:w="4127"/>
          </w:tcPr>
          <w:p>
            <w:r/>
            <w:r>
              <w:rPr>
                <w:color w:val="1A1D21"/>
                <w:sz w:val="17"/>
              </w:rPr>
              <w:t>Finance cost</w:t>
            </w:r>
          </w:p>
        </w:tc>
        <w:tc>
          <w:tcPr>
            <w:tcW w:type="dxa" w:w="1610"/>
          </w:tcPr>
          <w:p>
            <w:pPr>
              <w:jc w:val="right"/>
            </w:pPr>
            <w:r/>
            <w:r>
              <w:rPr>
                <w:color w:val="1A1D21"/>
                <w:sz w:val="17"/>
              </w:rPr>
              <w:t>30</w:t>
            </w:r>
          </w:p>
        </w:tc>
        <w:tc>
          <w:tcPr>
            <w:tcW w:type="dxa" w:w="1032"/>
          </w:tcPr>
          <w:p>
            <w:pPr>
              <w:jc w:val="right"/>
            </w:pPr>
            <w:r/>
            <w:r>
              <w:rPr>
                <w:color w:val="1A1D21"/>
                <w:sz w:val="17"/>
              </w:rPr>
              <w:t>-1.22</w:t>
            </w:r>
          </w:p>
        </w:tc>
        <w:tc>
          <w:tcPr>
            <w:tcW w:type="dxa" w:w="1032"/>
          </w:tcPr>
          <w:p>
            <w:pPr>
              <w:jc w:val="right"/>
            </w:pPr>
            <w:r/>
            <w:r>
              <w:rPr>
                <w:color w:val="1A1D21"/>
                <w:sz w:val="17"/>
              </w:rPr>
              <w:t>1.22</w:t>
            </w:r>
          </w:p>
        </w:tc>
        <w:tc>
          <w:tcPr>
            <w:tcW w:type="dxa" w:w="1378"/>
          </w:tcPr>
          <w:p>
            <w:r/>
            <w:r>
              <w:rPr>
                <w:color w:val="1A1D21"/>
                <w:sz w:val="17"/>
              </w:rPr>
              <w:t>yes</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5% low and a typical error of 32%,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for 2025, against the EGP 11,802 million of loans, current maturities and credit facilities it carried at that year end, implies a rate of 33.4% — against the 25.50% this model charges on borrowings.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58.54</w:t>
            </w:r>
          </w:p>
        </w:tc>
      </w:tr>
      <w:tr>
        <w:trPr>
          <w:cantSplit/>
        </w:trPr>
        <w:tc>
          <w:tcPr>
            <w:tcW w:type="dxa" w:w="3969"/>
          </w:tcPr>
          <w:p>
            <w:r/>
            <w:r>
              <w:rPr>
                <w:color w:val="1A1D21"/>
                <w:sz w:val="17"/>
              </w:rPr>
              <w:t>10</w:t>
            </w:r>
          </w:p>
        </w:tc>
        <w:tc>
          <w:tcPr>
            <w:tcW w:type="dxa" w:w="2268"/>
          </w:tcPr>
          <w:p>
            <w:pPr>
              <w:jc w:val="right"/>
            </w:pPr>
            <w:r/>
            <w:r>
              <w:rPr>
                <w:color w:val="1A1D21"/>
                <w:sz w:val="17"/>
              </w:rPr>
              <w:t>84.50</w:t>
            </w:r>
          </w:p>
        </w:tc>
      </w:tr>
      <w:tr>
        <w:trPr>
          <w:cantSplit/>
        </w:trPr>
        <w:tc>
          <w:tcPr>
            <w:tcW w:type="dxa" w:w="3969"/>
          </w:tcPr>
          <w:p>
            <w:r/>
            <w:r>
              <w:rPr>
                <w:color w:val="1A1D21"/>
                <w:sz w:val="17"/>
              </w:rPr>
              <w:t>12</w:t>
            </w:r>
          </w:p>
        </w:tc>
        <w:tc>
          <w:tcPr>
            <w:tcW w:type="dxa" w:w="2268"/>
          </w:tcPr>
          <w:p>
            <w:pPr>
              <w:jc w:val="right"/>
            </w:pPr>
            <w:r/>
            <w:r>
              <w:rPr>
                <w:color w:val="1A1D21"/>
                <w:sz w:val="17"/>
              </w:rPr>
              <w:t>103.67</w:t>
            </w:r>
          </w:p>
        </w:tc>
      </w:tr>
      <w:tr>
        <w:trPr>
          <w:cantSplit/>
        </w:trPr>
        <w:tc>
          <w:tcPr>
            <w:tcW w:type="dxa" w:w="3969"/>
          </w:tcPr>
          <w:p>
            <w:r/>
            <w:r>
              <w:rPr>
                <w:color w:val="1A1D21"/>
                <w:sz w:val="17"/>
              </w:rPr>
              <w:t>14</w:t>
            </w:r>
          </w:p>
        </w:tc>
        <w:tc>
          <w:tcPr>
            <w:tcW w:type="dxa" w:w="2268"/>
          </w:tcPr>
          <w:p>
            <w:pPr>
              <w:jc w:val="right"/>
            </w:pPr>
            <w:r/>
            <w:r>
              <w:rPr>
                <w:color w:val="1A1D21"/>
                <w:sz w:val="17"/>
              </w:rPr>
              <w:t>118.50</w:t>
            </w:r>
          </w:p>
        </w:tc>
      </w:tr>
      <w:tr>
        <w:trPr>
          <w:cantSplit/>
        </w:trPr>
        <w:tc>
          <w:tcPr>
            <w:tcW w:type="dxa" w:w="3969"/>
          </w:tcPr>
          <w:p>
            <w:r/>
            <w:r>
              <w:rPr>
                <w:color w:val="1A1D21"/>
                <w:sz w:val="17"/>
              </w:rPr>
              <w:t>16</w:t>
            </w:r>
          </w:p>
        </w:tc>
        <w:tc>
          <w:tcPr>
            <w:tcW w:type="dxa" w:w="2268"/>
          </w:tcPr>
          <w:p>
            <w:pPr>
              <w:jc w:val="right"/>
            </w:pPr>
            <w:r/>
            <w:r>
              <w:rPr>
                <w:color w:val="1A1D21"/>
                <w:sz w:val="17"/>
              </w:rPr>
              <w:t>130.36</w:t>
            </w:r>
          </w:p>
        </w:tc>
      </w:tr>
      <w:tr>
        <w:trPr>
          <w:cantSplit/>
        </w:trPr>
        <w:tc>
          <w:tcPr>
            <w:tcW w:type="dxa" w:w="3969"/>
          </w:tcPr>
          <w:p>
            <w:r/>
            <w:r>
              <w:rPr>
                <w:color w:val="1A1D21"/>
                <w:sz w:val="17"/>
              </w:rPr>
              <w:t>20</w:t>
            </w:r>
          </w:p>
        </w:tc>
        <w:tc>
          <w:tcPr>
            <w:tcW w:type="dxa" w:w="2268"/>
          </w:tcPr>
          <w:p>
            <w:pPr>
              <w:jc w:val="right"/>
            </w:pPr>
            <w:r/>
            <w:r>
              <w:rPr>
                <w:color w:val="1A1D21"/>
                <w:sz w:val="17"/>
              </w:rPr>
              <w:t>148.18</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first-year rates near 32% that investment pays back only slowly inside the window. The slower reading is worth EGP 118.68 a share and the faster one EGP 63.80. Both are published, and the gap between them is the study's crux.</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 rating basis</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 rating basis</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Egypt's own default spread, swap basis</w:t>
            </w:r>
          </w:p>
        </w:tc>
        <w:tc>
          <w:tcPr>
            <w:tcW w:type="dxa" w:w="1474"/>
          </w:tcPr>
          <w:p>
            <w:pPr>
              <w:jc w:val="right"/>
            </w:pPr>
            <w:r/>
            <w:r>
              <w:rPr>
                <w:color w:val="1A1D21"/>
                <w:sz w:val="17"/>
              </w:rPr>
              <w:t>3.41%</w:t>
            </w:r>
          </w:p>
        </w:tc>
        <w:tc>
          <w:tcPr>
            <w:tcW w:type="dxa" w:w="5216"/>
          </w:tcPr>
          <w:p>
            <w:r/>
            <w:r>
              <w:rPr>
                <w:color w:val="1A1D21"/>
                <w:sz w:val="17"/>
              </w:rPr>
              <w:t>the sovereign credit-default-swap spread from the same file, which is what the swap-basis premium is built on</w:t>
            </w:r>
          </w:p>
        </w:tc>
      </w:tr>
      <w:tr>
        <w:trPr>
          <w:cantSplit/>
        </w:trPr>
        <w:tc>
          <w:tcPr>
            <w:tcW w:type="dxa" w:w="2494"/>
          </w:tcPr>
          <w:p>
            <w:r/>
            <w:r>
              <w:rPr>
                <w:color w:val="1A1D21"/>
                <w:sz w:val="17"/>
              </w:rPr>
              <w:t>Risk-free rate, normalised, swap basis</w:t>
            </w:r>
          </w:p>
        </w:tc>
        <w:tc>
          <w:tcPr>
            <w:tcW w:type="dxa" w:w="1474"/>
          </w:tcPr>
          <w:p>
            <w:pPr>
              <w:jc w:val="right"/>
            </w:pPr>
            <w:r/>
            <w:r>
              <w:rPr>
                <w:color w:val="1A1D21"/>
                <w:sz w:val="17"/>
              </w:rPr>
              <w:t>19.59%</w:t>
            </w:r>
          </w:p>
        </w:tc>
        <w:tc>
          <w:tcPr>
            <w:tcW w:type="dxa" w:w="5216"/>
          </w:tcPr>
          <w:p>
            <w:r/>
            <w:r>
              <w:rPr>
                <w:color w:val="1A1D21"/>
                <w:sz w:val="17"/>
              </w:rPr>
              <w:t>the bond yield less THAT spread; the two bases are not mixed</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1.4687</w:t>
            </w:r>
          </w:p>
        </w:tc>
        <w:tc>
          <w:tcPr>
            <w:tcW w:type="dxa" w:w="5216"/>
          </w:tcPr>
          <w:p>
            <w:r/>
            <w:r>
              <w:rPr>
                <w:color w:val="1A1D21"/>
                <w:sz w:val="17"/>
              </w:rPr>
              <w:t>TMGH's own weekly returns regressed against the Egyptian Exchange's published index over 4.94 years, 256 observations, explaining 32.5% of the variation, standard error 0.183</w:t>
            </w:r>
          </w:p>
        </w:tc>
      </w:tr>
      <w:tr>
        <w:trPr>
          <w:cantSplit/>
        </w:trPr>
        <w:tc>
          <w:tcPr>
            <w:tcW w:type="dxa" w:w="2494"/>
          </w:tcPr>
          <w:p>
            <w:r/>
            <w:r>
              <w:rPr>
                <w:color w:val="1A1D21"/>
                <w:sz w:val="17"/>
              </w:rPr>
              <w:t>Cost of equity</w:t>
            </w:r>
          </w:p>
        </w:tc>
        <w:tc>
          <w:tcPr>
            <w:tcW w:type="dxa" w:w="1474"/>
          </w:tcPr>
          <w:p>
            <w:r/>
            <w:r>
              <w:rPr>
                <w:color w:val="1A1D21"/>
                <w:sz w:val="17"/>
              </w:rPr>
              <w:t>37.10% / 33.41%</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92.1% equity / 7.9%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Cost of capital, first year</w:t>
            </w:r>
          </w:p>
        </w:tc>
        <w:tc>
          <w:tcPr>
            <w:tcW w:type="dxa" w:w="1474"/>
          </w:tcPr>
          <w:p>
            <w:r/>
            <w:r>
              <w:rPr>
                <w:color w:val="1A1D21"/>
                <w:sz w:val="17"/>
              </w:rPr>
              <w:t>35.74% / 32.34%</w:t>
            </w:r>
          </w:p>
        </w:tc>
        <w:tc>
          <w:tcPr>
            <w:tcW w:type="dxa" w:w="5216"/>
          </w:tcPr>
          <w:p>
            <w:r/>
            <w:r>
              <w:rPr>
                <w:color w:val="1A1D21"/>
                <w:sz w:val="17"/>
              </w:rPr>
              <w:t>both premium bases published, neither averaged</w:t>
            </w:r>
          </w:p>
        </w:tc>
      </w:tr>
      <w:tr>
        <w:trPr>
          <w:cantSplit/>
        </w:trPr>
        <w:tc>
          <w:tcPr>
            <w:tcW w:type="dxa" w:w="2494"/>
          </w:tcPr>
          <w:p>
            <w:r/>
            <w:r>
              <w:rPr>
                <w:color w:val="1A1D21"/>
                <w:sz w:val="17"/>
              </w:rPr>
              <w:t>Cost of capital, once normalised</w:t>
            </w:r>
          </w:p>
        </w:tc>
        <w:tc>
          <w:tcPr>
            <w:tcW w:type="dxa" w:w="1474"/>
          </w:tcPr>
          <w:p>
            <w:pPr>
              <w:jc w:val="right"/>
            </w:pPr>
            <w:r/>
            <w:r>
              <w:rPr>
                <w:color w:val="1A1D21"/>
                <w:sz w:val="17"/>
              </w:rPr>
              <w:t>21.90%</w:t>
            </w:r>
          </w:p>
        </w:tc>
        <w:tc>
          <w:tcPr>
            <w:tcW w:type="dxa" w:w="5216"/>
          </w:tcPr>
          <w:p>
            <w:r/>
            <w:r>
              <w:rPr>
                <w:color w:val="1A1D21"/>
                <w:sz w:val="17"/>
              </w:rPr>
              <w:t>built from the central bank's own inflation target plus a standard real return, not quoted from any market: 12.50% risk-free, 7.00% premium, 15.00% cost of debt</w:t>
            </w:r>
          </w:p>
        </w:tc>
      </w:tr>
      <w:tr>
        <w:trPr>
          <w:cantSplit/>
        </w:trPr>
        <w:tc>
          <w:tcPr>
            <w:tcW w:type="dxa" w:w="2494"/>
          </w:tcPr>
          <w:p>
            <w:r/>
            <w:r>
              <w:rPr>
                <w:color w:val="1A1D21"/>
                <w:sz w:val="17"/>
              </w:rPr>
              <w:t>The path between them</w:t>
            </w:r>
          </w:p>
        </w:tc>
        <w:tc>
          <w:tcPr>
            <w:tcW w:type="dxa" w:w="1474"/>
          </w:tcPr>
          <w:p>
            <w:r/>
            <w:r>
              <w:rPr>
                <w:color w:val="1A1D21"/>
                <w:sz w:val="17"/>
              </w:rPr>
              <w:t>32.3% to 21.9%</w:t>
            </w:r>
          </w:p>
        </w:tc>
        <w:tc>
          <w:tcPr>
            <w:tcW w:type="dxa" w:w="5216"/>
          </w:tcPr>
          <w:p>
            <w:r/>
            <w:r>
              <w:rPr>
                <w:color w:val="1A1D21"/>
                <w:sz w:val="17"/>
              </w:rPr>
              <w:t>each year discounted at its own rate; the shape follows the central bank's published easing calendar rather than a second assumption of this study's own</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582"/>
        <w:gridCol w:w="794"/>
        <w:gridCol w:w="794"/>
        <w:gridCol w:w="794"/>
        <w:gridCol w:w="794"/>
        <w:gridCol w:w="794"/>
        <w:gridCol w:w="794"/>
        <w:gridCol w:w="794"/>
        <w:gridCol w:w="794"/>
        <w:gridCol w:w="794"/>
        <w:gridCol w:w="794"/>
      </w:tblGrid>
      <w:tr>
        <w:trPr>
          <w:tblHeader w:val="true"/>
        </w:trPr>
        <w:tc>
          <w:tcPr>
            <w:tcW w:type="dxa" w:w="1582"/>
          </w:tcPr>
          <w:p>
            <w:r/>
            <w:r>
              <w:rPr>
                <w:b/>
                <w:color w:val="5B6570"/>
                <w:sz w:val="17"/>
              </w:rPr>
              <w:t>Year</w:t>
            </w:r>
          </w:p>
        </w:tc>
        <w:tc>
          <w:tcPr>
            <w:tcW w:type="dxa" w:w="794"/>
          </w:tcPr>
          <w:p>
            <w:r/>
            <w:r>
              <w:rPr>
                <w:b/>
                <w:color w:val="5B6570"/>
                <w:sz w:val="17"/>
              </w:rPr>
              <w:t>1</w:t>
            </w:r>
          </w:p>
        </w:tc>
        <w:tc>
          <w:tcPr>
            <w:tcW w:type="dxa" w:w="794"/>
          </w:tcPr>
          <w:p>
            <w:r/>
            <w:r>
              <w:rPr>
                <w:b/>
                <w:color w:val="5B6570"/>
                <w:sz w:val="17"/>
              </w:rPr>
              <w:t>2</w:t>
            </w:r>
          </w:p>
        </w:tc>
        <w:tc>
          <w:tcPr>
            <w:tcW w:type="dxa" w:w="794"/>
          </w:tcPr>
          <w:p>
            <w:r/>
            <w:r>
              <w:rPr>
                <w:b/>
                <w:color w:val="5B6570"/>
                <w:sz w:val="17"/>
              </w:rPr>
              <w:t>3</w:t>
            </w:r>
          </w:p>
        </w:tc>
        <w:tc>
          <w:tcPr>
            <w:tcW w:type="dxa" w:w="794"/>
          </w:tcPr>
          <w:p>
            <w:r/>
            <w:r>
              <w:rPr>
                <w:b/>
                <w:color w:val="5B6570"/>
                <w:sz w:val="17"/>
              </w:rPr>
              <w:t>4</w:t>
            </w:r>
          </w:p>
        </w:tc>
        <w:tc>
          <w:tcPr>
            <w:tcW w:type="dxa" w:w="794"/>
          </w:tcPr>
          <w:p>
            <w:r/>
            <w:r>
              <w:rPr>
                <w:b/>
                <w:color w:val="5B6570"/>
                <w:sz w:val="17"/>
              </w:rPr>
              <w:t>5</w:t>
            </w:r>
          </w:p>
        </w:tc>
        <w:tc>
          <w:tcPr>
            <w:tcW w:type="dxa" w:w="794"/>
          </w:tcPr>
          <w:p>
            <w:r/>
            <w:r>
              <w:rPr>
                <w:b/>
                <w:color w:val="5B6570"/>
                <w:sz w:val="17"/>
              </w:rPr>
              <w:t>6</w:t>
            </w:r>
          </w:p>
        </w:tc>
        <w:tc>
          <w:tcPr>
            <w:tcW w:type="dxa" w:w="794"/>
          </w:tcPr>
          <w:p>
            <w:r/>
            <w:r>
              <w:rPr>
                <w:b/>
                <w:color w:val="5B6570"/>
                <w:sz w:val="17"/>
              </w:rPr>
              <w:t>7</w:t>
            </w:r>
          </w:p>
        </w:tc>
        <w:tc>
          <w:tcPr>
            <w:tcW w:type="dxa" w:w="794"/>
          </w:tcPr>
          <w:p>
            <w:r/>
            <w:r>
              <w:rPr>
                <w:b/>
                <w:color w:val="5B6570"/>
                <w:sz w:val="17"/>
              </w:rPr>
              <w:t>8</w:t>
            </w:r>
          </w:p>
        </w:tc>
        <w:tc>
          <w:tcPr>
            <w:tcW w:type="dxa" w:w="794"/>
          </w:tcPr>
          <w:p>
            <w:r/>
            <w:r>
              <w:rPr>
                <w:b/>
                <w:color w:val="5B6570"/>
                <w:sz w:val="17"/>
              </w:rPr>
              <w:t>9</w:t>
            </w:r>
          </w:p>
        </w:tc>
        <w:tc>
          <w:tcPr>
            <w:tcW w:type="dxa" w:w="794"/>
          </w:tcPr>
          <w:p>
            <w:r/>
            <w:r>
              <w:rPr>
                <w:b/>
                <w:color w:val="5B6570"/>
                <w:sz w:val="17"/>
              </w:rPr>
              <w:t>10</w:t>
            </w:r>
          </w:p>
        </w:tc>
      </w:tr>
      <w:tr>
        <w:trPr>
          <w:cantSplit/>
        </w:trPr>
        <w:tc>
          <w:tcPr>
            <w:tcW w:type="dxa" w:w="1582"/>
          </w:tcPr>
          <w:p>
            <w:r/>
            <w:r>
              <w:rPr>
                <w:color w:val="1A1D21"/>
                <w:sz w:val="17"/>
              </w:rPr>
              <w:t>Cost of capital</w:t>
            </w:r>
          </w:p>
        </w:tc>
        <w:tc>
          <w:tcPr>
            <w:tcW w:type="dxa" w:w="794"/>
          </w:tcPr>
          <w:p>
            <w:pPr>
              <w:jc w:val="right"/>
            </w:pPr>
            <w:r/>
            <w:r>
              <w:rPr>
                <w:color w:val="1A1D21"/>
                <w:sz w:val="17"/>
              </w:rPr>
              <w:t>32.3%</w:t>
            </w:r>
          </w:p>
        </w:tc>
        <w:tc>
          <w:tcPr>
            <w:tcW w:type="dxa" w:w="794"/>
          </w:tcPr>
          <w:p>
            <w:pPr>
              <w:jc w:val="right"/>
            </w:pPr>
            <w:r/>
            <w:r>
              <w:rPr>
                <w:color w:val="1A1D21"/>
                <w:sz w:val="17"/>
              </w:rPr>
              <w:t>28.6%</w:t>
            </w:r>
          </w:p>
        </w:tc>
        <w:tc>
          <w:tcPr>
            <w:tcW w:type="dxa" w:w="794"/>
          </w:tcPr>
          <w:p>
            <w:pPr>
              <w:jc w:val="right"/>
            </w:pPr>
            <w:r/>
            <w:r>
              <w:rPr>
                <w:color w:val="1A1D21"/>
                <w:sz w:val="17"/>
              </w:rPr>
              <w:t>25.6%</w:t>
            </w:r>
          </w:p>
        </w:tc>
        <w:tc>
          <w:tcPr>
            <w:tcW w:type="dxa" w:w="794"/>
          </w:tcPr>
          <w:p>
            <w:pPr>
              <w:jc w:val="right"/>
            </w:pPr>
            <w:r/>
            <w:r>
              <w:rPr>
                <w:color w:val="1A1D21"/>
                <w:sz w:val="17"/>
              </w:rPr>
              <w:t>23.4%</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c>
          <w:tcPr>
            <w:tcW w:type="dxa" w:w="794"/>
          </w:tcPr>
          <w:p>
            <w:pPr>
              <w:jc w:val="right"/>
            </w:pPr>
            <w:r/>
            <w:r>
              <w:rPr>
                <w:color w:val="1A1D21"/>
                <w:sz w:val="17"/>
              </w:rPr>
              <w:t>21.9%</w:t>
            </w:r>
          </w:p>
        </w:tc>
      </w:tr>
      <w:tr>
        <w:trPr>
          <w:cantSplit/>
        </w:trPr>
        <w:tc>
          <w:tcPr>
            <w:tcW w:type="dxa" w:w="1582"/>
          </w:tcPr>
          <w:p>
            <w:r/>
            <w:r>
              <w:rPr>
                <w:color w:val="1A1D21"/>
                <w:sz w:val="17"/>
              </w:rPr>
              <w:t>A pound arriving then is worth</w:t>
            </w:r>
          </w:p>
        </w:tc>
        <w:tc>
          <w:tcPr>
            <w:tcW w:type="dxa" w:w="794"/>
          </w:tcPr>
          <w:p>
            <w:pPr>
              <w:jc w:val="right"/>
            </w:pPr>
            <w:r/>
            <w:r>
              <w:rPr>
                <w:color w:val="1A1D21"/>
                <w:sz w:val="17"/>
              </w:rPr>
              <w:t>0.756</w:t>
            </w:r>
          </w:p>
        </w:tc>
        <w:tc>
          <w:tcPr>
            <w:tcW w:type="dxa" w:w="794"/>
          </w:tcPr>
          <w:p>
            <w:pPr>
              <w:jc w:val="right"/>
            </w:pPr>
            <w:r/>
            <w:r>
              <w:rPr>
                <w:color w:val="1A1D21"/>
                <w:sz w:val="17"/>
              </w:rPr>
              <w:t>0.588</w:t>
            </w:r>
          </w:p>
        </w:tc>
        <w:tc>
          <w:tcPr>
            <w:tcW w:type="dxa" w:w="794"/>
          </w:tcPr>
          <w:p>
            <w:pPr>
              <w:jc w:val="right"/>
            </w:pPr>
            <w:r/>
            <w:r>
              <w:rPr>
                <w:color w:val="1A1D21"/>
                <w:sz w:val="17"/>
              </w:rPr>
              <w:t>0.468</w:t>
            </w:r>
          </w:p>
        </w:tc>
        <w:tc>
          <w:tcPr>
            <w:tcW w:type="dxa" w:w="794"/>
          </w:tcPr>
          <w:p>
            <w:pPr>
              <w:jc w:val="right"/>
            </w:pPr>
            <w:r/>
            <w:r>
              <w:rPr>
                <w:color w:val="1A1D21"/>
                <w:sz w:val="17"/>
              </w:rPr>
              <w:t>0.379</w:t>
            </w:r>
          </w:p>
        </w:tc>
        <w:tc>
          <w:tcPr>
            <w:tcW w:type="dxa" w:w="794"/>
          </w:tcPr>
          <w:p>
            <w:pPr>
              <w:jc w:val="right"/>
            </w:pPr>
            <w:r/>
            <w:r>
              <w:rPr>
                <w:color w:val="1A1D21"/>
                <w:sz w:val="17"/>
              </w:rPr>
              <w:t>0.311</w:t>
            </w:r>
          </w:p>
        </w:tc>
        <w:tc>
          <w:tcPr>
            <w:tcW w:type="dxa" w:w="794"/>
          </w:tcPr>
          <w:p>
            <w:pPr>
              <w:jc w:val="right"/>
            </w:pPr>
            <w:r/>
            <w:r>
              <w:rPr>
                <w:color w:val="1A1D21"/>
                <w:sz w:val="17"/>
              </w:rPr>
              <w:t>0.255</w:t>
            </w:r>
          </w:p>
        </w:tc>
        <w:tc>
          <w:tcPr>
            <w:tcW w:type="dxa" w:w="794"/>
          </w:tcPr>
          <w:p>
            <w:pPr>
              <w:jc w:val="right"/>
            </w:pPr>
            <w:r/>
            <w:r>
              <w:rPr>
                <w:color w:val="1A1D21"/>
                <w:sz w:val="17"/>
              </w:rPr>
              <w:t>0.209</w:t>
            </w:r>
          </w:p>
        </w:tc>
        <w:tc>
          <w:tcPr>
            <w:tcW w:type="dxa" w:w="794"/>
          </w:tcPr>
          <w:p>
            <w:pPr>
              <w:jc w:val="right"/>
            </w:pPr>
            <w:r/>
            <w:r>
              <w:rPr>
                <w:color w:val="1A1D21"/>
                <w:sz w:val="17"/>
              </w:rPr>
              <w:t>0.172</w:t>
            </w:r>
          </w:p>
        </w:tc>
        <w:tc>
          <w:tcPr>
            <w:tcW w:type="dxa" w:w="794"/>
          </w:tcPr>
          <w:p>
            <w:pPr>
              <w:jc w:val="right"/>
            </w:pPr>
            <w:r/>
            <w:r>
              <w:rPr>
                <w:color w:val="1A1D21"/>
                <w:sz w:val="17"/>
              </w:rPr>
              <w:t>0.141</w:t>
            </w:r>
          </w:p>
        </w:tc>
        <w:tc>
          <w:tcPr>
            <w:tcW w:type="dxa" w:w="794"/>
          </w:tcPr>
          <w:p>
            <w:pPr>
              <w:jc w:val="right"/>
            </w:pPr>
            <w:r/>
            <w:r>
              <w:rPr>
                <w:color w:val="1A1D21"/>
                <w:sz w:val="17"/>
              </w:rPr>
              <w:t>0.116</w:t>
            </w:r>
          </w:p>
        </w:tc>
      </w:tr>
    </w:tbl>
    <w:p>
      <w:pPr>
        <w:spacing w:after="80"/>
      </w:pPr>
      <w:r>
        <w:rPr>
          <w:b w:val="0"/>
          <w:i w:val="0"/>
          <w:color w:val="1A1D21"/>
          <w:sz w:val="8"/>
        </w:rPr>
      </w:r>
    </w:p>
    <w:p>
      <w:pPr>
        <w:spacing w:after="140"/>
      </w:pPr>
      <w:r>
        <w:rPr>
          <w:b w:val="0"/>
          <w:i w:val="0"/>
          <w:color w:val="5B6570"/>
          <w:sz w:val="18"/>
        </w:rPr>
        <w:t>The terminal value is brought home on the same factor as the last year's cash flow, 0.116. The common alternative — discounting the forecast years at one rate and the terminal value at a lower one — gives the same pound arriving on the same day two different values, and it is not done here.</w:t>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24.37%</w:t>
            </w:r>
          </w:p>
        </w:tc>
        <w:tc>
          <w:tcPr>
            <w:tcW w:type="dxa" w:w="2494"/>
          </w:tcPr>
          <w:p>
            <w:pPr>
              <w:jc w:val="right"/>
            </w:pPr>
            <w:r/>
            <w:r>
              <w:rPr>
                <w:color w:val="1A1D21"/>
                <w:sz w:val="17"/>
              </w:rPr>
              <w:t>196.51</w:t>
            </w:r>
          </w:p>
        </w:tc>
        <w:tc>
          <w:tcPr>
            <w:tcW w:type="dxa" w:w="2494"/>
          </w:tcPr>
          <w:p>
            <w:pPr>
              <w:jc w:val="right"/>
            </w:pPr>
            <w:r/>
            <w:r>
              <w:rPr>
                <w:color w:val="1A1D21"/>
                <w:sz w:val="17"/>
              </w:rPr>
              <w:t>125.52</w:t>
            </w:r>
          </w:p>
        </w:tc>
        <w:tc>
          <w:tcPr>
            <w:tcW w:type="dxa" w:w="2381"/>
          </w:tcPr>
          <w:p>
            <w:pPr>
              <w:jc w:val="right"/>
            </w:pPr>
            <w:r/>
            <w:r>
              <w:rPr>
                <w:color w:val="1A1D21"/>
                <w:sz w:val="17"/>
              </w:rPr>
              <w:t>103%</w:t>
            </w:r>
          </w:p>
        </w:tc>
      </w:tr>
      <w:tr>
        <w:trPr>
          <w:cantSplit/>
        </w:trPr>
        <w:tc>
          <w:tcPr>
            <w:tcW w:type="dxa" w:w="1814"/>
          </w:tcPr>
          <w:p>
            <w:r/>
            <w:r>
              <w:rPr>
                <w:color w:val="1A1D21"/>
                <w:sz w:val="17"/>
              </w:rPr>
              <w:t>28.37%</w:t>
            </w:r>
          </w:p>
        </w:tc>
        <w:tc>
          <w:tcPr>
            <w:tcW w:type="dxa" w:w="2494"/>
          </w:tcPr>
          <w:p>
            <w:pPr>
              <w:jc w:val="right"/>
            </w:pPr>
            <w:r/>
            <w:r>
              <w:rPr>
                <w:color w:val="1A1D21"/>
                <w:sz w:val="17"/>
              </w:rPr>
              <w:t>149.44</w:t>
            </w:r>
          </w:p>
        </w:tc>
        <w:tc>
          <w:tcPr>
            <w:tcW w:type="dxa" w:w="2494"/>
          </w:tcPr>
          <w:p>
            <w:pPr>
              <w:jc w:val="right"/>
            </w:pPr>
            <w:r/>
            <w:r>
              <w:rPr>
                <w:color w:val="1A1D21"/>
                <w:sz w:val="17"/>
              </w:rPr>
              <w:t>84.41</w:t>
            </w:r>
          </w:p>
        </w:tc>
        <w:tc>
          <w:tcPr>
            <w:tcW w:type="dxa" w:w="2381"/>
          </w:tcPr>
          <w:p>
            <w:pPr>
              <w:jc w:val="right"/>
            </w:pPr>
            <w:r/>
            <w:r>
              <w:rPr>
                <w:color w:val="1A1D21"/>
                <w:sz w:val="17"/>
              </w:rPr>
              <w:t>55%</w:t>
            </w:r>
          </w:p>
        </w:tc>
      </w:tr>
      <w:tr>
        <w:trPr>
          <w:cantSplit/>
        </w:trPr>
        <w:tc>
          <w:tcPr>
            <w:tcW w:type="dxa" w:w="1814"/>
          </w:tcPr>
          <w:p>
            <w:r/>
            <w:r>
              <w:rPr>
                <w:color w:val="1A1D21"/>
                <w:sz w:val="17"/>
              </w:rPr>
              <w:t>30.37%</w:t>
            </w:r>
          </w:p>
        </w:tc>
        <w:tc>
          <w:tcPr>
            <w:tcW w:type="dxa" w:w="2494"/>
          </w:tcPr>
          <w:p>
            <w:pPr>
              <w:jc w:val="right"/>
            </w:pPr>
            <w:r/>
            <w:r>
              <w:rPr>
                <w:color w:val="1A1D21"/>
                <w:sz w:val="17"/>
              </w:rPr>
              <w:t>134.67</w:t>
            </w:r>
          </w:p>
        </w:tc>
        <w:tc>
          <w:tcPr>
            <w:tcW w:type="dxa" w:w="2494"/>
          </w:tcPr>
          <w:p>
            <w:pPr>
              <w:jc w:val="right"/>
            </w:pPr>
            <w:r/>
            <w:r>
              <w:rPr>
                <w:color w:val="1A1D21"/>
                <w:sz w:val="17"/>
              </w:rPr>
              <w:t>73.18</w:t>
            </w:r>
          </w:p>
        </w:tc>
        <w:tc>
          <w:tcPr>
            <w:tcW w:type="dxa" w:w="2381"/>
          </w:tcPr>
          <w:p>
            <w:pPr>
              <w:jc w:val="right"/>
            </w:pPr>
            <w:r/>
            <w:r>
              <w:rPr>
                <w:color w:val="1A1D21"/>
                <w:sz w:val="17"/>
              </w:rPr>
              <w:t>39%</w:t>
            </w:r>
          </w:p>
        </w:tc>
      </w:tr>
      <w:tr>
        <w:trPr>
          <w:cantSplit/>
        </w:trPr>
        <w:tc>
          <w:tcPr>
            <w:tcW w:type="dxa" w:w="1814"/>
          </w:tcPr>
          <w:p>
            <w:r/>
            <w:r>
              <w:rPr>
                <w:color w:val="1A1D21"/>
                <w:sz w:val="17"/>
              </w:rPr>
              <w:t>32.37%</w:t>
            </w:r>
          </w:p>
        </w:tc>
        <w:tc>
          <w:tcPr>
            <w:tcW w:type="dxa" w:w="2494"/>
          </w:tcPr>
          <w:p>
            <w:pPr>
              <w:jc w:val="right"/>
            </w:pPr>
            <w:r/>
            <w:r>
              <w:rPr>
                <w:color w:val="1A1D21"/>
                <w:sz w:val="17"/>
              </w:rPr>
              <w:t>123.03</w:t>
            </w:r>
          </w:p>
        </w:tc>
        <w:tc>
          <w:tcPr>
            <w:tcW w:type="dxa" w:w="2494"/>
          </w:tcPr>
          <w:p>
            <w:pPr>
              <w:jc w:val="right"/>
            </w:pPr>
            <w:r/>
            <w:r>
              <w:rPr>
                <w:color w:val="1A1D21"/>
                <w:sz w:val="17"/>
              </w:rPr>
              <w:t>65.16</w:t>
            </w:r>
          </w:p>
        </w:tc>
        <w:tc>
          <w:tcPr>
            <w:tcW w:type="dxa" w:w="2381"/>
          </w:tcPr>
          <w:p>
            <w:pPr>
              <w:jc w:val="right"/>
            </w:pPr>
            <w:r/>
            <w:r>
              <w:rPr>
                <w:color w:val="1A1D21"/>
                <w:sz w:val="17"/>
              </w:rPr>
              <w:t>27%</w:t>
            </w:r>
          </w:p>
        </w:tc>
      </w:tr>
      <w:tr>
        <w:trPr>
          <w:cantSplit/>
        </w:trPr>
        <w:tc>
          <w:tcPr>
            <w:tcW w:type="dxa" w:w="1814"/>
          </w:tcPr>
          <w:p>
            <w:r/>
            <w:r>
              <w:rPr>
                <w:color w:val="1A1D21"/>
                <w:sz w:val="17"/>
              </w:rPr>
              <w:t>34.37%</w:t>
            </w:r>
          </w:p>
        </w:tc>
        <w:tc>
          <w:tcPr>
            <w:tcW w:type="dxa" w:w="2494"/>
          </w:tcPr>
          <w:p>
            <w:pPr>
              <w:jc w:val="right"/>
            </w:pPr>
            <w:r/>
            <w:r>
              <w:rPr>
                <w:color w:val="1A1D21"/>
                <w:sz w:val="17"/>
              </w:rPr>
              <w:t>113.59</w:t>
            </w:r>
          </w:p>
        </w:tc>
        <w:tc>
          <w:tcPr>
            <w:tcW w:type="dxa" w:w="2494"/>
          </w:tcPr>
          <w:p>
            <w:pPr>
              <w:jc w:val="right"/>
            </w:pPr>
            <w:r/>
            <w:r>
              <w:rPr>
                <w:color w:val="1A1D21"/>
                <w:sz w:val="17"/>
              </w:rPr>
              <w:t>59.32</w:t>
            </w:r>
          </w:p>
        </w:tc>
        <w:tc>
          <w:tcPr>
            <w:tcW w:type="dxa" w:w="2381"/>
          </w:tcPr>
          <w:p>
            <w:pPr>
              <w:jc w:val="right"/>
            </w:pPr>
            <w:r/>
            <w:r>
              <w:rPr>
                <w:color w:val="1A1D21"/>
                <w:sz w:val="17"/>
              </w:rPr>
              <w:t>18%</w:t>
            </w:r>
          </w:p>
        </w:tc>
      </w:tr>
      <w:tr>
        <w:trPr>
          <w:cantSplit/>
        </w:trPr>
        <w:tc>
          <w:tcPr>
            <w:tcW w:type="dxa" w:w="1814"/>
          </w:tcPr>
          <w:p>
            <w:r/>
            <w:r>
              <w:rPr>
                <w:color w:val="1A1D21"/>
                <w:sz w:val="17"/>
              </w:rPr>
              <w:t>36.37%</w:t>
            </w:r>
          </w:p>
        </w:tc>
        <w:tc>
          <w:tcPr>
            <w:tcW w:type="dxa" w:w="2494"/>
          </w:tcPr>
          <w:p>
            <w:pPr>
              <w:jc w:val="right"/>
            </w:pPr>
            <w:r/>
            <w:r>
              <w:rPr>
                <w:color w:val="1A1D21"/>
                <w:sz w:val="17"/>
              </w:rPr>
              <w:t>105.78</w:t>
            </w:r>
          </w:p>
        </w:tc>
        <w:tc>
          <w:tcPr>
            <w:tcW w:type="dxa" w:w="2494"/>
          </w:tcPr>
          <w:p>
            <w:pPr>
              <w:jc w:val="right"/>
            </w:pPr>
            <w:r/>
            <w:r>
              <w:rPr>
                <w:color w:val="1A1D21"/>
                <w:sz w:val="17"/>
              </w:rPr>
              <w:t>54.99</w:t>
            </w:r>
          </w:p>
        </w:tc>
        <w:tc>
          <w:tcPr>
            <w:tcW w:type="dxa" w:w="2381"/>
          </w:tcPr>
          <w:p>
            <w:pPr>
              <w:jc w:val="right"/>
            </w:pPr>
            <w:r/>
            <w:r>
              <w:rPr>
                <w:color w:val="1A1D21"/>
                <w:sz w:val="17"/>
              </w:rPr>
              <w:t>10%</w:t>
            </w:r>
          </w:p>
        </w:tc>
      </w:tr>
      <w:tr>
        <w:trPr>
          <w:cantSplit/>
        </w:trPr>
        <w:tc>
          <w:tcPr>
            <w:tcW w:type="dxa" w:w="1814"/>
          </w:tcPr>
          <w:p>
            <w:r/>
            <w:r>
              <w:rPr>
                <w:color w:val="1A1D21"/>
                <w:sz w:val="17"/>
              </w:rPr>
              <w:t>40.37%</w:t>
            </w:r>
          </w:p>
        </w:tc>
        <w:tc>
          <w:tcPr>
            <w:tcW w:type="dxa" w:w="2494"/>
          </w:tcPr>
          <w:p>
            <w:pPr>
              <w:jc w:val="right"/>
            </w:pPr>
            <w:r/>
            <w:r>
              <w:rPr>
                <w:color w:val="1A1D21"/>
                <w:sz w:val="17"/>
              </w:rPr>
              <w:t>93.62</w:t>
            </w:r>
          </w:p>
        </w:tc>
        <w:tc>
          <w:tcPr>
            <w:tcW w:type="dxa" w:w="2494"/>
          </w:tcPr>
          <w:p>
            <w:pPr>
              <w:jc w:val="right"/>
            </w:pPr>
            <w:r/>
            <w:r>
              <w:rPr>
                <w:color w:val="1A1D21"/>
                <w:sz w:val="17"/>
              </w:rPr>
              <w:t>49.28</w:t>
            </w:r>
          </w:p>
        </w:tc>
        <w:tc>
          <w:tcPr>
            <w:tcW w:type="dxa" w:w="2381"/>
          </w:tcPr>
          <w:p>
            <w:pPr>
              <w:jc w:val="right"/>
            </w:pPr>
            <w:r/>
            <w:r>
              <w:rPr>
                <w:color w:val="1A1D21"/>
                <w:sz w:val="17"/>
              </w:rPr>
              <w:t>-3%</w:t>
            </w:r>
          </w:p>
        </w:tc>
      </w:tr>
    </w:tbl>
    <w:p>
      <w:pPr>
        <w:spacing w:after="200"/>
      </w:pPr>
      <w:r>
        <w:rPr>
          <w:b w:val="0"/>
          <w:i/>
          <w:color w:val="5B6570"/>
          <w:sz w:val="16"/>
        </w:rPr>
        <w:t>The last column compares the slower reading with the last traded price of EGP 96.60.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63.80 – 123.20</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12.63</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15.44 – 23.77</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and the shape of it matters as much as its level. This edition discounts each year at its own rate, gliding from 32.34% to 21.90% as the central bank's own published path plays out. A flat rate held at today's level for fifteen years is not a conservative assumption; it is a forecast that Egypt never normalises, and it was not one any earlier edition of this study argued for.</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three ways and all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of 33.4% on the borrowings that carried it, against the 25.50% this model charges;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1814"/>
        <w:gridCol w:w="964"/>
        <w:gridCol w:w="964"/>
        <w:gridCol w:w="964"/>
        <w:gridCol w:w="964"/>
        <w:gridCol w:w="964"/>
        <w:gridCol w:w="964"/>
        <w:gridCol w:w="964"/>
        <w:gridCol w:w="964"/>
      </w:tblGrid>
      <w:tr>
        <w:trPr>
          <w:tblHeader w:val="true"/>
        </w:trPr>
        <w:tc>
          <w:tcPr>
            <w:tcW w:type="dxa" w:w="1814"/>
          </w:tcPr>
          <w:p>
            <w:r/>
            <w:r>
              <w:rPr>
                <w:b/>
                <w:color w:val="5B6570"/>
                <w:sz w:val="17"/>
              </w:rPr>
              <w:t>EGP million</w:t>
            </w:r>
          </w:p>
        </w:tc>
        <w:tc>
          <w:tcPr>
            <w:tcW w:type="dxa" w:w="964"/>
          </w:tcPr>
          <w:p>
            <w:r/>
            <w:r>
              <w:rPr>
                <w:b/>
                <w:color w:val="5B6570"/>
                <w:sz w:val="17"/>
              </w:rPr>
              <w:t>2023</w:t>
            </w:r>
          </w:p>
        </w:tc>
        <w:tc>
          <w:tcPr>
            <w:tcW w:type="dxa" w:w="964"/>
          </w:tcPr>
          <w:p>
            <w:r/>
            <w:r>
              <w:rPr>
                <w:b/>
                <w:color w:val="5B6570"/>
                <w:sz w:val="17"/>
              </w:rPr>
              <w:t>2024</w:t>
            </w:r>
          </w:p>
        </w:tc>
        <w:tc>
          <w:tcPr>
            <w:tcW w:type="dxa" w:w="964"/>
          </w:tcPr>
          <w:p>
            <w:r/>
            <w:r>
              <w:rPr>
                <w:b/>
                <w:color w:val="5B6570"/>
                <w:sz w:val="17"/>
              </w:rPr>
              <w:t>2025</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1814"/>
          </w:tcPr>
          <w:p>
            <w:r/>
            <w:r>
              <w:rPr>
                <w:color w:val="1A1D21"/>
                <w:sz w:val="17"/>
              </w:rPr>
              <w:t>Development revenue</w:t>
            </w:r>
          </w:p>
        </w:tc>
        <w:tc>
          <w:tcPr>
            <w:tcW w:type="dxa" w:w="964"/>
          </w:tcPr>
          <w:p>
            <w:pPr>
              <w:jc w:val="right"/>
            </w:pPr>
            <w:r/>
            <w:r>
              <w:rPr>
                <w:color w:val="1A1D21"/>
                <w:sz w:val="17"/>
              </w:rPr>
              <w:t>21,579</w:t>
            </w:r>
          </w:p>
        </w:tc>
        <w:tc>
          <w:tcPr>
            <w:tcW w:type="dxa" w:w="964"/>
          </w:tcPr>
          <w:p>
            <w:pPr>
              <w:jc w:val="right"/>
            </w:pPr>
            <w:r/>
            <w:r>
              <w:rPr>
                <w:color w:val="1A1D21"/>
                <w:sz w:val="17"/>
              </w:rPr>
              <w:t>24,518</w:t>
            </w:r>
          </w:p>
        </w:tc>
        <w:tc>
          <w:tcPr>
            <w:tcW w:type="dxa" w:w="964"/>
          </w:tcPr>
          <w:p>
            <w:pPr>
              <w:jc w:val="right"/>
            </w:pPr>
            <w:r/>
            <w:r>
              <w:rPr>
                <w:color w:val="1A1D21"/>
                <w:sz w:val="17"/>
              </w:rPr>
              <w:t>36,706</w:t>
            </w:r>
          </w:p>
        </w:tc>
        <w:tc>
          <w:tcPr>
            <w:tcW w:type="dxa" w:w="964"/>
          </w:tcPr>
          <w:p>
            <w:pPr>
              <w:jc w:val="right"/>
            </w:pPr>
            <w:r/>
            <w:r>
              <w:rPr>
                <w:color w:val="1A1D21"/>
                <w:sz w:val="17"/>
              </w:rPr>
              <w:t>49,337</w:t>
            </w:r>
          </w:p>
        </w:tc>
        <w:tc>
          <w:tcPr>
            <w:tcW w:type="dxa" w:w="964"/>
          </w:tcPr>
          <w:p>
            <w:pPr>
              <w:jc w:val="right"/>
            </w:pPr>
            <w:r/>
            <w:r>
              <w:rPr>
                <w:color w:val="1A1D21"/>
                <w:sz w:val="17"/>
              </w:rPr>
              <w:t>56,408</w:t>
            </w:r>
          </w:p>
        </w:tc>
        <w:tc>
          <w:tcPr>
            <w:tcW w:type="dxa" w:w="964"/>
          </w:tcPr>
          <w:p>
            <w:pPr>
              <w:jc w:val="right"/>
            </w:pPr>
            <w:r/>
            <w:r>
              <w:rPr>
                <w:color w:val="1A1D21"/>
                <w:sz w:val="17"/>
              </w:rPr>
              <w:t>67,788</w:t>
            </w:r>
          </w:p>
        </w:tc>
        <w:tc>
          <w:tcPr>
            <w:tcW w:type="dxa" w:w="964"/>
          </w:tcPr>
          <w:p>
            <w:pPr>
              <w:jc w:val="right"/>
            </w:pPr>
            <w:r/>
            <w:r>
              <w:rPr>
                <w:color w:val="1A1D21"/>
                <w:sz w:val="17"/>
              </w:rPr>
              <w:t>83,260</w:t>
            </w:r>
          </w:p>
        </w:tc>
        <w:tc>
          <w:tcPr>
            <w:tcW w:type="dxa" w:w="964"/>
          </w:tcPr>
          <w:p>
            <w:pPr>
              <w:jc w:val="right"/>
            </w:pPr>
            <w:r/>
            <w:r>
              <w:rPr>
                <w:color w:val="1A1D21"/>
                <w:sz w:val="17"/>
              </w:rPr>
              <w:t>102,747</w:t>
            </w:r>
          </w:p>
        </w:tc>
      </w:tr>
      <w:tr>
        <w:trPr>
          <w:cantSplit/>
        </w:trPr>
        <w:tc>
          <w:tcPr>
            <w:tcW w:type="dxa" w:w="1814"/>
          </w:tcPr>
          <w:p>
            <w:r/>
            <w:r>
              <w:rPr>
                <w:color w:val="1A1D21"/>
                <w:sz w:val="17"/>
              </w:rPr>
              <w:t>Hospitality revenue</w:t>
            </w:r>
          </w:p>
        </w:tc>
        <w:tc>
          <w:tcPr>
            <w:tcW w:type="dxa" w:w="964"/>
          </w:tcPr>
          <w:p>
            <w:pPr>
              <w:jc w:val="right"/>
            </w:pPr>
            <w:r/>
            <w:r>
              <w:rPr>
                <w:color w:val="1A1D21"/>
                <w:sz w:val="17"/>
              </w:rPr>
              <w:t>3,541</w:t>
            </w:r>
          </w:p>
        </w:tc>
        <w:tc>
          <w:tcPr>
            <w:tcW w:type="dxa" w:w="964"/>
          </w:tcPr>
          <w:p>
            <w:pPr>
              <w:jc w:val="right"/>
            </w:pPr>
            <w:r/>
            <w:r>
              <w:rPr>
                <w:color w:val="1A1D21"/>
                <w:sz w:val="17"/>
              </w:rPr>
              <w:t>11,496</w:t>
            </w:r>
          </w:p>
        </w:tc>
        <w:tc>
          <w:tcPr>
            <w:tcW w:type="dxa" w:w="964"/>
          </w:tcPr>
          <w:p>
            <w:pPr>
              <w:jc w:val="right"/>
            </w:pPr>
            <w:r/>
            <w:r>
              <w:rPr>
                <w:color w:val="1A1D21"/>
                <w:sz w:val="17"/>
              </w:rPr>
              <w:t>14,890</w:t>
            </w:r>
          </w:p>
        </w:tc>
        <w:tc>
          <w:tcPr>
            <w:tcW w:type="dxa" w:w="964"/>
          </w:tcPr>
          <w:p>
            <w:pPr>
              <w:jc w:val="right"/>
            </w:pPr>
            <w:r/>
            <w:r>
              <w:rPr>
                <w:color w:val="1A1D21"/>
                <w:sz w:val="17"/>
              </w:rPr>
              <w:t>17,868</w:t>
            </w:r>
          </w:p>
        </w:tc>
        <w:tc>
          <w:tcPr>
            <w:tcW w:type="dxa" w:w="964"/>
          </w:tcPr>
          <w:p>
            <w:pPr>
              <w:jc w:val="right"/>
            </w:pPr>
            <w:r/>
            <w:r>
              <w:rPr>
                <w:color w:val="1A1D21"/>
                <w:sz w:val="17"/>
              </w:rPr>
              <w:t>21,441</w:t>
            </w:r>
          </w:p>
        </w:tc>
        <w:tc>
          <w:tcPr>
            <w:tcW w:type="dxa" w:w="964"/>
          </w:tcPr>
          <w:p>
            <w:pPr>
              <w:jc w:val="right"/>
            </w:pPr>
            <w:r/>
            <w:r>
              <w:rPr>
                <w:color w:val="1A1D21"/>
                <w:sz w:val="17"/>
              </w:rPr>
              <w:t>25,729</w:t>
            </w:r>
          </w:p>
        </w:tc>
        <w:tc>
          <w:tcPr>
            <w:tcW w:type="dxa" w:w="964"/>
          </w:tcPr>
          <w:p>
            <w:pPr>
              <w:jc w:val="right"/>
            </w:pPr>
            <w:r/>
            <w:r>
              <w:rPr>
                <w:color w:val="1A1D21"/>
                <w:sz w:val="17"/>
              </w:rPr>
              <w:t>30,875</w:t>
            </w:r>
          </w:p>
        </w:tc>
        <w:tc>
          <w:tcPr>
            <w:tcW w:type="dxa" w:w="964"/>
          </w:tcPr>
          <w:p>
            <w:pPr>
              <w:jc w:val="right"/>
            </w:pPr>
            <w:r/>
            <w:r>
              <w:rPr>
                <w:color w:val="1A1D21"/>
                <w:sz w:val="17"/>
              </w:rPr>
              <w:t>37,050</w:t>
            </w:r>
          </w:p>
        </w:tc>
      </w:tr>
      <w:tr>
        <w:trPr>
          <w:cantSplit/>
        </w:trPr>
        <w:tc>
          <w:tcPr>
            <w:tcW w:type="dxa" w:w="1814"/>
          </w:tcPr>
          <w:p>
            <w:r/>
            <w:r>
              <w:rPr>
                <w:color w:val="1A1D21"/>
                <w:sz w:val="17"/>
              </w:rPr>
              <w:t>Other recurring revenue</w:t>
            </w:r>
          </w:p>
        </w:tc>
        <w:tc>
          <w:tcPr>
            <w:tcW w:type="dxa" w:w="964"/>
          </w:tcPr>
          <w:p>
            <w:pPr>
              <w:jc w:val="right"/>
            </w:pPr>
            <w:r/>
            <w:r>
              <w:rPr>
                <w:color w:val="1A1D21"/>
                <w:sz w:val="17"/>
              </w:rPr>
              <w:t>3,312</w:t>
            </w:r>
          </w:p>
        </w:tc>
        <w:tc>
          <w:tcPr>
            <w:tcW w:type="dxa" w:w="964"/>
          </w:tcPr>
          <w:p>
            <w:pPr>
              <w:jc w:val="right"/>
            </w:pPr>
            <w:r/>
            <w:r>
              <w:rPr>
                <w:color w:val="1A1D21"/>
                <w:sz w:val="17"/>
              </w:rPr>
              <w:t>6,656</w:t>
            </w:r>
          </w:p>
        </w:tc>
        <w:tc>
          <w:tcPr>
            <w:tcW w:type="dxa" w:w="964"/>
          </w:tcPr>
          <w:p>
            <w:pPr>
              <w:jc w:val="right"/>
            </w:pPr>
            <w:r/>
            <w:r>
              <w:rPr>
                <w:color w:val="1A1D21"/>
                <w:sz w:val="17"/>
              </w:rPr>
              <w:t>10,900</w:t>
            </w:r>
          </w:p>
        </w:tc>
        <w:tc>
          <w:tcPr>
            <w:tcW w:type="dxa" w:w="964"/>
          </w:tcPr>
          <w:p>
            <w:pPr>
              <w:jc w:val="right"/>
            </w:pPr>
            <w:r/>
            <w:r>
              <w:rPr>
                <w:color w:val="1A1D21"/>
                <w:sz w:val="17"/>
              </w:rPr>
              <w:t>13,298</w:t>
            </w:r>
          </w:p>
        </w:tc>
        <w:tc>
          <w:tcPr>
            <w:tcW w:type="dxa" w:w="964"/>
          </w:tcPr>
          <w:p>
            <w:pPr>
              <w:jc w:val="right"/>
            </w:pPr>
            <w:r/>
            <w:r>
              <w:rPr>
                <w:color w:val="1A1D21"/>
                <w:sz w:val="17"/>
              </w:rPr>
              <w:t>16,223</w:t>
            </w:r>
          </w:p>
        </w:tc>
        <w:tc>
          <w:tcPr>
            <w:tcW w:type="dxa" w:w="964"/>
          </w:tcPr>
          <w:p>
            <w:pPr>
              <w:jc w:val="right"/>
            </w:pPr>
            <w:r/>
            <w:r>
              <w:rPr>
                <w:color w:val="1A1D21"/>
                <w:sz w:val="17"/>
              </w:rPr>
              <w:t>19,792</w:t>
            </w:r>
          </w:p>
        </w:tc>
        <w:tc>
          <w:tcPr>
            <w:tcW w:type="dxa" w:w="964"/>
          </w:tcPr>
          <w:p>
            <w:pPr>
              <w:jc w:val="right"/>
            </w:pPr>
            <w:r/>
            <w:r>
              <w:rPr>
                <w:color w:val="1A1D21"/>
                <w:sz w:val="17"/>
              </w:rPr>
              <w:t>24,146</w:t>
            </w:r>
          </w:p>
        </w:tc>
        <w:tc>
          <w:tcPr>
            <w:tcW w:type="dxa" w:w="964"/>
          </w:tcPr>
          <w:p>
            <w:pPr>
              <w:jc w:val="right"/>
            </w:pPr>
            <w:r/>
            <w:r>
              <w:rPr>
                <w:color w:val="1A1D21"/>
                <w:sz w:val="17"/>
              </w:rPr>
              <w:t>29,459</w:t>
            </w:r>
          </w:p>
        </w:tc>
      </w:tr>
      <w:tr>
        <w:trPr>
          <w:cantSplit/>
        </w:trPr>
        <w:tc>
          <w:tcPr>
            <w:tcW w:type="dxa" w:w="1814"/>
          </w:tcPr>
          <w:p>
            <w:r/>
            <w:r>
              <w:rPr>
                <w:color w:val="1A1D21"/>
                <w:sz w:val="17"/>
              </w:rPr>
              <w:t>Gross profit</w:t>
            </w:r>
          </w:p>
        </w:tc>
        <w:tc>
          <w:tcPr>
            <w:tcW w:type="dxa" w:w="964"/>
          </w:tcPr>
          <w:p>
            <w:pPr>
              <w:jc w:val="right"/>
            </w:pPr>
            <w:r/>
            <w:r>
              <w:rPr>
                <w:color w:val="1A1D21"/>
                <w:sz w:val="17"/>
              </w:rPr>
              <w:t>8,637</w:t>
            </w:r>
          </w:p>
        </w:tc>
        <w:tc>
          <w:tcPr>
            <w:tcW w:type="dxa" w:w="964"/>
          </w:tcPr>
          <w:p>
            <w:pPr>
              <w:jc w:val="right"/>
            </w:pPr>
            <w:r/>
            <w:r>
              <w:rPr>
                <w:color w:val="1A1D21"/>
                <w:sz w:val="17"/>
              </w:rPr>
              <w:t>15,300</w:t>
            </w:r>
          </w:p>
        </w:tc>
        <w:tc>
          <w:tcPr>
            <w:tcW w:type="dxa" w:w="964"/>
          </w:tcPr>
          <w:p>
            <w:pPr>
              <w:jc w:val="right"/>
            </w:pPr>
            <w:r/>
            <w:r>
              <w:rPr>
                <w:color w:val="1A1D21"/>
                <w:sz w:val="17"/>
              </w:rPr>
              <w:t>20,855</w:t>
            </w:r>
          </w:p>
        </w:tc>
        <w:tc>
          <w:tcPr>
            <w:tcW w:type="dxa" w:w="964"/>
          </w:tcPr>
          <w:p>
            <w:pPr>
              <w:jc w:val="right"/>
            </w:pPr>
            <w:r/>
            <w:r>
              <w:rPr>
                <w:color w:val="1A1D21"/>
                <w:sz w:val="17"/>
              </w:rPr>
              <w:t>25,463</w:t>
            </w:r>
          </w:p>
        </w:tc>
        <w:tc>
          <w:tcPr>
            <w:tcW w:type="dxa" w:w="964"/>
          </w:tcPr>
          <w:p>
            <w:pPr>
              <w:jc w:val="right"/>
            </w:pPr>
            <w:r/>
            <w:r>
              <w:rPr>
                <w:color w:val="1A1D21"/>
                <w:sz w:val="17"/>
              </w:rPr>
              <w:t>29,898</w:t>
            </w:r>
          </w:p>
        </w:tc>
        <w:tc>
          <w:tcPr>
            <w:tcW w:type="dxa" w:w="964"/>
          </w:tcPr>
          <w:p>
            <w:pPr>
              <w:jc w:val="right"/>
            </w:pPr>
            <w:r/>
            <w:r>
              <w:rPr>
                <w:color w:val="1A1D21"/>
                <w:sz w:val="17"/>
              </w:rPr>
              <w:t>36,007</w:t>
            </w:r>
          </w:p>
        </w:tc>
        <w:tc>
          <w:tcPr>
            <w:tcW w:type="dxa" w:w="964"/>
          </w:tcPr>
          <w:p>
            <w:pPr>
              <w:jc w:val="right"/>
            </w:pPr>
            <w:r/>
            <w:r>
              <w:rPr>
                <w:color w:val="1A1D21"/>
                <w:sz w:val="17"/>
              </w:rPr>
              <w:t>43,843</w:t>
            </w:r>
          </w:p>
        </w:tc>
        <w:tc>
          <w:tcPr>
            <w:tcW w:type="dxa" w:w="964"/>
          </w:tcPr>
          <w:p>
            <w:pPr>
              <w:jc w:val="right"/>
            </w:pPr>
            <w:r/>
            <w:r>
              <w:rPr>
                <w:color w:val="1A1D21"/>
                <w:sz w:val="17"/>
              </w:rPr>
              <w:t>53,520</w:t>
            </w:r>
          </w:p>
        </w:tc>
      </w:tr>
      <w:tr>
        <w:trPr>
          <w:cantSplit/>
        </w:trPr>
        <w:tc>
          <w:tcPr>
            <w:tcW w:type="dxa" w:w="1814"/>
          </w:tcPr>
          <w:p>
            <w:r/>
            <w:r>
              <w:rPr>
                <w:color w:val="1A1D21"/>
                <w:sz w:val="17"/>
              </w:rPr>
              <w:t>Net profit</w:t>
            </w:r>
          </w:p>
        </w:tc>
        <w:tc>
          <w:tcPr>
            <w:tcW w:type="dxa" w:w="964"/>
          </w:tcPr>
          <w:p>
            <w:pPr>
              <w:jc w:val="right"/>
            </w:pPr>
            <w:r/>
            <w:r>
              <w:rPr>
                <w:color w:val="1A1D21"/>
                <w:sz w:val="17"/>
              </w:rPr>
              <w:t>3,347</w:t>
            </w:r>
          </w:p>
        </w:tc>
        <w:tc>
          <w:tcPr>
            <w:tcW w:type="dxa" w:w="964"/>
          </w:tcPr>
          <w:p>
            <w:pPr>
              <w:jc w:val="right"/>
            </w:pPr>
            <w:r/>
            <w:r>
              <w:rPr>
                <w:color w:val="1A1D21"/>
                <w:sz w:val="17"/>
              </w:rPr>
              <w:t>14,468</w:t>
            </w:r>
          </w:p>
        </w:tc>
        <w:tc>
          <w:tcPr>
            <w:tcW w:type="dxa" w:w="964"/>
          </w:tcPr>
          <w:p>
            <w:pPr>
              <w:jc w:val="right"/>
            </w:pPr>
            <w:r/>
            <w:r>
              <w:rPr>
                <w:color w:val="1A1D21"/>
                <w:sz w:val="17"/>
              </w:rPr>
              <w:t>18,202</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1814"/>
          </w:tcPr>
          <w:p>
            <w:r/>
            <w:r>
              <w:rPr>
                <w:color w:val="1A1D21"/>
                <w:sz w:val="17"/>
              </w:rPr>
              <w:t>Profit attributable to TMG's shareholders</w:t>
            </w:r>
          </w:p>
        </w:tc>
        <w:tc>
          <w:tcPr>
            <w:tcW w:type="dxa" w:w="964"/>
          </w:tcPr>
          <w:p>
            <w:pPr>
              <w:jc w:val="right"/>
            </w:pPr>
            <w:r/>
            <w:r>
              <w:rPr>
                <w:color w:val="1A1D21"/>
                <w:sz w:val="17"/>
              </w:rPr>
              <w:t>3,313</w:t>
            </w:r>
          </w:p>
        </w:tc>
        <w:tc>
          <w:tcPr>
            <w:tcW w:type="dxa" w:w="964"/>
          </w:tcPr>
          <w:p>
            <w:pPr>
              <w:jc w:val="right"/>
            </w:pPr>
            <w:r/>
            <w:r>
              <w:rPr>
                <w:color w:val="1A1D21"/>
                <w:sz w:val="17"/>
              </w:rPr>
              <w:t>10,723</w:t>
            </w:r>
          </w:p>
        </w:tc>
        <w:tc>
          <w:tcPr>
            <w:tcW w:type="dxa" w:w="964"/>
          </w:tcPr>
          <w:p>
            <w:pPr>
              <w:jc w:val="right"/>
            </w:pPr>
            <w:r/>
            <w:r>
              <w:rPr>
                <w:color w:val="1A1D21"/>
                <w:sz w:val="17"/>
              </w:rPr>
              <w:t>14,384</w:t>
            </w:r>
          </w:p>
        </w:tc>
        <w:tc>
          <w:tcPr>
            <w:tcW w:type="dxa" w:w="964"/>
          </w:tcPr>
          <w:p>
            <w:pPr>
              <w:jc w:val="right"/>
            </w:pPr>
            <w:r/>
            <w:r>
              <w:rPr>
                <w:color w:val="1A1D21"/>
                <w:sz w:val="17"/>
              </w:rPr>
              <w:t>12,668</w:t>
            </w:r>
          </w:p>
        </w:tc>
        <w:tc>
          <w:tcPr>
            <w:tcW w:type="dxa" w:w="964"/>
          </w:tcPr>
          <w:p>
            <w:pPr>
              <w:jc w:val="right"/>
            </w:pPr>
            <w:r/>
            <w:r>
              <w:rPr>
                <w:color w:val="1A1D21"/>
                <w:sz w:val="17"/>
              </w:rPr>
              <w:t>16,664</w:t>
            </w:r>
          </w:p>
        </w:tc>
        <w:tc>
          <w:tcPr>
            <w:tcW w:type="dxa" w:w="964"/>
          </w:tcPr>
          <w:p>
            <w:pPr>
              <w:jc w:val="right"/>
            </w:pPr>
            <w:r/>
            <w:r>
              <w:rPr>
                <w:color w:val="1A1D21"/>
                <w:sz w:val="17"/>
              </w:rPr>
              <w:t>22,526</w:t>
            </w:r>
          </w:p>
        </w:tc>
        <w:tc>
          <w:tcPr>
            <w:tcW w:type="dxa" w:w="964"/>
          </w:tcPr>
          <w:p>
            <w:pPr>
              <w:jc w:val="right"/>
            </w:pPr>
            <w:r/>
            <w:r>
              <w:rPr>
                <w:color w:val="1A1D21"/>
                <w:sz w:val="17"/>
              </w:rPr>
              <w:t>30,276</w:t>
            </w:r>
          </w:p>
        </w:tc>
        <w:tc>
          <w:tcPr>
            <w:tcW w:type="dxa" w:w="964"/>
          </w:tcPr>
          <w:p>
            <w:pPr>
              <w:jc w:val="right"/>
            </w:pPr>
            <w:r/>
            <w:r>
              <w:rPr>
                <w:color w:val="1A1D21"/>
                <w:sz w:val="17"/>
              </w:rPr>
              <w:t>40,047</w:t>
            </w:r>
          </w:p>
        </w:tc>
      </w:tr>
      <w:tr>
        <w:trPr>
          <w:cantSplit/>
        </w:trPr>
        <w:tc>
          <w:tcPr>
            <w:tcW w:type="dxa" w:w="1814"/>
          </w:tcPr>
          <w:p>
            <w:r/>
            <w:r>
              <w:rPr>
                <w:color w:val="1A1D21"/>
                <w:sz w:val="17"/>
              </w:rPr>
              <w:t>Earnings per share, EGP</w:t>
            </w:r>
          </w:p>
        </w:tc>
        <w:tc>
          <w:tcPr>
            <w:tcW w:type="dxa" w:w="964"/>
          </w:tcPr>
          <w:p>
            <w:pPr>
              <w:jc w:val="right"/>
            </w:pPr>
            <w:r/>
            <w:r>
              <w:rPr>
                <w:color w:val="1A1D21"/>
                <w:sz w:val="17"/>
              </w:rPr>
              <w:t>1.61</w:t>
            </w:r>
          </w:p>
        </w:tc>
        <w:tc>
          <w:tcPr>
            <w:tcW w:type="dxa" w:w="964"/>
          </w:tcPr>
          <w:p>
            <w:pPr>
              <w:jc w:val="right"/>
            </w:pPr>
            <w:r/>
            <w:r>
              <w:rPr>
                <w:color w:val="1A1D21"/>
                <w:sz w:val="17"/>
              </w:rPr>
              <w:t>5.20</w:t>
            </w:r>
          </w:p>
        </w:tc>
        <w:tc>
          <w:tcPr>
            <w:tcW w:type="dxa" w:w="964"/>
          </w:tcPr>
          <w:p>
            <w:pPr>
              <w:jc w:val="right"/>
            </w:pPr>
            <w:r/>
            <w:r>
              <w:rPr>
                <w:color w:val="1A1D21"/>
                <w:sz w:val="17"/>
              </w:rPr>
              <w:t>6.98</w:t>
            </w:r>
          </w:p>
        </w:tc>
        <w:tc>
          <w:tcPr>
            <w:tcW w:type="dxa" w:w="964"/>
          </w:tcPr>
          <w:p>
            <w:pPr>
              <w:jc w:val="right"/>
            </w:pPr>
            <w:r/>
            <w:r>
              <w:rPr>
                <w:color w:val="1A1D21"/>
                <w:sz w:val="17"/>
              </w:rPr>
              <w:t>6.15</w:t>
            </w:r>
          </w:p>
        </w:tc>
        <w:tc>
          <w:tcPr>
            <w:tcW w:type="dxa" w:w="964"/>
          </w:tcPr>
          <w:p>
            <w:pPr>
              <w:jc w:val="right"/>
            </w:pPr>
            <w:r/>
            <w:r>
              <w:rPr>
                <w:color w:val="1A1D21"/>
                <w:sz w:val="17"/>
              </w:rPr>
              <w:t>8.09</w:t>
            </w:r>
          </w:p>
        </w:tc>
        <w:tc>
          <w:tcPr>
            <w:tcW w:type="dxa" w:w="964"/>
          </w:tcPr>
          <w:p>
            <w:pPr>
              <w:jc w:val="right"/>
            </w:pPr>
            <w:r/>
            <w:r>
              <w:rPr>
                <w:color w:val="1A1D21"/>
                <w:sz w:val="17"/>
              </w:rPr>
              <w:t>10.93</w:t>
            </w:r>
          </w:p>
        </w:tc>
        <w:tc>
          <w:tcPr>
            <w:tcW w:type="dxa" w:w="964"/>
          </w:tcPr>
          <w:p>
            <w:pPr>
              <w:jc w:val="right"/>
            </w:pPr>
            <w:r/>
            <w:r>
              <w:rPr>
                <w:color w:val="1A1D21"/>
                <w:sz w:val="17"/>
              </w:rPr>
              <w:t>14.69</w:t>
            </w:r>
          </w:p>
        </w:tc>
        <w:tc>
          <w:tcPr>
            <w:tcW w:type="dxa" w:w="964"/>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15,110 – 116,855</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23,150 – 217,645</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16,524 – 320,658</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Intangibles, right-of-use assets and deferred tax</w:t>
            </w:r>
          </w:p>
        </w:tc>
        <w:tc>
          <w:tcPr>
            <w:tcW w:type="dxa" w:w="2494"/>
          </w:tcPr>
          <w:p>
            <w:pPr>
              <w:jc w:val="right"/>
            </w:pPr>
            <w:r/>
            <w:r>
              <w:rPr>
                <w:color w:val="1A1D21"/>
                <w:sz w:val="17"/>
              </w:rPr>
              <w:t>748</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Work in progress</w:t>
            </w:r>
          </w:p>
        </w:tc>
        <w:tc>
          <w:tcPr>
            <w:tcW w:type="dxa" w:w="2494"/>
          </w:tcPr>
          <w:p>
            <w:pPr>
              <w:jc w:val="right"/>
            </w:pPr>
            <w:r/>
            <w:r>
              <w:rPr>
                <w:color w:val="1A1D21"/>
                <w:sz w:val="17"/>
              </w:rPr>
              <w:t>24</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4700"/>
        <w:gridCol w:w="964"/>
        <w:gridCol w:w="964"/>
        <w:gridCol w:w="964"/>
        <w:gridCol w:w="964"/>
        <w:gridCol w:w="964"/>
      </w:tblGrid>
      <w:tr>
        <w:trPr>
          <w:tblHeader w:val="true"/>
        </w:trPr>
        <w:tc>
          <w:tcPr>
            <w:tcW w:type="dxa" w:w="4700"/>
          </w:tcPr>
          <w:p>
            <w:r/>
            <w:r>
              <w:rPr>
                <w:b/>
                <w:color w:val="5B6570"/>
                <w:sz w:val="17"/>
              </w:rPr>
              <w:t>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r>
      <w:tr>
        <w:trPr>
          <w:cantSplit/>
        </w:trPr>
        <w:tc>
          <w:tcPr>
            <w:tcW w:type="dxa" w:w="4700"/>
          </w:tcPr>
          <w:p>
            <w:r/>
            <w:r>
              <w:rPr>
                <w:color w:val="1A1D21"/>
                <w:sz w:val="17"/>
              </w:rPr>
              <w:t>Net profit</w:t>
            </w:r>
          </w:p>
        </w:tc>
        <w:tc>
          <w:tcPr>
            <w:tcW w:type="dxa" w:w="964"/>
          </w:tcPr>
          <w:p>
            <w:pPr>
              <w:jc w:val="right"/>
            </w:pPr>
            <w:r/>
            <w:r>
              <w:rPr>
                <w:color w:val="1A1D21"/>
                <w:sz w:val="17"/>
              </w:rPr>
              <w:t>23,122</w:t>
            </w:r>
          </w:p>
        </w:tc>
        <w:tc>
          <w:tcPr>
            <w:tcW w:type="dxa" w:w="964"/>
          </w:tcPr>
          <w:p>
            <w:pPr>
              <w:jc w:val="right"/>
            </w:pPr>
            <w:r/>
            <w:r>
              <w:rPr>
                <w:color w:val="1A1D21"/>
                <w:sz w:val="17"/>
              </w:rPr>
              <w:t>30,416</w:t>
            </w:r>
          </w:p>
        </w:tc>
        <w:tc>
          <w:tcPr>
            <w:tcW w:type="dxa" w:w="964"/>
          </w:tcPr>
          <w:p>
            <w:pPr>
              <w:jc w:val="right"/>
            </w:pPr>
            <w:r/>
            <w:r>
              <w:rPr>
                <w:color w:val="1A1D21"/>
                <w:sz w:val="17"/>
              </w:rPr>
              <w:t>41,117</w:t>
            </w:r>
          </w:p>
        </w:tc>
        <w:tc>
          <w:tcPr>
            <w:tcW w:type="dxa" w:w="964"/>
          </w:tcPr>
          <w:p>
            <w:pPr>
              <w:jc w:val="right"/>
            </w:pPr>
            <w:r/>
            <w:r>
              <w:rPr>
                <w:color w:val="1A1D21"/>
                <w:sz w:val="17"/>
              </w:rPr>
              <w:t>55,262</w:t>
            </w:r>
          </w:p>
        </w:tc>
        <w:tc>
          <w:tcPr>
            <w:tcW w:type="dxa" w:w="964"/>
          </w:tcPr>
          <w:p>
            <w:pPr>
              <w:jc w:val="right"/>
            </w:pPr>
            <w:r/>
            <w:r>
              <w:rPr>
                <w:color w:val="1A1D21"/>
                <w:sz w:val="17"/>
              </w:rPr>
              <w:t>73,097</w:t>
            </w:r>
          </w:p>
        </w:tc>
      </w:tr>
      <w:tr>
        <w:trPr>
          <w:cantSplit/>
        </w:trPr>
        <w:tc>
          <w:tcPr>
            <w:tcW w:type="dxa" w:w="4700"/>
          </w:tcPr>
          <w:p>
            <w:r/>
            <w:r>
              <w:rPr>
                <w:color w:val="1A1D21"/>
                <w:sz w:val="17"/>
              </w:rPr>
              <w:t>add back depreciation and amortisation</w:t>
            </w:r>
          </w:p>
        </w:tc>
        <w:tc>
          <w:tcPr>
            <w:tcW w:type="dxa" w:w="964"/>
          </w:tcPr>
          <w:p>
            <w:pPr>
              <w:jc w:val="right"/>
            </w:pPr>
            <w:r/>
            <w:r>
              <w:rPr>
                <w:color w:val="1A1D21"/>
                <w:sz w:val="17"/>
              </w:rPr>
              <w:t>1,143</w:t>
            </w:r>
          </w:p>
        </w:tc>
        <w:tc>
          <w:tcPr>
            <w:tcW w:type="dxa" w:w="964"/>
          </w:tcPr>
          <w:p>
            <w:pPr>
              <w:jc w:val="right"/>
            </w:pPr>
            <w:r/>
            <w:r>
              <w:rPr>
                <w:color w:val="1A1D21"/>
                <w:sz w:val="17"/>
              </w:rPr>
              <w:t>1,157</w:t>
            </w:r>
          </w:p>
        </w:tc>
        <w:tc>
          <w:tcPr>
            <w:tcW w:type="dxa" w:w="964"/>
          </w:tcPr>
          <w:p>
            <w:pPr>
              <w:jc w:val="right"/>
            </w:pPr>
            <w:r/>
            <w:r>
              <w:rPr>
                <w:color w:val="1A1D21"/>
                <w:sz w:val="17"/>
              </w:rPr>
              <w:t>1,176</w:t>
            </w:r>
          </w:p>
        </w:tc>
        <w:tc>
          <w:tcPr>
            <w:tcW w:type="dxa" w:w="964"/>
          </w:tcPr>
          <w:p>
            <w:pPr>
              <w:jc w:val="right"/>
            </w:pPr>
            <w:r/>
            <w:r>
              <w:rPr>
                <w:color w:val="1A1D21"/>
                <w:sz w:val="17"/>
              </w:rPr>
              <w:t>1,203</w:t>
            </w:r>
          </w:p>
        </w:tc>
        <w:tc>
          <w:tcPr>
            <w:tcW w:type="dxa" w:w="964"/>
          </w:tcPr>
          <w:p>
            <w:pPr>
              <w:jc w:val="right"/>
            </w:pPr>
            <w:r/>
            <w:r>
              <w:rPr>
                <w:color w:val="1A1D21"/>
                <w:sz w:val="17"/>
              </w:rPr>
              <w:t>1,237</w:t>
            </w:r>
          </w:p>
        </w:tc>
      </w:tr>
      <w:tr>
        <w:trPr>
          <w:cantSplit/>
        </w:trPr>
        <w:tc>
          <w:tcPr>
            <w:tcW w:type="dxa" w:w="4700"/>
          </w:tcPr>
          <w:p>
            <w:r/>
            <w:r>
              <w:rPr>
                <w:color w:val="1A1D21"/>
                <w:sz w:val="17"/>
              </w:rPr>
              <w:t>Movement in money collected ahead of handover</w:t>
            </w:r>
          </w:p>
        </w:tc>
        <w:tc>
          <w:tcPr>
            <w:tcW w:type="dxa" w:w="964"/>
          </w:tcPr>
          <w:p>
            <w:pPr>
              <w:jc w:val="right"/>
            </w:pPr>
            <w:r/>
            <w:r>
              <w:rPr>
                <w:color w:val="1A1D21"/>
                <w:sz w:val="17"/>
              </w:rPr>
              <w:t>10,539</w:t>
            </w:r>
          </w:p>
        </w:tc>
        <w:tc>
          <w:tcPr>
            <w:tcW w:type="dxa" w:w="964"/>
          </w:tcPr>
          <w:p>
            <w:pPr>
              <w:jc w:val="right"/>
            </w:pPr>
            <w:r/>
            <w:r>
              <w:rPr>
                <w:color w:val="1A1D21"/>
                <w:sz w:val="17"/>
              </w:rPr>
              <w:t>25,850</w:t>
            </w:r>
          </w:p>
        </w:tc>
        <w:tc>
          <w:tcPr>
            <w:tcW w:type="dxa" w:w="964"/>
          </w:tcPr>
          <w:p>
            <w:pPr>
              <w:jc w:val="right"/>
            </w:pPr>
            <w:r/>
            <w:r>
              <w:rPr>
                <w:color w:val="1A1D21"/>
                <w:sz w:val="17"/>
              </w:rPr>
              <w:t>40,232</w:t>
            </w:r>
          </w:p>
        </w:tc>
        <w:tc>
          <w:tcPr>
            <w:tcW w:type="dxa" w:w="964"/>
          </w:tcPr>
          <w:p>
            <w:pPr>
              <w:jc w:val="right"/>
            </w:pPr>
            <w:r/>
            <w:r>
              <w:rPr>
                <w:color w:val="1A1D21"/>
                <w:sz w:val="17"/>
              </w:rPr>
              <w:t>54,167</w:t>
            </w:r>
          </w:p>
        </w:tc>
        <w:tc>
          <w:tcPr>
            <w:tcW w:type="dxa" w:w="964"/>
          </w:tcPr>
          <w:p>
            <w:pPr>
              <w:jc w:val="right"/>
            </w:pPr>
            <w:r/>
            <w:r>
              <w:rPr>
                <w:color w:val="1A1D21"/>
                <w:sz w:val="17"/>
              </w:rPr>
              <w:t>68,095</w:t>
            </w:r>
          </w:p>
        </w:tc>
      </w:tr>
      <w:tr>
        <w:trPr>
          <w:cantSplit/>
        </w:trPr>
        <w:tc>
          <w:tcPr>
            <w:tcW w:type="dxa" w:w="4700"/>
          </w:tcPr>
          <w:p>
            <w:r/>
            <w:r>
              <w:rPr>
                <w:color w:val="1A1D21"/>
                <w:sz w:val="17"/>
              </w:rPr>
              <w:t>Movement in homes built ahead of handover</w:t>
            </w:r>
          </w:p>
        </w:tc>
        <w:tc>
          <w:tcPr>
            <w:tcW w:type="dxa" w:w="964"/>
          </w:tcPr>
          <w:p>
            <w:pPr>
              <w:jc w:val="right"/>
            </w:pPr>
            <w:r/>
            <w:r>
              <w:rPr>
                <w:color w:val="1A1D21"/>
                <w:sz w:val="17"/>
              </w:rPr>
              <w:t>855</w:t>
            </w:r>
          </w:p>
        </w:tc>
        <w:tc>
          <w:tcPr>
            <w:tcW w:type="dxa" w:w="964"/>
          </w:tcPr>
          <w:p>
            <w:pPr>
              <w:jc w:val="right"/>
            </w:pPr>
            <w:r/>
            <w:r>
              <w:rPr>
                <w:color w:val="1A1D21"/>
                <w:sz w:val="17"/>
              </w:rPr>
              <w:t>-4,550</w:t>
            </w:r>
          </w:p>
        </w:tc>
        <w:tc>
          <w:tcPr>
            <w:tcW w:type="dxa" w:w="964"/>
          </w:tcPr>
          <w:p>
            <w:pPr>
              <w:jc w:val="right"/>
            </w:pPr>
            <w:r/>
            <w:r>
              <w:rPr>
                <w:color w:val="1A1D21"/>
                <w:sz w:val="17"/>
              </w:rPr>
              <w:t>-11,768</w:t>
            </w:r>
          </w:p>
        </w:tc>
        <w:tc>
          <w:tcPr>
            <w:tcW w:type="dxa" w:w="964"/>
          </w:tcPr>
          <w:p>
            <w:pPr>
              <w:jc w:val="right"/>
            </w:pPr>
            <w:r/>
            <w:r>
              <w:rPr>
                <w:color w:val="1A1D21"/>
                <w:sz w:val="17"/>
              </w:rPr>
              <w:t>-20,186</w:t>
            </w:r>
          </w:p>
        </w:tc>
        <w:tc>
          <w:tcPr>
            <w:tcW w:type="dxa" w:w="964"/>
          </w:tcPr>
          <w:p>
            <w:pPr>
              <w:jc w:val="right"/>
            </w:pPr>
            <w:r/>
            <w:r>
              <w:rPr>
                <w:color w:val="1A1D21"/>
                <w:sz w:val="17"/>
              </w:rPr>
              <w:t>-29,447</w:t>
            </w:r>
          </w:p>
        </w:tc>
      </w:tr>
      <w:tr>
        <w:trPr>
          <w:cantSplit/>
        </w:trPr>
        <w:tc>
          <w:tcPr>
            <w:tcW w:type="dxa" w:w="4700"/>
          </w:tcPr>
          <w:p>
            <w:r/>
            <w:r>
              <w:rPr>
                <w:color w:val="1A1D21"/>
                <w:sz w:val="17"/>
              </w:rPr>
              <w:t>Operating cash flow</w:t>
            </w:r>
          </w:p>
        </w:tc>
        <w:tc>
          <w:tcPr>
            <w:tcW w:type="dxa" w:w="964"/>
          </w:tcPr>
          <w:p>
            <w:pPr>
              <w:jc w:val="right"/>
            </w:pPr>
            <w:r/>
            <w:r>
              <w:rPr>
                <w:color w:val="1A1D21"/>
                <w:sz w:val="17"/>
              </w:rPr>
              <w:t>35,659</w:t>
            </w:r>
          </w:p>
        </w:tc>
        <w:tc>
          <w:tcPr>
            <w:tcW w:type="dxa" w:w="964"/>
          </w:tcPr>
          <w:p>
            <w:pPr>
              <w:jc w:val="right"/>
            </w:pPr>
            <w:r/>
            <w:r>
              <w:rPr>
                <w:color w:val="1A1D21"/>
                <w:sz w:val="17"/>
              </w:rPr>
              <w:t>52,873</w:t>
            </w:r>
          </w:p>
        </w:tc>
        <w:tc>
          <w:tcPr>
            <w:tcW w:type="dxa" w:w="964"/>
          </w:tcPr>
          <w:p>
            <w:pPr>
              <w:jc w:val="right"/>
            </w:pPr>
            <w:r/>
            <w:r>
              <w:rPr>
                <w:color w:val="1A1D21"/>
                <w:sz w:val="17"/>
              </w:rPr>
              <w:t>70,758</w:t>
            </w:r>
          </w:p>
        </w:tc>
        <w:tc>
          <w:tcPr>
            <w:tcW w:type="dxa" w:w="964"/>
          </w:tcPr>
          <w:p>
            <w:pPr>
              <w:jc w:val="right"/>
            </w:pPr>
            <w:r/>
            <w:r>
              <w:rPr>
                <w:color w:val="1A1D21"/>
                <w:sz w:val="17"/>
              </w:rPr>
              <w:t>90,445</w:t>
            </w:r>
          </w:p>
        </w:tc>
        <w:tc>
          <w:tcPr>
            <w:tcW w:type="dxa" w:w="964"/>
          </w:tcPr>
          <w:p>
            <w:pPr>
              <w:jc w:val="right"/>
            </w:pPr>
            <w:r/>
            <w:r>
              <w:rPr>
                <w:color w:val="1A1D21"/>
                <w:sz w:val="17"/>
              </w:rPr>
              <w:t>112,982</w:t>
            </w:r>
          </w:p>
        </w:tc>
      </w:tr>
      <w:tr>
        <w:trPr>
          <w:cantSplit/>
        </w:trPr>
        <w:tc>
          <w:tcPr>
            <w:tcW w:type="dxa" w:w="4700"/>
          </w:tcPr>
          <w:p>
            <w:r/>
            <w:r>
              <w:rPr>
                <w:color w:val="1A1D21"/>
                <w:sz w:val="17"/>
              </w:rPr>
              <w:t>Capital spend</w:t>
            </w:r>
          </w:p>
        </w:tc>
        <w:tc>
          <w:tcPr>
            <w:tcW w:type="dxa" w:w="964"/>
          </w:tcPr>
          <w:p>
            <w:pPr>
              <w:jc w:val="right"/>
            </w:pPr>
            <w:r/>
            <w:r>
              <w:rPr>
                <w:color w:val="1A1D21"/>
                <w:sz w:val="17"/>
              </w:rPr>
              <w:t>-2,319</w:t>
            </w:r>
          </w:p>
        </w:tc>
        <w:tc>
          <w:tcPr>
            <w:tcW w:type="dxa" w:w="964"/>
          </w:tcPr>
          <w:p>
            <w:pPr>
              <w:jc w:val="right"/>
            </w:pPr>
            <w:r/>
            <w:r>
              <w:rPr>
                <w:color w:val="1A1D21"/>
                <w:sz w:val="17"/>
              </w:rPr>
              <w:t>-2,793</w:t>
            </w:r>
          </w:p>
        </w:tc>
        <w:tc>
          <w:tcPr>
            <w:tcW w:type="dxa" w:w="964"/>
          </w:tcPr>
          <w:p>
            <w:pPr>
              <w:jc w:val="right"/>
            </w:pPr>
            <w:r/>
            <w:r>
              <w:rPr>
                <w:color w:val="1A1D21"/>
                <w:sz w:val="17"/>
              </w:rPr>
              <w:t>-3,365</w:t>
            </w:r>
          </w:p>
        </w:tc>
        <w:tc>
          <w:tcPr>
            <w:tcW w:type="dxa" w:w="964"/>
          </w:tcPr>
          <w:p>
            <w:pPr>
              <w:jc w:val="right"/>
            </w:pPr>
            <w:r/>
            <w:r>
              <w:rPr>
                <w:color w:val="1A1D21"/>
                <w:sz w:val="17"/>
              </w:rPr>
              <w:t>-4,053</w:t>
            </w:r>
          </w:p>
        </w:tc>
        <w:tc>
          <w:tcPr>
            <w:tcW w:type="dxa" w:w="964"/>
          </w:tcPr>
          <w:p>
            <w:pPr>
              <w:jc w:val="right"/>
            </w:pPr>
            <w:r/>
            <w:r>
              <w:rPr>
                <w:color w:val="1A1D21"/>
                <w:sz w:val="17"/>
              </w:rPr>
              <w:t>-4,883</w:t>
            </w:r>
          </w:p>
        </w:tc>
      </w:tr>
      <w:tr>
        <w:trPr>
          <w:cantSplit/>
        </w:trPr>
        <w:tc>
          <w:tcPr>
            <w:tcW w:type="dxa" w:w="4700"/>
          </w:tcPr>
          <w:p>
            <w:r/>
            <w:r>
              <w:rPr>
                <w:color w:val="1A1D21"/>
                <w:sz w:val="17"/>
              </w:rPr>
              <w:t>Dividends</w:t>
            </w:r>
          </w:p>
        </w:tc>
        <w:tc>
          <w:tcPr>
            <w:tcW w:type="dxa" w:w="964"/>
          </w:tcPr>
          <w:p>
            <w:pPr>
              <w:jc w:val="right"/>
            </w:pPr>
            <w:r/>
            <w:r>
              <w:rPr>
                <w:color w:val="1A1D21"/>
                <w:sz w:val="17"/>
              </w:rPr>
              <w:t>-3,800</w:t>
            </w:r>
          </w:p>
        </w:tc>
        <w:tc>
          <w:tcPr>
            <w:tcW w:type="dxa" w:w="964"/>
          </w:tcPr>
          <w:p>
            <w:pPr>
              <w:jc w:val="right"/>
            </w:pPr>
            <w:r/>
            <w:r>
              <w:rPr>
                <w:color w:val="1A1D21"/>
                <w:sz w:val="17"/>
              </w:rPr>
              <w:t>-4,999</w:t>
            </w:r>
          </w:p>
        </w:tc>
        <w:tc>
          <w:tcPr>
            <w:tcW w:type="dxa" w:w="964"/>
          </w:tcPr>
          <w:p>
            <w:pPr>
              <w:jc w:val="right"/>
            </w:pPr>
            <w:r/>
            <w:r>
              <w:rPr>
                <w:color w:val="1A1D21"/>
                <w:sz w:val="17"/>
              </w:rPr>
              <w:t>-6,758</w:t>
            </w:r>
          </w:p>
        </w:tc>
        <w:tc>
          <w:tcPr>
            <w:tcW w:type="dxa" w:w="964"/>
          </w:tcPr>
          <w:p>
            <w:pPr>
              <w:jc w:val="right"/>
            </w:pPr>
            <w:r/>
            <w:r>
              <w:rPr>
                <w:color w:val="1A1D21"/>
                <w:sz w:val="17"/>
              </w:rPr>
              <w:t>-9,083</w:t>
            </w:r>
          </w:p>
        </w:tc>
        <w:tc>
          <w:tcPr>
            <w:tcW w:type="dxa" w:w="964"/>
          </w:tcPr>
          <w:p>
            <w:pPr>
              <w:jc w:val="right"/>
            </w:pPr>
            <w:r/>
            <w:r>
              <w:rPr>
                <w:color w:val="1A1D21"/>
                <w:sz w:val="17"/>
              </w:rPr>
              <w:t>-12,014</w:t>
            </w:r>
          </w:p>
        </w:tc>
      </w:tr>
      <w:tr>
        <w:trPr>
          <w:cantSplit/>
        </w:trPr>
        <w:tc>
          <w:tcPr>
            <w:tcW w:type="dxa" w:w="4700"/>
          </w:tcPr>
          <w:p>
            <w:r/>
            <w:r>
              <w:rPr>
                <w:color w:val="1A1D21"/>
                <w:sz w:val="17"/>
              </w:rPr>
              <w:t>Free cash flow to the firm, before financing</w:t>
            </w:r>
          </w:p>
        </w:tc>
        <w:tc>
          <w:tcPr>
            <w:tcW w:type="dxa" w:w="964"/>
          </w:tcPr>
          <w:p>
            <w:pPr>
              <w:jc w:val="right"/>
            </w:pPr>
            <w:r/>
            <w:r>
              <w:rPr>
                <w:color w:val="1A1D21"/>
                <w:sz w:val="17"/>
              </w:rPr>
              <w:t>24,855</w:t>
            </w:r>
          </w:p>
        </w:tc>
        <w:tc>
          <w:tcPr>
            <w:tcW w:type="dxa" w:w="964"/>
          </w:tcPr>
          <w:p>
            <w:pPr>
              <w:jc w:val="right"/>
            </w:pPr>
            <w:r/>
            <w:r>
              <w:rPr>
                <w:color w:val="1A1D21"/>
                <w:sz w:val="17"/>
              </w:rPr>
              <w:t>37,016</w:t>
            </w:r>
          </w:p>
        </w:tc>
        <w:tc>
          <w:tcPr>
            <w:tcW w:type="dxa" w:w="964"/>
          </w:tcPr>
          <w:p>
            <w:pPr>
              <w:jc w:val="right"/>
            </w:pPr>
            <w:r/>
            <w:r>
              <w:rPr>
                <w:color w:val="1A1D21"/>
                <w:sz w:val="17"/>
              </w:rPr>
              <w:t>47,341</w:t>
            </w:r>
          </w:p>
        </w:tc>
        <w:tc>
          <w:tcPr>
            <w:tcW w:type="dxa" w:w="964"/>
          </w:tcPr>
          <w:p>
            <w:pPr>
              <w:jc w:val="right"/>
            </w:pPr>
            <w:r/>
            <w:r>
              <w:rPr>
                <w:color w:val="1A1D21"/>
                <w:sz w:val="17"/>
              </w:rPr>
              <w:t>56,942</w:t>
            </w:r>
          </w:p>
        </w:tc>
        <w:tc>
          <w:tcPr>
            <w:tcW w:type="dxa" w:w="964"/>
          </w:tcPr>
          <w:p>
            <w:pPr>
              <w:jc w:val="right"/>
            </w:pPr>
            <w:r/>
            <w:r>
              <w:rPr>
                <w:color w:val="1A1D21"/>
                <w:sz w:val="17"/>
              </w:rPr>
              <w:t>66,666</w:t>
            </w:r>
          </w:p>
        </w:tc>
      </w:tr>
      <w:tr>
        <w:trPr>
          <w:cantSplit/>
        </w:trPr>
        <w:tc>
          <w:tcPr>
            <w:tcW w:type="dxa" w:w="4700"/>
          </w:tcPr>
          <w:p>
            <w:r/>
            <w:r>
              <w:rPr>
                <w:color w:val="1A1D21"/>
                <w:sz w:val="17"/>
              </w:rPr>
              <w:t>Cash and deposits, closing</w:t>
            </w:r>
          </w:p>
        </w:tc>
        <w:tc>
          <w:tcPr>
            <w:tcW w:type="dxa" w:w="964"/>
          </w:tcPr>
          <w:p>
            <w:pPr>
              <w:jc w:val="right"/>
            </w:pPr>
            <w:r/>
            <w:r>
              <w:rPr>
                <w:color w:val="1A1D21"/>
                <w:sz w:val="17"/>
              </w:rPr>
              <w:t>105,313</w:t>
            </w:r>
          </w:p>
        </w:tc>
        <w:tc>
          <w:tcPr>
            <w:tcW w:type="dxa" w:w="964"/>
          </w:tcPr>
          <w:p>
            <w:pPr>
              <w:jc w:val="right"/>
            </w:pPr>
            <w:r/>
            <w:r>
              <w:rPr>
                <w:color w:val="1A1D21"/>
                <w:sz w:val="17"/>
              </w:rPr>
              <w:t>150,394</w:t>
            </w:r>
          </w:p>
        </w:tc>
        <w:tc>
          <w:tcPr>
            <w:tcW w:type="dxa" w:w="964"/>
          </w:tcPr>
          <w:p>
            <w:pPr>
              <w:jc w:val="right"/>
            </w:pPr>
            <w:r/>
            <w:r>
              <w:rPr>
                <w:color w:val="1A1D21"/>
                <w:sz w:val="17"/>
              </w:rPr>
              <w:t>211,029</w:t>
            </w:r>
          </w:p>
        </w:tc>
        <w:tc>
          <w:tcPr>
            <w:tcW w:type="dxa" w:w="964"/>
          </w:tcPr>
          <w:p>
            <w:pPr>
              <w:jc w:val="right"/>
            </w:pPr>
            <w:r/>
            <w:r>
              <w:rPr>
                <w:color w:val="1A1D21"/>
                <w:sz w:val="17"/>
              </w:rPr>
              <w:t>288,338</w:t>
            </w:r>
          </w:p>
        </w:tc>
        <w:tc>
          <w:tcPr>
            <w:tcW w:type="dxa" w:w="964"/>
          </w:tcPr>
          <w:p>
            <w:pPr>
              <w:jc w:val="right"/>
            </w:pPr>
            <w:r/>
            <w:r>
              <w:rPr>
                <w:color w:val="1A1D21"/>
                <w:sz w:val="17"/>
              </w:rPr>
              <w:t>384,423</w:t>
            </w:r>
          </w:p>
        </w:tc>
      </w:tr>
      <w:tr>
        <w:trPr>
          <w:cantSplit/>
        </w:trPr>
        <w:tc>
          <w:tcPr>
            <w:tcW w:type="dxa" w:w="4700"/>
          </w:tcPr>
          <w:p>
            <w:r/>
            <w:r>
              <w:rPr>
                <w:color w:val="1A1D21"/>
                <w:sz w:val="17"/>
              </w:rPr>
              <w:t>Properties under development, closing</w:t>
            </w:r>
          </w:p>
        </w:tc>
        <w:tc>
          <w:tcPr>
            <w:tcW w:type="dxa" w:w="964"/>
          </w:tcPr>
          <w:p>
            <w:pPr>
              <w:jc w:val="right"/>
            </w:pPr>
            <w:r/>
            <w:r>
              <w:rPr>
                <w:color w:val="1A1D21"/>
                <w:sz w:val="17"/>
              </w:rPr>
              <w:t>147,460</w:t>
            </w:r>
          </w:p>
        </w:tc>
        <w:tc>
          <w:tcPr>
            <w:tcW w:type="dxa" w:w="964"/>
          </w:tcPr>
          <w:p>
            <w:pPr>
              <w:jc w:val="right"/>
            </w:pPr>
            <w:r/>
            <w:r>
              <w:rPr>
                <w:color w:val="1A1D21"/>
                <w:sz w:val="17"/>
              </w:rPr>
              <w:t>152,010</w:t>
            </w:r>
          </w:p>
        </w:tc>
        <w:tc>
          <w:tcPr>
            <w:tcW w:type="dxa" w:w="964"/>
          </w:tcPr>
          <w:p>
            <w:pPr>
              <w:jc w:val="right"/>
            </w:pPr>
            <w:r/>
            <w:r>
              <w:rPr>
                <w:color w:val="1A1D21"/>
                <w:sz w:val="17"/>
              </w:rPr>
              <w:t>163,778</w:t>
            </w:r>
          </w:p>
        </w:tc>
        <w:tc>
          <w:tcPr>
            <w:tcW w:type="dxa" w:w="964"/>
          </w:tcPr>
          <w:p>
            <w:pPr>
              <w:jc w:val="right"/>
            </w:pPr>
            <w:r/>
            <w:r>
              <w:rPr>
                <w:color w:val="1A1D21"/>
                <w:sz w:val="17"/>
              </w:rPr>
              <w:t>183,964</w:t>
            </w:r>
          </w:p>
        </w:tc>
        <w:tc>
          <w:tcPr>
            <w:tcW w:type="dxa" w:w="964"/>
          </w:tcPr>
          <w:p>
            <w:pPr>
              <w:jc w:val="right"/>
            </w:pPr>
            <w:r/>
            <w:r>
              <w:rPr>
                <w:color w:val="1A1D21"/>
                <w:sz w:val="17"/>
              </w:rPr>
              <w:t>213,411</w:t>
            </w:r>
          </w:p>
        </w:tc>
      </w:tr>
      <w:tr>
        <w:trPr>
          <w:cantSplit/>
        </w:trPr>
        <w:tc>
          <w:tcPr>
            <w:tcW w:type="dxa" w:w="4700"/>
          </w:tcPr>
          <w:p>
            <w:r/>
            <w:r>
              <w:rPr>
                <w:color w:val="1A1D21"/>
                <w:sz w:val="17"/>
              </w:rPr>
              <w:t>Customer advances, closing</w:t>
            </w:r>
          </w:p>
        </w:tc>
        <w:tc>
          <w:tcPr>
            <w:tcW w:type="dxa" w:w="964"/>
          </w:tcPr>
          <w:p>
            <w:pPr>
              <w:jc w:val="right"/>
            </w:pPr>
            <w:r/>
            <w:r>
              <w:rPr>
                <w:color w:val="1A1D21"/>
                <w:sz w:val="17"/>
              </w:rPr>
              <w:t>144,532</w:t>
            </w:r>
          </w:p>
        </w:tc>
        <w:tc>
          <w:tcPr>
            <w:tcW w:type="dxa" w:w="964"/>
          </w:tcPr>
          <w:p>
            <w:pPr>
              <w:jc w:val="right"/>
            </w:pPr>
            <w:r/>
            <w:r>
              <w:rPr>
                <w:color w:val="1A1D21"/>
                <w:sz w:val="17"/>
              </w:rPr>
              <w:t>170,382</w:t>
            </w:r>
          </w:p>
        </w:tc>
        <w:tc>
          <w:tcPr>
            <w:tcW w:type="dxa" w:w="964"/>
          </w:tcPr>
          <w:p>
            <w:pPr>
              <w:jc w:val="right"/>
            </w:pPr>
            <w:r/>
            <w:r>
              <w:rPr>
                <w:color w:val="1A1D21"/>
                <w:sz w:val="17"/>
              </w:rPr>
              <w:t>210,615</w:t>
            </w:r>
          </w:p>
        </w:tc>
        <w:tc>
          <w:tcPr>
            <w:tcW w:type="dxa" w:w="964"/>
          </w:tcPr>
          <w:p>
            <w:pPr>
              <w:jc w:val="right"/>
            </w:pPr>
            <w:r/>
            <w:r>
              <w:rPr>
                <w:color w:val="1A1D21"/>
                <w:sz w:val="17"/>
              </w:rPr>
              <w:t>264,781</w:t>
            </w:r>
          </w:p>
        </w:tc>
        <w:tc>
          <w:tcPr>
            <w:tcW w:type="dxa" w:w="964"/>
          </w:tcPr>
          <w:p>
            <w:pPr>
              <w:jc w:val="right"/>
            </w:pPr>
            <w:r/>
            <w:r>
              <w:rPr>
                <w:color w:val="1A1D21"/>
                <w:sz w:val="17"/>
              </w:rPr>
              <w:t>332,877</w:t>
            </w:r>
          </w:p>
        </w:tc>
      </w:tr>
      <w:tr>
        <w:trPr>
          <w:cantSplit/>
        </w:trPr>
        <w:tc>
          <w:tcPr>
            <w:tcW w:type="dxa" w:w="4700"/>
          </w:tcPr>
          <w:p>
            <w:r/>
            <w:r>
              <w:rPr>
                <w:color w:val="1A1D21"/>
                <w:sz w:val="17"/>
              </w:rPr>
              <w:t>Equity attributable to TMG's shareholders</w:t>
            </w:r>
          </w:p>
        </w:tc>
        <w:tc>
          <w:tcPr>
            <w:tcW w:type="dxa" w:w="964"/>
          </w:tcPr>
          <w:p>
            <w:pPr>
              <w:jc w:val="right"/>
            </w:pPr>
            <w:r/>
            <w:r>
              <w:rPr>
                <w:color w:val="1A1D21"/>
                <w:sz w:val="17"/>
              </w:rPr>
              <w:t>100,538</w:t>
            </w:r>
          </w:p>
        </w:tc>
        <w:tc>
          <w:tcPr>
            <w:tcW w:type="dxa" w:w="964"/>
          </w:tcPr>
          <w:p>
            <w:pPr>
              <w:jc w:val="right"/>
            </w:pPr>
            <w:r/>
            <w:r>
              <w:rPr>
                <w:color w:val="1A1D21"/>
                <w:sz w:val="17"/>
              </w:rPr>
              <w:t>112,203</w:t>
            </w:r>
          </w:p>
        </w:tc>
        <w:tc>
          <w:tcPr>
            <w:tcW w:type="dxa" w:w="964"/>
          </w:tcPr>
          <w:p>
            <w:pPr>
              <w:jc w:val="right"/>
            </w:pPr>
            <w:r/>
            <w:r>
              <w:rPr>
                <w:color w:val="1A1D21"/>
                <w:sz w:val="17"/>
              </w:rPr>
              <w:t>127,972</w:t>
            </w:r>
          </w:p>
        </w:tc>
        <w:tc>
          <w:tcPr>
            <w:tcW w:type="dxa" w:w="964"/>
          </w:tcPr>
          <w:p>
            <w:pPr>
              <w:jc w:val="right"/>
            </w:pPr>
            <w:r/>
            <w:r>
              <w:rPr>
                <w:color w:val="1A1D21"/>
                <w:sz w:val="17"/>
              </w:rPr>
              <w:t>149,165</w:t>
            </w:r>
          </w:p>
        </w:tc>
        <w:tc>
          <w:tcPr>
            <w:tcW w:type="dxa" w:w="964"/>
          </w:tcPr>
          <w:p>
            <w:pPr>
              <w:jc w:val="right"/>
            </w:pPr>
            <w:r/>
            <w:r>
              <w:rPr>
                <w:color w:val="1A1D21"/>
                <w:sz w:val="17"/>
              </w:rPr>
              <w:t>177,198</w:t>
            </w:r>
          </w:p>
        </w:tc>
      </w:tr>
      <w:tr>
        <w:trPr>
          <w:cantSplit/>
        </w:trPr>
        <w:tc>
          <w:tcPr>
            <w:tcW w:type="dxa" w:w="4700"/>
          </w:tcPr>
          <w:p>
            <w:r/>
            <w:r>
              <w:rPr>
                <w:color w:val="1A1D21"/>
                <w:sz w:val="17"/>
              </w:rPr>
              <w:t>Total assets</w:t>
            </w:r>
          </w:p>
        </w:tc>
        <w:tc>
          <w:tcPr>
            <w:tcW w:type="dxa" w:w="964"/>
          </w:tcPr>
          <w:p>
            <w:pPr>
              <w:jc w:val="right"/>
            </w:pPr>
            <w:r/>
            <w:r>
              <w:rPr>
                <w:color w:val="1A1D21"/>
                <w:sz w:val="17"/>
              </w:rPr>
              <w:t>507,759</w:t>
            </w:r>
          </w:p>
        </w:tc>
        <w:tc>
          <w:tcPr>
            <w:tcW w:type="dxa" w:w="964"/>
          </w:tcPr>
          <w:p>
            <w:pPr>
              <w:jc w:val="right"/>
            </w:pPr>
            <w:r/>
            <w:r>
              <w:rPr>
                <w:color w:val="1A1D21"/>
                <w:sz w:val="17"/>
              </w:rPr>
              <w:t>559,026</w:t>
            </w:r>
          </w:p>
        </w:tc>
        <w:tc>
          <w:tcPr>
            <w:tcW w:type="dxa" w:w="964"/>
          </w:tcPr>
          <w:p>
            <w:pPr>
              <w:jc w:val="right"/>
            </w:pPr>
            <w:r/>
            <w:r>
              <w:rPr>
                <w:color w:val="1A1D21"/>
                <w:sz w:val="17"/>
              </w:rPr>
              <w:t>633,617</w:t>
            </w:r>
          </w:p>
        </w:tc>
        <w:tc>
          <w:tcPr>
            <w:tcW w:type="dxa" w:w="964"/>
          </w:tcPr>
          <w:p>
            <w:pPr>
              <w:jc w:val="right"/>
            </w:pPr>
            <w:r/>
            <w:r>
              <w:rPr>
                <w:color w:val="1A1D21"/>
                <w:sz w:val="17"/>
              </w:rPr>
              <w:t>733,963</w:t>
            </w:r>
          </w:p>
        </w:tc>
        <w:tc>
          <w:tcPr>
            <w:tcW w:type="dxa" w:w="964"/>
          </w:tcPr>
          <w:p>
            <w:pPr>
              <w:jc w:val="right"/>
            </w:pPr>
            <w:r/>
            <w:r>
              <w:rPr>
                <w:color w:val="1A1D21"/>
                <w:sz w:val="17"/>
              </w:rPr>
              <w:t>863,141</w:t>
            </w:r>
          </w:p>
        </w:tc>
      </w:tr>
      <w:tr>
        <w:trPr>
          <w:cantSplit/>
        </w:trPr>
        <w:tc>
          <w:tcPr>
            <w:tcW w:type="dxa" w:w="4700"/>
          </w:tcPr>
          <w:p>
            <w:r/>
            <w:r>
              <w:rPr>
                <w:color w:val="1A1D21"/>
                <w:sz w:val="17"/>
              </w:rPr>
              <w:t>Total liabilities</w:t>
            </w:r>
          </w:p>
        </w:tc>
        <w:tc>
          <w:tcPr>
            <w:tcW w:type="dxa" w:w="964"/>
          </w:tcPr>
          <w:p>
            <w:pPr>
              <w:jc w:val="right"/>
            </w:pPr>
            <w:r/>
            <w:r>
              <w:rPr>
                <w:color w:val="1A1D21"/>
                <w:sz w:val="17"/>
              </w:rPr>
              <w:t>321,114</w:t>
            </w:r>
          </w:p>
        </w:tc>
        <w:tc>
          <w:tcPr>
            <w:tcW w:type="dxa" w:w="964"/>
          </w:tcPr>
          <w:p>
            <w:pPr>
              <w:jc w:val="right"/>
            </w:pPr>
            <w:r/>
            <w:r>
              <w:rPr>
                <w:color w:val="1A1D21"/>
                <w:sz w:val="17"/>
              </w:rPr>
              <w:t>346,963</w:t>
            </w:r>
          </w:p>
        </w:tc>
        <w:tc>
          <w:tcPr>
            <w:tcW w:type="dxa" w:w="964"/>
          </w:tcPr>
          <w:p>
            <w:pPr>
              <w:jc w:val="right"/>
            </w:pPr>
            <w:r/>
            <w:r>
              <w:rPr>
                <w:color w:val="1A1D21"/>
                <w:sz w:val="17"/>
              </w:rPr>
              <w:t>387,196</w:t>
            </w:r>
          </w:p>
        </w:tc>
        <w:tc>
          <w:tcPr>
            <w:tcW w:type="dxa" w:w="964"/>
          </w:tcPr>
          <w:p>
            <w:pPr>
              <w:jc w:val="right"/>
            </w:pPr>
            <w:r/>
            <w:r>
              <w:rPr>
                <w:color w:val="1A1D21"/>
                <w:sz w:val="17"/>
              </w:rPr>
              <w:t>441,363</w:t>
            </w:r>
          </w:p>
        </w:tc>
        <w:tc>
          <w:tcPr>
            <w:tcW w:type="dxa" w:w="964"/>
          </w:tcPr>
          <w:p>
            <w:pPr>
              <w:jc w:val="right"/>
            </w:pPr>
            <w:r/>
            <w:r>
              <w:rPr>
                <w:color w:val="1A1D21"/>
                <w:sz w:val="17"/>
              </w:rPr>
              <w:t>509,458</w:t>
            </w:r>
          </w:p>
        </w:tc>
      </w:tr>
      <w:tr>
        <w:trPr>
          <w:cantSplit/>
        </w:trPr>
        <w:tc>
          <w:tcPr>
            <w:tcW w:type="dxa" w:w="4700"/>
          </w:tcPr>
          <w:p>
            <w:r/>
            <w:r>
              <w:rPr>
                <w:color w:val="1A1D21"/>
                <w:sz w:val="17"/>
              </w:rPr>
              <w:t>Total equity</w:t>
            </w:r>
          </w:p>
        </w:tc>
        <w:tc>
          <w:tcPr>
            <w:tcW w:type="dxa" w:w="964"/>
          </w:tcPr>
          <w:p>
            <w:pPr>
              <w:jc w:val="right"/>
            </w:pPr>
            <w:r/>
            <w:r>
              <w:rPr>
                <w:color w:val="1A1D21"/>
                <w:sz w:val="17"/>
              </w:rPr>
              <w:t>186,645</w:t>
            </w:r>
          </w:p>
        </w:tc>
        <w:tc>
          <w:tcPr>
            <w:tcW w:type="dxa" w:w="964"/>
          </w:tcPr>
          <w:p>
            <w:pPr>
              <w:jc w:val="right"/>
            </w:pPr>
            <w:r/>
            <w:r>
              <w:rPr>
                <w:color w:val="1A1D21"/>
                <w:sz w:val="17"/>
              </w:rPr>
              <w:t>212,063</w:t>
            </w:r>
          </w:p>
        </w:tc>
        <w:tc>
          <w:tcPr>
            <w:tcW w:type="dxa" w:w="964"/>
          </w:tcPr>
          <w:p>
            <w:pPr>
              <w:jc w:val="right"/>
            </w:pPr>
            <w:r/>
            <w:r>
              <w:rPr>
                <w:color w:val="1A1D21"/>
                <w:sz w:val="17"/>
              </w:rPr>
              <w:t>246,421</w:t>
            </w:r>
          </w:p>
        </w:tc>
        <w:tc>
          <w:tcPr>
            <w:tcW w:type="dxa" w:w="964"/>
          </w:tcPr>
          <w:p>
            <w:pPr>
              <w:jc w:val="right"/>
            </w:pPr>
            <w:r/>
            <w:r>
              <w:rPr>
                <w:color w:val="1A1D21"/>
                <w:sz w:val="17"/>
              </w:rPr>
              <w:t>292,600</w:t>
            </w:r>
          </w:p>
        </w:tc>
        <w:tc>
          <w:tcPr>
            <w:tcW w:type="dxa" w:w="964"/>
          </w:tcPr>
          <w:p>
            <w:pPr>
              <w:jc w:val="right"/>
            </w:pPr>
            <w:r/>
            <w:r>
              <w:rPr>
                <w:color w:val="1A1D21"/>
                <w:sz w:val="17"/>
              </w:rPr>
              <w:t>353,683</w:t>
            </w:r>
          </w:p>
        </w:tc>
      </w:tr>
      <w:tr>
        <w:trPr>
          <w:cantSplit/>
        </w:trPr>
        <w:tc>
          <w:tcPr>
            <w:tcW w:type="dxa" w:w="4700"/>
          </w:tcPr>
          <w:p>
            <w:r/>
            <w:r>
              <w:rPr>
                <w:color w:val="1A1D21"/>
                <w:sz w:val="17"/>
              </w:rPr>
              <w:t>Assets less liabilities less equity</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c>
          <w:tcPr>
            <w:tcW w:type="dxa" w:w="964"/>
          </w:tcPr>
          <w:p>
            <w:pPr>
              <w:jc w:val="right"/>
            </w:pPr>
            <w:r/>
            <w:r>
              <w:rPr>
                <w:color w:val="1A1D21"/>
                <w:sz w:val="17"/>
              </w:rPr>
              <w:t>0.00</w:t>
            </w:r>
          </w:p>
        </w:tc>
      </w:tr>
    </w:tbl>
    <w:p>
      <w:pPr>
        <w:spacing w:after="200"/>
      </w:pPr>
      <w:r>
        <w:rPr>
          <w:b w:val="0"/>
          <w:i/>
          <w:color w:val="5B6570"/>
          <w:sz w:val="16"/>
        </w:rPr>
        <w:t>The slower-conversion case. The first four lines make up operating cash flow. Free cash flow to the firm is NOT the residual of the rows above it: it starts from operating profit after tax and stops before financing, which is the measure section 1.1 discounts, while operating cash flow starts from net profit and is after it.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1452"/>
        <w:gridCol w:w="868"/>
        <w:gridCol w:w="1247"/>
        <w:gridCol w:w="5954"/>
      </w:tblGrid>
      <w:tr>
        <w:trPr>
          <w:tblHeader w:val="true"/>
        </w:trPr>
        <w:tc>
          <w:tcPr>
            <w:tcW w:type="dxa" w:w="1451"/>
          </w:tcPr>
          <w:p>
            <w:r/>
            <w:r>
              <w:rPr>
                <w:b/>
                <w:color w:val="5B6570"/>
                <w:sz w:val="17"/>
              </w:rPr>
              <w:t>Company</w:t>
            </w:r>
          </w:p>
        </w:tc>
        <w:tc>
          <w:tcPr>
            <w:tcW w:type="dxa" w:w="867"/>
          </w:tcPr>
          <w:p>
            <w:r/>
            <w:r>
              <w:rPr>
                <w:b/>
                <w:color w:val="5B6570"/>
                <w:sz w:val="17"/>
              </w:rPr>
              <w:t>Last close, EGP</w:t>
            </w:r>
          </w:p>
        </w:tc>
        <w:tc>
          <w:tcPr>
            <w:tcW w:type="dxa" w:w="1247"/>
          </w:tcPr>
          <w:p>
            <w:r/>
            <w:r>
              <w:rPr>
                <w:b/>
                <w:color w:val="5B6570"/>
                <w:sz w:val="17"/>
              </w:rPr>
              <w:t>As at</w:t>
            </w:r>
          </w:p>
        </w:tc>
        <w:tc>
          <w:tcPr>
            <w:tcW w:type="dxa" w:w="5953"/>
          </w:tcPr>
          <w:p>
            <w:r/>
            <w:r>
              <w:rPr>
                <w:b/>
                <w:color w:val="5B6570"/>
                <w:sz w:val="17"/>
              </w:rPr>
              <w:t>Why it is a comparator</w:t>
            </w:r>
          </w:p>
        </w:tc>
      </w:tr>
      <w:tr>
        <w:trPr>
          <w:cantSplit/>
        </w:trPr>
        <w:tc>
          <w:tcPr>
            <w:tcW w:type="dxa" w:w="1451"/>
          </w:tcPr>
          <w:p>
            <w:r/>
            <w:r>
              <w:rPr>
                <w:color w:val="1A1D21"/>
                <w:sz w:val="17"/>
              </w:rPr>
              <w:t>Emaar Misr for Development</w:t>
            </w:r>
          </w:p>
        </w:tc>
        <w:tc>
          <w:tcPr>
            <w:tcW w:type="dxa" w:w="867"/>
          </w:tcPr>
          <w:p>
            <w:pPr>
              <w:jc w:val="right"/>
            </w:pPr>
            <w:r/>
            <w:r>
              <w:rPr>
                <w:color w:val="1A1D21"/>
                <w:sz w:val="17"/>
              </w:rPr>
              <w:t>13.70</w:t>
            </w:r>
          </w:p>
        </w:tc>
        <w:tc>
          <w:tcPr>
            <w:tcW w:type="dxa" w:w="1247"/>
          </w:tcPr>
          <w:p>
            <w:pPr>
              <w:jc w:val="right"/>
            </w:pPr>
            <w:r/>
            <w:r>
              <w:rPr>
                <w:color w:val="1A1D21"/>
                <w:sz w:val="17"/>
              </w:rPr>
              <w:t>2026-09-01</w:t>
            </w:r>
          </w:p>
        </w:tc>
        <w:tc>
          <w:tcPr>
            <w:tcW w:type="dxa" w:w="5953"/>
          </w:tcPr>
          <w:p>
            <w:r/>
            <w:r>
              <w:rPr>
                <w:color w:val="1A1D21"/>
                <w:sz w:val="17"/>
              </w:rPr>
              <w:t>off-plan developer, comparable payment plans and handover clock</w:t>
            </w:r>
          </w:p>
        </w:tc>
      </w:tr>
      <w:tr>
        <w:trPr>
          <w:cantSplit/>
        </w:trPr>
        <w:tc>
          <w:tcPr>
            <w:tcW w:type="dxa" w:w="1451"/>
          </w:tcPr>
          <w:p>
            <w:r/>
            <w:r>
              <w:rPr>
                <w:color w:val="1A1D21"/>
                <w:sz w:val="17"/>
              </w:rPr>
              <w:t>Sixth of October Development &amp; Investment (SODIC)</w:t>
            </w:r>
          </w:p>
        </w:tc>
        <w:tc>
          <w:tcPr>
            <w:tcW w:type="dxa" w:w="867"/>
          </w:tcPr>
          <w:p>
            <w:pPr>
              <w:jc w:val="right"/>
            </w:pPr>
            <w:r/>
            <w:r>
              <w:rPr>
                <w:color w:val="1A1D21"/>
                <w:sz w:val="17"/>
              </w:rPr>
              <w:t>31.01</w:t>
            </w:r>
          </w:p>
        </w:tc>
        <w:tc>
          <w:tcPr>
            <w:tcW w:type="dxa" w:w="1247"/>
          </w:tcPr>
          <w:p>
            <w:pPr>
              <w:jc w:val="right"/>
            </w:pPr>
            <w:r/>
            <w:r>
              <w:rPr>
                <w:color w:val="1A1D21"/>
                <w:sz w:val="17"/>
              </w:rPr>
              <w:t>2026-09-01</w:t>
            </w:r>
          </w:p>
        </w:tc>
        <w:tc>
          <w:tcPr>
            <w:tcW w:type="dxa" w:w="5953"/>
          </w:tcPr>
          <w:p>
            <w:r/>
            <w:r>
              <w:rPr>
                <w:color w:val="1A1D21"/>
                <w:sz w:val="17"/>
              </w:rPr>
              <w:t>integrated-community developer, similar product mix</w:t>
            </w:r>
          </w:p>
        </w:tc>
      </w:tr>
      <w:tr>
        <w:trPr>
          <w:cantSplit/>
        </w:trPr>
        <w:tc>
          <w:tcPr>
            <w:tcW w:type="dxa" w:w="1451"/>
          </w:tcPr>
          <w:p>
            <w:r/>
            <w:r>
              <w:rPr>
                <w:color w:val="1A1D21"/>
                <w:sz w:val="17"/>
              </w:rPr>
              <w:t>Palm Hills Developments</w:t>
            </w:r>
          </w:p>
        </w:tc>
        <w:tc>
          <w:tcPr>
            <w:tcW w:type="dxa" w:w="867"/>
          </w:tcPr>
          <w:p>
            <w:pPr>
              <w:jc w:val="right"/>
            </w:pPr>
            <w:r/>
            <w:r>
              <w:rPr>
                <w:color w:val="1A1D21"/>
                <w:sz w:val="17"/>
              </w:rPr>
              <w:t>15.20</w:t>
            </w:r>
          </w:p>
        </w:tc>
        <w:tc>
          <w:tcPr>
            <w:tcW w:type="dxa" w:w="1247"/>
          </w:tcPr>
          <w:p>
            <w:pPr>
              <w:jc w:val="right"/>
            </w:pPr>
            <w:r/>
            <w:r>
              <w:rPr>
                <w:color w:val="1A1D21"/>
                <w:sz w:val="17"/>
              </w:rPr>
              <w:t>2026-08-23</w:t>
            </w:r>
          </w:p>
        </w:tc>
        <w:tc>
          <w:tcPr>
            <w:tcW w:type="dxa" w:w="5953"/>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1451"/>
          </w:tcPr>
          <w:p>
            <w:r/>
            <w:r>
              <w:rPr>
                <w:color w:val="1A1D21"/>
                <w:sz w:val="17"/>
              </w:rPr>
              <w:t>Heliopolis Housing &amp; Development</w:t>
            </w:r>
          </w:p>
        </w:tc>
        <w:tc>
          <w:tcPr>
            <w:tcW w:type="dxa" w:w="867"/>
          </w:tcPr>
          <w:p>
            <w:pPr>
              <w:jc w:val="right"/>
            </w:pPr>
            <w:r/>
            <w:r>
              <w:rPr>
                <w:color w:val="1A1D21"/>
                <w:sz w:val="17"/>
              </w:rPr>
              <w:t>7.75</w:t>
            </w:r>
          </w:p>
        </w:tc>
        <w:tc>
          <w:tcPr>
            <w:tcW w:type="dxa" w:w="1247"/>
          </w:tcPr>
          <w:p>
            <w:pPr>
              <w:jc w:val="right"/>
            </w:pPr>
            <w:r/>
            <w:r>
              <w:rPr>
                <w:color w:val="1A1D21"/>
                <w:sz w:val="17"/>
              </w:rPr>
              <w:t>2026-08-23</w:t>
            </w:r>
          </w:p>
        </w:tc>
        <w:tc>
          <w:tcPr>
            <w:tcW w:type="dxa" w:w="5953"/>
          </w:tcPr>
          <w:p>
            <w:r/>
            <w:r>
              <w:rPr>
                <w:color w:val="1A1D21"/>
                <w:sz w:val="17"/>
              </w:rPr>
              <w:t>land-rich developer with a comparable legacy landbank</w:t>
            </w:r>
          </w:p>
        </w:tc>
      </w:tr>
      <w:tr>
        <w:trPr>
          <w:cantSplit/>
        </w:trPr>
        <w:tc>
          <w:tcPr>
            <w:tcW w:type="dxa" w:w="1451"/>
          </w:tcPr>
          <w:p>
            <w:r/>
            <w:r>
              <w:rPr>
                <w:color w:val="1A1D21"/>
                <w:sz w:val="17"/>
              </w:rPr>
              <w:t>Orascom Development Egypt</w:t>
            </w:r>
          </w:p>
        </w:tc>
        <w:tc>
          <w:tcPr>
            <w:tcW w:type="dxa" w:w="867"/>
          </w:tcPr>
          <w:p>
            <w:pPr>
              <w:jc w:val="right"/>
            </w:pPr>
            <w:r/>
            <w:r>
              <w:rPr>
                <w:color w:val="1A1D21"/>
                <w:sz w:val="17"/>
              </w:rPr>
              <w:t>41.50</w:t>
            </w:r>
          </w:p>
        </w:tc>
        <w:tc>
          <w:tcPr>
            <w:tcW w:type="dxa" w:w="1247"/>
          </w:tcPr>
          <w:p>
            <w:pPr>
              <w:jc w:val="right"/>
            </w:pPr>
            <w:r/>
            <w:r>
              <w:rPr>
                <w:color w:val="1A1D21"/>
                <w:sz w:val="17"/>
              </w:rPr>
              <w:t>2026-09-01</w:t>
            </w:r>
          </w:p>
        </w:tc>
        <w:tc>
          <w:tcPr>
            <w:tcW w:type="dxa" w:w="5953"/>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a policy rate that peaked near 27.25%;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35.79%</w:t>
            </w:r>
          </w:p>
        </w:tc>
        <w:tc>
          <w:tcPr>
            <w:tcW w:type="dxa" w:w="2494"/>
          </w:tcPr>
          <w:p>
            <w:pPr>
              <w:jc w:val="right"/>
            </w:pPr>
            <w:r/>
            <w:r>
              <w:rPr>
                <w:color w:val="1A1D21"/>
                <w:sz w:val="17"/>
              </w:rPr>
              <w:t>20,369</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83,549</w:t>
            </w:r>
          </w:p>
        </w:tc>
      </w:tr>
    </w:tbl>
    <w:p>
      <w:pPr>
        <w:spacing w:after="80"/>
      </w:pPr>
      <w:r>
        <w:rPr>
          <w:b w:val="0"/>
          <w:i w:val="0"/>
          <w:color w:val="1A1D21"/>
          <w:sz w:val="8"/>
        </w:rPr>
      </w:r>
    </w:p>
    <w:p>
      <w:pPr>
        <w:spacing w:after="140"/>
      </w:pPr>
      <w:r>
        <w:rPr>
          <w:b/>
          <w:i w:val="0"/>
          <w:color w:val="1A1D21"/>
          <w:sz w:val="20"/>
        </w:rPr>
        <w:t>Value per share: EGP 40.54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44.56</w:t>
            </w:r>
          </w:p>
        </w:tc>
      </w:tr>
      <w:tr>
        <w:trPr>
          <w:cantSplit/>
        </w:trPr>
        <w:tc>
          <w:tcPr>
            <w:tcW w:type="dxa" w:w="3969"/>
          </w:tcPr>
          <w:p>
            <w:r/>
            <w:r>
              <w:rPr>
                <w:color w:val="1A1D21"/>
                <w:sz w:val="17"/>
              </w:rPr>
              <w:t>10</w:t>
            </w:r>
          </w:p>
        </w:tc>
        <w:tc>
          <w:tcPr>
            <w:tcW w:type="dxa" w:w="2268"/>
          </w:tcPr>
          <w:p>
            <w:pPr>
              <w:jc w:val="right"/>
            </w:pPr>
            <w:r/>
            <w:r>
              <w:rPr>
                <w:color w:val="1A1D21"/>
                <w:sz w:val="17"/>
              </w:rPr>
              <w:t>42.26</w:t>
            </w:r>
          </w:p>
        </w:tc>
      </w:tr>
      <w:tr>
        <w:trPr>
          <w:cantSplit/>
        </w:trPr>
        <w:tc>
          <w:tcPr>
            <w:tcW w:type="dxa" w:w="3969"/>
          </w:tcPr>
          <w:p>
            <w:r/>
            <w:r>
              <w:rPr>
                <w:color w:val="1A1D21"/>
                <w:sz w:val="17"/>
              </w:rPr>
              <w:t>12</w:t>
            </w:r>
          </w:p>
        </w:tc>
        <w:tc>
          <w:tcPr>
            <w:tcW w:type="dxa" w:w="2268"/>
          </w:tcPr>
          <w:p>
            <w:pPr>
              <w:jc w:val="right"/>
            </w:pPr>
            <w:r/>
            <w:r>
              <w:rPr>
                <w:color w:val="1A1D21"/>
                <w:sz w:val="17"/>
              </w:rPr>
              <w:t>40.54</w:t>
            </w:r>
          </w:p>
        </w:tc>
      </w:tr>
      <w:tr>
        <w:trPr>
          <w:cantSplit/>
        </w:trPr>
        <w:tc>
          <w:tcPr>
            <w:tcW w:type="dxa" w:w="3969"/>
          </w:tcPr>
          <w:p>
            <w:r/>
            <w:r>
              <w:rPr>
                <w:color w:val="1A1D21"/>
                <w:sz w:val="17"/>
              </w:rPr>
              <w:t>14</w:t>
            </w:r>
          </w:p>
        </w:tc>
        <w:tc>
          <w:tcPr>
            <w:tcW w:type="dxa" w:w="2268"/>
          </w:tcPr>
          <w:p>
            <w:pPr>
              <w:jc w:val="right"/>
            </w:pPr>
            <w:r/>
            <w:r>
              <w:rPr>
                <w:color w:val="1A1D21"/>
                <w:sz w:val="17"/>
              </w:rPr>
              <w:t>39.23</w:t>
            </w:r>
          </w:p>
        </w:tc>
      </w:tr>
      <w:tr>
        <w:trPr>
          <w:cantSplit/>
        </w:trPr>
        <w:tc>
          <w:tcPr>
            <w:tcW w:type="dxa" w:w="3969"/>
          </w:tcPr>
          <w:p>
            <w:r/>
            <w:r>
              <w:rPr>
                <w:color w:val="1A1D21"/>
                <w:sz w:val="17"/>
              </w:rPr>
              <w:t>18</w:t>
            </w:r>
          </w:p>
        </w:tc>
        <w:tc>
          <w:tcPr>
            <w:tcW w:type="dxa" w:w="2268"/>
          </w:tcPr>
          <w:p>
            <w:pPr>
              <w:jc w:val="right"/>
            </w:pPr>
            <w:r/>
            <w:r>
              <w:rPr>
                <w:color w:val="1A1D21"/>
                <w:sz w:val="17"/>
              </w:rPr>
              <w:t>37.39</w:t>
            </w:r>
          </w:p>
        </w:tc>
      </w:tr>
    </w:tbl>
    <w:p>
      <w:pPr>
        <w:spacing w:after="200"/>
      </w:pPr>
      <w:r>
        <w:rPr>
          <w:b w:val="0"/>
          <w:i/>
          <w:color w:val="5B6570"/>
          <w:sz w:val="16"/>
        </w:rPr>
        <w:t>This runs the OPPOSITE way to section 1.7, and the reason is a real difference of construction rather than a disagreement about the company: this expert discounts a FIXED pot for longer, while the study's model has the company collecting ahead of handover, so accelerating means building before collecting.</w:t>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202bn,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37.15% less growth 15%</w:t>
            </w:r>
          </w:p>
        </w:tc>
        <w:tc>
          <w:tcPr>
            <w:tcW w:type="dxa" w:w="2494"/>
          </w:tcPr>
          <w:p>
            <w:pPr>
              <w:jc w:val="right"/>
            </w:pPr>
            <w:r/>
            <w:r>
              <w:rPr>
                <w:color w:val="1A1D21"/>
                <w:sz w:val="17"/>
              </w:rPr>
              <w:t>36,437</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20,065</w:t>
            </w:r>
          </w:p>
        </w:tc>
      </w:tr>
    </w:tbl>
    <w:p>
      <w:pPr>
        <w:spacing w:after="80"/>
      </w:pPr>
      <w:r>
        <w:rPr>
          <w:b w:val="0"/>
          <w:i w:val="0"/>
          <w:color w:val="1A1D21"/>
          <w:sz w:val="8"/>
        </w:rPr>
      </w:r>
    </w:p>
    <w:p>
      <w:pPr>
        <w:spacing w:after="140"/>
      </w:pPr>
      <w:r>
        <w:rPr>
          <w:b/>
          <w:i w:val="0"/>
          <w:color w:val="1A1D21"/>
          <w:sz w:val="20"/>
        </w:rPr>
        <w:t>Value per share: EGP 9.74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5.85</w:t>
            </w:r>
          </w:p>
        </w:tc>
      </w:tr>
      <w:tr>
        <w:trPr>
          <w:cantSplit/>
        </w:trPr>
        <w:tc>
          <w:tcPr>
            <w:tcW w:type="dxa" w:w="3969"/>
          </w:tcPr>
          <w:p>
            <w:r/>
            <w:r>
              <w:rPr>
                <w:color w:val="1A1D21"/>
                <w:sz w:val="17"/>
              </w:rPr>
              <w:t>12%</w:t>
            </w:r>
          </w:p>
        </w:tc>
        <w:tc>
          <w:tcPr>
            <w:tcW w:type="dxa" w:w="2268"/>
          </w:tcPr>
          <w:p>
            <w:pPr>
              <w:jc w:val="right"/>
            </w:pPr>
            <w:r/>
            <w:r>
              <w:rPr>
                <w:color w:val="1A1D21"/>
                <w:sz w:val="17"/>
              </w:rPr>
              <w:t>7.60</w:t>
            </w:r>
          </w:p>
        </w:tc>
      </w:tr>
      <w:tr>
        <w:trPr>
          <w:cantSplit/>
        </w:trPr>
        <w:tc>
          <w:tcPr>
            <w:tcW w:type="dxa" w:w="3969"/>
          </w:tcPr>
          <w:p>
            <w:r/>
            <w:r>
              <w:rPr>
                <w:color w:val="1A1D21"/>
                <w:sz w:val="17"/>
              </w:rPr>
              <w:t>15%</w:t>
            </w:r>
          </w:p>
        </w:tc>
        <w:tc>
          <w:tcPr>
            <w:tcW w:type="dxa" w:w="2268"/>
          </w:tcPr>
          <w:p>
            <w:pPr>
              <w:jc w:val="right"/>
            </w:pPr>
            <w:r/>
            <w:r>
              <w:rPr>
                <w:color w:val="1A1D21"/>
                <w:sz w:val="17"/>
              </w:rPr>
              <w:t>9.74</w:t>
            </w:r>
          </w:p>
        </w:tc>
      </w:tr>
      <w:tr>
        <w:trPr>
          <w:cantSplit/>
        </w:trPr>
        <w:tc>
          <w:tcPr>
            <w:tcW w:type="dxa" w:w="3969"/>
          </w:tcPr>
          <w:p>
            <w:r/>
            <w:r>
              <w:rPr>
                <w:color w:val="1A1D21"/>
                <w:sz w:val="17"/>
              </w:rPr>
              <w:t>18%</w:t>
            </w:r>
          </w:p>
        </w:tc>
        <w:tc>
          <w:tcPr>
            <w:tcW w:type="dxa" w:w="2268"/>
          </w:tcPr>
          <w:p>
            <w:pPr>
              <w:jc w:val="right"/>
            </w:pPr>
            <w:r/>
            <w:r>
              <w:rPr>
                <w:color w:val="1A1D21"/>
                <w:sz w:val="17"/>
              </w:rPr>
              <w:t>12.42</w:t>
            </w:r>
          </w:p>
        </w:tc>
      </w:tr>
      <w:tr>
        <w:trPr>
          <w:cantSplit/>
        </w:trPr>
        <w:tc>
          <w:tcPr>
            <w:tcW w:type="dxa" w:w="3969"/>
          </w:tcPr>
          <w:p>
            <w:r/>
            <w:r>
              <w:rPr>
                <w:color w:val="1A1D21"/>
                <w:sz w:val="17"/>
              </w:rPr>
              <w:t>20%</w:t>
            </w:r>
          </w:p>
        </w:tc>
        <w:tc>
          <w:tcPr>
            <w:tcW w:type="dxa" w:w="2268"/>
          </w:tcPr>
          <w:p>
            <w:pPr>
              <w:jc w:val="right"/>
            </w:pPr>
            <w:r/>
            <w:r>
              <w:rPr>
                <w:color w:val="1A1D21"/>
                <w:sz w:val="17"/>
              </w:rPr>
              <w:t>15.89</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35.79% is above anything the market appears to use — 17.4% to 31.9% on the reverse calculation.</w:t>
            </w:r>
          </w:p>
        </w:tc>
        <w:tc>
          <w:tcPr>
            <w:tcW w:type="dxa" w:w="4762"/>
          </w:tcPr>
          <w:p>
            <w:r/>
            <w:r>
              <w:rPr>
                <w:color w:val="1A1D21"/>
                <w:sz w:val="17"/>
              </w:rPr>
              <w:t>ACKNOWLEDGED AND PUBLISHED. The house method levers Egypt's whole country risk premium by a beta of 1.47. The implied pair STRADDLES the 23.00% sovereign — below it on the faster reading of the order book, above it on the slower — so there is no single rate the market can be said to be applying, and which reading you take decides the sign of the disagreement.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9.74 is the floor, deliberately: it gives the shareholder nothing at all for EGP 491bn of sold product, and says so. Experts 1 and 2 arrive at EGP 40.54 and EGP 38.30 by routes that share almost no arithmetic — one discounts a twelve-year net cash stream, the other reconciles a balance sheet and strips goodwill — and land within EGP 2.25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97.80, and none of them is trying to. The spread across the panel is EGP 9.74 to EGP 40.54.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2.25</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30.81</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28.56</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