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6.40 a share; on the composite, AED 9.37.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four lenses centre at AED 7.05 against a market price of 6.16 — 14% above the market price. The cash-flow lens on its own lands at AED 6.40, 4% above the market price, and the three notional experts in Appendix C, who price mid-cycle earnings rather than a terminal value, centre at AED 6.11, 1% below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9.37. That construction is published beside the adopted one throughout, because a gap of AED 2.97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3.42 to AED 12.24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8.6% to 7.8% on the share's own beta of 1.103 against the published index of its own exchange and on all three kinds of capital the company uses — ordinary equity 80.0%, debt 7.2%, perpetual capital securities 12.8% at their own coupon; terminal growth 2%; 75% of enterprise value comes from the terminal value</w:t>
            </w:r>
          </w:p>
        </w:tc>
        <w:tc>
          <w:tcPr>
            <w:tcW w:type="dxa" w:w="1526"/>
          </w:tcPr>
          <w:p>
            <w:pPr>
              <w:spacing w:after="20"/>
              <w:jc w:val="right"/>
            </w:pPr>
            <w:r>
              <w:rPr>
                <w:color w:val="1C3A36"/>
                <w:sz w:val="16"/>
              </w:rPr>
              <w:t>3.42 – 12.24</w:t>
            </w:r>
          </w:p>
        </w:tc>
        <w:tc>
          <w:tcPr>
            <w:tcW w:type="dxa" w:w="1181"/>
          </w:tcPr>
          <w:p>
            <w:pPr>
              <w:spacing w:after="20"/>
              <w:jc w:val="right"/>
            </w:pPr>
            <w:r>
              <w:rPr>
                <w:color w:val="1C3A36"/>
                <w:sz w:val="16"/>
              </w:rPr>
              <w:t>6.40</w:t>
            </w:r>
          </w:p>
        </w:tc>
        <w:tc>
          <w:tcPr>
            <w:tcW w:type="dxa" w:w="1210"/>
          </w:tcPr>
          <w:p>
            <w:pPr>
              <w:spacing w:after="20"/>
              <w:jc w:val="right"/>
            </w:pPr>
            <w:r>
              <w:rPr>
                <w:color w:val="1C3A36"/>
                <w:sz w:val="16"/>
              </w:rPr>
              <w:t>+4%</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6.92 – 10.76</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2,296 million before interest, tax, depreciation and amortisation — at the same blended multiples</w:t>
            </w:r>
          </w:p>
        </w:tc>
        <w:tc>
          <w:tcPr>
            <w:tcW w:type="dxa" w:w="1526"/>
          </w:tcPr>
          <w:p>
            <w:pPr>
              <w:spacing w:after="20"/>
              <w:jc w:val="right"/>
            </w:pPr>
            <w:r>
              <w:rPr>
                <w:color w:val="1C3A36"/>
                <w:sz w:val="16"/>
              </w:rPr>
              <w:t>7.80 – 12.02</w:t>
            </w:r>
          </w:p>
        </w:tc>
        <w:tc>
          <w:tcPr>
            <w:tcW w:type="dxa" w:w="1181"/>
          </w:tcPr>
          <w:p>
            <w:pPr>
              <w:spacing w:after="20"/>
              <w:jc w:val="right"/>
            </w:pPr>
            <w:r>
              <w:rPr>
                <w:color w:val="1C3A36"/>
                <w:sz w:val="16"/>
              </w:rPr>
              <w:t>8.91</w:t>
            </w:r>
          </w:p>
        </w:tc>
        <w:tc>
          <w:tcPr>
            <w:tcW w:type="dxa" w:w="1210"/>
          </w:tcPr>
          <w:p>
            <w:pPr>
              <w:spacing w:after="20"/>
              <w:jc w:val="right"/>
            </w:pPr>
            <w:r>
              <w:rPr>
                <w:color w:val="1C3A36"/>
                <w:sz w:val="16"/>
              </w:rPr>
              <w:t>+45%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9.43% on that book, discounted, plus a remainder that fades at 10% a year — worth 1.45× the book it starts from</w:t>
            </w:r>
          </w:p>
        </w:tc>
        <w:tc>
          <w:tcPr>
            <w:tcW w:type="dxa" w:w="1526"/>
          </w:tcPr>
          <w:p>
            <w:pPr>
              <w:spacing w:after="20"/>
              <w:jc w:val="right"/>
            </w:pPr>
            <w:r>
              <w:rPr>
                <w:color w:val="1C3A36"/>
                <w:sz w:val="16"/>
              </w:rPr>
              <w:t>2.40 – 5.40</w:t>
            </w:r>
          </w:p>
        </w:tc>
        <w:tc>
          <w:tcPr>
            <w:tcW w:type="dxa" w:w="1181"/>
          </w:tcPr>
          <w:p>
            <w:pPr>
              <w:spacing w:after="20"/>
              <w:jc w:val="right"/>
            </w:pPr>
            <w:r>
              <w:rPr>
                <w:color w:val="1C3A36"/>
                <w:sz w:val="16"/>
              </w:rPr>
              <w:t>3.66</w:t>
            </w:r>
          </w:p>
        </w:tc>
        <w:tc>
          <w:tcPr>
            <w:tcW w:type="dxa" w:w="1210"/>
          </w:tcPr>
          <w:p>
            <w:pPr>
              <w:spacing w:after="20"/>
              <w:jc w:val="right"/>
            </w:pPr>
            <w:r>
              <w:rPr>
                <w:color w:val="1C3A36"/>
                <w:sz w:val="16"/>
              </w:rPr>
              <w:t>-41%</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beta measured against the published index of its own exchange</w:t>
            </w:r>
          </w:p>
        </w:tc>
        <w:tc>
          <w:tcPr>
            <w:tcW w:type="dxa" w:w="1526"/>
            <w:shd w:val="clear" w:color="auto" w:fill="F6F1E6"/>
          </w:tcPr>
          <w:p>
            <w:pPr>
              <w:spacing w:after="20"/>
              <w:jc w:val="right"/>
            </w:pPr>
            <w:r>
              <w:rPr>
                <w:b/>
                <w:color w:val="1C3A36"/>
                <w:sz w:val="16"/>
              </w:rPr>
              <w:t>5.02 – 10.80</w:t>
            </w:r>
          </w:p>
        </w:tc>
        <w:tc>
          <w:tcPr>
            <w:tcW w:type="dxa" w:w="1181"/>
            <w:shd w:val="clear" w:color="auto" w:fill="F6F1E6"/>
          </w:tcPr>
          <w:p>
            <w:pPr>
              <w:spacing w:after="20"/>
              <w:jc w:val="right"/>
            </w:pPr>
            <w:r>
              <w:rPr>
                <w:b/>
                <w:color w:val="1C3A36"/>
                <w:sz w:val="16"/>
              </w:rPr>
              <w:t>7.05</w:t>
            </w:r>
          </w:p>
        </w:tc>
        <w:tc>
          <w:tcPr>
            <w:tcW w:type="dxa" w:w="1210"/>
            <w:shd w:val="clear" w:color="auto" w:fill="F6F1E6"/>
          </w:tcPr>
          <w:p>
            <w:pPr>
              <w:spacing w:after="20"/>
              <w:jc w:val="right"/>
            </w:pPr>
            <w:r>
              <w:rPr>
                <w:b/>
                <w:color w:val="1C3A36"/>
                <w:sz w:val="16"/>
              </w:rPr>
              <w:t>+14%</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1.103, cost of capital gliding 7.0% to 6.3%, and 81% of enterprise value from the terminal value. The published index is the yardstick this study adopts; the composite is shown because the gap turns on index weighting rather than on the company (section 1.8). The weighted central on this construction is AED 8.24</w:t>
            </w:r>
          </w:p>
        </w:tc>
        <w:tc>
          <w:tcPr>
            <w:tcW w:type="dxa" w:w="1526"/>
          </w:tcPr>
          <w:p>
            <w:pPr>
              <w:spacing w:after="20"/>
              <w:jc w:val="right"/>
            </w:pPr>
            <w:r>
              <w:rPr>
                <w:color w:val="1C3A36"/>
                <w:sz w:val="16"/>
              </w:rPr>
              <w:t>—</w:t>
            </w:r>
          </w:p>
        </w:tc>
        <w:tc>
          <w:tcPr>
            <w:tcW w:type="dxa" w:w="1181"/>
          </w:tcPr>
          <w:p>
            <w:pPr>
              <w:spacing w:after="20"/>
              <w:jc w:val="right"/>
            </w:pPr>
            <w:r>
              <w:rPr>
                <w:color w:val="1C3A36"/>
                <w:sz w:val="16"/>
              </w:rPr>
              <w:t>9.37</w:t>
            </w:r>
          </w:p>
        </w:tc>
        <w:tc>
          <w:tcPr>
            <w:tcW w:type="dxa" w:w="1210"/>
          </w:tcPr>
          <w:p>
            <w:pPr>
              <w:spacing w:after="20"/>
              <w:jc w:val="right"/>
            </w:pPr>
            <w:r>
              <w:rPr>
                <w:color w:val="1C3A36"/>
                <w:sz w:val="16"/>
              </w:rPr>
              <w:t>+52%</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7.94</w:t>
            </w:r>
          </w:p>
        </w:tc>
        <w:tc>
          <w:tcPr>
            <w:tcW w:type="dxa" w:w="1210"/>
          </w:tcPr>
          <w:p>
            <w:pPr>
              <w:spacing w:after="20"/>
              <w:jc w:val="right"/>
            </w:pPr>
            <w:r>
              <w:rPr>
                <w:color w:val="1C3A36"/>
                <w:sz w:val="16"/>
              </w:rPr>
              <w:t>+29%</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1,242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6.77</w:t>
            </w:r>
          </w:p>
        </w:tc>
        <w:tc>
          <w:tcPr>
            <w:tcW w:type="dxa" w:w="1210"/>
          </w:tcPr>
          <w:p>
            <w:pPr>
              <w:spacing w:after="20"/>
              <w:jc w:val="right"/>
            </w:pPr>
            <w:r>
              <w:rPr>
                <w:color w:val="1C3A36"/>
                <w:sz w:val="16"/>
              </w:rPr>
              <w:t>+10%</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weighted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4.30 against a published bear of 3.42, so roughly AED 0.88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2.97 a share separates the two constructions on the cash-flow lens and AED 1.19 on the weighted central, and both are carried at full size through section 1.1, section 1.8, the comparison in section 4 and the expert panel. Terminal value is 75%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0.20× the 2026E earnings this study forecasts, against the company's own stated medium-term target range of 2.0× to 2.5×. The bridge in section 1.1 deducts USD 2,021 million, which is that figure plus the deferred consideration of USD 301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5,003</w:t>
            </w:r>
          </w:p>
        </w:tc>
        <w:tc>
          <w:tcPr>
            <w:tcW w:type="dxa" w:w="1382"/>
          </w:tcPr>
          <w:p>
            <w:pPr>
              <w:spacing w:after="20"/>
              <w:jc w:val="right"/>
            </w:pPr>
            <w:r>
              <w:rPr>
                <w:color w:val="1C3A36"/>
                <w:sz w:val="16"/>
              </w:rPr>
              <w:t>5,719</w:t>
            </w:r>
          </w:p>
        </w:tc>
        <w:tc>
          <w:tcPr>
            <w:tcW w:type="dxa" w:w="1382"/>
          </w:tcPr>
          <w:p>
            <w:pPr>
              <w:spacing w:after="20"/>
              <w:jc w:val="right"/>
            </w:pPr>
            <w:r>
              <w:rPr>
                <w:color w:val="1C3A36"/>
                <w:sz w:val="16"/>
              </w:rPr>
              <w:t>5,741</w:t>
            </w:r>
          </w:p>
        </w:tc>
        <w:tc>
          <w:tcPr>
            <w:tcW w:type="dxa" w:w="1382"/>
          </w:tcPr>
          <w:p>
            <w:pPr>
              <w:spacing w:after="20"/>
              <w:jc w:val="right"/>
            </w:pPr>
            <w:r>
              <w:rPr>
                <w:color w:val="1C3A36"/>
                <w:sz w:val="16"/>
              </w:rPr>
              <w:t>5,497</w:t>
            </w:r>
          </w:p>
        </w:tc>
        <w:tc>
          <w:tcPr>
            <w:tcW w:type="dxa" w:w="1382"/>
          </w:tcPr>
          <w:p>
            <w:pPr>
              <w:spacing w:after="20"/>
              <w:jc w:val="right"/>
            </w:pPr>
            <w:r>
              <w:rPr>
                <w:color w:val="1C3A36"/>
                <w:sz w:val="16"/>
              </w:rPr>
              <w:t>5,171</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(2,917)</w:t>
            </w:r>
          </w:p>
        </w:tc>
        <w:tc>
          <w:tcPr>
            <w:tcW w:type="dxa" w:w="1382"/>
          </w:tcPr>
          <w:p>
            <w:pPr>
              <w:spacing w:after="20"/>
              <w:jc w:val="right"/>
            </w:pPr>
            <w:r>
              <w:rPr>
                <w:color w:val="1C3A36"/>
                <w:sz w:val="16"/>
              </w:rPr>
              <w:t>(3,201)</w:t>
            </w:r>
          </w:p>
        </w:tc>
        <w:tc>
          <w:tcPr>
            <w:tcW w:type="dxa" w:w="1382"/>
          </w:tcPr>
          <w:p>
            <w:pPr>
              <w:spacing w:after="20"/>
              <w:jc w:val="right"/>
            </w:pPr>
            <w:r>
              <w:rPr>
                <w:color w:val="1C3A36"/>
                <w:sz w:val="16"/>
              </w:rPr>
              <w:t>(3,236)</w:t>
            </w:r>
          </w:p>
        </w:tc>
        <w:tc>
          <w:tcPr>
            <w:tcW w:type="dxa" w:w="1382"/>
          </w:tcPr>
          <w:p>
            <w:pPr>
              <w:spacing w:after="20"/>
              <w:jc w:val="right"/>
            </w:pPr>
            <w:r>
              <w:rPr>
                <w:color w:val="1C3A36"/>
                <w:sz w:val="16"/>
              </w:rPr>
              <w:t>(3,186)</w:t>
            </w:r>
          </w:p>
        </w:tc>
        <w:tc>
          <w:tcPr>
            <w:tcW w:type="dxa" w:w="1382"/>
          </w:tcPr>
          <w:p>
            <w:pPr>
              <w:spacing w:after="20"/>
              <w:jc w:val="right"/>
            </w:pPr>
            <w:r>
              <w:rPr>
                <w:color w:val="1C3A36"/>
                <w:sz w:val="16"/>
              </w:rPr>
              <w:t>(3,114)</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2,086</w:t>
            </w:r>
          </w:p>
        </w:tc>
        <w:tc>
          <w:tcPr>
            <w:tcW w:type="dxa" w:w="1382"/>
          </w:tcPr>
          <w:p>
            <w:pPr>
              <w:spacing w:after="20"/>
              <w:jc w:val="right"/>
            </w:pPr>
            <w:r>
              <w:rPr>
                <w:color w:val="1C3A36"/>
                <w:sz w:val="16"/>
              </w:rPr>
              <w:t>2,518</w:t>
            </w:r>
          </w:p>
        </w:tc>
        <w:tc>
          <w:tcPr>
            <w:tcW w:type="dxa" w:w="1382"/>
          </w:tcPr>
          <w:p>
            <w:pPr>
              <w:spacing w:after="20"/>
              <w:jc w:val="right"/>
            </w:pPr>
            <w:r>
              <w:rPr>
                <w:color w:val="1C3A36"/>
                <w:sz w:val="16"/>
              </w:rPr>
              <w:t>2,506</w:t>
            </w:r>
          </w:p>
        </w:tc>
        <w:tc>
          <w:tcPr>
            <w:tcW w:type="dxa" w:w="1382"/>
          </w:tcPr>
          <w:p>
            <w:pPr>
              <w:spacing w:after="20"/>
              <w:jc w:val="right"/>
            </w:pPr>
            <w:r>
              <w:rPr>
                <w:color w:val="1C3A36"/>
                <w:sz w:val="16"/>
              </w:rPr>
              <w:t>2,311</w:t>
            </w:r>
          </w:p>
        </w:tc>
        <w:tc>
          <w:tcPr>
            <w:tcW w:type="dxa" w:w="1382"/>
          </w:tcPr>
          <w:p>
            <w:pPr>
              <w:spacing w:after="20"/>
              <w:jc w:val="right"/>
            </w:pPr>
            <w:r>
              <w:rPr>
                <w:color w:val="1C3A36"/>
                <w:sz w:val="16"/>
              </w:rPr>
              <w:t>2,057</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41.7%</w:t>
            </w:r>
          </w:p>
        </w:tc>
        <w:tc>
          <w:tcPr>
            <w:tcW w:type="dxa" w:w="1382"/>
          </w:tcPr>
          <w:p>
            <w:pPr>
              <w:spacing w:after="20"/>
              <w:jc w:val="right"/>
            </w:pPr>
            <w:r>
              <w:rPr>
                <w:color w:val="1C3A36"/>
                <w:sz w:val="16"/>
              </w:rPr>
              <w:t>44.0%</w:t>
            </w:r>
          </w:p>
        </w:tc>
        <w:tc>
          <w:tcPr>
            <w:tcW w:type="dxa" w:w="1382"/>
          </w:tcPr>
          <w:p>
            <w:pPr>
              <w:spacing w:after="20"/>
              <w:jc w:val="right"/>
            </w:pPr>
            <w:r>
              <w:rPr>
                <w:color w:val="1C3A36"/>
                <w:sz w:val="16"/>
              </w:rPr>
              <w:t>43.6%</w:t>
            </w:r>
          </w:p>
        </w:tc>
        <w:tc>
          <w:tcPr>
            <w:tcW w:type="dxa" w:w="1382"/>
          </w:tcPr>
          <w:p>
            <w:pPr>
              <w:spacing w:after="20"/>
              <w:jc w:val="right"/>
            </w:pPr>
            <w:r>
              <w:rPr>
                <w:color w:val="1C3A36"/>
                <w:sz w:val="16"/>
              </w:rPr>
              <w:t>42.0%</w:t>
            </w:r>
          </w:p>
        </w:tc>
        <w:tc>
          <w:tcPr>
            <w:tcW w:type="dxa" w:w="1382"/>
          </w:tcPr>
          <w:p>
            <w:pPr>
              <w:spacing w:after="20"/>
              <w:jc w:val="right"/>
            </w:pPr>
            <w:r>
              <w:rPr>
                <w:color w:val="1C3A36"/>
                <w:sz w:val="16"/>
              </w:rPr>
              <w:t>39.8%</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(575)</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(703)</w:t>
            </w:r>
          </w:p>
        </w:tc>
        <w:tc>
          <w:tcPr>
            <w:tcW w:type="dxa" w:w="1382"/>
          </w:tcPr>
          <w:p>
            <w:pPr>
              <w:spacing w:after="20"/>
              <w:jc w:val="right"/>
            </w:pPr>
            <w:r>
              <w:rPr>
                <w:color w:val="1C3A36"/>
                <w:sz w:val="16"/>
              </w:rPr>
              <w:t>(727)</w:t>
            </w:r>
          </w:p>
        </w:tc>
        <w:tc>
          <w:tcPr>
            <w:tcW w:type="dxa" w:w="1382"/>
          </w:tcPr>
          <w:p>
            <w:pPr>
              <w:spacing w:after="20"/>
              <w:jc w:val="right"/>
            </w:pPr>
            <w:r>
              <w:rPr>
                <w:color w:val="1C3A36"/>
                <w:sz w:val="16"/>
              </w:rPr>
              <w:t>(733)</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1,511</w:t>
            </w:r>
          </w:p>
        </w:tc>
        <w:tc>
          <w:tcPr>
            <w:tcW w:type="dxa" w:w="1382"/>
          </w:tcPr>
          <w:p>
            <w:pPr>
              <w:spacing w:after="20"/>
              <w:jc w:val="right"/>
            </w:pPr>
            <w:r>
              <w:rPr>
                <w:color w:val="1C3A36"/>
                <w:sz w:val="16"/>
              </w:rPr>
              <w:t>1,856</w:t>
            </w:r>
          </w:p>
        </w:tc>
        <w:tc>
          <w:tcPr>
            <w:tcW w:type="dxa" w:w="1382"/>
          </w:tcPr>
          <w:p>
            <w:pPr>
              <w:spacing w:after="20"/>
              <w:jc w:val="right"/>
            </w:pPr>
            <w:r>
              <w:rPr>
                <w:color w:val="1C3A36"/>
                <w:sz w:val="16"/>
              </w:rPr>
              <w:t>1,802</w:t>
            </w:r>
          </w:p>
        </w:tc>
        <w:tc>
          <w:tcPr>
            <w:tcW w:type="dxa" w:w="1382"/>
          </w:tcPr>
          <w:p>
            <w:pPr>
              <w:spacing w:after="20"/>
              <w:jc w:val="right"/>
            </w:pPr>
            <w:r>
              <w:rPr>
                <w:color w:val="1C3A36"/>
                <w:sz w:val="16"/>
              </w:rPr>
              <w:t>1,584</w:t>
            </w:r>
          </w:p>
        </w:tc>
        <w:tc>
          <w:tcPr>
            <w:tcW w:type="dxa" w:w="1382"/>
          </w:tcPr>
          <w:p>
            <w:pPr>
              <w:spacing w:after="20"/>
              <w:jc w:val="right"/>
            </w:pPr>
            <w:r>
              <w:rPr>
                <w:color w:val="1C3A36"/>
                <w:sz w:val="16"/>
              </w:rPr>
              <w:t>1,324</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4.5%</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1,461</w:t>
            </w:r>
          </w:p>
        </w:tc>
        <w:tc>
          <w:tcPr>
            <w:tcW w:type="dxa" w:w="1382"/>
          </w:tcPr>
          <w:p>
            <w:pPr>
              <w:spacing w:after="20"/>
              <w:jc w:val="right"/>
            </w:pPr>
            <w:r>
              <w:rPr>
                <w:color w:val="1C3A36"/>
                <w:sz w:val="16"/>
              </w:rPr>
              <w:t>1,800</w:t>
            </w:r>
          </w:p>
        </w:tc>
        <w:tc>
          <w:tcPr>
            <w:tcW w:type="dxa" w:w="1382"/>
          </w:tcPr>
          <w:p>
            <w:pPr>
              <w:spacing w:after="20"/>
              <w:jc w:val="right"/>
            </w:pPr>
            <w:r>
              <w:rPr>
                <w:color w:val="1C3A36"/>
                <w:sz w:val="16"/>
              </w:rPr>
              <w:t>1,743</w:t>
            </w:r>
          </w:p>
        </w:tc>
        <w:tc>
          <w:tcPr>
            <w:tcW w:type="dxa" w:w="1382"/>
          </w:tcPr>
          <w:p>
            <w:pPr>
              <w:spacing w:after="20"/>
              <w:jc w:val="right"/>
            </w:pPr>
            <w:r>
              <w:rPr>
                <w:color w:val="1C3A36"/>
                <w:sz w:val="16"/>
              </w:rPr>
              <w:t>1,524</w:t>
            </w:r>
          </w:p>
        </w:tc>
        <w:tc>
          <w:tcPr>
            <w:tcW w:type="dxa" w:w="1382"/>
          </w:tcPr>
          <w:p>
            <w:pPr>
              <w:spacing w:after="20"/>
              <w:jc w:val="right"/>
            </w:pPr>
            <w:r>
              <w:rPr>
                <w:color w:val="1C3A36"/>
                <w:sz w:val="16"/>
              </w:rPr>
              <w:t>1,264</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575</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703</w:t>
            </w:r>
          </w:p>
        </w:tc>
        <w:tc>
          <w:tcPr>
            <w:tcW w:type="dxa" w:w="1382"/>
          </w:tcPr>
          <w:p>
            <w:pPr>
              <w:spacing w:after="20"/>
              <w:jc w:val="right"/>
            </w:pPr>
            <w:r>
              <w:rPr>
                <w:color w:val="1C3A36"/>
                <w:sz w:val="16"/>
              </w:rPr>
              <w:t>727</w:t>
            </w:r>
          </w:p>
        </w:tc>
        <w:tc>
          <w:tcPr>
            <w:tcW w:type="dxa" w:w="1382"/>
          </w:tcPr>
          <w:p>
            <w:pPr>
              <w:spacing w:after="20"/>
              <w:jc w:val="right"/>
            </w:pPr>
            <w:r>
              <w:rPr>
                <w:color w:val="1C3A36"/>
                <w:sz w:val="16"/>
              </w:rPr>
              <w:t>733</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1,205</w:t>
            </w:r>
          </w:p>
        </w:tc>
        <w:tc>
          <w:tcPr>
            <w:tcW w:type="dxa" w:w="1382"/>
            <w:shd w:val="clear" w:color="auto" w:fill="F6F1E6"/>
          </w:tcPr>
          <w:p>
            <w:pPr>
              <w:spacing w:after="20"/>
              <w:jc w:val="right"/>
            </w:pPr>
            <w:r>
              <w:rPr>
                <w:b/>
                <w:color w:val="1C3A36"/>
                <w:sz w:val="16"/>
              </w:rPr>
              <w:t>1,620</w:t>
            </w:r>
          </w:p>
        </w:tc>
        <w:tc>
          <w:tcPr>
            <w:tcW w:type="dxa" w:w="1382"/>
            <w:shd w:val="clear" w:color="auto" w:fill="F6F1E6"/>
          </w:tcPr>
          <w:p>
            <w:pPr>
              <w:spacing w:after="20"/>
              <w:jc w:val="right"/>
            </w:pPr>
            <w:r>
              <w:rPr>
                <w:b/>
                <w:color w:val="1C3A36"/>
                <w:sz w:val="16"/>
              </w:rPr>
              <w:t>1,437</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85</w:t>
            </w:r>
          </w:p>
        </w:tc>
        <w:tc>
          <w:tcPr>
            <w:tcW w:type="dxa" w:w="1382"/>
          </w:tcPr>
          <w:p>
            <w:pPr>
              <w:spacing w:after="20"/>
              <w:jc w:val="right"/>
            </w:pPr>
            <w:r>
              <w:rPr>
                <w:color w:val="1C3A36"/>
                <w:sz w:val="16"/>
              </w:rPr>
              <w:t>1,060</w:t>
            </w:r>
          </w:p>
        </w:tc>
        <w:tc>
          <w:tcPr>
            <w:tcW w:type="dxa" w:w="1382"/>
          </w:tcPr>
          <w:p>
            <w:pPr>
              <w:spacing w:after="20"/>
              <w:jc w:val="right"/>
            </w:pPr>
            <w:r>
              <w:rPr>
                <w:color w:val="1C3A36"/>
                <w:sz w:val="16"/>
              </w:rPr>
              <w:t>1,205</w:t>
            </w:r>
          </w:p>
        </w:tc>
        <w:tc>
          <w:tcPr>
            <w:tcW w:type="dxa" w:w="1382"/>
          </w:tcPr>
          <w:p>
            <w:pPr>
              <w:spacing w:after="20"/>
              <w:jc w:val="right"/>
            </w:pPr>
            <w:r>
              <w:rPr>
                <w:color w:val="1C3A36"/>
                <w:sz w:val="16"/>
              </w:rPr>
              <w:t>1,620</w:t>
            </w:r>
          </w:p>
        </w:tc>
        <w:tc>
          <w:tcPr>
            <w:tcW w:type="dxa" w:w="1382"/>
          </w:tcPr>
          <w:p>
            <w:pPr>
              <w:spacing w:after="20"/>
              <w:jc w:val="right"/>
            </w:pPr>
            <w:r>
              <w:rPr>
                <w:color w:val="1C3A36"/>
                <w:sz w:val="16"/>
              </w:rPr>
              <w:t>1,437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8.41%</w:t>
            </w:r>
          </w:p>
        </w:tc>
        <w:tc>
          <w:tcPr>
            <w:tcW w:type="dxa" w:w="1382"/>
          </w:tcPr>
          <w:p>
            <w:pPr>
              <w:spacing w:after="20"/>
              <w:jc w:val="right"/>
            </w:pPr>
            <w:r>
              <w:rPr>
                <w:color w:val="1C3A36"/>
                <w:sz w:val="16"/>
              </w:rPr>
              <w:t>8.26%</w:t>
            </w:r>
          </w:p>
        </w:tc>
        <w:tc>
          <w:tcPr>
            <w:tcW w:type="dxa" w:w="1382"/>
          </w:tcPr>
          <w:p>
            <w:pPr>
              <w:spacing w:after="20"/>
              <w:jc w:val="right"/>
            </w:pPr>
            <w:r>
              <w:rPr>
                <w:color w:val="1C3A36"/>
                <w:sz w:val="16"/>
              </w:rPr>
              <w:t>8.11%</w:t>
            </w:r>
          </w:p>
        </w:tc>
        <w:tc>
          <w:tcPr>
            <w:tcW w:type="dxa" w:w="1382"/>
          </w:tcPr>
          <w:p>
            <w:pPr>
              <w:spacing w:after="20"/>
              <w:jc w:val="right"/>
            </w:pPr>
            <w:r>
              <w:rPr>
                <w:color w:val="1C3A36"/>
                <w:sz w:val="16"/>
              </w:rPr>
              <w:t>7.95%</w:t>
            </w:r>
          </w:p>
        </w:tc>
        <w:tc>
          <w:tcPr>
            <w:tcW w:type="dxa" w:w="1382"/>
          </w:tcPr>
          <w:p>
            <w:pPr>
              <w:spacing w:after="20"/>
              <w:jc w:val="right"/>
            </w:pPr>
            <w:r>
              <w:rPr>
                <w:color w:val="1C3A36"/>
                <w:sz w:val="16"/>
              </w:rPr>
              <w:t>7.80%</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0.9413</w:t>
            </w:r>
          </w:p>
        </w:tc>
        <w:tc>
          <w:tcPr>
            <w:tcW w:type="dxa" w:w="1382"/>
          </w:tcPr>
          <w:p>
            <w:pPr>
              <w:spacing w:after="20"/>
              <w:jc w:val="right"/>
            </w:pPr>
            <w:r>
              <w:rPr>
                <w:color w:val="1C3A36"/>
                <w:sz w:val="16"/>
              </w:rPr>
              <w:t>0.8695</w:t>
            </w:r>
          </w:p>
        </w:tc>
        <w:tc>
          <w:tcPr>
            <w:tcW w:type="dxa" w:w="1382"/>
          </w:tcPr>
          <w:p>
            <w:pPr>
              <w:spacing w:after="20"/>
              <w:jc w:val="right"/>
            </w:pPr>
            <w:r>
              <w:rPr>
                <w:color w:val="1C3A36"/>
                <w:sz w:val="16"/>
              </w:rPr>
              <w:t>0.8043</w:t>
            </w:r>
          </w:p>
        </w:tc>
        <w:tc>
          <w:tcPr>
            <w:tcW w:type="dxa" w:w="1382"/>
          </w:tcPr>
          <w:p>
            <w:pPr>
              <w:spacing w:after="20"/>
              <w:jc w:val="right"/>
            </w:pPr>
            <w:r>
              <w:rPr>
                <w:color w:val="1C3A36"/>
                <w:sz w:val="16"/>
              </w:rPr>
              <w:t>0.7450</w:t>
            </w:r>
          </w:p>
        </w:tc>
        <w:tc>
          <w:tcPr>
            <w:tcW w:type="dxa" w:w="1382"/>
          </w:tcPr>
          <w:p>
            <w:pPr>
              <w:spacing w:after="20"/>
              <w:jc w:val="right"/>
            </w:pPr>
            <w:r>
              <w:rPr>
                <w:color w:val="1C3A36"/>
                <w:sz w:val="16"/>
              </w:rPr>
              <w:t>0.6911</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80</w:t>
            </w:r>
          </w:p>
        </w:tc>
        <w:tc>
          <w:tcPr>
            <w:tcW w:type="dxa" w:w="1382"/>
            <w:shd w:val="clear" w:color="auto" w:fill="F6F1E6"/>
          </w:tcPr>
          <w:p>
            <w:pPr>
              <w:spacing w:after="20"/>
              <w:jc w:val="right"/>
            </w:pPr>
            <w:r>
              <w:rPr>
                <w:b/>
                <w:color w:val="1C3A36"/>
                <w:sz w:val="16"/>
              </w:rPr>
              <w:t>921</w:t>
            </w:r>
          </w:p>
        </w:tc>
        <w:tc>
          <w:tcPr>
            <w:tcW w:type="dxa" w:w="1382"/>
            <w:shd w:val="clear" w:color="auto" w:fill="F6F1E6"/>
          </w:tcPr>
          <w:p>
            <w:pPr>
              <w:spacing w:after="20"/>
              <w:jc w:val="right"/>
            </w:pPr>
            <w:r>
              <w:rPr>
                <w:b/>
                <w:color w:val="1C3A36"/>
                <w:sz w:val="16"/>
              </w:rPr>
              <w:t>969</w:t>
            </w:r>
          </w:p>
        </w:tc>
        <w:tc>
          <w:tcPr>
            <w:tcW w:type="dxa" w:w="1382"/>
            <w:shd w:val="clear" w:color="auto" w:fill="F6F1E6"/>
          </w:tcPr>
          <w:p>
            <w:pPr>
              <w:spacing w:after="20"/>
              <w:jc w:val="right"/>
            </w:pPr>
            <w:r>
              <w:rPr>
                <w:b/>
                <w:color w:val="1C3A36"/>
                <w:sz w:val="16"/>
              </w:rPr>
              <w:t>1,207</w:t>
            </w:r>
          </w:p>
        </w:tc>
        <w:tc>
          <w:tcPr>
            <w:tcW w:type="dxa" w:w="1382"/>
            <w:shd w:val="clear" w:color="auto" w:fill="F6F1E6"/>
          </w:tcPr>
          <w:p>
            <w:pPr>
              <w:spacing w:after="20"/>
              <w:jc w:val="right"/>
            </w:pPr>
            <w:r>
              <w:rPr>
                <w:b/>
                <w:color w:val="1C3A36"/>
                <w:sz w:val="16"/>
              </w:rPr>
              <w:t>993</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3.3%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5.80%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126.4 days</w:t>
            </w:r>
          </w:p>
        </w:tc>
        <w:tc>
          <w:tcPr>
            <w:tcW w:type="dxa" w:w="6192"/>
          </w:tcPr>
          <w:p>
            <w:pPr>
              <w:spacing w:after="20"/>
              <w:jc w:val="left"/>
            </w:pPr>
            <w:r>
              <w:rPr>
                <w:color w:val="1C3A36"/>
                <w:sz w:val="16"/>
              </w:rPr>
              <w:t>Receivables over revenue in the FY2025 statements is 108.4 days. But FY2025 revenue carries a gross-up of 2.74× over the owned tanker fleet's own charter-equivalent revenue, from chartered-in and relet trading, while the forecast is built at 1.60×. A day count calibrated on the first and applied to the second understates the receivable balance by the whole difference between the two conventions. Re-based onto the revenue the forecast actually produces, 108.4 days becomes 126.4.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4,171</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1,056</w:t>
            </w:r>
          </w:p>
        </w:tc>
        <w:tc>
          <w:tcPr>
            <w:tcW w:type="dxa" w:w="5040"/>
          </w:tcPr>
          <w:p>
            <w:pPr>
              <w:spacing w:after="20"/>
              <w:jc w:val="left"/>
            </w:pPr>
            <w:r>
              <w:rPr>
                <w:color w:val="1C3A36"/>
                <w:sz w:val="16"/>
              </w:rPr>
              <w:t>2030E net operating profit after tax grown 2% and multiplied by one less the reinvestment rate of 18.1%; that reinvestment rate is forced to equal growth divided by the terminal return on invested capital of 11.1%,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12,577</w:t>
            </w:r>
          </w:p>
        </w:tc>
        <w:tc>
          <w:tcPr>
            <w:tcW w:type="dxa" w:w="5040"/>
          </w:tcPr>
          <w:p>
            <w:pPr>
              <w:spacing w:after="20"/>
              <w:jc w:val="left"/>
            </w:pPr>
            <w:r>
              <w:rPr>
                <w:color w:val="1C3A36"/>
                <w:sz w:val="16"/>
              </w:rPr>
              <w:t>the terminal cash flow capitalised at 7.8% less 2% = USD 18,199 million, discounted at the same year-five factor of 0.6911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16,748</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75.1%</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17,241</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(338)</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0.44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12,903</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1.74</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6.40</w:t>
            </w:r>
          </w:p>
        </w:tc>
        <w:tc>
          <w:tcPr>
            <w:tcW w:type="dxa" w:w="5040"/>
            <w:shd w:val="clear" w:color="auto" w:fill="F6F1E6"/>
          </w:tcPr>
          <w:p>
            <w:pPr>
              <w:spacing w:after="20"/>
              <w:jc w:val="left"/>
            </w:pPr>
            <w:r>
              <w:rPr>
                <w:b/>
                <w:color w:val="1C3A36"/>
                <w:sz w:val="16"/>
              </w:rPr>
              <w:t>against a market price of AED 6.16 (+4%)</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6.77</w:t>
            </w:r>
          </w:p>
        </w:tc>
        <w:tc>
          <w:tcPr>
            <w:tcW w:type="dxa" w:w="5040"/>
            <w:shd w:val="clear" w:color="auto" w:fill="F6F1E6"/>
          </w:tcPr>
          <w:p>
            <w:pPr>
              <w:spacing w:after="20"/>
              <w:jc w:val="left"/>
            </w:pPr>
            <w:r>
              <w:rPr>
                <w:b/>
                <w:color w:val="1C3A36"/>
                <w:sz w:val="16"/>
              </w:rPr>
              <w:t>deducting USD 1,242 million, the coupon capitalised at the terminal cost of capital, instead of the USD 1,979 million carrying value. Worth AED 0.37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290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0.705 instead. Two qualifications before the explanation. The first is that the runs are not quite the identical regression: the published-index run pairs 159 weekly observations and the composite run pairs 163, because the index series obtained stops earlier than the exchange's own price history does and because the two series are screened and aligned to the exchange's trading week before they are paired. The samples differ by 4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8.56%</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7.80%</w:t>
            </w:r>
          </w:p>
        </w:tc>
        <w:tc>
          <w:tcPr>
            <w:tcW w:type="dxa" w:w="2808"/>
          </w:tcPr>
          <w:p>
            <w:pPr>
              <w:spacing w:after="20"/>
              <w:jc w:val="right"/>
            </w:pPr>
            <w:r>
              <w:rPr>
                <w:color w:val="1C3A36"/>
                <w:sz w:val="17"/>
              </w:rPr>
              <w:t>6.25%</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4,171</w:t>
            </w:r>
          </w:p>
        </w:tc>
        <w:tc>
          <w:tcPr>
            <w:tcW w:type="dxa" w:w="2808"/>
          </w:tcPr>
          <w:p>
            <w:pPr>
              <w:spacing w:after="20"/>
              <w:jc w:val="right"/>
            </w:pPr>
            <w:r>
              <w:rPr>
                <w:color w:val="1C3A36"/>
                <w:sz w:val="17"/>
              </w:rPr>
              <w:t>4,373</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12,577</w:t>
            </w:r>
          </w:p>
        </w:tc>
        <w:tc>
          <w:tcPr>
            <w:tcW w:type="dxa" w:w="2808"/>
          </w:tcPr>
          <w:p>
            <w:pPr>
              <w:spacing w:after="20"/>
              <w:jc w:val="right"/>
            </w:pPr>
            <w:r>
              <w:rPr>
                <w:color w:val="1C3A36"/>
                <w:sz w:val="17"/>
              </w:rPr>
              <w:t>18,389</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75.1%</w:t>
            </w:r>
          </w:p>
        </w:tc>
        <w:tc>
          <w:tcPr>
            <w:tcW w:type="dxa" w:w="2808"/>
          </w:tcPr>
          <w:p>
            <w:pPr>
              <w:spacing w:after="20"/>
              <w:jc w:val="right"/>
            </w:pPr>
            <w:r>
              <w:rPr>
                <w:color w:val="1C3A36"/>
                <w:sz w:val="17"/>
              </w:rPr>
              <w:t>80.8%</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17,241</w:t>
            </w:r>
          </w:p>
        </w:tc>
        <w:tc>
          <w:tcPr>
            <w:tcW w:type="dxa" w:w="2808"/>
          </w:tcPr>
          <w:p>
            <w:pPr>
              <w:spacing w:after="20"/>
              <w:jc w:val="right"/>
            </w:pPr>
            <w:r>
              <w:rPr>
                <w:color w:val="1C3A36"/>
                <w:sz w:val="17"/>
              </w:rPr>
              <w:t>23,255</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12,903</w:t>
            </w:r>
          </w:p>
        </w:tc>
        <w:tc>
          <w:tcPr>
            <w:tcW w:type="dxa" w:w="2808"/>
          </w:tcPr>
          <w:p>
            <w:pPr>
              <w:spacing w:after="20"/>
              <w:jc w:val="right"/>
            </w:pPr>
            <w:r>
              <w:rPr>
                <w:color w:val="1C3A36"/>
                <w:sz w:val="17"/>
              </w:rPr>
              <w:t>18,877</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6.40</w:t>
            </w:r>
          </w:p>
        </w:tc>
        <w:tc>
          <w:tcPr>
            <w:tcW w:type="dxa" w:w="2808"/>
            <w:shd w:val="clear" w:color="auto" w:fill="F6F1E6"/>
          </w:tcPr>
          <w:p>
            <w:pPr>
              <w:spacing w:after="20"/>
              <w:jc w:val="right"/>
            </w:pPr>
            <w:r>
              <w:rPr>
                <w:b/>
                <w:color w:val="1C3A36"/>
                <w:sz w:val="17"/>
              </w:rPr>
              <w:t>9.37</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+4%</w:t>
            </w:r>
          </w:p>
        </w:tc>
        <w:tc>
          <w:tcPr>
            <w:tcW w:type="dxa" w:w="2808"/>
            <w:shd w:val="clear" w:color="auto" w:fill="F6F1E6"/>
          </w:tcPr>
          <w:p>
            <w:pPr>
              <w:spacing w:after="20"/>
              <w:jc w:val="right"/>
            </w:pPr>
            <w:r>
              <w:rPr>
                <w:b/>
                <w:color w:val="1C3A36"/>
                <w:sz w:val="17"/>
              </w:rPr>
              <w:t>+52%</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2.97 between the two columns is the beta, and most of it lands in the terminal value: a 155 basis point difference in the terminal cost of capital changes the capitalisation factor on a perpetuity by roughly a quarter, which is also why the terminal value falls from 81% of enterprise value to 75%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52% above the market price to 4% above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19.1% in 2026E and falls to 11.0% by 2030E as the rate cycle normalises and the capital base grows; across the five years it averages 16.4%.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20.8% · 21.8% · 18.7% · 15.0% · 12.1%, averaging 17.7%.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22.3% · 23.6% · 20.0% · 15.8% · 12.5%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18.8% and growth of 2%, the payout that steady state requires is 89% of earnings. This company pays out 24% to 37% and retains the rest, which compounds its book at about 13.4%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547 million of the USD 7,366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19.1%</w:t>
            </w:r>
          </w:p>
        </w:tc>
        <w:tc>
          <w:tcPr>
            <w:tcW w:type="dxa" w:w="1354"/>
          </w:tcPr>
          <w:p>
            <w:pPr>
              <w:spacing w:after="20"/>
              <w:jc w:val="right"/>
            </w:pPr>
            <w:r>
              <w:rPr>
                <w:color w:val="1C3A36"/>
                <w:sz w:val="16"/>
              </w:rPr>
              <w:t>+9.68pp</w:t>
            </w:r>
          </w:p>
        </w:tc>
        <w:tc>
          <w:tcPr>
            <w:tcW w:type="dxa" w:w="1584"/>
          </w:tcPr>
          <w:p>
            <w:pPr>
              <w:spacing w:after="20"/>
              <w:jc w:val="right"/>
            </w:pPr>
            <w:r>
              <w:rPr>
                <w:color w:val="1C3A36"/>
                <w:sz w:val="16"/>
              </w:rPr>
              <w:t>491</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449</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5,852</w:t>
            </w:r>
          </w:p>
        </w:tc>
        <w:tc>
          <w:tcPr>
            <w:tcW w:type="dxa" w:w="1152"/>
          </w:tcPr>
          <w:p>
            <w:pPr>
              <w:spacing w:after="20"/>
              <w:jc w:val="right"/>
            </w:pPr>
            <w:r>
              <w:rPr>
                <w:color w:val="1C3A36"/>
                <w:sz w:val="16"/>
              </w:rPr>
              <w:t>20.4%</w:t>
            </w:r>
          </w:p>
        </w:tc>
        <w:tc>
          <w:tcPr>
            <w:tcW w:type="dxa" w:w="1354"/>
          </w:tcPr>
          <w:p>
            <w:pPr>
              <w:spacing w:after="20"/>
              <w:jc w:val="right"/>
            </w:pPr>
            <w:r>
              <w:rPr>
                <w:color w:val="1C3A36"/>
                <w:sz w:val="16"/>
              </w:rPr>
              <w:t>+10.98pp</w:t>
            </w:r>
          </w:p>
        </w:tc>
        <w:tc>
          <w:tcPr>
            <w:tcW w:type="dxa" w:w="1584"/>
          </w:tcPr>
          <w:p>
            <w:pPr>
              <w:spacing w:after="20"/>
              <w:jc w:val="right"/>
            </w:pPr>
            <w:r>
              <w:rPr>
                <w:color w:val="1C3A36"/>
                <w:sz w:val="16"/>
              </w:rPr>
              <w:t>643</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537</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6,903</w:t>
            </w:r>
          </w:p>
        </w:tc>
        <w:tc>
          <w:tcPr>
            <w:tcW w:type="dxa" w:w="1152"/>
          </w:tcPr>
          <w:p>
            <w:pPr>
              <w:spacing w:after="20"/>
              <w:jc w:val="right"/>
            </w:pPr>
            <w:r>
              <w:rPr>
                <w:color w:val="1C3A36"/>
                <w:sz w:val="16"/>
              </w:rPr>
              <w:t>17.5%</w:t>
            </w:r>
          </w:p>
        </w:tc>
        <w:tc>
          <w:tcPr>
            <w:tcW w:type="dxa" w:w="1354"/>
          </w:tcPr>
          <w:p>
            <w:pPr>
              <w:spacing w:after="20"/>
              <w:jc w:val="right"/>
            </w:pPr>
            <w:r>
              <w:rPr>
                <w:color w:val="1C3A36"/>
                <w:sz w:val="16"/>
              </w:rPr>
              <w:t>+8.04pp</w:t>
            </w:r>
          </w:p>
        </w:tc>
        <w:tc>
          <w:tcPr>
            <w:tcW w:type="dxa" w:w="1584"/>
          </w:tcPr>
          <w:p>
            <w:pPr>
              <w:spacing w:after="20"/>
              <w:jc w:val="right"/>
            </w:pPr>
            <w:r>
              <w:rPr>
                <w:color w:val="1C3A36"/>
                <w:sz w:val="16"/>
              </w:rPr>
              <w:t>555</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424</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7,909</w:t>
            </w:r>
          </w:p>
        </w:tc>
        <w:tc>
          <w:tcPr>
            <w:tcW w:type="dxa" w:w="1152"/>
          </w:tcPr>
          <w:p>
            <w:pPr>
              <w:spacing w:after="20"/>
              <w:jc w:val="right"/>
            </w:pPr>
            <w:r>
              <w:rPr>
                <w:color w:val="1C3A36"/>
                <w:sz w:val="16"/>
              </w:rPr>
              <w:t>13.9%</w:t>
            </w:r>
          </w:p>
        </w:tc>
        <w:tc>
          <w:tcPr>
            <w:tcW w:type="dxa" w:w="1354"/>
          </w:tcPr>
          <w:p>
            <w:pPr>
              <w:spacing w:after="20"/>
              <w:jc w:val="right"/>
            </w:pPr>
            <w:r>
              <w:rPr>
                <w:color w:val="1C3A36"/>
                <w:sz w:val="16"/>
              </w:rPr>
              <w:t>+4.48pp</w:t>
            </w:r>
          </w:p>
        </w:tc>
        <w:tc>
          <w:tcPr>
            <w:tcW w:type="dxa" w:w="1584"/>
          </w:tcPr>
          <w:p>
            <w:pPr>
              <w:spacing w:after="20"/>
              <w:jc w:val="right"/>
            </w:pPr>
            <w:r>
              <w:rPr>
                <w:color w:val="1C3A36"/>
                <w:sz w:val="16"/>
              </w:rPr>
              <w:t>354</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247</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8,728</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+1.60pp</w:t>
            </w:r>
          </w:p>
        </w:tc>
        <w:tc>
          <w:tcPr>
            <w:tcW w:type="dxa" w:w="1584"/>
          </w:tcPr>
          <w:p>
            <w:pPr>
              <w:spacing w:after="20"/>
              <w:jc w:val="right"/>
            </w:pPr>
            <w:r>
              <w:rPr>
                <w:color w:val="1C3A36"/>
                <w:sz w:val="16"/>
              </w:rPr>
              <w:t>140</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89</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1,745</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1,745</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547</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7,366</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1.45×</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3.66</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2.40 – 5.40</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2.45×</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2.52 a share, excluding the perpetual capital securities — so the market multiple has to be struck on the same denominator. On that basis the market pays 2.45× book against the 1.45× this lens justifies, which says the share is EXPENSIVE on the asset lens. Struck on the wider book that also counts the perpetual securities the market appears to pay 1.76×,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2.40 takes a cost of equity of 11.95%, built on the upper end 1.621 of the beta's own 90% confidence interval, together with a proportionally lower return on that book; the bull bound of AED 5.40 takes 6.91% on the lower end 0.586 of the same interval with the same proportion applied upward. Only the cost of equity in those bounds comes from the estimate's own statistical uncertainty; the return stress beside it is a judgement, as it is in the cash-flow lens. The lens carries the lowest weight of the four, at 15%, because it inherits the same cost of equity as the cash-flow model rather than testing it independently,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9.53× trailing / 6.92× on 2026E</w:t>
            </w:r>
          </w:p>
        </w:tc>
        <w:tc>
          <w:tcPr>
            <w:tcW w:type="dxa" w:w="1786"/>
            <w:shd w:val="clear" w:color="auto" w:fill="F6F1E6"/>
          </w:tcPr>
          <w:p>
            <w:pPr>
              <w:spacing w:after="20"/>
              <w:jc w:val="right"/>
            </w:pPr>
            <w:r>
              <w:rPr>
                <w:b/>
                <w:color w:val="1C3A36"/>
                <w:sz w:val="16"/>
              </w:rPr>
              <w:t>11.09× / 15.97×</w:t>
            </w:r>
          </w:p>
        </w:tc>
        <w:tc>
          <w:tcPr>
            <w:tcW w:type="dxa" w:w="1123"/>
            <w:shd w:val="clear" w:color="auto" w:fill="F6F1E6"/>
          </w:tcPr>
          <w:p>
            <w:pPr>
              <w:spacing w:after="20"/>
              <w:jc w:val="right"/>
            </w:pPr>
            <w:r>
              <w:rPr>
                <w:b/>
                <w:color w:val="1C3A36"/>
                <w:sz w:val="16"/>
              </w:rPr>
              <w:t>2.45×</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8.00× rather than 6.92×.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14,431</w:t>
            </w:r>
          </w:p>
        </w:tc>
        <w:tc>
          <w:tcPr>
            <w:tcW w:type="dxa" w:w="1368"/>
          </w:tcPr>
          <w:p>
            <w:pPr>
              <w:spacing w:after="20"/>
              <w:jc w:val="right"/>
            </w:pPr>
            <w:r>
              <w:rPr>
                <w:color w:val="1C3A36"/>
                <w:sz w:val="16"/>
              </w:rPr>
              <w:t>6.92×</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16,682</w:t>
            </w:r>
          </w:p>
        </w:tc>
        <w:tc>
          <w:tcPr>
            <w:tcW w:type="dxa" w:w="1368"/>
          </w:tcPr>
          <w:p>
            <w:pPr>
              <w:spacing w:after="20"/>
              <w:jc w:val="right"/>
            </w:pPr>
            <w:r>
              <w:rPr>
                <w:color w:val="1C3A36"/>
                <w:sz w:val="16"/>
              </w:rPr>
              <w:t>8.00×</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+1.08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2,086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1,119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11.09× forward and 15.97×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9.57</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6.46</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8.64</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6.92 – 10.76</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8.64 does not sit in the middle of its own published span. It sits at about the 45th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1,363</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15,135</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670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2,086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23,999</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(2,021)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20,220</w:t>
            </w:r>
          </w:p>
        </w:tc>
        <w:tc>
          <w:tcPr>
            <w:tcW w:type="dxa" w:w="3456"/>
            <w:shd w:val="clear" w:color="auto" w:fill="F6F1E6"/>
          </w:tcPr>
          <w:p>
            <w:pPr>
              <w:spacing w:after="20"/>
              <w:jc w:val="left"/>
            </w:pPr>
            <w:r>
              <w:rPr>
                <w:b/>
                <w:color w:val="1C3A36"/>
                <w:sz w:val="16"/>
              </w:rPr>
              <w:t>AED 10.04 a share, 63%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10.49×</w:t>
            </w:r>
          </w:p>
        </w:tc>
        <w:tc>
          <w:tcPr>
            <w:tcW w:type="dxa" w:w="1598"/>
          </w:tcPr>
          <w:p>
            <w:pPr>
              <w:spacing w:after="20"/>
              <w:jc w:val="right"/>
            </w:pPr>
            <w:r>
              <w:rPr>
                <w:color w:val="1C3A36"/>
                <w:sz w:val="16"/>
              </w:rPr>
              <w:t>23,163</w:t>
            </w:r>
          </w:p>
        </w:tc>
        <w:tc>
          <w:tcPr>
            <w:tcW w:type="dxa" w:w="3456"/>
          </w:tcPr>
          <w:p>
            <w:pPr>
              <w:spacing w:after="20"/>
              <w:jc w:val="left"/>
            </w:pPr>
            <w:r>
              <w:rPr>
                <w:color w:val="1C3A36"/>
                <w:sz w:val="16"/>
              </w:rPr>
              <w:t>AED 9.62 a share. The 31% weight in the row above is the company's disclosed share of GROUP earnings exposed to spot rates, and every dollar of that exposure sits inside Shipping. Measured against Shipping's own 2026E earnings rather than the group's it is 47%, which lowers the leg multiple to 10.49× and the cross-check by AED 0.41 a share</w:t>
            </w:r>
          </w:p>
        </w:tc>
      </w:tr>
    </w:tbl>
    <w:p>
      <w:pPr>
        <w:spacing w:after="40"/>
      </w:pPr>
    </w:p>
    <w:p>
      <w:pPr>
        <w:spacing w:after="200" w:before="0"/>
      </w:pPr>
      <w:r>
        <w:rPr>
          <w:b w:val="0"/>
          <w:i/>
          <w:color w:val="6E7B77"/>
          <w:sz w:val="17"/>
        </w:rPr>
        <w:t>The sum of the parts lands at AED 10.04 against the blended relative lens at AED 8.64,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 On the exposure share re-based to the leg it is applied to — the memorandum row above, and the more defensible construction of the two — the cross-check reads AED 9.62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2,296 million and attributable profit after the perpetual coupon of USD 1,231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2,296</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2,086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1,231</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0.1664</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10.72</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7.11</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8.91</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7.80 – 12.02</w:t>
            </w:r>
          </w:p>
        </w:tc>
      </w:tr>
    </w:tbl>
    <w:p>
      <w:pPr>
        <w:spacing w:after="40"/>
      </w:pPr>
    </w:p>
    <w:p>
      <w:pPr>
        <w:spacing w:after="200" w:before="0"/>
      </w:pPr>
      <w:r>
        <w:rPr>
          <w:b w:val="0"/>
          <w:i/>
          <w:color w:val="6E7B77"/>
          <w:sz w:val="17"/>
        </w:rPr>
        <w:t>The two constructions disagree by a wide margin — AED 10.72 against AED 7.11 — and the gap is depreciation and the perpetual coupon. This is a young fleet: depreciation runs from 26.3% of earnings before interest, tax, depreciation and amortisation in the lightest forecast year to 35.6% in the heaviest, averaging 29.8%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the lens carries 20% weight accordingly. The published range flexes the enterprise reading between the spot and contracted multiples; the base is the average of that reading and the earnings reading, so it sits at about the 26th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3.42</w:t>
            </w:r>
          </w:p>
        </w:tc>
        <w:tc>
          <w:tcPr>
            <w:tcW w:type="dxa" w:w="1238"/>
          </w:tcPr>
          <w:p>
            <w:pPr>
              <w:spacing w:after="20"/>
              <w:jc w:val="right"/>
            </w:pPr>
            <w:r>
              <w:rPr>
                <w:color w:val="1C3A36"/>
                <w:sz w:val="17"/>
              </w:rPr>
              <w:t>6.40</w:t>
            </w:r>
          </w:p>
        </w:tc>
        <w:tc>
          <w:tcPr>
            <w:tcW w:type="dxa" w:w="1238"/>
          </w:tcPr>
          <w:p>
            <w:pPr>
              <w:spacing w:after="20"/>
              <w:jc w:val="right"/>
            </w:pPr>
            <w:r>
              <w:rPr>
                <w:color w:val="1C3A36"/>
                <w:sz w:val="17"/>
              </w:rPr>
              <w:t>12.24</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2.562</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6.92</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10.76</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2.159</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7.80</w:t>
            </w:r>
          </w:p>
        </w:tc>
        <w:tc>
          <w:tcPr>
            <w:tcW w:type="dxa" w:w="1238"/>
          </w:tcPr>
          <w:p>
            <w:pPr>
              <w:spacing w:after="20"/>
              <w:jc w:val="right"/>
            </w:pPr>
            <w:r>
              <w:rPr>
                <w:color w:val="1C3A36"/>
                <w:sz w:val="17"/>
              </w:rPr>
              <w:t>8.91</w:t>
            </w:r>
          </w:p>
        </w:tc>
        <w:tc>
          <w:tcPr>
            <w:tcW w:type="dxa" w:w="1238"/>
          </w:tcPr>
          <w:p>
            <w:pPr>
              <w:spacing w:after="20"/>
              <w:jc w:val="right"/>
            </w:pPr>
            <w:r>
              <w:rPr>
                <w:color w:val="1C3A36"/>
                <w:sz w:val="17"/>
              </w:rPr>
              <w:t>12.02</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1.783</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2.40</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5.40</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0.548</w:t>
            </w:r>
          </w:p>
        </w:tc>
      </w:tr>
      <w:tr>
        <w:trPr>
          <w:cantSplit/>
        </w:trPr>
        <w:tc>
          <w:tcPr>
            <w:tcW w:type="dxa" w:w="3485"/>
            <w:shd w:val="clear" w:color="auto" w:fill="F6F1E6"/>
          </w:tcPr>
          <w:p>
            <w:pPr>
              <w:spacing w:after="20"/>
            </w:pPr>
            <w:r>
              <w:rPr>
                <w:b/>
                <w:color w:val="1C3A36"/>
                <w:sz w:val="17"/>
              </w:rPr>
              <w:t>Weighted central — published index</w:t>
            </w:r>
          </w:p>
        </w:tc>
        <w:tc>
          <w:tcPr>
            <w:tcW w:type="dxa" w:w="1238"/>
            <w:shd w:val="clear" w:color="auto" w:fill="F6F1E6"/>
          </w:tcPr>
          <w:p>
            <w:pPr>
              <w:spacing w:after="20"/>
              <w:jc w:val="right"/>
            </w:pPr>
            <w:r>
              <w:rPr>
                <w:b/>
                <w:color w:val="1C3A36"/>
                <w:sz w:val="17"/>
              </w:rPr>
              <w:t>5.02</w:t>
            </w:r>
          </w:p>
        </w:tc>
        <w:tc>
          <w:tcPr>
            <w:tcW w:type="dxa" w:w="1238"/>
            <w:shd w:val="clear" w:color="auto" w:fill="F6F1E6"/>
          </w:tcPr>
          <w:p>
            <w:pPr>
              <w:spacing w:after="20"/>
              <w:jc w:val="right"/>
            </w:pPr>
            <w:r>
              <w:rPr>
                <w:b/>
                <w:color w:val="1C3A36"/>
                <w:sz w:val="17"/>
              </w:rPr>
              <w:t>7.05</w:t>
            </w:r>
          </w:p>
        </w:tc>
        <w:tc>
          <w:tcPr>
            <w:tcW w:type="dxa" w:w="1238"/>
            <w:shd w:val="clear" w:color="auto" w:fill="F6F1E6"/>
          </w:tcPr>
          <w:p>
            <w:pPr>
              <w:spacing w:after="20"/>
              <w:jc w:val="right"/>
            </w:pPr>
            <w:r>
              <w:rPr>
                <w:b/>
                <w:color w:val="1C3A36"/>
                <w:sz w:val="17"/>
              </w:rPr>
              <w:t>10.80</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7.052</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9.37</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3.748</w:t>
            </w:r>
          </w:p>
        </w:tc>
      </w:tr>
      <w:tr>
        <w:trPr>
          <w:cantSplit/>
        </w:trPr>
        <w:tc>
          <w:tcPr>
            <w:tcW w:type="dxa" w:w="3485"/>
            <w:shd w:val="clear" w:color="auto" w:fill="F6F1E6"/>
          </w:tcPr>
          <w:p>
            <w:pPr>
              <w:spacing w:after="20"/>
            </w:pPr>
            <w:r>
              <w:rPr>
                <w:b/>
                <w:color w:val="1C3A36"/>
                <w:sz w:val="17"/>
              </w:rPr>
              <w:t>Weighted 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8.24</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8.238</w:t>
            </w:r>
          </w:p>
        </w:tc>
      </w:tr>
    </w:tbl>
    <w:p>
      <w:pPr>
        <w:spacing w:after="40"/>
      </w:pPr>
    </w:p>
    <w:p>
      <w:pPr>
        <w:spacing w:after="200" w:before="0"/>
      </w:pPr>
      <w:r>
        <w:rPr>
          <w:b w:val="0"/>
          <w:i/>
          <w:color w:val="6E7B77"/>
          <w:sz w:val="17"/>
        </w:rPr>
        <w:t>Contributions are shown to three decimals so that the four of them add to the weighted central exactly; rounded to the nearest fil they would come up one fil short of it, which is a display artefact rather than an arithmetic one.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0.705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8.64 and AED 8.91, the furthest above the market of the four. The two that state a cost of equity rather than importing one land lower: the cash-flow model at AED 6.40, close to the screen, and the book lens at AED 3.66,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weighted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7.05, 14% above the market price. Measuring the market as an equal-weight composite instead lifts that to AED 8.24, 34% above the market price. Neither figure supports a claim that this share is materially mispriced: on the adopted construction the centre of the evidence sits about 14%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Running cost is USD 9,164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warehouse activity moved into it. The group’s share of the bunkering associate is NOT in this line: it is taken out of the unit before the forecast starts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2,611</w:t>
            </w:r>
          </w:p>
        </w:tc>
        <w:tc>
          <w:tcPr>
            <w:tcW w:type="dxa" w:w="1382"/>
          </w:tcPr>
          <w:p>
            <w:pPr>
              <w:spacing w:after="20"/>
              <w:jc w:val="right"/>
            </w:pPr>
            <w:r>
              <w:rPr>
                <w:color w:val="1C3A36"/>
                <w:sz w:val="16"/>
              </w:rPr>
              <w:t>3,155</w:t>
            </w:r>
          </w:p>
        </w:tc>
        <w:tc>
          <w:tcPr>
            <w:tcW w:type="dxa" w:w="1382"/>
          </w:tcPr>
          <w:p>
            <w:pPr>
              <w:spacing w:after="20"/>
              <w:jc w:val="right"/>
            </w:pPr>
            <w:r>
              <w:rPr>
                <w:color w:val="1C3A36"/>
                <w:sz w:val="16"/>
              </w:rPr>
              <w:t>3,026</w:t>
            </w:r>
          </w:p>
        </w:tc>
        <w:tc>
          <w:tcPr>
            <w:tcW w:type="dxa" w:w="1382"/>
          </w:tcPr>
          <w:p>
            <w:pPr>
              <w:spacing w:after="20"/>
              <w:jc w:val="right"/>
            </w:pPr>
            <w:r>
              <w:rPr>
                <w:color w:val="1C3A36"/>
                <w:sz w:val="16"/>
              </w:rPr>
              <w:t>2,651</w:t>
            </w:r>
          </w:p>
        </w:tc>
        <w:tc>
          <w:tcPr>
            <w:tcW w:type="dxa" w:w="1382"/>
          </w:tcPr>
          <w:p>
            <w:pPr>
              <w:spacing w:after="20"/>
              <w:jc w:val="right"/>
            </w:pPr>
            <w:r>
              <w:rPr>
                <w:color w:val="1C3A36"/>
                <w:sz w:val="16"/>
              </w:rPr>
              <w:t>2,189</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53%</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5,003</w:t>
            </w:r>
          </w:p>
        </w:tc>
        <w:tc>
          <w:tcPr>
            <w:tcW w:type="dxa" w:w="1382"/>
            <w:shd w:val="clear" w:color="auto" w:fill="F6F1E6"/>
          </w:tcPr>
          <w:p>
            <w:pPr>
              <w:spacing w:after="20"/>
              <w:jc w:val="right"/>
            </w:pPr>
            <w:r>
              <w:rPr>
                <w:b/>
                <w:color w:val="1C3A36"/>
                <w:sz w:val="16"/>
              </w:rPr>
              <w:t>5,719</w:t>
            </w:r>
          </w:p>
        </w:tc>
        <w:tc>
          <w:tcPr>
            <w:tcW w:type="dxa" w:w="1382"/>
            <w:shd w:val="clear" w:color="auto" w:fill="F6F1E6"/>
          </w:tcPr>
          <w:p>
            <w:pPr>
              <w:spacing w:after="20"/>
              <w:jc w:val="right"/>
            </w:pPr>
            <w:r>
              <w:rPr>
                <w:b/>
                <w:color w:val="1C3A36"/>
                <w:sz w:val="16"/>
              </w:rPr>
              <w:t>5,741</w:t>
            </w:r>
          </w:p>
        </w:tc>
        <w:tc>
          <w:tcPr>
            <w:tcW w:type="dxa" w:w="1382"/>
            <w:shd w:val="clear" w:color="auto" w:fill="F6F1E6"/>
          </w:tcPr>
          <w:p>
            <w:pPr>
              <w:spacing w:after="20"/>
              <w:jc w:val="right"/>
            </w:pPr>
            <w:r>
              <w:rPr>
                <w:b/>
                <w:color w:val="1C3A36"/>
                <w:sz w:val="16"/>
              </w:rPr>
              <w:t>5,497</w:t>
            </w:r>
          </w:p>
        </w:tc>
        <w:tc>
          <w:tcPr>
            <w:tcW w:type="dxa" w:w="1382"/>
            <w:shd w:val="clear" w:color="auto" w:fill="F6F1E6"/>
          </w:tcPr>
          <w:p>
            <w:pPr>
              <w:spacing w:after="20"/>
              <w:jc w:val="right"/>
            </w:pPr>
            <w:r>
              <w:rPr>
                <w:b/>
                <w:color w:val="1C3A36"/>
                <w:sz w:val="16"/>
              </w:rPr>
              <w:t>5,171</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2,086</w:t>
            </w:r>
          </w:p>
        </w:tc>
        <w:tc>
          <w:tcPr>
            <w:tcW w:type="dxa" w:w="1382"/>
            <w:shd w:val="clear" w:color="auto" w:fill="F6F1E6"/>
          </w:tcPr>
          <w:p>
            <w:pPr>
              <w:spacing w:after="20"/>
              <w:jc w:val="right"/>
            </w:pPr>
            <w:r>
              <w:rPr>
                <w:b/>
                <w:color w:val="1C3A36"/>
                <w:sz w:val="16"/>
              </w:rPr>
              <w:t>2,518</w:t>
            </w:r>
          </w:p>
        </w:tc>
        <w:tc>
          <w:tcPr>
            <w:tcW w:type="dxa" w:w="1382"/>
            <w:shd w:val="clear" w:color="auto" w:fill="F6F1E6"/>
          </w:tcPr>
          <w:p>
            <w:pPr>
              <w:spacing w:after="20"/>
              <w:jc w:val="right"/>
            </w:pPr>
            <w:r>
              <w:rPr>
                <w:b/>
                <w:color w:val="1C3A36"/>
                <w:sz w:val="16"/>
              </w:rPr>
              <w:t>2,506</w:t>
            </w:r>
          </w:p>
        </w:tc>
        <w:tc>
          <w:tcPr>
            <w:tcW w:type="dxa" w:w="1382"/>
            <w:shd w:val="clear" w:color="auto" w:fill="F6F1E6"/>
          </w:tcPr>
          <w:p>
            <w:pPr>
              <w:spacing w:after="20"/>
              <w:jc w:val="right"/>
            </w:pPr>
            <w:r>
              <w:rPr>
                <w:b/>
                <w:color w:val="1C3A36"/>
                <w:sz w:val="16"/>
              </w:rPr>
              <w:t>2,311</w:t>
            </w:r>
          </w:p>
        </w:tc>
        <w:tc>
          <w:tcPr>
            <w:tcW w:type="dxa" w:w="1382"/>
            <w:shd w:val="clear" w:color="auto" w:fill="F6F1E6"/>
          </w:tcPr>
          <w:p>
            <w:pPr>
              <w:spacing w:after="20"/>
              <w:jc w:val="right"/>
            </w:pPr>
            <w:r>
              <w:rPr>
                <w:b/>
                <w:color w:val="1C3A36"/>
                <w:sz w:val="16"/>
              </w:rPr>
              <w:t>2,057</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41.7%</w:t>
            </w:r>
          </w:p>
        </w:tc>
        <w:tc>
          <w:tcPr>
            <w:tcW w:type="dxa" w:w="1382"/>
            <w:shd w:val="clear" w:color="auto" w:fill="F6F1E6"/>
          </w:tcPr>
          <w:p>
            <w:pPr>
              <w:spacing w:after="20"/>
              <w:jc w:val="right"/>
            </w:pPr>
            <w:r>
              <w:rPr>
                <w:b/>
                <w:color w:val="1C3A36"/>
                <w:sz w:val="16"/>
              </w:rPr>
              <w:t>44.0%</w:t>
            </w:r>
          </w:p>
        </w:tc>
        <w:tc>
          <w:tcPr>
            <w:tcW w:type="dxa" w:w="1382"/>
            <w:shd w:val="clear" w:color="auto" w:fill="F6F1E6"/>
          </w:tcPr>
          <w:p>
            <w:pPr>
              <w:spacing w:after="20"/>
              <w:jc w:val="right"/>
            </w:pPr>
            <w:r>
              <w:rPr>
                <w:b/>
                <w:color w:val="1C3A36"/>
                <w:sz w:val="16"/>
              </w:rPr>
              <w:t>43.6%</w:t>
            </w:r>
          </w:p>
        </w:tc>
        <w:tc>
          <w:tcPr>
            <w:tcW w:type="dxa" w:w="1382"/>
            <w:shd w:val="clear" w:color="auto" w:fill="F6F1E6"/>
          </w:tcPr>
          <w:p>
            <w:pPr>
              <w:spacing w:after="20"/>
              <w:jc w:val="right"/>
            </w:pPr>
            <w:r>
              <w:rPr>
                <w:b/>
                <w:color w:val="1C3A36"/>
                <w:sz w:val="16"/>
              </w:rPr>
              <w:t>42.0%</w:t>
            </w:r>
          </w:p>
        </w:tc>
        <w:tc>
          <w:tcPr>
            <w:tcW w:type="dxa" w:w="1382"/>
            <w:shd w:val="clear" w:color="auto" w:fill="F6F1E6"/>
          </w:tcPr>
          <w:p>
            <w:pPr>
              <w:spacing w:after="20"/>
              <w:jc w:val="right"/>
            </w:pPr>
            <w:r>
              <w:rPr>
                <w:b/>
                <w:color w:val="1C3A36"/>
                <w:sz w:val="16"/>
              </w:rPr>
              <w:t>39.8%</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41.7% to 39.8%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1,846</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+16.5%</w:t>
            </w:r>
          </w:p>
        </w:tc>
        <w:tc>
          <w:tcPr>
            <w:tcW w:type="dxa" w:w="2160"/>
          </w:tcPr>
          <w:p>
            <w:pPr>
              <w:spacing w:after="20"/>
              <w:jc w:val="right"/>
            </w:pPr>
            <w:r>
              <w:rPr>
                <w:color w:val="1C3A36"/>
                <w:sz w:val="16"/>
              </w:rPr>
              <w:t>2,475</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375</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4,696</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4,841</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+144</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606</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+55.0%</w:t>
            </w:r>
          </w:p>
        </w:tc>
        <w:tc>
          <w:tcPr>
            <w:tcW w:type="dxa" w:w="2160"/>
          </w:tcPr>
          <w:p>
            <w:pPr>
              <w:spacing w:after="20"/>
              <w:jc w:val="right"/>
            </w:pPr>
            <w:r>
              <w:rPr>
                <w:color w:val="1C3A36"/>
                <w:sz w:val="16"/>
              </w:rPr>
              <w:t>959</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1,627</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1,613</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4,696 million against a group band implying USD 4,841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2,611</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1,363</w:t>
            </w:r>
          </w:p>
        </w:tc>
        <w:tc>
          <w:tcPr>
            <w:tcW w:type="dxa" w:w="1555"/>
          </w:tcPr>
          <w:p>
            <w:pPr>
              <w:spacing w:after="20"/>
              <w:jc w:val="right"/>
            </w:pPr>
            <w:r>
              <w:rPr>
                <w:color w:val="1C3A36"/>
                <w:sz w:val="16"/>
              </w:rPr>
              <w:t>+42%</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5,003</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4,696</w:t>
            </w:r>
          </w:p>
        </w:tc>
        <w:tc>
          <w:tcPr>
            <w:tcW w:type="dxa" w:w="1555"/>
            <w:shd w:val="clear" w:color="auto" w:fill="F6F1E6"/>
          </w:tcPr>
          <w:p>
            <w:pPr>
              <w:spacing w:after="20"/>
              <w:jc w:val="right"/>
            </w:pPr>
            <w:r>
              <w:rPr>
                <w:b/>
                <w:color w:val="1C3A36"/>
                <w:sz w:val="16"/>
              </w:rPr>
              <w:t>5,003</w:t>
            </w:r>
          </w:p>
        </w:tc>
        <w:tc>
          <w:tcPr>
            <w:tcW w:type="dxa" w:w="1555"/>
            <w:shd w:val="clear" w:color="auto" w:fill="F6F1E6"/>
          </w:tcPr>
          <w:p>
            <w:pPr>
              <w:spacing w:after="20"/>
              <w:jc w:val="right"/>
            </w:pPr>
            <w:r>
              <w:rPr>
                <w:b/>
                <w:color w:val="1C3A36"/>
                <w:sz w:val="16"/>
              </w:rPr>
              <w:t>1,627</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+28%</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+29% against the group band, +28% against the sum of the unit bands. Both are published. The built figures are the output of the unit model in this section.</w:t>
      </w:r>
    </w:p>
    <w:p>
      <w:pPr>
        <w:spacing w:after="120" w:before="0"/>
      </w:pPr>
      <w:r>
        <w:rPr>
          <w:b w:val="0"/>
          <w:i w:val="0"/>
          <w:color w:val="1C3A36"/>
          <w:sz w:val="21"/>
        </w:rPr>
        <w:t>The group gap is +29%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+29% is carried openly through every lens in this study. Note also that the gap runs the other way in Integrated Logistics on revenue, where the build is above guidance on both lines, and is largest in Shipping at +42%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7.94 a share against the base case's AED 6.40.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2.05 a share — and that range is wide enough to carry fair value across the market price, which it reaches between the 90% and 100% anchors. Widening the beta across the 0.705-to-1.621 range tested in section 1.9 moves it by AED 5.07, which is 2.5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8.62%</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5.69%,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3.3%, and a shield taken at 9% is larger than the relief the group in fact receives. It is inconsistent, it is disclosed, and it is worth almost nothing — debt is 7.2%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4.50%</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9.09% to 8.56% and the terminal rate from 8.29% to 7.80%</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8.56%</w:t>
            </w:r>
          </w:p>
        </w:tc>
        <w:tc>
          <w:tcPr>
            <w:tcW w:type="dxa" w:w="1037"/>
          </w:tcPr>
          <w:p>
            <w:pPr>
              <w:spacing w:after="20"/>
              <w:jc w:val="right"/>
            </w:pPr>
            <w:r>
              <w:rPr>
                <w:color w:val="1C3A36"/>
                <w:sz w:val="16"/>
              </w:rPr>
              <w:t>7.80%</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8.41% · 8.26% · 8.11% · 7.95% · 7.80%</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0.771</w:t>
            </w:r>
          </w:p>
        </w:tc>
        <w:tc>
          <w:tcPr>
            <w:tcW w:type="dxa" w:w="6019"/>
          </w:tcPr>
          <w:p>
            <w:pPr>
              <w:spacing w:after="20"/>
              <w:jc w:val="left"/>
            </w:pPr>
            <w:r>
              <w:rPr>
                <w:color w:val="1C3A36"/>
                <w:sz w:val="16"/>
              </w:rPr>
              <w:t>ADX + DFM equal-weight composite; disclosed, not adopted. R-squared 0.183 across 26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0.398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5.69%</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5.69%, is one of the three being averaged, and is shown above so that a reader who wants it can take it directly; the two are 13 basis points apart on a tranche that is 7.2%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0.705 — cost of equity 7.49% instead of 9.43%</w:t>
            </w:r>
          </w:p>
        </w:tc>
        <w:tc>
          <w:tcPr>
            <w:tcW w:type="dxa" w:w="1843"/>
          </w:tcPr>
          <w:p>
            <w:pPr>
              <w:spacing w:after="20"/>
            </w:pPr>
            <w:r>
              <w:rPr>
                <w:color w:val="1C3A36"/>
                <w:sz w:val="15"/>
              </w:rPr>
              <w:t>AED 9.37 against 6.40</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6.77, +0.37 against 6.40</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3.25% long-run anchor used</w:t>
            </w:r>
          </w:p>
        </w:tc>
        <w:tc>
          <w:tcPr>
            <w:tcW w:type="dxa" w:w="1843"/>
          </w:tcPr>
          <w:p>
            <w:pPr>
              <w:spacing w:after="20"/>
            </w:pPr>
            <w:r>
              <w:rPr>
                <w:color w:val="1C3A36"/>
                <w:sz w:val="15"/>
              </w:rPr>
              <w:t>raises the terminal risk-free rate by 81 basis points and the value with it. It has no row of its own in the grid overleaf, so the closest read-across is the beta: a step of 0.195 in the beta moves the cost of equity by about the same amount and is worth AED 1.68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5.20 against 6.40</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1.103 and 1.350 rows, and in the rate-anchor range between the 90% and 100%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8.37</w:t>
            </w:r>
          </w:p>
        </w:tc>
        <w:tc>
          <w:tcPr>
            <w:tcW w:type="dxa" w:w="1555"/>
          </w:tcPr>
          <w:p>
            <w:pPr>
              <w:spacing w:after="20"/>
              <w:jc w:val="right"/>
            </w:pPr>
            <w:r>
              <w:rPr>
                <w:color w:val="1C3A36"/>
                <w:sz w:val="16"/>
              </w:rPr>
              <w:t>7.07</w:t>
            </w:r>
          </w:p>
        </w:tc>
        <w:tc>
          <w:tcPr>
            <w:tcW w:type="dxa" w:w="1555"/>
          </w:tcPr>
          <w:p>
            <w:pPr>
              <w:spacing w:after="20"/>
              <w:jc w:val="right"/>
            </w:pPr>
            <w:r>
              <w:rPr>
                <w:color w:val="1C3A36"/>
                <w:sz w:val="16"/>
              </w:rPr>
              <w:t>6.02</w:t>
            </w:r>
          </w:p>
        </w:tc>
        <w:tc>
          <w:tcPr>
            <w:tcW w:type="dxa" w:w="1555"/>
          </w:tcPr>
          <w:p>
            <w:pPr>
              <w:spacing w:after="20"/>
              <w:jc w:val="right"/>
            </w:pPr>
            <w:r>
              <w:rPr>
                <w:color w:val="1C3A36"/>
                <w:sz w:val="16"/>
              </w:rPr>
              <w:t>5.03</w:t>
            </w:r>
          </w:p>
        </w:tc>
        <w:tc>
          <w:tcPr>
            <w:tcW w:type="dxa" w:w="1555"/>
          </w:tcPr>
          <w:p>
            <w:pPr>
              <w:spacing w:after="20"/>
              <w:jc w:val="right"/>
            </w:pPr>
            <w:r>
              <w:rPr>
                <w:color w:val="1C3A36"/>
                <w:sz w:val="16"/>
              </w:rPr>
              <w:t>4.19</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8.82</w:t>
            </w:r>
          </w:p>
        </w:tc>
        <w:tc>
          <w:tcPr>
            <w:tcW w:type="dxa" w:w="1555"/>
          </w:tcPr>
          <w:p>
            <w:pPr>
              <w:spacing w:after="20"/>
              <w:jc w:val="right"/>
            </w:pPr>
            <w:r>
              <w:rPr>
                <w:color w:val="1C3A36"/>
                <w:sz w:val="16"/>
              </w:rPr>
              <w:t>7.35</w:t>
            </w:r>
          </w:p>
        </w:tc>
        <w:tc>
          <w:tcPr>
            <w:tcW w:type="dxa" w:w="1555"/>
          </w:tcPr>
          <w:p>
            <w:pPr>
              <w:spacing w:after="20"/>
              <w:jc w:val="right"/>
            </w:pPr>
            <w:r>
              <w:rPr>
                <w:color w:val="1C3A36"/>
                <w:sz w:val="16"/>
              </w:rPr>
              <w:t>6.20</w:t>
            </w:r>
          </w:p>
        </w:tc>
        <w:tc>
          <w:tcPr>
            <w:tcW w:type="dxa" w:w="1555"/>
          </w:tcPr>
          <w:p>
            <w:pPr>
              <w:spacing w:after="20"/>
              <w:jc w:val="right"/>
            </w:pPr>
            <w:r>
              <w:rPr>
                <w:color w:val="1C3A36"/>
                <w:sz w:val="16"/>
              </w:rPr>
              <w:t>5.13</w:t>
            </w:r>
          </w:p>
        </w:tc>
        <w:tc>
          <w:tcPr>
            <w:tcW w:type="dxa" w:w="1555"/>
          </w:tcPr>
          <w:p>
            <w:pPr>
              <w:spacing w:after="20"/>
              <w:jc w:val="right"/>
            </w:pPr>
            <w:r>
              <w:rPr>
                <w:color w:val="1C3A36"/>
                <w:sz w:val="16"/>
              </w:rPr>
              <w:t>4.24</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9.37</w:t>
            </w:r>
          </w:p>
        </w:tc>
        <w:tc>
          <w:tcPr>
            <w:tcW w:type="dxa" w:w="1555"/>
          </w:tcPr>
          <w:p>
            <w:pPr>
              <w:spacing w:after="20"/>
              <w:jc w:val="right"/>
            </w:pPr>
            <w:r>
              <w:rPr>
                <w:color w:val="1C3A36"/>
                <w:sz w:val="16"/>
              </w:rPr>
              <w:t>7.69</w:t>
            </w:r>
          </w:p>
        </w:tc>
        <w:tc>
          <w:tcPr>
            <w:tcW w:type="dxa" w:w="1555"/>
          </w:tcPr>
          <w:p>
            <w:pPr>
              <w:spacing w:after="20"/>
              <w:jc w:val="right"/>
            </w:pPr>
            <w:r>
              <w:rPr>
                <w:color w:val="1C3A36"/>
                <w:sz w:val="16"/>
              </w:rPr>
              <w:t>6.40</w:t>
            </w:r>
          </w:p>
        </w:tc>
        <w:tc>
          <w:tcPr>
            <w:tcW w:type="dxa" w:w="1555"/>
          </w:tcPr>
          <w:p>
            <w:pPr>
              <w:spacing w:after="20"/>
              <w:jc w:val="right"/>
            </w:pPr>
            <w:r>
              <w:rPr>
                <w:color w:val="1C3A36"/>
                <w:sz w:val="16"/>
              </w:rPr>
              <w:t>5.25</w:t>
            </w:r>
          </w:p>
        </w:tc>
        <w:tc>
          <w:tcPr>
            <w:tcW w:type="dxa" w:w="1555"/>
          </w:tcPr>
          <w:p>
            <w:pPr>
              <w:spacing w:after="20"/>
              <w:jc w:val="right"/>
            </w:pPr>
            <w:r>
              <w:rPr>
                <w:color w:val="1C3A36"/>
                <w:sz w:val="16"/>
              </w:rPr>
              <w:t>4.30</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10.06</w:t>
            </w:r>
          </w:p>
        </w:tc>
        <w:tc>
          <w:tcPr>
            <w:tcW w:type="dxa" w:w="1555"/>
          </w:tcPr>
          <w:p>
            <w:pPr>
              <w:spacing w:after="20"/>
              <w:jc w:val="right"/>
            </w:pPr>
            <w:r>
              <w:rPr>
                <w:color w:val="1C3A36"/>
                <w:sz w:val="16"/>
              </w:rPr>
              <w:t>8.10</w:t>
            </w:r>
          </w:p>
        </w:tc>
        <w:tc>
          <w:tcPr>
            <w:tcW w:type="dxa" w:w="1555"/>
          </w:tcPr>
          <w:p>
            <w:pPr>
              <w:spacing w:after="20"/>
              <w:jc w:val="right"/>
            </w:pPr>
            <w:r>
              <w:rPr>
                <w:color w:val="1C3A36"/>
                <w:sz w:val="16"/>
              </w:rPr>
              <w:t>6.65</w:t>
            </w:r>
          </w:p>
        </w:tc>
        <w:tc>
          <w:tcPr>
            <w:tcW w:type="dxa" w:w="1555"/>
          </w:tcPr>
          <w:p>
            <w:pPr>
              <w:spacing w:after="20"/>
              <w:jc w:val="right"/>
            </w:pPr>
            <w:r>
              <w:rPr>
                <w:color w:val="1C3A36"/>
                <w:sz w:val="16"/>
              </w:rPr>
              <w:t>5.37</w:t>
            </w:r>
          </w:p>
        </w:tc>
        <w:tc>
          <w:tcPr>
            <w:tcW w:type="dxa" w:w="1555"/>
          </w:tcPr>
          <w:p>
            <w:pPr>
              <w:spacing w:after="20"/>
              <w:jc w:val="right"/>
            </w:pPr>
            <w:r>
              <w:rPr>
                <w:color w:val="1C3A36"/>
                <w:sz w:val="16"/>
              </w:rPr>
              <w:t>4.36</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6.40 exactly. The bear case is struck at 1.621, the top of the regression's own 90% confidence interval and the right-hand column here; the bull case is struck at the bottom of that interval, 0.586, which falls outside the grid, below its left-hand 0.705 column. The equal-weight composite alternative is the 0.705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3.42 and 12.24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1.621</w:t>
            </w:r>
          </w:p>
        </w:tc>
        <w:tc>
          <w:tcPr>
            <w:tcW w:type="dxa" w:w="2304"/>
          </w:tcPr>
          <w:p>
            <w:pPr>
              <w:spacing w:after="20"/>
              <w:jc w:val="left"/>
            </w:pPr>
            <w:r>
              <w:rPr>
                <w:color w:val="1C3A36"/>
                <w:sz w:val="16"/>
              </w:rPr>
              <w:t>4.30 – 9.37</w:t>
            </w:r>
          </w:p>
        </w:tc>
        <w:tc>
          <w:tcPr>
            <w:tcW w:type="dxa" w:w="1944"/>
          </w:tcPr>
          <w:p>
            <w:pPr>
              <w:spacing w:after="20"/>
              <w:jc w:val="right"/>
            </w:pPr>
            <w:r>
              <w:rPr>
                <w:color w:val="1C3A36"/>
                <w:sz w:val="16"/>
              </w:rPr>
              <w:t>5.07</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5.38 – 7.43</w:t>
            </w:r>
          </w:p>
        </w:tc>
        <w:tc>
          <w:tcPr>
            <w:tcW w:type="dxa" w:w="1944"/>
          </w:tcPr>
          <w:p>
            <w:pPr>
              <w:spacing w:after="20"/>
              <w:jc w:val="right"/>
            </w:pPr>
            <w:r>
              <w:rPr>
                <w:color w:val="1C3A36"/>
                <w:sz w:val="16"/>
              </w:rPr>
              <w:t>2.05</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5.59 – 6.81</w:t>
            </w:r>
          </w:p>
        </w:tc>
        <w:tc>
          <w:tcPr>
            <w:tcW w:type="dxa" w:w="1944"/>
          </w:tcPr>
          <w:p>
            <w:pPr>
              <w:spacing w:after="20"/>
              <w:jc w:val="right"/>
            </w:pPr>
            <w:r>
              <w:rPr>
                <w:color w:val="1C3A36"/>
                <w:sz w:val="16"/>
              </w:rPr>
              <w:t>1.22</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5.20 – 6.32</w:t>
            </w:r>
          </w:p>
        </w:tc>
        <w:tc>
          <w:tcPr>
            <w:tcW w:type="dxa" w:w="1944"/>
          </w:tcPr>
          <w:p>
            <w:pPr>
              <w:spacing w:after="20"/>
              <w:jc w:val="right"/>
            </w:pPr>
            <w:r>
              <w:rPr>
                <w:color w:val="1C3A36"/>
                <w:sz w:val="16"/>
              </w:rPr>
              <w:t>1.12</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6.02 – 6.65</w:t>
            </w:r>
          </w:p>
        </w:tc>
        <w:tc>
          <w:tcPr>
            <w:tcW w:type="dxa" w:w="1944"/>
          </w:tcPr>
          <w:p>
            <w:pPr>
              <w:spacing w:after="20"/>
              <w:jc w:val="right"/>
            </w:pPr>
            <w:r>
              <w:rPr>
                <w:color w:val="1C3A36"/>
                <w:sz w:val="16"/>
              </w:rPr>
              <w:t>0.63</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3.42 – 12.24</w:t>
            </w:r>
          </w:p>
        </w:tc>
        <w:tc>
          <w:tcPr>
            <w:tcW w:type="dxa" w:w="1944"/>
          </w:tcPr>
          <w:p>
            <w:pPr>
              <w:spacing w:after="20"/>
              <w:jc w:val="right"/>
            </w:pPr>
            <w:r>
              <w:rPr>
                <w:color w:val="1C3A36"/>
                <w:sz w:val="16"/>
              </w:rPr>
              <w:t>8.82</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4.30 against a published bear of 3.42</w:t>
            </w:r>
          </w:p>
        </w:tc>
        <w:tc>
          <w:tcPr>
            <w:tcW w:type="dxa" w:w="1944"/>
          </w:tcPr>
          <w:p>
            <w:pPr>
              <w:spacing w:after="20"/>
              <w:jc w:val="right"/>
            </w:pPr>
            <w:r>
              <w:rPr>
                <w:color w:val="1C3A36"/>
                <w:sz w:val="16"/>
              </w:rPr>
              <w:t>0.88</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0.705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5.20, a loss of AED 1.21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weighted central of AED 7.05 sits above every computed level, the highest of which is 6.60, the cash-flow lens on its own, at AED 6.40, sits between the computed levels of 6.30 and 6.43, the equal-weight composite reading of AED 8.24 sits above every computed level, the highest of which is 6.60, and the asset lens at AED 3.66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7.05 on the beta measured against the published index, and AED 8.24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7.05, +14%</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8.24, +34%</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6.40, +4%</w:t>
            </w:r>
          </w:p>
        </w:tc>
        <w:tc>
          <w:tcPr>
            <w:tcW w:type="dxa" w:w="4464"/>
          </w:tcPr>
          <w:p>
            <w:pPr>
              <w:spacing w:after="20"/>
            </w:pPr>
            <w:r>
              <w:rPr>
                <w:color w:val="1C3A36"/>
                <w:sz w:val="16"/>
              </w:rPr>
              <w:t>a cost of capital gliding 8.56% to 7.8%</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9.37, +52%</w:t>
            </w:r>
          </w:p>
        </w:tc>
        <w:tc>
          <w:tcPr>
            <w:tcW w:type="dxa" w:w="4464"/>
          </w:tcPr>
          <w:p>
            <w:pPr>
              <w:spacing w:after="20"/>
            </w:pPr>
            <w:r>
              <w:rPr>
                <w:color w:val="1C3A36"/>
                <w:sz w:val="16"/>
              </w:rPr>
              <w:t>the same, gliding 7.00% to 6.3%</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8.64, +40%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10.04, +63%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7.94, +29%</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6.40, 4% above the market price; the expert panel in Appendix C, which prices mid-cycle earnings and capitalises no terminal value at all, centres at AED 6.11, 1% below the market price. Two constructions that share no machinery land within AED 0.29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8.24 — a difference of AED 1.19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0.705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2.05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1.13× earnings in 2026E to net cash by 2030E,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1.21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0.37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weighted central sits</w:t>
            </w:r>
          </w:p>
        </w:tc>
        <w:tc>
          <w:tcPr>
            <w:tcW w:type="dxa" w:w="2448"/>
          </w:tcPr>
          <w:p>
            <w:pPr>
              <w:spacing w:after="20"/>
              <w:jc w:val="right"/>
            </w:pPr>
            <w:r>
              <w:rPr>
                <w:color w:val="1C3A36"/>
                <w:sz w:val="16"/>
              </w:rPr>
              <w:t>7.05</w:t>
            </w:r>
          </w:p>
        </w:tc>
        <w:tc>
          <w:tcPr>
            <w:tcW w:type="dxa" w:w="5040"/>
          </w:tcPr>
          <w:p>
            <w:pPr>
              <w:spacing w:after="20"/>
              <w:jc w:val="left"/>
            </w:pPr>
            <w:r>
              <w:rPr>
                <w:color w:val="1C3A36"/>
                <w:sz w:val="16"/>
              </w:rPr>
              <w:t>between the 75th and 95th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6.40</w:t>
            </w:r>
          </w:p>
        </w:tc>
        <w:tc>
          <w:tcPr>
            <w:tcW w:type="dxa" w:w="5040"/>
          </w:tcPr>
          <w:p>
            <w:pPr>
              <w:spacing w:after="20"/>
              <w:jc w:val="left"/>
            </w:pPr>
            <w:r>
              <w:rPr>
                <w:color w:val="1C3A36"/>
                <w:sz w:val="16"/>
              </w:rPr>
              <w:t>between the 50th and 75th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6.11</w:t>
            </w:r>
          </w:p>
        </w:tc>
        <w:tc>
          <w:tcPr>
            <w:tcW w:type="dxa" w:w="5040"/>
          </w:tcPr>
          <w:p>
            <w:pPr>
              <w:spacing w:after="20"/>
              <w:jc w:val="left"/>
            </w:pPr>
            <w:r>
              <w:rPr>
                <w:color w:val="1C3A36"/>
                <w:sz w:val="16"/>
              </w:rPr>
              <w:t>between the 25th and 50th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8.24</w:t>
            </w:r>
          </w:p>
        </w:tc>
        <w:tc>
          <w:tcPr>
            <w:tcW w:type="dxa" w:w="5040"/>
          </w:tcPr>
          <w:p>
            <w:pPr>
              <w:spacing w:after="20"/>
              <w:jc w:val="left"/>
            </w:pPr>
            <w:r>
              <w:rPr>
                <w:color w:val="1C3A36"/>
                <w:sz w:val="16"/>
              </w:rPr>
              <w:t>above the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3.66</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0.705, worth AED 2.97 a share on the cash-flow lens. Across the beta range tested in section 1.9 the swing is AED 5.07,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75% of the cash-flow model's enterprise value is the terminal value on the adopted construction, 81% on the equal-weight composite. That is high, and it is the arithmetic consequence of discounting a business whose explicit years are depressed by a heavy capital programme — capital expenditure runs USD 1,375 million in 2026E against earnings of USD 2,086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+29% above the guided group earnings midpoint — +42%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1.13× earnings in 2026E to 0.51× in 2028E and turns to net cash of USD 665 million by 2030E, against a stated medium-term target of 2.0× to 2.5×. At the low end of that target the 2030E balance sheet would carry about USD 4,114 million of net debt, so the modelled path leaves roughly USD 4,779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547 million of the USD 7,366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lens carries 15% weight, which is the lowest of the four, partly for this reason.</w:t>
      </w:r>
    </w:p>
    <w:p>
      <w:pPr>
        <w:pStyle w:val="ListBullet"/>
        <w:spacing w:after="60"/>
      </w:pPr>
      <w:r>
        <w:rPr>
          <w:b/>
          <w:color w:val="1C3A36"/>
          <w:sz w:val="21"/>
        </w:rPr>
        <w:t xml:space="preserve">Two unit inputs are solved rather than sourced. </w:t>
      </w:r>
      <w:r>
        <w:rPr>
          <w:color w:val="1C3A36"/>
          <w:sz w:val="21"/>
        </w:rPr>
        <w:t>Per-vessel running cost of USD 9,164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2.74×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2.74× gross-up, and then applied to a forecast revenue line built at 1.60×. Two different conventions on the two sides of one ratio understate the receivable balance, and the change in working capital is a line in the free-cash-flow waterfall. Re-based onto the revenue the forecast actually produces, 108.4 days becomes 126.4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four lenses are less independent of one another than four lenses sound. </w:t>
      </w:r>
      <w:r>
        <w:rPr>
          <w:color w:val="1C3A36"/>
          <w:sz w:val="21"/>
        </w:rPr>
        <w:t>The relative lens and the normalised lens apply the SAME three multiples to two different earnings denominators — the first forecast year in one, the five-year average of the same forecast in the other. Between them they carry 45% of the weighted central, so that much of the headline rests on one method presented as two reads.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5.20.</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Weighted central (AED)</w:t>
            </w:r>
          </w:p>
        </w:tc>
        <w:tc>
          <w:tcPr>
            <w:tcW w:type="dxa" w:w="2232"/>
            <w:shd w:val="clear" w:color="auto" w:fill="EAF0EE"/>
          </w:tcPr>
          <w:p>
            <w:pPr>
              <w:spacing w:after="20"/>
            </w:pPr>
            <w:r>
              <w:rPr>
                <w:b/>
                <w:color w:val="1C3A36"/>
                <w:sz w:val="17"/>
              </w:rPr>
              <w:t>Against the market price of 6.16</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+7%</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+7%</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6.40</w:t>
            </w:r>
          </w:p>
        </w:tc>
        <w:tc>
          <w:tcPr>
            <w:tcW w:type="dxa" w:w="2304"/>
            <w:shd w:val="clear" w:color="auto" w:fill="F6F1E6"/>
          </w:tcPr>
          <w:p>
            <w:pPr>
              <w:spacing w:after="20"/>
              <w:jc w:val="right"/>
            </w:pPr>
            <w:r>
              <w:rPr>
                <w:b/>
                <w:color w:val="1C3A36"/>
                <w:sz w:val="17"/>
              </w:rPr>
              <w:t>7.05</w:t>
            </w:r>
          </w:p>
        </w:tc>
        <w:tc>
          <w:tcPr>
            <w:tcW w:type="dxa" w:w="2232"/>
            <w:shd w:val="clear" w:color="auto" w:fill="F6F1E6"/>
          </w:tcPr>
          <w:p>
            <w:pPr>
              <w:spacing w:after="20"/>
              <w:jc w:val="right"/>
            </w:pPr>
            <w:r>
              <w:rPr>
                <w:b/>
                <w:color w:val="1C3A36"/>
                <w:sz w:val="17"/>
              </w:rPr>
              <w:t>+14%</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+0.48,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9.09% to 8.56% and the terminal rate from 8.29% to 7.80%.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89% of earnings. It pays out 24% to 37%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2.26× book, or AED 5.70 a share; residual income gives AED 3.66. At 15% weight the difference is worth about AED 0.31 of the weighted central.</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8.0%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338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0.44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2.74× gross-up over the owned fleet's own charter-equivalent revenue, and then applied to a forecast revenue line built at 1.60×. Two conventions on the two sides of one ratio.</w:t>
            </w:r>
          </w:p>
        </w:tc>
        <w:tc>
          <w:tcPr>
            <w:tcW w:type="dxa" w:w="2966"/>
          </w:tcPr>
          <w:p>
            <w:pPr>
              <w:spacing w:after="20"/>
            </w:pPr>
            <w:r>
              <w:rPr>
                <w:color w:val="1C3A36"/>
                <w:sz w:val="15"/>
              </w:rPr>
              <w:t>Re-based onto the basis the forecast uses: 108.4 days becomes 126.4.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5.82%, with the genuinely balance-weighted construction shown beside it at 5.69%. Section 1.8.</w:t>
            </w:r>
          </w:p>
        </w:tc>
        <w:tc>
          <w:tcPr>
            <w:tcW w:type="dxa" w:w="2218"/>
          </w:tcPr>
          <w:p>
            <w:pPr>
              <w:spacing w:after="20"/>
            </w:pPr>
            <w:r>
              <w:rPr>
                <w:color w:val="1C3A36"/>
                <w:sz w:val="15"/>
              </w:rPr>
              <w:t>NO MOVEMENT — the figure did not change, only the description of it. The two constructions are 13 basis points apart on a tranche that is 7.2%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5.80%,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11.09× forward beside 15.97×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6.40 and the weighted central to AED 7.05, because a higher beta discounts harder. And the bear and bull cases widen, because they are taken from that interval directly rather than chosen: the published range on the cash-flow lens is now AED 3.42 to AED 12.24. An interval that widens on re-measurement is information about how much a three-year price history can settle, and the answer is: less than the previous edition implied. The equal-weight composite reading of 0.705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Together they carry 45% of the weighted central, so 45% of the headline rests on one method presented as two reads. It has not been changed, because both denominators are legitimate questions and neither read is redundant on its own terms. But it is not neutral in direction — those are the two lenses that sit highest — and it is the largest single item still outstanding from either round of review.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5,003</w:t>
            </w:r>
          </w:p>
        </w:tc>
        <w:tc>
          <w:tcPr>
            <w:tcW w:type="dxa" w:w="950"/>
          </w:tcPr>
          <w:p>
            <w:pPr>
              <w:spacing w:after="20"/>
              <w:jc w:val="right"/>
            </w:pPr>
            <w:r>
              <w:rPr>
                <w:color w:val="1C3A36"/>
                <w:sz w:val="15"/>
              </w:rPr>
              <w:t>5,719</w:t>
            </w:r>
          </w:p>
        </w:tc>
        <w:tc>
          <w:tcPr>
            <w:tcW w:type="dxa" w:w="950"/>
          </w:tcPr>
          <w:p>
            <w:pPr>
              <w:spacing w:after="20"/>
              <w:jc w:val="right"/>
            </w:pPr>
            <w:r>
              <w:rPr>
                <w:color w:val="1C3A36"/>
                <w:sz w:val="15"/>
              </w:rPr>
              <w:t>5,741</w:t>
            </w:r>
          </w:p>
        </w:tc>
        <w:tc>
          <w:tcPr>
            <w:tcW w:type="dxa" w:w="950"/>
          </w:tcPr>
          <w:p>
            <w:pPr>
              <w:spacing w:after="20"/>
              <w:jc w:val="right"/>
            </w:pPr>
            <w:r>
              <w:rPr>
                <w:color w:val="1C3A36"/>
                <w:sz w:val="15"/>
              </w:rPr>
              <w:t>5,497</w:t>
            </w:r>
          </w:p>
        </w:tc>
        <w:tc>
          <w:tcPr>
            <w:tcW w:type="dxa" w:w="950"/>
          </w:tcPr>
          <w:p>
            <w:pPr>
              <w:spacing w:after="20"/>
              <w:jc w:val="right"/>
            </w:pPr>
            <w:r>
              <w:rPr>
                <w:color w:val="1C3A36"/>
                <w:sz w:val="15"/>
              </w:rPr>
              <w:t>5,171</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(2,917)</w:t>
            </w:r>
          </w:p>
        </w:tc>
        <w:tc>
          <w:tcPr>
            <w:tcW w:type="dxa" w:w="950"/>
          </w:tcPr>
          <w:p>
            <w:pPr>
              <w:spacing w:after="20"/>
              <w:jc w:val="right"/>
            </w:pPr>
            <w:r>
              <w:rPr>
                <w:color w:val="1C3A36"/>
                <w:sz w:val="15"/>
              </w:rPr>
              <w:t>(3,201)</w:t>
            </w:r>
          </w:p>
        </w:tc>
        <w:tc>
          <w:tcPr>
            <w:tcW w:type="dxa" w:w="950"/>
          </w:tcPr>
          <w:p>
            <w:pPr>
              <w:spacing w:after="20"/>
              <w:jc w:val="right"/>
            </w:pPr>
            <w:r>
              <w:rPr>
                <w:color w:val="1C3A36"/>
                <w:sz w:val="15"/>
              </w:rPr>
              <w:t>(3,236)</w:t>
            </w:r>
          </w:p>
        </w:tc>
        <w:tc>
          <w:tcPr>
            <w:tcW w:type="dxa" w:w="950"/>
          </w:tcPr>
          <w:p>
            <w:pPr>
              <w:spacing w:after="20"/>
              <w:jc w:val="right"/>
            </w:pPr>
            <w:r>
              <w:rPr>
                <w:color w:val="1C3A36"/>
                <w:sz w:val="15"/>
              </w:rPr>
              <w:t>(3,186)</w:t>
            </w:r>
          </w:p>
        </w:tc>
        <w:tc>
          <w:tcPr>
            <w:tcW w:type="dxa" w:w="950"/>
          </w:tcPr>
          <w:p>
            <w:pPr>
              <w:spacing w:after="20"/>
              <w:jc w:val="right"/>
            </w:pPr>
            <w:r>
              <w:rPr>
                <w:color w:val="1C3A36"/>
                <w:sz w:val="15"/>
              </w:rPr>
              <w:t>(3,114)</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2,086</w:t>
            </w:r>
          </w:p>
        </w:tc>
        <w:tc>
          <w:tcPr>
            <w:tcW w:type="dxa" w:w="950"/>
            <w:shd w:val="clear" w:color="auto" w:fill="F6F1E6"/>
          </w:tcPr>
          <w:p>
            <w:pPr>
              <w:spacing w:after="20"/>
              <w:jc w:val="right"/>
            </w:pPr>
            <w:r>
              <w:rPr>
                <w:b/>
                <w:color w:val="1C3A36"/>
                <w:sz w:val="15"/>
              </w:rPr>
              <w:t>2,518</w:t>
            </w:r>
          </w:p>
        </w:tc>
        <w:tc>
          <w:tcPr>
            <w:tcW w:type="dxa" w:w="950"/>
            <w:shd w:val="clear" w:color="auto" w:fill="F6F1E6"/>
          </w:tcPr>
          <w:p>
            <w:pPr>
              <w:spacing w:after="20"/>
              <w:jc w:val="right"/>
            </w:pPr>
            <w:r>
              <w:rPr>
                <w:b/>
                <w:color w:val="1C3A36"/>
                <w:sz w:val="15"/>
              </w:rPr>
              <w:t>2,506</w:t>
            </w:r>
          </w:p>
        </w:tc>
        <w:tc>
          <w:tcPr>
            <w:tcW w:type="dxa" w:w="950"/>
            <w:shd w:val="clear" w:color="auto" w:fill="F6F1E6"/>
          </w:tcPr>
          <w:p>
            <w:pPr>
              <w:spacing w:after="20"/>
              <w:jc w:val="right"/>
            </w:pPr>
            <w:r>
              <w:rPr>
                <w:b/>
                <w:color w:val="1C3A36"/>
                <w:sz w:val="15"/>
              </w:rPr>
              <w:t>2,311</w:t>
            </w:r>
          </w:p>
        </w:tc>
        <w:tc>
          <w:tcPr>
            <w:tcW w:type="dxa" w:w="950"/>
            <w:shd w:val="clear" w:color="auto" w:fill="F6F1E6"/>
          </w:tcPr>
          <w:p>
            <w:pPr>
              <w:spacing w:after="20"/>
              <w:jc w:val="right"/>
            </w:pPr>
            <w:r>
              <w:rPr>
                <w:b/>
                <w:color w:val="1C3A36"/>
                <w:sz w:val="15"/>
              </w:rPr>
              <w:t>2,057</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41.7%</w:t>
            </w:r>
          </w:p>
        </w:tc>
        <w:tc>
          <w:tcPr>
            <w:tcW w:type="dxa" w:w="950"/>
          </w:tcPr>
          <w:p>
            <w:pPr>
              <w:spacing w:after="20"/>
              <w:jc w:val="right"/>
            </w:pPr>
            <w:r>
              <w:rPr>
                <w:color w:val="1C3A36"/>
                <w:sz w:val="15"/>
              </w:rPr>
              <w:t>44.0%</w:t>
            </w:r>
          </w:p>
        </w:tc>
        <w:tc>
          <w:tcPr>
            <w:tcW w:type="dxa" w:w="950"/>
          </w:tcPr>
          <w:p>
            <w:pPr>
              <w:spacing w:after="20"/>
              <w:jc w:val="right"/>
            </w:pPr>
            <w:r>
              <w:rPr>
                <w:color w:val="1C3A36"/>
                <w:sz w:val="15"/>
              </w:rPr>
              <w:t>43.6%</w:t>
            </w:r>
          </w:p>
        </w:tc>
        <w:tc>
          <w:tcPr>
            <w:tcW w:type="dxa" w:w="950"/>
          </w:tcPr>
          <w:p>
            <w:pPr>
              <w:spacing w:after="20"/>
              <w:jc w:val="right"/>
            </w:pPr>
            <w:r>
              <w:rPr>
                <w:color w:val="1C3A36"/>
                <w:sz w:val="15"/>
              </w:rPr>
              <w:t>42.0%</w:t>
            </w:r>
          </w:p>
        </w:tc>
        <w:tc>
          <w:tcPr>
            <w:tcW w:type="dxa" w:w="950"/>
          </w:tcPr>
          <w:p>
            <w:pPr>
              <w:spacing w:after="20"/>
              <w:jc w:val="right"/>
            </w:pPr>
            <w:r>
              <w:rPr>
                <w:color w:val="1C3A36"/>
                <w:sz w:val="15"/>
              </w:rPr>
              <w:t>39.8%</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(575)</w:t>
            </w:r>
          </w:p>
        </w:tc>
        <w:tc>
          <w:tcPr>
            <w:tcW w:type="dxa" w:w="950"/>
          </w:tcPr>
          <w:p>
            <w:pPr>
              <w:spacing w:after="20"/>
              <w:jc w:val="right"/>
            </w:pPr>
            <w:r>
              <w:rPr>
                <w:color w:val="1C3A36"/>
                <w:sz w:val="15"/>
              </w:rPr>
              <w:t>(662)</w:t>
            </w:r>
          </w:p>
        </w:tc>
        <w:tc>
          <w:tcPr>
            <w:tcW w:type="dxa" w:w="950"/>
          </w:tcPr>
          <w:p>
            <w:pPr>
              <w:spacing w:after="20"/>
              <w:jc w:val="right"/>
            </w:pPr>
            <w:r>
              <w:rPr>
                <w:color w:val="1C3A36"/>
                <w:sz w:val="15"/>
              </w:rPr>
              <w:t>(703)</w:t>
            </w:r>
          </w:p>
        </w:tc>
        <w:tc>
          <w:tcPr>
            <w:tcW w:type="dxa" w:w="950"/>
          </w:tcPr>
          <w:p>
            <w:pPr>
              <w:spacing w:after="20"/>
              <w:jc w:val="right"/>
            </w:pPr>
            <w:r>
              <w:rPr>
                <w:color w:val="1C3A36"/>
                <w:sz w:val="15"/>
              </w:rPr>
              <w:t>(727)</w:t>
            </w:r>
          </w:p>
        </w:tc>
        <w:tc>
          <w:tcPr>
            <w:tcW w:type="dxa" w:w="950"/>
          </w:tcPr>
          <w:p>
            <w:pPr>
              <w:spacing w:after="20"/>
              <w:jc w:val="right"/>
            </w:pPr>
            <w:r>
              <w:rPr>
                <w:color w:val="1C3A36"/>
                <w:sz w:val="15"/>
              </w:rPr>
              <w:t>(733)</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1,802</w:t>
            </w:r>
          </w:p>
        </w:tc>
        <w:tc>
          <w:tcPr>
            <w:tcW w:type="dxa" w:w="950"/>
          </w:tcPr>
          <w:p>
            <w:pPr>
              <w:spacing w:after="20"/>
              <w:jc w:val="right"/>
            </w:pPr>
            <w:r>
              <w:rPr>
                <w:color w:val="1C3A36"/>
                <w:sz w:val="15"/>
              </w:rPr>
              <w:t>1,584</w:t>
            </w:r>
          </w:p>
        </w:tc>
        <w:tc>
          <w:tcPr>
            <w:tcW w:type="dxa" w:w="950"/>
          </w:tcPr>
          <w:p>
            <w:pPr>
              <w:spacing w:after="20"/>
              <w:jc w:val="right"/>
            </w:pPr>
            <w:r>
              <w:rPr>
                <w:color w:val="1C3A36"/>
                <w:sz w:val="15"/>
              </w:rPr>
              <w:t>1,324</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(153)</w:t>
            </w:r>
          </w:p>
        </w:tc>
        <w:tc>
          <w:tcPr>
            <w:tcW w:type="dxa" w:w="950"/>
          </w:tcPr>
          <w:p>
            <w:pPr>
              <w:spacing w:after="20"/>
              <w:jc w:val="right"/>
            </w:pPr>
            <w:r>
              <w:rPr>
                <w:color w:val="1C3A36"/>
                <w:sz w:val="15"/>
              </w:rPr>
              <w:t>(126)</w:t>
            </w:r>
          </w:p>
        </w:tc>
        <w:tc>
          <w:tcPr>
            <w:tcW w:type="dxa" w:w="950"/>
          </w:tcPr>
          <w:p>
            <w:pPr>
              <w:spacing w:after="20"/>
              <w:jc w:val="right"/>
            </w:pPr>
            <w:r>
              <w:rPr>
                <w:color w:val="1C3A36"/>
                <w:sz w:val="15"/>
              </w:rPr>
              <w:t>(90)</w:t>
            </w:r>
          </w:p>
        </w:tc>
        <w:tc>
          <w:tcPr>
            <w:tcW w:type="dxa" w:w="950"/>
          </w:tcPr>
          <w:p>
            <w:pPr>
              <w:spacing w:after="20"/>
              <w:jc w:val="right"/>
            </w:pPr>
            <w:r>
              <w:rPr>
                <w:color w:val="1C3A36"/>
                <w:sz w:val="15"/>
              </w:rPr>
              <w:t>(29)</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1,378</w:t>
            </w:r>
          </w:p>
        </w:tc>
        <w:tc>
          <w:tcPr>
            <w:tcW w:type="dxa" w:w="950"/>
          </w:tcPr>
          <w:p>
            <w:pPr>
              <w:spacing w:after="20"/>
              <w:jc w:val="right"/>
            </w:pPr>
            <w:r>
              <w:rPr>
                <w:color w:val="1C3A36"/>
                <w:sz w:val="15"/>
              </w:rPr>
              <w:t>1,704</w:t>
            </w:r>
          </w:p>
        </w:tc>
        <w:tc>
          <w:tcPr>
            <w:tcW w:type="dxa" w:w="950"/>
          </w:tcPr>
          <w:p>
            <w:pPr>
              <w:spacing w:after="20"/>
              <w:jc w:val="right"/>
            </w:pPr>
            <w:r>
              <w:rPr>
                <w:color w:val="1C3A36"/>
                <w:sz w:val="15"/>
              </w:rPr>
              <w:t>1,677</w:t>
            </w:r>
          </w:p>
        </w:tc>
        <w:tc>
          <w:tcPr>
            <w:tcW w:type="dxa" w:w="950"/>
          </w:tcPr>
          <w:p>
            <w:pPr>
              <w:spacing w:after="20"/>
              <w:jc w:val="right"/>
            </w:pPr>
            <w:r>
              <w:rPr>
                <w:color w:val="1C3A36"/>
                <w:sz w:val="15"/>
              </w:rPr>
              <w:t>1,494</w:t>
            </w:r>
          </w:p>
        </w:tc>
        <w:tc>
          <w:tcPr>
            <w:tcW w:type="dxa" w:w="950"/>
          </w:tcPr>
          <w:p>
            <w:pPr>
              <w:spacing w:after="20"/>
              <w:jc w:val="right"/>
            </w:pPr>
            <w:r>
              <w:rPr>
                <w:color w:val="1C3A36"/>
                <w:sz w:val="15"/>
              </w:rPr>
              <w:t>1,295</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(45)</w:t>
            </w:r>
          </w:p>
        </w:tc>
        <w:tc>
          <w:tcPr>
            <w:tcW w:type="dxa" w:w="950"/>
          </w:tcPr>
          <w:p>
            <w:pPr>
              <w:spacing w:after="20"/>
              <w:jc w:val="right"/>
            </w:pPr>
            <w:r>
              <w:rPr>
                <w:color w:val="1C3A36"/>
                <w:sz w:val="15"/>
              </w:rPr>
              <w:t>(52)</w:t>
            </w:r>
          </w:p>
        </w:tc>
        <w:tc>
          <w:tcPr>
            <w:tcW w:type="dxa" w:w="950"/>
          </w:tcPr>
          <w:p>
            <w:pPr>
              <w:spacing w:after="20"/>
              <w:jc w:val="right"/>
            </w:pPr>
            <w:r>
              <w:rPr>
                <w:color w:val="1C3A36"/>
                <w:sz w:val="15"/>
              </w:rPr>
              <w:t>(55)</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1,333</w:t>
            </w:r>
          </w:p>
        </w:tc>
        <w:tc>
          <w:tcPr>
            <w:tcW w:type="dxa" w:w="950"/>
          </w:tcPr>
          <w:p>
            <w:pPr>
              <w:spacing w:after="20"/>
              <w:jc w:val="right"/>
            </w:pPr>
            <w:r>
              <w:rPr>
                <w:color w:val="1C3A36"/>
                <w:sz w:val="15"/>
              </w:rPr>
              <w:t>1,651</w:t>
            </w:r>
          </w:p>
        </w:tc>
        <w:tc>
          <w:tcPr>
            <w:tcW w:type="dxa" w:w="950"/>
          </w:tcPr>
          <w:p>
            <w:pPr>
              <w:spacing w:after="20"/>
              <w:jc w:val="right"/>
            </w:pPr>
            <w:r>
              <w:rPr>
                <w:color w:val="1C3A36"/>
                <w:sz w:val="15"/>
              </w:rPr>
              <w:t>1,622</w:t>
            </w:r>
          </w:p>
        </w:tc>
        <w:tc>
          <w:tcPr>
            <w:tcW w:type="dxa" w:w="950"/>
          </w:tcPr>
          <w:p>
            <w:pPr>
              <w:spacing w:after="20"/>
              <w:jc w:val="right"/>
            </w:pPr>
            <w:r>
              <w:rPr>
                <w:color w:val="1C3A36"/>
                <w:sz w:val="15"/>
              </w:rPr>
              <w:t>1,438</w:t>
            </w:r>
          </w:p>
        </w:tc>
        <w:tc>
          <w:tcPr>
            <w:tcW w:type="dxa" w:w="950"/>
          </w:tcPr>
          <w:p>
            <w:pPr>
              <w:spacing w:after="20"/>
              <w:jc w:val="right"/>
            </w:pPr>
            <w:r>
              <w:rPr>
                <w:color w:val="1C3A36"/>
                <w:sz w:val="15"/>
              </w:rPr>
              <w:t>1,237</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(117)</w:t>
            </w:r>
          </w:p>
        </w:tc>
        <w:tc>
          <w:tcPr>
            <w:tcW w:type="dxa" w:w="950"/>
          </w:tcPr>
          <w:p>
            <w:pPr>
              <w:spacing w:after="20"/>
              <w:jc w:val="right"/>
            </w:pPr>
            <w:r>
              <w:rPr>
                <w:color w:val="1C3A36"/>
                <w:sz w:val="15"/>
              </w:rPr>
              <w:t>(145)</w:t>
            </w:r>
          </w:p>
        </w:tc>
        <w:tc>
          <w:tcPr>
            <w:tcW w:type="dxa" w:w="950"/>
          </w:tcPr>
          <w:p>
            <w:pPr>
              <w:spacing w:after="20"/>
              <w:jc w:val="right"/>
            </w:pPr>
            <w:r>
              <w:rPr>
                <w:color w:val="1C3A36"/>
                <w:sz w:val="15"/>
              </w:rPr>
              <w:t>(143)</w:t>
            </w:r>
          </w:p>
        </w:tc>
        <w:tc>
          <w:tcPr>
            <w:tcW w:type="dxa" w:w="950"/>
          </w:tcPr>
          <w:p>
            <w:pPr>
              <w:spacing w:after="20"/>
              <w:jc w:val="right"/>
            </w:pPr>
            <w:r>
              <w:rPr>
                <w:color w:val="1C3A36"/>
                <w:sz w:val="15"/>
              </w:rPr>
              <w:t>(127)</w:t>
            </w:r>
          </w:p>
        </w:tc>
        <w:tc>
          <w:tcPr>
            <w:tcW w:type="dxa" w:w="950"/>
          </w:tcPr>
          <w:p>
            <w:pPr>
              <w:spacing w:after="20"/>
              <w:jc w:val="right"/>
            </w:pPr>
            <w:r>
              <w:rPr>
                <w:color w:val="1C3A36"/>
                <w:sz w:val="15"/>
              </w:rPr>
              <w:t>(109)</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1,216</w:t>
            </w:r>
          </w:p>
        </w:tc>
        <w:tc>
          <w:tcPr>
            <w:tcW w:type="dxa" w:w="950"/>
            <w:shd w:val="clear" w:color="auto" w:fill="F6F1E6"/>
          </w:tcPr>
          <w:p>
            <w:pPr>
              <w:spacing w:after="20"/>
              <w:jc w:val="right"/>
            </w:pPr>
            <w:r>
              <w:rPr>
                <w:b/>
                <w:color w:val="1C3A36"/>
                <w:sz w:val="15"/>
              </w:rPr>
              <w:t>1,506</w:t>
            </w:r>
          </w:p>
        </w:tc>
        <w:tc>
          <w:tcPr>
            <w:tcW w:type="dxa" w:w="950"/>
            <w:shd w:val="clear" w:color="auto" w:fill="F6F1E6"/>
          </w:tcPr>
          <w:p>
            <w:pPr>
              <w:spacing w:after="20"/>
              <w:jc w:val="right"/>
            </w:pPr>
            <w:r>
              <w:rPr>
                <w:b/>
                <w:color w:val="1C3A36"/>
                <w:sz w:val="15"/>
              </w:rPr>
              <w:t>1,479</w:t>
            </w:r>
          </w:p>
        </w:tc>
        <w:tc>
          <w:tcPr>
            <w:tcW w:type="dxa" w:w="950"/>
            <w:shd w:val="clear" w:color="auto" w:fill="F6F1E6"/>
          </w:tcPr>
          <w:p>
            <w:pPr>
              <w:spacing w:after="20"/>
              <w:jc w:val="right"/>
            </w:pPr>
            <w:r>
              <w:rPr>
                <w:b/>
                <w:color w:val="1C3A36"/>
                <w:sz w:val="15"/>
              </w:rPr>
              <w:t>1,311</w:t>
            </w:r>
          </w:p>
        </w:tc>
        <w:tc>
          <w:tcPr>
            <w:tcW w:type="dxa" w:w="950"/>
            <w:shd w:val="clear" w:color="auto" w:fill="F6F1E6"/>
          </w:tcPr>
          <w:p>
            <w:pPr>
              <w:spacing w:after="20"/>
              <w:jc w:val="right"/>
            </w:pPr>
            <w:r>
              <w:rPr>
                <w:b/>
                <w:color w:val="1C3A36"/>
                <w:sz w:val="15"/>
              </w:rPr>
              <w:t>1,128</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1,119</w:t>
            </w:r>
          </w:p>
        </w:tc>
        <w:tc>
          <w:tcPr>
            <w:tcW w:type="dxa" w:w="950"/>
          </w:tcPr>
          <w:p>
            <w:pPr>
              <w:spacing w:after="20"/>
              <w:jc w:val="right"/>
            </w:pPr>
            <w:r>
              <w:rPr>
                <w:color w:val="1C3A36"/>
                <w:sz w:val="15"/>
              </w:rPr>
              <w:t>1,409</w:t>
            </w:r>
          </w:p>
        </w:tc>
        <w:tc>
          <w:tcPr>
            <w:tcW w:type="dxa" w:w="950"/>
          </w:tcPr>
          <w:p>
            <w:pPr>
              <w:spacing w:after="20"/>
              <w:jc w:val="right"/>
            </w:pPr>
            <w:r>
              <w:rPr>
                <w:color w:val="1C3A36"/>
                <w:sz w:val="15"/>
              </w:rPr>
              <w:t>1,382</w:t>
            </w:r>
          </w:p>
        </w:tc>
        <w:tc>
          <w:tcPr>
            <w:tcW w:type="dxa" w:w="950"/>
          </w:tcPr>
          <w:p>
            <w:pPr>
              <w:spacing w:after="20"/>
              <w:jc w:val="right"/>
            </w:pPr>
            <w:r>
              <w:rPr>
                <w:color w:val="1C3A36"/>
                <w:sz w:val="15"/>
              </w:rPr>
              <w:t>1,214</w:t>
            </w:r>
          </w:p>
        </w:tc>
        <w:tc>
          <w:tcPr>
            <w:tcW w:type="dxa" w:w="950"/>
          </w:tcPr>
          <w:p>
            <w:pPr>
              <w:spacing w:after="20"/>
              <w:jc w:val="right"/>
            </w:pPr>
            <w:r>
              <w:rPr>
                <w:color w:val="1C3A36"/>
                <w:sz w:val="15"/>
              </w:rPr>
              <w:t>1,031</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0.151</w:t>
            </w:r>
          </w:p>
        </w:tc>
        <w:tc>
          <w:tcPr>
            <w:tcW w:type="dxa" w:w="950"/>
            <w:shd w:val="clear" w:color="auto" w:fill="F6F1E6"/>
          </w:tcPr>
          <w:p>
            <w:pPr>
              <w:spacing w:after="20"/>
              <w:jc w:val="right"/>
            </w:pPr>
            <w:r>
              <w:rPr>
                <w:b/>
                <w:color w:val="1C3A36"/>
                <w:sz w:val="15"/>
              </w:rPr>
              <w:t>0.190</w:t>
            </w:r>
          </w:p>
        </w:tc>
        <w:tc>
          <w:tcPr>
            <w:tcW w:type="dxa" w:w="950"/>
            <w:shd w:val="clear" w:color="auto" w:fill="F6F1E6"/>
          </w:tcPr>
          <w:p>
            <w:pPr>
              <w:spacing w:after="20"/>
              <w:jc w:val="right"/>
            </w:pPr>
            <w:r>
              <w:rPr>
                <w:b/>
                <w:color w:val="1C3A36"/>
                <w:sz w:val="15"/>
              </w:rPr>
              <w:t>0.187</w:t>
            </w:r>
          </w:p>
        </w:tc>
        <w:tc>
          <w:tcPr>
            <w:tcW w:type="dxa" w:w="950"/>
            <w:shd w:val="clear" w:color="auto" w:fill="F6F1E6"/>
          </w:tcPr>
          <w:p>
            <w:pPr>
              <w:spacing w:after="20"/>
              <w:jc w:val="right"/>
            </w:pPr>
            <w:r>
              <w:rPr>
                <w:b/>
                <w:color w:val="1C3A36"/>
                <w:sz w:val="15"/>
              </w:rPr>
              <w:t>0.164</w:t>
            </w:r>
          </w:p>
        </w:tc>
        <w:tc>
          <w:tcPr>
            <w:tcW w:type="dxa" w:w="950"/>
            <w:shd w:val="clear" w:color="auto" w:fill="F6F1E6"/>
          </w:tcPr>
          <w:p>
            <w:pPr>
              <w:spacing w:after="20"/>
              <w:jc w:val="right"/>
            </w:pPr>
            <w:r>
              <w:rPr>
                <w:b/>
                <w:color w:val="1C3A36"/>
                <w:sz w:val="15"/>
              </w:rPr>
              <w:t>0.139</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0.164</w:t>
            </w:r>
          </w:p>
        </w:tc>
        <w:tc>
          <w:tcPr>
            <w:tcW w:type="dxa" w:w="950"/>
          </w:tcPr>
          <w:p>
            <w:pPr>
              <w:spacing w:after="20"/>
              <w:jc w:val="right"/>
            </w:pPr>
            <w:r>
              <w:rPr>
                <w:color w:val="1C3A36"/>
                <w:sz w:val="15"/>
              </w:rPr>
              <w:t>0.204</w:t>
            </w:r>
          </w:p>
        </w:tc>
        <w:tc>
          <w:tcPr>
            <w:tcW w:type="dxa" w:w="950"/>
          </w:tcPr>
          <w:p>
            <w:pPr>
              <w:spacing w:after="20"/>
              <w:jc w:val="right"/>
            </w:pPr>
            <w:r>
              <w:rPr>
                <w:color w:val="1C3A36"/>
                <w:sz w:val="15"/>
              </w:rPr>
              <w:t>0.200</w:t>
            </w:r>
          </w:p>
        </w:tc>
        <w:tc>
          <w:tcPr>
            <w:tcW w:type="dxa" w:w="950"/>
          </w:tcPr>
          <w:p>
            <w:pPr>
              <w:spacing w:after="20"/>
              <w:jc w:val="right"/>
            </w:pPr>
            <w:r>
              <w:rPr>
                <w:color w:val="1C3A36"/>
                <w:sz w:val="15"/>
              </w:rPr>
              <w:t>0.177</w:t>
            </w:r>
          </w:p>
        </w:tc>
        <w:tc>
          <w:tcPr>
            <w:tcW w:type="dxa" w:w="950"/>
          </w:tcPr>
          <w:p>
            <w:pPr>
              <w:spacing w:after="20"/>
              <w:jc w:val="right"/>
            </w:pPr>
            <w:r>
              <w:rPr>
                <w:color w:val="1C3A36"/>
                <w:sz w:val="15"/>
              </w:rPr>
              <w:t>0.152</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8.7%;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9,096</w:t>
            </w:r>
          </w:p>
        </w:tc>
        <w:tc>
          <w:tcPr>
            <w:tcW w:type="dxa" w:w="950"/>
          </w:tcPr>
          <w:p>
            <w:pPr>
              <w:spacing w:after="20"/>
              <w:jc w:val="right"/>
            </w:pPr>
            <w:r>
              <w:rPr>
                <w:color w:val="1C3A36"/>
                <w:sz w:val="15"/>
              </w:rPr>
              <w:t>9,794</w:t>
            </w:r>
          </w:p>
        </w:tc>
        <w:tc>
          <w:tcPr>
            <w:tcW w:type="dxa" w:w="950"/>
          </w:tcPr>
          <w:p>
            <w:pPr>
              <w:spacing w:after="20"/>
              <w:jc w:val="right"/>
            </w:pPr>
            <w:r>
              <w:rPr>
                <w:color w:val="1C3A36"/>
                <w:sz w:val="15"/>
              </w:rPr>
              <w:t>10,452</w:t>
            </w:r>
          </w:p>
        </w:tc>
        <w:tc>
          <w:tcPr>
            <w:tcW w:type="dxa" w:w="950"/>
          </w:tcPr>
          <w:p>
            <w:pPr>
              <w:spacing w:after="20"/>
              <w:jc w:val="right"/>
            </w:pPr>
            <w:r>
              <w:rPr>
                <w:color w:val="1C3A36"/>
                <w:sz w:val="15"/>
              </w:rPr>
              <w:t>10,544</w:t>
            </w:r>
          </w:p>
        </w:tc>
        <w:tc>
          <w:tcPr>
            <w:tcW w:type="dxa" w:w="950"/>
          </w:tcPr>
          <w:p>
            <w:pPr>
              <w:spacing w:after="20"/>
              <w:jc w:val="right"/>
            </w:pPr>
            <w:r>
              <w:rPr>
                <w:color w:val="1C3A36"/>
                <w:sz w:val="15"/>
              </w:rPr>
              <w:t>10,582</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792</w:t>
            </w:r>
          </w:p>
        </w:tc>
        <w:tc>
          <w:tcPr>
            <w:tcW w:type="dxa" w:w="950"/>
            <w:shd w:val="clear" w:color="auto" w:fill="F6F1E6"/>
          </w:tcPr>
          <w:p>
            <w:pPr>
              <w:spacing w:after="20"/>
              <w:jc w:val="right"/>
            </w:pPr>
            <w:r>
              <w:rPr>
                <w:b/>
                <w:color w:val="1C3A36"/>
                <w:sz w:val="15"/>
              </w:rPr>
              <w:t>949</w:t>
            </w:r>
          </w:p>
        </w:tc>
        <w:tc>
          <w:tcPr>
            <w:tcW w:type="dxa" w:w="950"/>
            <w:shd w:val="clear" w:color="auto" w:fill="F6F1E6"/>
          </w:tcPr>
          <w:p>
            <w:pPr>
              <w:spacing w:after="20"/>
              <w:jc w:val="right"/>
            </w:pPr>
            <w:r>
              <w:rPr>
                <w:b/>
                <w:color w:val="1C3A36"/>
                <w:sz w:val="15"/>
              </w:rPr>
              <w:t>945</w:t>
            </w:r>
          </w:p>
        </w:tc>
        <w:tc>
          <w:tcPr>
            <w:tcW w:type="dxa" w:w="950"/>
            <w:shd w:val="clear" w:color="auto" w:fill="F6F1E6"/>
          </w:tcPr>
          <w:p>
            <w:pPr>
              <w:spacing w:after="20"/>
              <w:jc w:val="right"/>
            </w:pPr>
            <w:r>
              <w:rPr>
                <w:b/>
                <w:color w:val="1C3A36"/>
                <w:sz w:val="15"/>
              </w:rPr>
              <w:t>877</w:t>
            </w:r>
          </w:p>
        </w:tc>
        <w:tc>
          <w:tcPr>
            <w:tcW w:type="dxa" w:w="950"/>
            <w:shd w:val="clear" w:color="auto" w:fill="F6F1E6"/>
          </w:tcPr>
          <w:p>
            <w:pPr>
              <w:spacing w:after="20"/>
              <w:jc w:val="right"/>
            </w:pPr>
            <w:r>
              <w:rPr>
                <w:b/>
                <w:color w:val="1C3A36"/>
                <w:sz w:val="15"/>
              </w:rPr>
              <w:t>787</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2,717</w:t>
            </w:r>
          </w:p>
        </w:tc>
        <w:tc>
          <w:tcPr>
            <w:tcW w:type="dxa" w:w="950"/>
          </w:tcPr>
          <w:p>
            <w:pPr>
              <w:spacing w:after="20"/>
              <w:jc w:val="right"/>
            </w:pPr>
            <w:r>
              <w:rPr>
                <w:color w:val="1C3A36"/>
                <w:sz w:val="15"/>
              </w:rPr>
              <w:t>3,060</w:t>
            </w:r>
          </w:p>
        </w:tc>
        <w:tc>
          <w:tcPr>
            <w:tcW w:type="dxa" w:w="950"/>
          </w:tcPr>
          <w:p>
            <w:pPr>
              <w:spacing w:after="20"/>
              <w:jc w:val="right"/>
            </w:pPr>
            <w:r>
              <w:rPr>
                <w:color w:val="1C3A36"/>
                <w:sz w:val="15"/>
              </w:rPr>
              <w:t>2,594</w:t>
            </w:r>
          </w:p>
        </w:tc>
        <w:tc>
          <w:tcPr>
            <w:tcW w:type="dxa" w:w="950"/>
          </w:tcPr>
          <w:p>
            <w:pPr>
              <w:spacing w:after="20"/>
              <w:jc w:val="right"/>
            </w:pPr>
            <w:r>
              <w:rPr>
                <w:color w:val="1C3A36"/>
                <w:sz w:val="15"/>
              </w:rPr>
              <w:t>1,977</w:t>
            </w:r>
          </w:p>
        </w:tc>
        <w:tc>
          <w:tcPr>
            <w:tcW w:type="dxa" w:w="950"/>
          </w:tcPr>
          <w:p>
            <w:pPr>
              <w:spacing w:after="20"/>
              <w:jc w:val="right"/>
            </w:pPr>
            <w:r>
              <w:rPr>
                <w:color w:val="1C3A36"/>
                <w:sz w:val="15"/>
              </w:rPr>
              <w:t>930</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2,365</w:t>
            </w:r>
          </w:p>
        </w:tc>
        <w:tc>
          <w:tcPr>
            <w:tcW w:type="dxa" w:w="950"/>
          </w:tcPr>
          <w:p>
            <w:pPr>
              <w:spacing w:after="20"/>
              <w:jc w:val="right"/>
            </w:pPr>
            <w:r>
              <w:rPr>
                <w:color w:val="1C3A36"/>
                <w:sz w:val="15"/>
              </w:rPr>
              <w:t>1,899</w:t>
            </w:r>
          </w:p>
        </w:tc>
        <w:tc>
          <w:tcPr>
            <w:tcW w:type="dxa" w:w="950"/>
          </w:tcPr>
          <w:p>
            <w:pPr>
              <w:spacing w:after="20"/>
              <w:jc w:val="right"/>
            </w:pPr>
            <w:r>
              <w:rPr>
                <w:color w:val="1C3A36"/>
                <w:sz w:val="15"/>
              </w:rPr>
              <w:t>1,282</w:t>
            </w:r>
          </w:p>
        </w:tc>
        <w:tc>
          <w:tcPr>
            <w:tcW w:type="dxa" w:w="950"/>
          </w:tcPr>
          <w:p>
            <w:pPr>
              <w:spacing w:after="20"/>
              <w:jc w:val="right"/>
            </w:pPr>
            <w:r>
              <w:rPr>
                <w:color w:val="1C3A36"/>
                <w:sz w:val="15"/>
              </w:rPr>
              <w:t>235</w:t>
            </w:r>
          </w:p>
        </w:tc>
        <w:tc>
          <w:tcPr>
            <w:tcW w:type="dxa" w:w="950"/>
          </w:tcPr>
          <w:p>
            <w:pPr>
              <w:spacing w:after="20"/>
              <w:jc w:val="right"/>
            </w:pPr>
            <w:r>
              <w:rPr>
                <w:color w:val="1C3A36"/>
                <w:sz w:val="15"/>
              </w:rPr>
              <w:t>(665)</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5,852</w:t>
            </w:r>
          </w:p>
        </w:tc>
        <w:tc>
          <w:tcPr>
            <w:tcW w:type="dxa" w:w="950"/>
            <w:shd w:val="clear" w:color="auto" w:fill="F6F1E6"/>
          </w:tcPr>
          <w:p>
            <w:pPr>
              <w:spacing w:after="20"/>
              <w:jc w:val="right"/>
            </w:pPr>
            <w:r>
              <w:rPr>
                <w:b/>
                <w:color w:val="1C3A36"/>
                <w:sz w:val="15"/>
              </w:rPr>
              <w:t>6,903</w:t>
            </w:r>
          </w:p>
        </w:tc>
        <w:tc>
          <w:tcPr>
            <w:tcW w:type="dxa" w:w="950"/>
            <w:shd w:val="clear" w:color="auto" w:fill="F6F1E6"/>
          </w:tcPr>
          <w:p>
            <w:pPr>
              <w:spacing w:after="20"/>
              <w:jc w:val="right"/>
            </w:pPr>
            <w:r>
              <w:rPr>
                <w:b/>
                <w:color w:val="1C3A36"/>
                <w:sz w:val="15"/>
              </w:rPr>
              <w:t>7,909</w:t>
            </w:r>
          </w:p>
        </w:tc>
        <w:tc>
          <w:tcPr>
            <w:tcW w:type="dxa" w:w="950"/>
            <w:shd w:val="clear" w:color="auto" w:fill="F6F1E6"/>
          </w:tcPr>
          <w:p>
            <w:pPr>
              <w:spacing w:after="20"/>
              <w:jc w:val="right"/>
            </w:pPr>
            <w:r>
              <w:rPr>
                <w:b/>
                <w:color w:val="1C3A36"/>
                <w:sz w:val="15"/>
              </w:rPr>
              <w:t>8,728</w:t>
            </w:r>
          </w:p>
        </w:tc>
        <w:tc>
          <w:tcPr>
            <w:tcW w:type="dxa" w:w="950"/>
            <w:shd w:val="clear" w:color="auto" w:fill="F6F1E6"/>
          </w:tcPr>
          <w:p>
            <w:pPr>
              <w:spacing w:after="20"/>
              <w:jc w:val="right"/>
            </w:pPr>
            <w:r>
              <w:rPr>
                <w:b/>
                <w:color w:val="1C3A36"/>
                <w:sz w:val="15"/>
              </w:rPr>
              <w:t>9,345</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0.7909</w:t>
            </w:r>
          </w:p>
        </w:tc>
        <w:tc>
          <w:tcPr>
            <w:tcW w:type="dxa" w:w="950"/>
          </w:tcPr>
          <w:p>
            <w:pPr>
              <w:spacing w:after="20"/>
              <w:jc w:val="right"/>
            </w:pPr>
            <w:r>
              <w:rPr>
                <w:color w:val="1C3A36"/>
                <w:sz w:val="15"/>
              </w:rPr>
              <w:t>0.9330</w:t>
            </w:r>
          </w:p>
        </w:tc>
        <w:tc>
          <w:tcPr>
            <w:tcW w:type="dxa" w:w="950"/>
          </w:tcPr>
          <w:p>
            <w:pPr>
              <w:spacing w:after="20"/>
              <w:jc w:val="right"/>
            </w:pPr>
            <w:r>
              <w:rPr>
                <w:color w:val="1C3A36"/>
                <w:sz w:val="15"/>
              </w:rPr>
              <w:t>1.0689</w:t>
            </w:r>
          </w:p>
        </w:tc>
        <w:tc>
          <w:tcPr>
            <w:tcW w:type="dxa" w:w="950"/>
          </w:tcPr>
          <w:p>
            <w:pPr>
              <w:spacing w:after="20"/>
              <w:jc w:val="right"/>
            </w:pPr>
            <w:r>
              <w:rPr>
                <w:color w:val="1C3A36"/>
                <w:sz w:val="15"/>
              </w:rPr>
              <w:t>1.1797</w:t>
            </w:r>
          </w:p>
        </w:tc>
        <w:tc>
          <w:tcPr>
            <w:tcW w:type="dxa" w:w="950"/>
          </w:tcPr>
          <w:p>
            <w:pPr>
              <w:spacing w:after="20"/>
              <w:jc w:val="right"/>
            </w:pPr>
            <w:r>
              <w:rPr>
                <w:color w:val="1C3A36"/>
                <w:sz w:val="15"/>
              </w:rPr>
              <w:t>1.2631</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1.13×</w:t>
            </w:r>
          </w:p>
        </w:tc>
        <w:tc>
          <w:tcPr>
            <w:tcW w:type="dxa" w:w="950"/>
          </w:tcPr>
          <w:p>
            <w:pPr>
              <w:spacing w:after="20"/>
              <w:jc w:val="right"/>
            </w:pPr>
            <w:r>
              <w:rPr>
                <w:color w:val="1C3A36"/>
                <w:sz w:val="15"/>
              </w:rPr>
              <w:t>0.75×</w:t>
            </w:r>
          </w:p>
        </w:tc>
        <w:tc>
          <w:tcPr>
            <w:tcW w:type="dxa" w:w="950"/>
          </w:tcPr>
          <w:p>
            <w:pPr>
              <w:spacing w:after="20"/>
              <w:jc w:val="right"/>
            </w:pPr>
            <w:r>
              <w:rPr>
                <w:color w:val="1C3A36"/>
                <w:sz w:val="15"/>
              </w:rPr>
              <w:t>0.51×</w:t>
            </w:r>
          </w:p>
        </w:tc>
        <w:tc>
          <w:tcPr>
            <w:tcW w:type="dxa" w:w="950"/>
          </w:tcPr>
          <w:p>
            <w:pPr>
              <w:spacing w:after="20"/>
              <w:jc w:val="right"/>
            </w:pPr>
            <w:r>
              <w:rPr>
                <w:color w:val="1C3A36"/>
                <w:sz w:val="15"/>
              </w:rPr>
              <w:t>0.10×</w:t>
            </w:r>
          </w:p>
        </w:tc>
        <w:tc>
          <w:tcPr>
            <w:tcW w:type="dxa" w:w="950"/>
          </w:tcPr>
          <w:p>
            <w:pPr>
              <w:spacing w:after="20"/>
              <w:jc w:val="right"/>
            </w:pPr>
            <w:r>
              <w:rPr>
                <w:color w:val="1C3A36"/>
                <w:sz w:val="15"/>
              </w:rPr>
              <w:t>-0.32×</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20.8%</w:t>
            </w:r>
          </w:p>
        </w:tc>
        <w:tc>
          <w:tcPr>
            <w:tcW w:type="dxa" w:w="950"/>
          </w:tcPr>
          <w:p>
            <w:pPr>
              <w:spacing w:after="20"/>
              <w:jc w:val="right"/>
            </w:pPr>
            <w:r>
              <w:rPr>
                <w:color w:val="1C3A36"/>
                <w:sz w:val="15"/>
              </w:rPr>
              <w:t>21.8%</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12.1%</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22.3% · 23.6% · 20.0% · 15.8% · 12.5%,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1,205</w:t>
            </w:r>
          </w:p>
        </w:tc>
        <w:tc>
          <w:tcPr>
            <w:tcW w:type="dxa" w:w="1382"/>
            <w:shd w:val="clear" w:color="auto" w:fill="F6F1E6"/>
          </w:tcPr>
          <w:p>
            <w:pPr>
              <w:spacing w:after="20"/>
              <w:jc w:val="right"/>
            </w:pPr>
            <w:r>
              <w:rPr>
                <w:b/>
                <w:color w:val="1C3A36"/>
                <w:sz w:val="16"/>
              </w:rPr>
              <w:t>1,620</w:t>
            </w:r>
          </w:p>
        </w:tc>
        <w:tc>
          <w:tcPr>
            <w:tcW w:type="dxa" w:w="1382"/>
            <w:shd w:val="clear" w:color="auto" w:fill="F6F1E6"/>
          </w:tcPr>
          <w:p>
            <w:pPr>
              <w:spacing w:after="20"/>
              <w:jc w:val="right"/>
            </w:pPr>
            <w:r>
              <w:rPr>
                <w:b/>
                <w:color w:val="1C3A36"/>
                <w:sz w:val="16"/>
              </w:rPr>
              <w:t>1,437</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(158)</w:t>
            </w:r>
          </w:p>
        </w:tc>
        <w:tc>
          <w:tcPr>
            <w:tcW w:type="dxa" w:w="1382"/>
          </w:tcPr>
          <w:p>
            <w:pPr>
              <w:spacing w:after="20"/>
              <w:jc w:val="right"/>
            </w:pPr>
            <w:r>
              <w:rPr>
                <w:color w:val="1C3A36"/>
                <w:sz w:val="16"/>
              </w:rPr>
              <w:t>(178)</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(115)</w:t>
            </w:r>
          </w:p>
        </w:tc>
        <w:tc>
          <w:tcPr>
            <w:tcW w:type="dxa" w:w="1382"/>
          </w:tcPr>
          <w:p>
            <w:pPr>
              <w:spacing w:after="20"/>
              <w:jc w:val="right"/>
            </w:pPr>
            <w:r>
              <w:rPr>
                <w:color w:val="1C3A36"/>
                <w:sz w:val="16"/>
              </w:rPr>
              <w:t>(54)</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28%</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2,717</w:t>
            </w:r>
          </w:p>
        </w:tc>
        <w:tc>
          <w:tcPr>
            <w:tcW w:type="dxa" w:w="1382"/>
          </w:tcPr>
          <w:p>
            <w:pPr>
              <w:spacing w:after="20"/>
              <w:jc w:val="right"/>
            </w:pPr>
            <w:r>
              <w:rPr>
                <w:color w:val="1C3A36"/>
                <w:sz w:val="16"/>
              </w:rPr>
              <w:t>3,060</w:t>
            </w:r>
          </w:p>
        </w:tc>
        <w:tc>
          <w:tcPr>
            <w:tcW w:type="dxa" w:w="1382"/>
          </w:tcPr>
          <w:p>
            <w:pPr>
              <w:spacing w:after="20"/>
              <w:jc w:val="right"/>
            </w:pPr>
            <w:r>
              <w:rPr>
                <w:color w:val="1C3A36"/>
                <w:sz w:val="16"/>
              </w:rPr>
              <w:t>2,594</w:t>
            </w:r>
          </w:p>
        </w:tc>
        <w:tc>
          <w:tcPr>
            <w:tcW w:type="dxa" w:w="1382"/>
          </w:tcPr>
          <w:p>
            <w:pPr>
              <w:spacing w:after="20"/>
              <w:jc w:val="right"/>
            </w:pPr>
            <w:r>
              <w:rPr>
                <w:color w:val="1C3A36"/>
                <w:sz w:val="16"/>
              </w:rPr>
              <w:t>1,977</w:t>
            </w:r>
          </w:p>
        </w:tc>
        <w:tc>
          <w:tcPr>
            <w:tcW w:type="dxa" w:w="1382"/>
          </w:tcPr>
          <w:p>
            <w:pPr>
              <w:spacing w:after="20"/>
              <w:jc w:val="right"/>
            </w:pPr>
            <w:r>
              <w:rPr>
                <w:color w:val="1C3A36"/>
                <w:sz w:val="16"/>
              </w:rPr>
              <w:t>930</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2,365</w:t>
            </w:r>
          </w:p>
        </w:tc>
        <w:tc>
          <w:tcPr>
            <w:tcW w:type="dxa" w:w="1382"/>
          </w:tcPr>
          <w:p>
            <w:pPr>
              <w:spacing w:after="20"/>
              <w:jc w:val="right"/>
            </w:pPr>
            <w:r>
              <w:rPr>
                <w:color w:val="1C3A36"/>
                <w:sz w:val="16"/>
              </w:rPr>
              <w:t>1,899</w:t>
            </w:r>
          </w:p>
        </w:tc>
        <w:tc>
          <w:tcPr>
            <w:tcW w:type="dxa" w:w="1382"/>
          </w:tcPr>
          <w:p>
            <w:pPr>
              <w:spacing w:after="20"/>
              <w:jc w:val="right"/>
            </w:pPr>
            <w:r>
              <w:rPr>
                <w:color w:val="1C3A36"/>
                <w:sz w:val="16"/>
              </w:rPr>
              <w:t>1,282</w:t>
            </w:r>
          </w:p>
        </w:tc>
        <w:tc>
          <w:tcPr>
            <w:tcW w:type="dxa" w:w="1382"/>
          </w:tcPr>
          <w:p>
            <w:pPr>
              <w:spacing w:after="20"/>
              <w:jc w:val="right"/>
            </w:pPr>
            <w:r>
              <w:rPr>
                <w:color w:val="1C3A36"/>
                <w:sz w:val="16"/>
              </w:rPr>
              <w:t>235</w:t>
            </w:r>
          </w:p>
        </w:tc>
        <w:tc>
          <w:tcPr>
            <w:tcW w:type="dxa" w:w="1382"/>
          </w:tcPr>
          <w:p>
            <w:pPr>
              <w:spacing w:after="20"/>
              <w:jc w:val="right"/>
            </w:pPr>
            <w:r>
              <w:rPr>
                <w:color w:val="1C3A36"/>
                <w:sz w:val="16"/>
              </w:rPr>
              <w:t>(665)</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1.13×</w:t>
            </w:r>
          </w:p>
        </w:tc>
        <w:tc>
          <w:tcPr>
            <w:tcW w:type="dxa" w:w="1382"/>
            <w:shd w:val="clear" w:color="auto" w:fill="F6F1E6"/>
          </w:tcPr>
          <w:p>
            <w:pPr>
              <w:spacing w:after="20"/>
              <w:jc w:val="right"/>
            </w:pPr>
            <w:r>
              <w:rPr>
                <w:b/>
                <w:color w:val="1C3A36"/>
                <w:sz w:val="16"/>
              </w:rPr>
              <w:t>0.75×</w:t>
            </w:r>
          </w:p>
        </w:tc>
        <w:tc>
          <w:tcPr>
            <w:tcW w:type="dxa" w:w="1382"/>
            <w:shd w:val="clear" w:color="auto" w:fill="F6F1E6"/>
          </w:tcPr>
          <w:p>
            <w:pPr>
              <w:spacing w:after="20"/>
              <w:jc w:val="right"/>
            </w:pPr>
            <w:r>
              <w:rPr>
                <w:b/>
                <w:color w:val="1C3A36"/>
                <w:sz w:val="16"/>
              </w:rPr>
              <w:t>0.51×</w:t>
            </w:r>
          </w:p>
        </w:tc>
        <w:tc>
          <w:tcPr>
            <w:tcW w:type="dxa" w:w="1382"/>
            <w:shd w:val="clear" w:color="auto" w:fill="F6F1E6"/>
          </w:tcPr>
          <w:p>
            <w:pPr>
              <w:spacing w:after="20"/>
              <w:jc w:val="right"/>
            </w:pPr>
            <w:r>
              <w:rPr>
                <w:b/>
                <w:color w:val="1C3A36"/>
                <w:sz w:val="16"/>
              </w:rPr>
              <w:t>0.10×</w:t>
            </w:r>
          </w:p>
        </w:tc>
        <w:tc>
          <w:tcPr>
            <w:tcW w:type="dxa" w:w="1382"/>
            <w:shd w:val="clear" w:color="auto" w:fill="F6F1E6"/>
          </w:tcPr>
          <w:p>
            <w:pPr>
              <w:spacing w:after="20"/>
              <w:jc w:val="right"/>
            </w:pPr>
            <w:r>
              <w:rPr>
                <w:b/>
                <w:color w:val="1C3A36"/>
                <w:sz w:val="16"/>
              </w:rPr>
              <w:t>-0.32×</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9,959</w:t>
            </w:r>
          </w:p>
        </w:tc>
        <w:tc>
          <w:tcPr>
            <w:tcW w:type="dxa" w:w="1382"/>
          </w:tcPr>
          <w:p>
            <w:pPr>
              <w:spacing w:after="20"/>
              <w:jc w:val="right"/>
            </w:pPr>
            <w:r>
              <w:rPr>
                <w:color w:val="1C3A36"/>
                <w:sz w:val="16"/>
              </w:rPr>
              <w:t>10,813</w:t>
            </w:r>
          </w:p>
        </w:tc>
        <w:tc>
          <w:tcPr>
            <w:tcW w:type="dxa" w:w="1382"/>
          </w:tcPr>
          <w:p>
            <w:pPr>
              <w:spacing w:after="20"/>
              <w:jc w:val="right"/>
            </w:pPr>
            <w:r>
              <w:rPr>
                <w:color w:val="1C3A36"/>
                <w:sz w:val="16"/>
              </w:rPr>
              <w:t>11,468</w:t>
            </w:r>
          </w:p>
        </w:tc>
        <w:tc>
          <w:tcPr>
            <w:tcW w:type="dxa" w:w="1382"/>
          </w:tcPr>
          <w:p>
            <w:pPr>
              <w:spacing w:after="20"/>
              <w:jc w:val="right"/>
            </w:pPr>
            <w:r>
              <w:rPr>
                <w:color w:val="1C3A36"/>
                <w:sz w:val="16"/>
              </w:rPr>
              <w:t>11,491</w:t>
            </w:r>
          </w:p>
        </w:tc>
        <w:tc>
          <w:tcPr>
            <w:tcW w:type="dxa" w:w="1382"/>
          </w:tcPr>
          <w:p>
            <w:pPr>
              <w:spacing w:after="20"/>
              <w:jc w:val="right"/>
            </w:pPr>
            <w:r>
              <w:rPr>
                <w:color w:val="1C3A36"/>
                <w:sz w:val="16"/>
              </w:rPr>
              <w:t>11,440</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8.41%</w:t>
            </w:r>
          </w:p>
        </w:tc>
        <w:tc>
          <w:tcPr>
            <w:tcW w:type="dxa" w:w="1382"/>
          </w:tcPr>
          <w:p>
            <w:pPr>
              <w:spacing w:after="20"/>
              <w:jc w:val="right"/>
            </w:pPr>
            <w:r>
              <w:rPr>
                <w:color w:val="1C3A36"/>
                <w:sz w:val="16"/>
              </w:rPr>
              <w:t>8.26%</w:t>
            </w:r>
          </w:p>
        </w:tc>
        <w:tc>
          <w:tcPr>
            <w:tcW w:type="dxa" w:w="1382"/>
          </w:tcPr>
          <w:p>
            <w:pPr>
              <w:spacing w:after="20"/>
              <w:jc w:val="right"/>
            </w:pPr>
            <w:r>
              <w:rPr>
                <w:color w:val="1C3A36"/>
                <w:sz w:val="16"/>
              </w:rPr>
              <w:t>8.11%</w:t>
            </w:r>
          </w:p>
        </w:tc>
        <w:tc>
          <w:tcPr>
            <w:tcW w:type="dxa" w:w="1382"/>
          </w:tcPr>
          <w:p>
            <w:pPr>
              <w:spacing w:after="20"/>
              <w:jc w:val="right"/>
            </w:pPr>
            <w:r>
              <w:rPr>
                <w:color w:val="1C3A36"/>
                <w:sz w:val="16"/>
              </w:rPr>
              <w:t>7.95%</w:t>
            </w:r>
          </w:p>
        </w:tc>
        <w:tc>
          <w:tcPr>
            <w:tcW w:type="dxa" w:w="1382"/>
          </w:tcPr>
          <w:p>
            <w:pPr>
              <w:spacing w:after="20"/>
              <w:jc w:val="right"/>
            </w:pPr>
            <w:r>
              <w:rPr>
                <w:color w:val="1C3A36"/>
                <w:sz w:val="16"/>
              </w:rPr>
              <w:t>7.80%</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+6.3pp</w:t>
            </w:r>
          </w:p>
        </w:tc>
        <w:tc>
          <w:tcPr>
            <w:tcW w:type="dxa" w:w="1382"/>
            <w:shd w:val="clear" w:color="auto" w:fill="F6F1E6"/>
          </w:tcPr>
          <w:p>
            <w:pPr>
              <w:spacing w:after="20"/>
              <w:jc w:val="right"/>
            </w:pPr>
            <w:r>
              <w:rPr>
                <w:b/>
                <w:color w:val="1C3A36"/>
                <w:sz w:val="16"/>
              </w:rPr>
              <w:t>+8.4pp</w:t>
            </w:r>
          </w:p>
        </w:tc>
        <w:tc>
          <w:tcPr>
            <w:tcW w:type="dxa" w:w="1382"/>
            <w:shd w:val="clear" w:color="auto" w:fill="F6F1E6"/>
          </w:tcPr>
          <w:p>
            <w:pPr>
              <w:spacing w:after="20"/>
              <w:jc w:val="right"/>
            </w:pPr>
            <w:r>
              <w:rPr>
                <w:b/>
                <w:color w:val="1C3A36"/>
                <w:sz w:val="16"/>
              </w:rPr>
              <w:t>+7.1pp</w:t>
            </w:r>
          </w:p>
        </w:tc>
        <w:tc>
          <w:tcPr>
            <w:tcW w:type="dxa" w:w="1382"/>
            <w:shd w:val="clear" w:color="auto" w:fill="F6F1E6"/>
          </w:tcPr>
          <w:p>
            <w:pPr>
              <w:spacing w:after="20"/>
              <w:jc w:val="right"/>
            </w:pPr>
            <w:r>
              <w:rPr>
                <w:b/>
                <w:color w:val="1C3A36"/>
                <w:sz w:val="16"/>
              </w:rPr>
              <w:t>+5.3pp</w:t>
            </w:r>
          </w:p>
        </w:tc>
        <w:tc>
          <w:tcPr>
            <w:tcW w:type="dxa" w:w="1382"/>
            <w:shd w:val="clear" w:color="auto" w:fill="F6F1E6"/>
          </w:tcPr>
          <w:p>
            <w:pPr>
              <w:spacing w:after="20"/>
              <w:jc w:val="right"/>
            </w:pPr>
            <w:r>
              <w:rPr>
                <w:b/>
                <w:color w:val="1C3A36"/>
                <w:sz w:val="16"/>
              </w:rPr>
              <w:t>+3.2pp</w:t>
            </w:r>
          </w:p>
        </w:tc>
      </w:tr>
    </w:tbl>
    <w:p>
      <w:pPr>
        <w:spacing w:after="40"/>
      </w:pPr>
    </w:p>
    <w:p>
      <w:pPr>
        <w:spacing w:after="120" w:before="0"/>
      </w:pPr>
      <w:r>
        <w:rPr>
          <w:b w:val="0"/>
          <w:i w:val="0"/>
          <w:color w:val="1C3A36"/>
          <w:sz w:val="21"/>
        </w:rPr>
        <w:t>Three things in that table are worth reading together. Free cash flow to the firm is only USD 215 million in 2026E — on earnings of USD 2,086 million — because the capital programme peaks at USD 1,375 million and working capital builds by USD 446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+6.3 percentage points to +3.2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2.05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2.97 a share between the two published constructions, and AED 5.07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7,110 million</w:t>
            </w:r>
          </w:p>
        </w:tc>
        <w:tc>
          <w:tcPr>
            <w:tcW w:type="dxa" w:w="3528"/>
          </w:tcPr>
          <w:p>
            <w:pPr>
              <w:spacing w:after="20"/>
            </w:pPr>
            <w:r>
              <w:rPr>
                <w:color w:val="1C3A36"/>
                <w:sz w:val="16"/>
              </w:rPr>
              <w:t>the capital-expenditure row spans AED 1.22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1.21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0.37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9,164 a day used is solved so that the owned fleet's charter-equivalent revenue less running cost reproduces the reported FY2025 result for the unit.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lenses that rest on it carry 45% of the weighted central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2,296</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(680)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1,615</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(58)</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(131)</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1,452</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1,227</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0.1658</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7.31</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5.48 – 9.14</w:t>
            </w:r>
          </w:p>
        </w:tc>
      </w:tr>
    </w:tbl>
    <w:p>
      <w:pPr>
        <w:spacing w:after="40"/>
      </w:pPr>
    </w:p>
    <w:p>
      <w:pPr>
        <w:spacing w:after="120" w:before="0"/>
      </w:pPr>
      <w:r>
        <w:rPr>
          <w:b w:val="0"/>
          <w:i w:val="0"/>
          <w:color w:val="1C3A36"/>
          <w:sz w:val="21"/>
        </w:rPr>
        <w:t>Named sensitivity: each single turn of the multiple is worth AED 0.61 a share, so the 9×-to-15× range above spans AED 3.65. And every USD 100 million of mid-cycle earnings before interest, tax, depreciation and amortisation — about 4.4%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1,108</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(120)</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914</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12,545</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6.23</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4.18 – 10.54</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8.8%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5.92 rather than AED 6.23, a move of AED -0.30.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6.23, below the study's own weighted central of AED 7.05, and the reason is specific: the five-year average free cash flow of USD 1,108 million is dragged down by the investment years. Free cash flow to the firm is USD 215 million in 2026E and USD 1,620 million in 2029E; averaging a business across a period when it is building the assets that produce the later number is a real charge against it. That is the method doing what it says it does, and it is why the range extends as high as AED 10.54.</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9.43% — and the answer is roughly AED 8.43 a share, a rise of about 35%.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6.36.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2,547</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3,468</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13,447</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(3,779)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9,668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4.80</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3.43 – 5.87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+6.6pp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874</w:t>
            </w:r>
          </w:p>
        </w:tc>
        <w:tc>
          <w:tcPr>
            <w:tcW w:type="dxa" w:w="1382"/>
          </w:tcPr>
          <w:p>
            <w:pPr>
              <w:spacing w:after="20"/>
              <w:jc w:val="right"/>
            </w:pPr>
            <w:r>
              <w:rPr>
                <w:color w:val="1C3A36"/>
                <w:sz w:val="16"/>
              </w:rPr>
              <w:t>762</w:t>
            </w:r>
          </w:p>
        </w:tc>
        <w:tc>
          <w:tcPr>
            <w:tcW w:type="dxa" w:w="1382"/>
          </w:tcPr>
          <w:p>
            <w:pPr>
              <w:spacing w:after="20"/>
              <w:jc w:val="right"/>
            </w:pPr>
            <w:r>
              <w:rPr>
                <w:color w:val="1C3A36"/>
                <w:sz w:val="16"/>
              </w:rPr>
              <w:t>541</w:t>
            </w:r>
          </w:p>
        </w:tc>
        <w:tc>
          <w:tcPr>
            <w:tcW w:type="dxa" w:w="1382"/>
          </w:tcPr>
          <w:p>
            <w:pPr>
              <w:spacing w:after="20"/>
              <w:jc w:val="right"/>
            </w:pPr>
            <w:r>
              <w:rPr>
                <w:color w:val="1C3A36"/>
                <w:sz w:val="16"/>
              </w:rPr>
              <w:t>286</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8%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8.56% held flat across all five years rather than the declining schedule the cash-flow model discounts at, so the spread row is exactly the return row less 8.56% and the economic-profit row is exactly that spread on the same closing capital. Appendix A.3 shows the spread on the declining schedule instead, which is why the two tables give different spreads from the same returns. Note also that this leg's enterprise value of USD 13,447 million differs from the cash-flow model's USD 17,241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4.80 that already sits 22% below the market price, and takes the fifth-year spread of +2.5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215 million to USD 1,620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6.36,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6.11, the vertical line the market price of AED 6.16.</w:t>
      </w:r>
    </w:p>
    <w:p>
      <w:pPr>
        <w:spacing w:after="120" w:before="0"/>
      </w:pPr>
      <w:r>
        <w:rPr>
          <w:b w:val="0"/>
          <w:i w:val="0"/>
          <w:color w:val="1C3A36"/>
          <w:sz w:val="21"/>
        </w:rPr>
        <w:t>The panel spans AED 4.80 to 7.31 — a factor of 1.52 between the most and least generous base case, which is a narrow disagreement by the standards of this series. That narrowness is itself informative: three methods that share almost nothing methodologically land within AED 2.51 of one another. The market price of AED 6.16 falls inside that span, and so does this study's own cash-flow lens; the weighted central of AED 7.05 sits inside it as well.</w:t>
      </w:r>
    </w:p>
    <w:p>
      <w:pPr>
        <w:spacing w:after="120" w:before="0"/>
      </w:pPr>
      <w:r>
        <w:rPr>
          <w:b w:val="0"/>
          <w:i w:val="0"/>
          <w:color w:val="1C3A36"/>
          <w:sz w:val="21"/>
        </w:rPr>
        <w:t>The panel centre of AED 6.11 sits 1% below the market price and -13% against this study's weighted central. That gap is real and it has a single explanation: every one of the three experts works from mid-cycle or five-year-average earnings, and none of them capitalises a terminal value the way the cash-flow model does. The cash-flow model puts 75%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1.08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75%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0.37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8.8%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-0.30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8.24 appears throughout this document beside the adopted AED 7.05.</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