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18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278</w:t>
            </w:r>
          </w:p>
        </w:tc>
      </w:tr>
      <w:tr>
        <w:tc>
          <w:tcPr>
            <w:tcW w:type="dxa" w:w="6236"/>
          </w:tcPr>
          <w:p>
            <w:r/>
            <w:r>
              <w:rPr>
                <w:color w:val="1A1D21"/>
                <w:sz w:val="18"/>
              </w:rPr>
              <w:t>Bind on a class of company (CLASS)</w:t>
            </w:r>
          </w:p>
        </w:tc>
        <w:tc>
          <w:tcPr>
            <w:tcW w:type="dxa" w:w="2721"/>
          </w:tcPr>
          <w:p>
            <w:r/>
            <w:r>
              <w:rPr>
                <w:color w:val="1A1D21"/>
                <w:sz w:val="18"/>
              </w:rPr>
              <w:t>34</w:t>
            </w:r>
          </w:p>
        </w:tc>
      </w:tr>
      <w:tr>
        <w:tc>
          <w:tcPr>
            <w:tcW w:type="dxa" w:w="6236"/>
          </w:tcPr>
          <w:p>
            <w:r/>
            <w:r>
              <w:rPr>
                <w:color w:val="1A1D21"/>
                <w:sz w:val="18"/>
              </w:rPr>
              <w:t>Bind on a single company (STOCK)</w:t>
            </w:r>
          </w:p>
        </w:tc>
        <w:tc>
          <w:tcPr>
            <w:tcW w:type="dxa" w:w="2721"/>
          </w:tcPr>
          <w:p>
            <w:r/>
            <w:r>
              <w:rPr>
                <w:color w:val="1A1D21"/>
                <w:sz w:val="18"/>
              </w:rPr>
              <w:t>11</w:t>
            </w:r>
          </w:p>
        </w:tc>
      </w:tr>
      <w:tr>
        <w:tc>
          <w:tcPr>
            <w:tcW w:type="dxa" w:w="6236"/>
          </w:tcPr>
          <w:p>
            <w:r/>
            <w:r>
              <w:rPr>
                <w:color w:val="1A1D21"/>
                <w:sz w:val="18"/>
              </w:rPr>
              <w:t>Total</w:t>
            </w:r>
          </w:p>
        </w:tc>
        <w:tc>
          <w:tcPr>
            <w:tcW w:type="dxa" w:w="2721"/>
          </w:tcPr>
          <w:p>
            <w:r/>
            <w:r>
              <w:rPr>
                <w:color w:val="1A1D21"/>
                <w:sz w:val="18"/>
              </w:rPr>
              <w:t>323</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62</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31</w:t>
            </w:r>
          </w:p>
        </w:tc>
      </w:tr>
      <w:tr>
        <w:tc>
          <w:tcPr>
            <w:tcW w:type="dxa" w:w="6236"/>
          </w:tcPr>
          <w:p>
            <w:r/>
            <w:r>
              <w:rPr>
                <w:color w:val="1A1D21"/>
                <w:sz w:val="18"/>
              </w:rPr>
              <w:t>From self-audits</w:t>
            </w:r>
          </w:p>
        </w:tc>
        <w:tc>
          <w:tcPr>
            <w:tcW w:type="dxa" w:w="2721"/>
          </w:tcPr>
          <w:p>
            <w:r/>
            <w:r>
              <w:rPr>
                <w:color w:val="1A1D21"/>
                <w:sz w:val="18"/>
              </w:rPr>
              <w:t>34</w:t>
            </w:r>
          </w:p>
        </w:tc>
      </w:tr>
      <w:tr>
        <w:tc>
          <w:tcPr>
            <w:tcW w:type="dxa" w:w="6236"/>
          </w:tcPr>
          <w:p>
            <w:r/>
            <w:r>
              <w:rPr>
                <w:color w:val="1A1D21"/>
                <w:sz w:val="18"/>
              </w:rPr>
              <w:t>Found while building</w:t>
            </w:r>
          </w:p>
        </w:tc>
        <w:tc>
          <w:tcPr>
            <w:tcW w:type="dxa" w:w="2721"/>
          </w:tcPr>
          <w:p>
            <w:r/>
            <w:r>
              <w:rPr>
                <w:color w:val="1A1D21"/>
                <w:sz w:val="18"/>
              </w:rPr>
              <w:t>194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10 (AMOC, ARCC, EGCH, ELEC, GBCO, PHAR, PHDC, SCEM, SWDY,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414</w:t>
            </w:r>
          </w:p>
        </w:tc>
      </w:tr>
    </w:tbl>
    <w:p/>
    <w:p>
      <w:pPr>
        <w:spacing w:after="120"/>
      </w:pPr>
      <w:r>
        <w:rPr>
          <w:b/>
          <w:i w:val="0"/>
          <w:color w:val="1A1D21"/>
          <w:sz w:val="21"/>
        </w:rPr>
        <w:t>The price engine is well tested; the fundamental method is not. 20 names carry price-engine evidence, DU (18 forecasts) and GBCO (56) among them. The fundamental method has been through a full training run on AMOC and ARCC and EGCH and ELEC and GBCO and PHAR and PHDC and SCEM and SWDY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414 forecasts across 20 names.</w:t>
      </w:r>
    </w:p>
    <w:p>
      <w:pPr>
        <w:spacing w:after="120"/>
      </w:pPr>
      <w:r>
        <w:rPr>
          <w:b w:val="0"/>
          <w:i w:val="0"/>
          <w:color w:val="1A1D21"/>
          <w:sz w:val="21"/>
        </w:rPr>
        <w:t>Not yet acted on (64):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L-352 — The gap between a company's prices and its costs barely moves; the rate they both rise at moves enormously; L-353 — Holding a price or a cost still is the worst thing a forecast can do with it; L-354 — A range built from a handful of past errors is not the interval it looks like; L-356 — The forecasting method could not be tested on ELEC at all; L-357 — An index of filings is not an archive of filings; L-358 — A study's historicals can be unverifiable and still pass every gate; L-359 — Check that a "filed record" was filed before reasoning from it; L-360 — The accounting-policies note usually gives a range, not a life; L-361 — A borrowing rate below the sovereign is the arithmetic failing, not the company borrowing cheaply; L-362 — Operating profit forecasts run about 46% too low for GBCO; L-363 — The finance cost forecast loses to assuming no change; L-364 — The revenue bias changes direction between regimes; L-365 — Dna forecasts run about 1.6 times too high for PHAR; L-366 — Price per pack forecasts run about 42% too low for PHAR; L-367 — Cogs wages forecasts run about 27% too low for SCEM; L-368 — Revenue forecasts run about 1.8 times too low for SCEM; L-369 — The finance expense error is the company, not the currency; L-370 — D11 depreciation forecasts run about 2.5 times too low for SWDY; L-371 — D15 finance costs forecasts run about 2.4 times too low for SWDY; L-372 — D1 cable volume t forecasts run about 28% too high for SWDY; L-373 — D5 contracting revenue forecasts run about 39% too low for SWDY; L-374 — The A gross profit error is the company, not the currency; L-375 — The A cost of revenue bias changes direction between regimes.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pPr>
        <w:keepNext/>
        <w:spacing w:before="240" w:after="60"/>
      </w:pPr>
      <w:r>
        <w:rPr>
          <w:b/>
          <w:color w:val="1A1D21"/>
          <w:sz w:val="22"/>
        </w:rPr>
        <w:t>L-352  The gap between a company's prices and its costs barely moves; the rate they both rise at moves enormously.</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It is tempting to spend the work on margins — will this line squeeze, will that one improve. On the record, the gap between what a company charges and what it pays holds almost still, while the rate at which both climb runs anywhere from sixteen to forty-six per cent a year. Get the rate right first. Getting the gap right and the rate wrong is optimising the smaller of the two by a factor of about a hundred.</w:t>
      </w:r>
    </w:p>
    <w:p>
      <w:pPr>
        <w:spacing w:after="60"/>
        <w:ind w:left="283"/>
      </w:pPr>
      <w:r>
        <w:rPr>
          <w:b w:val="0"/>
          <w:i w:val="0"/>
          <w:color w:val="5B6570"/>
          <w:sz w:val="19"/>
        </w:rPr>
        <w:t>How we know.  Realised escalation of revenue against cost, from each run's own filed accounts: TMGH 2011-2025, +16.0% a year against +15.5%, a drift of -0.37% a year; PHDC 2015-2023 per delivered unit, +22.7% against +23.5%, +0.61%; AMOC FY2021-FY2025 per tonne, +44.6% against +46.0%, +0.97%. Twenty-six name-years across two classes, drift inside one per cent a year and NOT one-signed — which is a flat spread rather than a slow trend. Over the same window AMOC's escalation rate was 44.6% a year and its model used zero, worth 0.52 log points of bias on its own.</w:t>
      </w:r>
    </w:p>
    <w:p>
      <w:pPr>
        <w:spacing w:after="160"/>
        <w:ind w:left="283"/>
      </w:pPr>
      <w:r>
        <w:rPr>
          <w:b w:val="0"/>
          <w:i w:val="0"/>
          <w:color w:val="5B6570"/>
          <w:sz w:val="19"/>
        </w:rPr>
        <w:t>What would overturn it.  A long window — five years or more — where the cost drift exceeds two per cent a year, or a systematic difference in drift between classes. Two developers here run -0.37% and +0.61% and the one refiner +0.97%, which is no separation at all on three names, so a class split would overturn the scope rather than the finding.</w:t>
      </w:r>
    </w:p>
    <w:p>
      <w:pPr>
        <w:keepNext/>
        <w:spacing w:before="240" w:after="60"/>
      </w:pPr>
      <w:r>
        <w:rPr>
          <w:b/>
          <w:color w:val="1A1D21"/>
          <w:sz w:val="22"/>
        </w:rPr>
        <w:t>L-353  Holding a price or a cost still is the worst thing a forecast can do with it.</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Where a model cannot forecast something — a commodity price, an exchange rate — the cautious-looking move is to hold it where it is. That is not caution. Standing still inside an economy that is moving is a forecast too, and on the record it is the worst of the available ones, because it is the only rule that is guaranteed to be wrong by the whole of whatever happened.</w:t>
      </w:r>
    </w:p>
    <w:p>
      <w:pPr>
        <w:spacing w:after="60"/>
        <w:ind w:left="283"/>
      </w:pPr>
      <w:r>
        <w:rPr>
          <w:b w:val="0"/>
          <w:i w:val="0"/>
          <w:color w:val="5B6570"/>
          <w:sz w:val="19"/>
        </w:rPr>
        <w:t>How we know.  Four rules a study could have followed at each origin, none of them fitted, scored against what the company then reported: freezing, the origin's last published consumer inflation, purchasing-power parity on the inflation differential, and the company's own trailing three-year escalation. Freezing was the WORST on every name that could be measured — mean absolute log error 0.346 on PHDC, 0.236 on AMOC, 0.364 on TMGH — and on the paired cells the trailing rule was 42% better, consumer inflation 27% and parity 23%. One of these models freezes its main driver by construction, and that alone is 0.52 log points of its bias.</w:t>
      </w:r>
    </w:p>
    <w:p>
      <w:pPr>
        <w:spacing w:after="160"/>
        <w:ind w:left="283"/>
      </w:pPr>
      <w:r>
        <w:rPr>
          <w:b w:val="0"/>
          <w:i w:val="0"/>
          <w:color w:val="5B6570"/>
          <w:sz w:val="19"/>
        </w:rPr>
        <w:t>What would overturn it.  A name where freezing genuinely beats every alternative over a window of four years or more — which would most plausibly be a company on a hard peg selling a contractually fixed price, where standing still is what the contract actually says.</w:t>
      </w:r>
    </w:p>
    <w:p>
      <w:pPr>
        <w:keepNext/>
        <w:spacing w:before="240" w:after="60"/>
      </w:pPr>
      <w:r>
        <w:rPr>
          <w:b/>
          <w:color w:val="1A1D21"/>
          <w:sz w:val="22"/>
        </w:rPr>
        <w:t>L-354  A range built from a handful of past errors is not the interval it looks like.</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When a method publishes its far years as a range taken from how wrong it has been before, that range is the spread of four to eight observations. The chance the next outcome lands inside such a spread is around two in three, not nine in ten — and it gets worse further out, exactly where the range is doing the work. Say the count, and say what a spread of that count can mean.</w:t>
      </w:r>
    </w:p>
    <w:p>
      <w:pPr>
        <w:spacing w:after="60"/>
        <w:ind w:left="283"/>
      </w:pPr>
      <w:r>
        <w:rPr>
          <w:b w:val="0"/>
          <w:i w:val="0"/>
          <w:color w:val="5B6570"/>
          <w:sz w:val="19"/>
        </w:rPr>
        <w:t>How we know.  Every published far-year range tested walk-forward, with the band built only from origins before the one being tested: 259 cells, 55.6% coverage against an expected 63.5% under exchangeability, p=0.010. It degrades monotonically — -1.9 points at one year to -31.7 at five, where the band catches 29% of outcomes and sixteen of its seventeen misses are on the low side. It under-covers in BOTH regimes, by more outside the devaluation years than inside them, so it is not one bad period.</w:t>
      </w:r>
    </w:p>
    <w:p>
      <w:pPr>
        <w:spacing w:after="160"/>
        <w:ind w:left="283"/>
      </w:pPr>
      <w:r>
        <w:rPr>
          <w:b w:val="0"/>
          <w:i w:val="0"/>
          <w:color w:val="5B6570"/>
          <w:sz w:val="19"/>
        </w:rPr>
        <w:t>What would overturn it.  A range built from enough observations to be an interval rather than a span, or a construction other than min-max. The finding is about the min-max span of a small sample, and a different construction is a different claim.</w:t>
      </w:r>
    </w:p>
    <w:p>
      <w:pPr>
        <w:keepNext/>
        <w:spacing w:before="240" w:after="60"/>
      </w:pPr>
      <w:r>
        <w:rPr>
          <w:b/>
          <w:color w:val="1A1D21"/>
          <w:sz w:val="22"/>
        </w:rPr>
        <w:t>L-355  A probe that guesses what something is called returns a number, not an error — which is why the guess survives.</w:t>
      </w:r>
    </w:p>
    <w:p>
      <w:pPr>
        <w:keepNext/>
        <w:spacing w:after="100"/>
      </w:pPr>
      <w:r>
        <w:rPr>
          <w:b/>
          <w:color w:val="1D6FA3"/>
          <w:sz w:val="16"/>
        </w:rPr>
        <w:t>EVERY STUDY</w:t>
      </w:r>
      <w:r>
        <w:rPr>
          <w:color w:val="5B6570"/>
          <w:sz w:val="16"/>
        </w:rPr>
        <w:t xml:space="preserve">   applies to every study   ·   learned from a found while building, ten first-attempt measurements across one working session, 07-09-2026, every one wrong the same way</w:t>
      </w:r>
    </w:p>
    <w:p>
      <w:pPr>
        <w:spacing w:after="100"/>
      </w:pPr>
      <w:r>
        <w:rPr>
          <w:b w:val="0"/>
          <w:i w:val="0"/>
          <w:color w:val="1A1D21"/>
          <w:sz w:val="21"/>
        </w:rPr>
        <w:t>Reading a record means agreeing with it about names: the key a field is under, the spelling of a label, the way a file is dated, which direction a ratio runs. Where a reader assumes one of those and the record uses another, nothing raises. The reader finds less than is there and prints the smaller figure, and that figure is indistinguishable from a measurement. Read what the record DECLARES about itself before inferring anything from its shape, and where a reader finds nothing, treat that as evidence about the reader first.</w:t>
      </w:r>
    </w:p>
    <w:p>
      <w:pPr>
        <w:spacing w:after="60"/>
        <w:ind w:left="283"/>
      </w:pPr>
      <w:r>
        <w:rPr>
          <w:b w:val="0"/>
          <w:i w:val="0"/>
          <w:color w:val="5B6570"/>
          <w:sz w:val="19"/>
        </w:rPr>
        <w:t>How we know.  Measured on the session's own working: a directory excluded by substring swallowed .github and condemned two files that were on disk; a provenance field read under one of its two spellings reported 58% of 3,862 inputs missing something none of them lacked; an artefact grepped under one of its three names reported two breaches where there is one; a ratchet walked without distinguishing debt from its opposite inflated the programme's headline count 49 against 45; a band read for its key names rather than its own declared basis field reported an acceptance criterion MET that is NOT MET; and a document picker sorting DD-MM-YYYY strings lexicographically read superseded editions. NONE raised. Every one produced a plausible figure, and three of them were reported before being corrected.</w:t>
      </w:r>
    </w:p>
    <w:p>
      <w:pPr>
        <w:spacing w:after="160"/>
        <w:ind w:left="283"/>
      </w:pPr>
      <w:r>
        <w:rPr>
          <w:b w:val="0"/>
          <w:i w:val="0"/>
          <w:color w:val="5B6570"/>
          <w:sz w:val="19"/>
        </w:rPr>
        <w:t>What would overturn it.  A session in which a first-attempt measurement is wrong for some OTHER reason — an arithmetic slip, a wrong population, a bad assumption about the world rather than about a name. The claim is about naming specifically; a different failure mode would say this one is not the dominant hazard it appeared to be.</w:t>
      </w:r>
    </w:p>
    <w:p>
      <w:pPr>
        <w:keepNext/>
        <w:spacing w:before="240" w:after="60"/>
      </w:pPr>
      <w:r>
        <w:rPr>
          <w:b/>
          <w:color w:val="1A1D21"/>
          <w:sz w:val="22"/>
        </w:rPr>
        <w:t>L-357  An index of filings is not an archive of filings.</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company can list its statements on its own website and serve none of them. The list looks like evidence the documents exist and are obtainable; only fetching each one tells you which. Record the outcome per file, not per page.</w:t>
      </w:r>
    </w:p>
    <w:p>
      <w:pPr>
        <w:spacing w:after="60"/>
        <w:ind w:left="283"/>
      </w:pPr>
      <w:r>
        <w:rPr>
          <w:b w:val="0"/>
          <w:i w:val="0"/>
          <w:color w:val="5B6570"/>
          <w:sz w:val="19"/>
        </w:rPr>
        <w:t>How we know.  61 statement files listed; 19 on the live host and 0 of those fetchable; 42 on a host whose DNS does not resolve; the index's last period is 2025-09-30 while the last statement on the basis the study models is FY2020.</w:t>
      </w:r>
    </w:p>
    <w:p>
      <w:pPr>
        <w:spacing w:after="160"/>
        <w:ind w:left="283"/>
      </w:pPr>
      <w:r>
        <w:rPr>
          <w:b w:val="0"/>
          <w:i w:val="0"/>
          <w:color w:val="5B6570"/>
          <w:sz w:val="19"/>
        </w:rPr>
        <w:t>What would overturn it.  An index whose listings are shown to be reliably fetchable, making the per-file probe redundant.</w:t>
      </w:r>
    </w:p>
    <w:p>
      <w:pPr>
        <w:keepNext/>
        <w:spacing w:before="240" w:after="60"/>
      </w:pPr>
      <w:r>
        <w:rPr>
          <w:b/>
          <w:color w:val="1A1D21"/>
          <w:sz w:val="22"/>
        </w:rPr>
        <w:t>L-358  A study's historicals can be unverifiable and still pass every gate.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Where a company stops publishing on the basis a study models, the study's history quietly becomes a vendor's account of it. Every arithmetic check still passes, because the numbers are internally consistent — they are simply nobody's filed numbers. The test is to measure the study's panel against the filings that DO exist and against the wedge between the two bases, rather than to assume the difference is the consolidation.</w:t>
      </w:r>
    </w:p>
    <w:p>
      <w:pPr>
        <w:spacing w:after="60"/>
        <w:ind w:left="283"/>
      </w:pPr>
      <w:r>
        <w:rPr>
          <w:b w:val="0"/>
          <w:i w:val="0"/>
          <w:color w:val="5B6570"/>
          <w:sz w:val="19"/>
        </w:rPr>
        <w:t>How we know.  At the one year existing on both bases the group is 1.73x the parent on revenue and 2.04x on net profit. The study's FY2023 revenue is 1.79x the parent — consistent with a consolidated figure — while its net profit is 3.09x, 1.51 times beyond what the measured wedge delivers.</w:t>
      </w:r>
    </w:p>
    <w:p>
      <w:pPr>
        <w:spacing w:after="160"/>
        <w:ind w:left="283"/>
      </w:pPr>
      <w:r>
        <w:rPr>
          <w:b w:val="0"/>
          <w:i w:val="0"/>
          <w:color w:val="5B6570"/>
          <w:sz w:val="19"/>
        </w:rPr>
        <w:t>What would overturn it.  A study whose vendor panel is later reconciled line by line to filings on the same basis, showing the check adds nothing.</w:t>
      </w:r>
    </w:p>
    <w:p>
      <w:pPr>
        <w:keepNext/>
        <w:spacing w:before="240" w:after="60"/>
      </w:pPr>
      <w:r>
        <w:rPr>
          <w:b/>
          <w:color w:val="1A1D21"/>
          <w:sz w:val="22"/>
        </w:rPr>
        <w:t>L-359  Check that a "filed record" was filed before reasoning from it.</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review can reach the right conclusion about a study and still take its benchmark from the study's own inputs. Calling a number the company's own record makes it read as external evidence when it is the thing under test, and the argument then runs in a circle nobody can see.</w:t>
      </w:r>
    </w:p>
    <w:p>
      <w:pPr>
        <w:spacing w:after="60"/>
        <w:ind w:left="283"/>
      </w:pPr>
      <w:r>
        <w:rPr>
          <w:b w:val="0"/>
          <w:i w:val="0"/>
          <w:color w:val="5B6570"/>
          <w:sz w:val="19"/>
        </w:rPr>
        <w:t>How we know.  A review described a terminal-margin range of 25.33%-30.68% as the company's own filed record; it is the study's committed hist_is, and two of its three years have no filing at all. The filed range on the basis that can be checked is 1.43%-17.49%, which puts the forecast of 12.30% INSIDE it rather than at half the lowest filed year, and puts the price's reverse read at 1.6 times the highest filed margin.</w:t>
      </w:r>
    </w:p>
    <w:p>
      <w:pPr>
        <w:spacing w:after="160"/>
        <w:ind w:left="283"/>
      </w:pPr>
      <w:r>
        <w:rPr>
          <w:b w:val="0"/>
          <w:i w:val="0"/>
          <w:color w:val="5B6570"/>
          <w:sz w:val="19"/>
        </w:rPr>
        <w:t>What would overturn it.  A house convention that tags every committed historical with whether it came from a filing, making the confusion impossible to make.</w:t>
      </w:r>
    </w:p>
    <w:p>
      <w:pPr>
        <w:keepNext/>
        <w:spacing w:before="240" w:after="60"/>
      </w:pPr>
      <w:r>
        <w:rPr>
          <w:b/>
          <w:color w:val="1A1D21"/>
          <w:sz w:val="22"/>
        </w:rPr>
        <w:t>L-360  The accounting-policies note usually gives a range, not a life.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[R-TERM-01] needs one disclosed useful life and the policy note rarely supplies one. Reading a span and picking a point inside it is the choice the rule exists to forbid, so the honest output is the derived identity and a band.</w:t>
      </w:r>
    </w:p>
    <w:p>
      <w:pPr>
        <w:spacing w:after="60"/>
        <w:ind w:left="283"/>
      </w:pPr>
      <w:r>
        <w:rPr>
          <w:b w:val="0"/>
          <w:i w:val="0"/>
          <w:color w:val="5B6570"/>
          <w:sz w:val="19"/>
        </w:rPr>
        <w:t>How we know.  Route (1) gave spans only (10-50, 4-25, 5-20, 5-20, 5, 5-10); no dominant class, no weighting. Route (2) — depreciable gross cost over the annual charge — gives 24.13 years on the full base and 17.54 excluding the 27.3% of that base the note itself discloses as fully depreciated and still in use, with a prior-year control at 24.99.</w:t>
      </w:r>
    </w:p>
    <w:p>
      <w:pPr>
        <w:spacing w:after="160"/>
        <w:ind w:left="283"/>
      </w:pPr>
      <w:r>
        <w:rPr>
          <w:b w:val="0"/>
          <w:i w:val="0"/>
          <w:color w:val="5B6570"/>
          <w:sz w:val="19"/>
        </w:rPr>
        <w:t>What would overturn it.  A run of filings that do disclose a scalar or a dominant class, making route (1) the normal case rather than the exception.</w:t>
      </w:r>
    </w:p>
    <w:p>
      <w:pPr>
        <w:keepNext/>
        <w:spacing w:before="240" w:after="60"/>
      </w:pPr>
      <w:r>
        <w:rPr>
          <w:b/>
          <w:color w:val="1A1D21"/>
          <w:sz w:val="22"/>
        </w:rPr>
        <w:t>L-361  A borrowing rate below the sovereign is the arithmetic failing, not the company borrowing cheaply.</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Dividing the finance charge by a liabilities total that includes trade payables, related-party balances, tax and provisions understates the rate. The useful part is that the error announces itself: a corporate cannot fund below its own government, so a rate under the sovereign is a denominator problem and can be caught without knowing the right answer.</w:t>
      </w:r>
    </w:p>
    <w:p>
      <w:pPr>
        <w:spacing w:after="60"/>
        <w:ind w:left="283"/>
      </w:pPr>
      <w:r>
        <w:rPr>
          <w:b w:val="0"/>
          <w:i w:val="0"/>
          <w:color w:val="5B6570"/>
          <w:sz w:val="19"/>
        </w:rPr>
        <w:t>How we know.  On the borrowings that actually bear interest the rate runs 8.49%, 8.98%, 18.25%; on total liabilities 4.48%, 5.88%, 14.10% — understated by 3.09 to 4.15 points, and below the Egyptian sovereign in 2 of 3 years.</w:t>
      </w:r>
    </w:p>
    <w:p>
      <w:pPr>
        <w:spacing w:after="160"/>
        <w:ind w:left="283"/>
      </w:pPr>
      <w:r>
        <w:rPr>
          <w:b w:val="0"/>
          <w:i w:val="0"/>
          <w:color w:val="5B6570"/>
          <w:sz w:val="19"/>
        </w:rPr>
        <w:t>What would overturn it.  A jurisdiction where a corporate genuinely funds below its sovereign, which would make the check fire on work that is right.</w:t>
      </w:r>
    </w:p>
    <w:p>
      <w:pPr>
        <w:keepNext/>
        <w:spacing w:before="240" w:after="60"/>
      </w:pPr>
      <w:r>
        <w:rPr>
          <w:b/>
          <w:color w:val="1A1D21"/>
          <w:sz w:val="22"/>
        </w:rPr>
        <w:t>L-362  Operating profit forecasts run about 46% too low for GBCO.</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-0.379 log (about 46% too low), average miss 0.436, wrong in the same direction in 89% of cases, and the sign holds across every bootstrap block tested (n=35).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L-364  The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post-float 2017-2021 +0.093; devaluation cycle 2022-2025 -0.078.</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L-365  Dna forecasts run about 1.6 times too high for PHAR.</w:t>
      </w:r>
    </w:p>
    <w:p>
      <w:pPr>
        <w:keepNext/>
        <w:spacing w:after="100"/>
      </w:pPr>
      <w:r>
        <w:rPr>
          <w:b/>
          <w:color w:val="1D6FA3"/>
          <w:sz w:val="16"/>
        </w:rPr>
        <w:t>EVERY STUDY</w:t>
      </w:r>
      <w:r>
        <w:rPr>
          <w:color w:val="5B6570"/>
          <w:sz w:val="16"/>
        </w:rPr>
        <w:t xml:space="preserve">   applies to every study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+0.499 log (about 1.6 times too high), average miss 0.499,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L-369  The finance expense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SCEM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0.794 as known, 0.794 with perfect foresight of inflation — the macro share is only 0.0%.</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L-370  D11 depreciation forecasts run about 2.5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-0.931 log (about 2.5 times too low), average miss 0.931, wrong in the same direction in 100% of cases, and the sign holds across every bootstrap block tested (n=30).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L-371  D15 finance costs forecasts run about 2.4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-0.880 log (about 2.4 times too low), average miss 0.919, wrong in the same direction in 91%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L-374  The A gross profit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0.563 as known, 0.563 with perfect foresight of inflation — the macro share is only -61.7%.</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L-375  The A cost of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pre-float +0.026; first float -0.024; second float -0.460.</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L-378  A charge conceded in a give-back table must be conceded at its own line, or the concession understates itself.</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give-back table asks what the value would be if a contested charge were surrendered. Adding the charge back as a MARGIN improvement is not the same thing: it then flows down through tax, through the employees' profit share and through every rate struck on profit, so part of what was conceded is taken away again on the way down. Concede it where the model charges it.</w:t>
      </w:r>
    </w:p>
    <w:p>
      <w:pPr>
        <w:spacing w:after="60"/>
        <w:ind w:left="283"/>
      </w:pPr>
      <w:r>
        <w:rPr>
          <w:b w:val="0"/>
          <w:i w:val="0"/>
          <w:color w:val="5B6570"/>
          <w:sz w:val="19"/>
        </w:rPr>
        <w:t>How we know.  AMOC's adversarial.py conceded the employees' profit share as gm_shift and published EGP 11.6888. Setting the rate itself to zero and re-running the same waterfall gives 12.0632 — the published row understates the concession by EGP 0.3744, 3.3% of the central. An outside auditor reached 12.0632 independently.</w:t>
      </w:r>
    </w:p>
    <w:p>
      <w:pPr>
        <w:spacing w:after="160"/>
        <w:ind w:left="283"/>
      </w:pPr>
      <w:r>
        <w:rPr>
          <w:b w:val="0"/>
          <w:i w:val="0"/>
          <w:color w:val="5B6570"/>
          <w:sz w:val="19"/>
        </w:rPr>
        <w:t>What would overturn it.  A model where the conceded charge sits outside every rate struck below it, so the two routes coincide.</w:t>
      </w:r>
    </w:p>
    <w:p>
      <w:pPr>
        <w:keepNext/>
        <w:spacing w:before="240" w:after="60"/>
      </w:pPr>
      <w:r>
        <w:rPr>
          <w:b/>
          <w:color w:val="1A1D21"/>
          <w:sz w:val="22"/>
        </w:rPr>
        <w:t>L-379  A sensitivity row that moves the answer by exactly zero is re-running nothing.</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row of a give-back or sensitivity table is a claim that some input was changed and the model re-run. A row printing the base case to the last decimal is almost never a finding about the input; it is a row that never re-ran. Exact zero is the signature, and it is easy to read as reassurance.</w:t>
      </w:r>
    </w:p>
    <w:p>
      <w:pPr>
        <w:spacing w:after="60"/>
        <w:ind w:left="283"/>
      </w:pPr>
      <w:r>
        <w:rPr>
          <w:b w:val="0"/>
          <w:i w:val="0"/>
          <w:color w:val="5B6570"/>
          <w:sz w:val="19"/>
        </w:rPr>
        <w:t>How we know.  AMOC's adversarial.py line 83 reads row('effective_tax', waterfall(B)) — the row IS the base case by construction, and it is excluded from the assertion loop that would have caught it. The delivered table publishes it as a tested alternative.</w:t>
      </w:r>
    </w:p>
    <w:p>
      <w:pPr>
        <w:spacing w:after="160"/>
        <w:ind w:left="283"/>
      </w:pPr>
      <w:r>
        <w:rPr>
          <w:b w:val="0"/>
          <w:i w:val="0"/>
          <w:color w:val="5B6570"/>
          <w:sz w:val="19"/>
        </w:rPr>
        <w:t>What would overturn it.  A sensitivity genuinely insensitive to its input over the range tested, demonstrated by re-running it at a second value.</w:t>
      </w:r>
    </w:p>
    <w:p>
      <w:pPr>
        <w:keepNext/>
        <w:spacing w:before="240" w:after="60"/>
      </w:pPr>
      <w:r>
        <w:rPr>
          <w:b/>
          <w:color w:val="1A1D21"/>
          <w:sz w:val="22"/>
        </w:rPr>
        <w:t>L-380  A row labelled 'all of the above at once' that runs a subset is a defect no arithmetic check can see.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figure in such a row is computed and individually correct, so recalculation, provenance and prose-figure checks all pass. What is wrong is the relationship between the label and the set — which is a claim about the table rather than about any number in it.</w:t>
      </w:r>
    </w:p>
    <w:p>
      <w:pPr>
        <w:spacing w:after="60"/>
        <w:ind w:left="283"/>
      </w:pPr>
      <w:r>
        <w:rPr>
          <w:b w:val="0"/>
          <w:i w:val="0"/>
          <w:color w:val="5B6570"/>
          <w:sz w:val="19"/>
        </w:rPr>
        <w:t>How we know.  AMOC's ALL_GIVEBACKS is case(nci=0.0, prov=0.0, divp=0.0) — three concessions — published under a table listing six, in a document that passed 6,069 formula cells with zero disagreements.</w:t>
      </w:r>
    </w:p>
    <w:p>
      <w:pPr>
        <w:spacing w:after="160"/>
        <w:ind w:left="283"/>
      </w:pPr>
      <w:r>
        <w:rPr>
          <w:b w:val="0"/>
          <w:i w:val="0"/>
          <w:color w:val="5B6570"/>
          <w:sz w:val="19"/>
        </w:rPr>
        <w:t>What would overturn it.  A label that enumerates the cases it runs, so the set and the claim cannot drift apart.</w:t>
      </w:r>
    </w:p>
    <w:p>
      <w:pPr>
        <w:keepNext/>
        <w:spacing w:before="240" w:after="60"/>
      </w:pPr>
      <w:r>
        <w:rPr>
          <w:b/>
          <w:color w:val="1A1D21"/>
          <w:sz w:val="22"/>
        </w:rPr>
        <w:t>L-381  A registered, sourced, four-field input that no arithmetic reads is a dead input, and the register cannot tell it from a live one.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four-field discipline proves where a number came from. It says nothing about whether the model uses it. An input can be sourced to a named document, dated, layered and described as the anchor for a driver while the driver is built another way entirely — and every provenance check passes, because provenance is not consumption.</w:t>
      </w:r>
    </w:p>
    <w:p>
      <w:pPr>
        <w:spacing w:after="60"/>
        <w:ind w:left="283"/>
      </w:pPr>
      <w:r>
        <w:rPr>
          <w:b w:val="0"/>
          <w:i w:val="0"/>
          <w:color w:val="5B6570"/>
          <w:sz w:val="19"/>
        </w:rPr>
        <w:t>How we know.  AMOC registers capex_pct at 1.45% tapering to 1.25%, sourced to the approved EGP 580.19mn capital budget and described in the bibliography as 'the anchor for the capital-expenditure driver'. waterfall() builds capex as MAINT_CAPEX0 x inflation + growth capital; capex_pct is read by nothing. TMGH carries the same shape in two sensitivity rows that move the answer by 1.00x and 0.0%.</w:t>
      </w:r>
    </w:p>
    <w:p>
      <w:pPr>
        <w:spacing w:after="160"/>
        <w:ind w:left="283"/>
      </w:pPr>
      <w:r>
        <w:rPr>
          <w:b w:val="0"/>
          <w:i w:val="0"/>
          <w:color w:val="5B6570"/>
          <w:sz w:val="19"/>
        </w:rPr>
        <w:t>What would overturn it.  A check that reads consumption rather than presence, which [R-ASSET-02] now does for the operating asset base and nothing yet does for an ordinary driver.</w:t>
      </w:r>
    </w:p>
    <w:p>
      <w:pPr>
        <w:keepNext/>
        <w:spacing w:before="240" w:after="60"/>
      </w:pPr>
      <w:r>
        <w:rPr>
          <w:b/>
          <w:color w:val="1A1D21"/>
          <w:sz w:val="22"/>
        </w:rPr>
        <w:t>L-382  A declared absence is re-searched before it is published, because a gap that is not a gap is load-bearing in the wrong direction.</w:t>
      </w:r>
    </w:p>
    <w:p>
      <w:pPr>
        <w:keepNext/>
        <w:spacing w:after="100"/>
      </w:pPr>
      <w:r>
        <w:rPr>
          <w:b/>
          <w:color w:val="1D6FA3"/>
          <w:sz w:val="16"/>
        </w:rPr>
        <w:t>EVERY STUDY</w:t>
      </w:r>
      <w:r>
        <w:rPr>
          <w:color w:val="5B6570"/>
          <w:sz w:val="16"/>
        </w:rPr>
        <w:t xml:space="preserve">   applies to every study   ·   learned from a outside critique, TMGH critique response, 18-09-2026</w:t>
      </w:r>
    </w:p>
    <w:p>
      <w:pPr>
        <w:spacing w:after="100"/>
      </w:pPr>
      <w:r>
        <w:rPr>
          <w:b w:val="0"/>
          <w:i w:val="0"/>
          <w:color w:val="1A1D21"/>
          <w:sz w:val="21"/>
        </w:rPr>
        <w:t>Saying 'the company does not disclose this' is a claim about the world, and it is the one kind of claim a study makes that nothing downstream can test — every other figure is checkable and an absence is not. It is also the most consequential, because a declared gap is what licenses a judgement in its place.</w:t>
      </w:r>
    </w:p>
    <w:p>
      <w:pPr>
        <w:spacing w:after="60"/>
        <w:ind w:left="283"/>
      </w:pPr>
      <w:r>
        <w:rPr>
          <w:b w:val="0"/>
          <w:i w:val="0"/>
          <w:color w:val="5B6570"/>
          <w:sz w:val="19"/>
        </w:rPr>
        <w:t>How we know.  TMGH declares four gaps and all four are disclosed. Its crux rests on 'one number that the company does not publish: how long its order book takes to convert' and adopts fourteen years; TMG has published 'the backlog will be delivered over the coming 4-5 years' in every earnings release since FY2018. Its cost of debt rests on 'TMG does not disclose the rate on any of its own facilities'; note 25 of the interim statements states 28.6%. Both documents were fetched from the company's own archive on the first request.</w:t>
      </w:r>
    </w:p>
    <w:p>
      <w:pPr>
        <w:spacing w:after="160"/>
        <w:ind w:left="283"/>
      </w:pPr>
      <w:r>
        <w:rPr>
          <w:b w:val="0"/>
          <w:i w:val="0"/>
          <w:color w:val="5B6570"/>
          <w:sz w:val="19"/>
        </w:rPr>
        <w:t>What would overturn it.  A study whose declared gap survives a fresh search of the company's own channel, logged with its date.</w:t>
      </w:r>
    </w:p>
    <w:p>
      <w:pPr>
        <w:keepNext/>
        <w:spacing w:before="240" w:after="60"/>
      </w:pPr>
      <w:r>
        <w:rPr>
          <w:b/>
          <w:color w:val="1A1D21"/>
          <w:sz w:val="22"/>
        </w:rPr>
        <w:t>L-383  A study's own diagnostic can be right while the page prints the sign backwards, and nothing compares the two.</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Diagnostics are generated and pages are written. Where both state the same quantity, only the generated one is checked — so a page can reverse it and every instrument still reports the study clean, because each is correct about its own half.</w:t>
      </w:r>
    </w:p>
    <w:p>
      <w:pPr>
        <w:spacing w:after="60"/>
        <w:ind w:left="283"/>
      </w:pPr>
      <w:r>
        <w:rPr>
          <w:b w:val="0"/>
          <w:i w:val="0"/>
          <w:color w:val="5B6570"/>
          <w:sz w:val="19"/>
        </w:rPr>
        <w:t>How we know.  AMOC's reverse_read.json commits shift = +0.009264 and its diagnostics.json reads it correctly in words — 'the price is 87 basis points ABOVE the study's own forecast'. The delivered page states 'a REDUCTION of -0.93%', in the headline box, and builds the direction of proof on it.</w:t>
      </w:r>
    </w:p>
    <w:p>
      <w:pPr>
        <w:spacing w:after="160"/>
        <w:ind w:left="283"/>
      </w:pPr>
      <w:r>
        <w:rPr>
          <w:b w:val="0"/>
          <w:i w:val="0"/>
          <w:color w:val="5B6570"/>
          <w:sz w:val="19"/>
        </w:rPr>
        <w:t>What would overturn it.  A page that reads its direction words from the committed sign rather than stating them, which is the prose-figure discipline applied to a direction instead of to a figure.</w:t>
      </w:r>
    </w:p>
    <w:p>
      <w:pPr>
        <w:keepNext/>
        <w:spacing w:before="240" w:after="60"/>
      </w:pPr>
      <w:r>
        <w:rPr>
          <w:b/>
          <w:color w:val="1A1D21"/>
          <w:sz w:val="22"/>
        </w:rPr>
        <w:t>L-384  A panel median computed over a set containing a figure the study has already withdrawn is not the panel's read.</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An expert panel earns its place by disagreeing. When the cross-examination concedes that one expert's number is wrong and restates it, the median must be taken over the restated set — otherwise the concession is published two pages before a headline that ignores it.</w:t>
      </w:r>
    </w:p>
    <w:p>
      <w:pPr>
        <w:spacing w:after="60"/>
        <w:ind w:left="283"/>
      </w:pPr>
      <w:r>
        <w:rPr>
          <w:b w:val="0"/>
          <w:i w:val="0"/>
          <w:color w:val="5B6570"/>
          <w:sz w:val="19"/>
        </w:rPr>
        <w:t>How we know.  AMOC's Appendix C concedes Expert 1 is an undiscounted 2028 number worth 8.10 rather than 14.50, and prints the panel median as 12.32 over the set containing 14.50. The median of the discounted set (8.10, 9.34, 12.32) is 9.34 — the panel read moves from -8.8% against the price to -30.8%.</w:t>
      </w:r>
    </w:p>
    <w:p>
      <w:pPr>
        <w:spacing w:after="160"/>
        <w:ind w:left="283"/>
      </w:pPr>
      <w:r>
        <w:rPr>
          <w:b w:val="0"/>
          <w:i w:val="0"/>
          <w:color w:val="5B6570"/>
          <w:sz w:val="19"/>
        </w:rPr>
        <w:t>What would overturn it.  A panel whose concessions are all immaterial to its own median, demonstrated rather than assumed.</w:t>
      </w:r>
    </w:p>
    <w:p>
      <w:pPr>
        <w:keepNext/>
        <w:spacing w:before="240" w:after="60"/>
      </w:pPr>
      <w:r>
        <w:rPr>
          <w:b/>
          <w:color w:val="1A1D21"/>
          <w:sz w:val="22"/>
        </w:rPr>
        <w:t>L-385  A cross-check lens struck on a different capital basis does not walk through the same bridge, and the difference is invisible until somebody walks it.</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Two lenses can be individually correct, individually reconciled and still not comparable, because the enterprise value each produces stands on a different definition of invested capital. A study that claims the lenses reconcile has made a testable claim, and the test is to put the second lens's enterprise value through the first lens's own bridge.</w:t>
      </w:r>
    </w:p>
    <w:p>
      <w:pPr>
        <w:spacing w:after="60"/>
        <w:ind w:left="283"/>
      </w:pPr>
      <w:r>
        <w:rPr>
          <w:b w:val="0"/>
          <w:i w:val="0"/>
          <w:color w:val="5B6570"/>
          <w:sz w:val="19"/>
        </w:rPr>
        <w:t>How we know.  AMOC's section 1.9 declares 'one view is now applied across the model'. Its terminal runs on GROSS capital at 30.3%, Table A.3 carries a net-book memo at 42.3%, and Expert 3 runs wholly on net book. Expert 3's enterprise value of 13,536 walked through the study's own bridge gives EGP 11.9144, against a published 12.3183 — reproduced here and independently by an outside auditor.</w:t>
      </w:r>
    </w:p>
    <w:p>
      <w:pPr>
        <w:spacing w:after="160"/>
        <w:ind w:left="283"/>
      </w:pPr>
      <w:r>
        <w:rPr>
          <w:b w:val="0"/>
          <w:i w:val="0"/>
          <w:color w:val="5B6570"/>
          <w:sz w:val="19"/>
        </w:rPr>
        <w:t>What would overturn it.  A study whose lenses genuinely share one capital basis, shown by the walk rather than by the sentence.</w:t>
      </w:r>
    </w:p>
    <w:p>
      <w:pPr>
        <w:keepNext/>
        <w:spacing w:before="240" w:after="60"/>
      </w:pPr>
      <w:r>
        <w:rPr>
          <w:b/>
          <w:color w:val="1A1D21"/>
          <w:sz w:val="22"/>
        </w:rPr>
        <w:t>L-386  A spread quoted across 'N consecutive filed periods' must name which N, because the subset chosen can exclude the period that matters.</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range over filed history is a fact, and which periods it spans is part of the fact. Quoting a spread over a subset without naming it is not a rounding difference — the excluded period is usually the extreme one, which is why the subset was convenient.</w:t>
      </w:r>
    </w:p>
    <w:p>
      <w:pPr>
        <w:spacing w:after="60"/>
        <w:ind w:left="283"/>
      </w:pPr>
      <w:r>
        <w:rPr>
          <w:b w:val="0"/>
          <w:i w:val="0"/>
          <w:color w:val="5B6570"/>
          <w:sz w:val="19"/>
        </w:rPr>
        <w:t>How we know.  AMOC's section 5 states 'the filed record spans 514 basis points' while Table 6 and section 1.2 state 737 basis points across five periods. 514bp is the spread of the FIRST FOUR — it excludes the 12.43% half the company had just reported, which is the best period in the record and the one the margin thesis turns on. The defect was already recorded in this house's own standing digest as a worked example and shipped anyway.</w:t>
      </w:r>
    </w:p>
    <w:p>
      <w:pPr>
        <w:spacing w:after="160"/>
        <w:ind w:left="283"/>
      </w:pPr>
      <w:r>
        <w:rPr>
          <w:b w:val="0"/>
          <w:i w:val="0"/>
          <w:color w:val="5B6570"/>
          <w:sz w:val="19"/>
        </w:rPr>
        <w:t>What would overturn it.  A quoted spread that reproduces from the full filed set.</w:t>
      </w:r>
    </w:p>
    <w:p>
      <w:pPr>
        <w:keepNext/>
        <w:spacing w:before="240" w:after="60"/>
      </w:pPr>
      <w:r>
        <w:rPr>
          <w:b/>
          <w:color w:val="1A1D21"/>
          <w:sz w:val="22"/>
        </w:rPr>
        <w:t>L-387  A source claim in the delivered bibliography is read by no gate, because the source gate reads the committed input register.</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two artefacts make the same kind of claim about where numbers came from, and only one of them is checked. A bibliography can tell a reader that an aggregator supplied figures the model in fact takes from the filings, and the study passes the source-integrity check because that check never opens the bibliography.</w:t>
      </w:r>
    </w:p>
    <w:p>
      <w:pPr>
        <w:spacing w:after="60"/>
        <w:ind w:left="283"/>
      </w:pPr>
      <w:r>
        <w:rPr>
          <w:b w:val="0"/>
          <w:i w:val="0"/>
          <w:color w:val="5B6570"/>
          <w:sz w:val="19"/>
        </w:rPr>
        <w:t>How we know.  AMOC's bibliography cites stockanalysis.com, Investing.com and TradingView for total assets, total liabilities, cash and equivalents and total debt — every one of which exists in the statements the study holds and takes them from. check_source_integrity.py reads the input register, where every AMOC source names a filing, and passes the study.</w:t>
      </w:r>
    </w:p>
    <w:p>
      <w:pPr>
        <w:spacing w:after="160"/>
        <w:ind w:left="283"/>
      </w:pPr>
      <w:r>
        <w:rPr>
          <w:b w:val="0"/>
          <w:i w:val="0"/>
          <w:color w:val="5B6570"/>
          <w:sz w:val="19"/>
        </w:rPr>
        <w:t>What would overturn it.  A source gate whose population is the delivered documents as well as the committed register.</w:t>
      </w:r>
    </w:p>
    <w:p>
      <w:pPr>
        <w:keepNext/>
        <w:spacing w:before="240" w:after="60"/>
      </w:pPr>
      <w:r>
        <w:rPr>
          <w:b/>
          <w:color w:val="1A1D21"/>
          <w:sz w:val="22"/>
        </w:rPr>
        <w:t>L-392  A rule about how a model is BUILT binds every instrument that builds one, and the gates for it were all pointed at studies.</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house requires a forecast's explicit window to run until growth has converged to the terminal, because a model whose last year still compounds far above its terminal capitalises a rate it never reached. That rule was enforced on studies by a gate reading each study's committed record. The valuation calibration's own mechanical lens builds a value at every past origin and is not a study, so nothing held it to the rule — and every cell it had ever produced broke it.</w:t>
      </w:r>
    </w:p>
    <w:p>
      <w:pPr>
        <w:spacing w:after="60"/>
        <w:ind w:left="283"/>
      </w:pPr>
      <w:r>
        <w:rPr>
          <w:b w:val="0"/>
          <w:i w:val="0"/>
          <w:color w:val="5B6570"/>
          <w:sz w:val="19"/>
        </w:rPr>
        <w:t>How we know.  Measured on all seven cells the mechanical cash-flow lens had scored: the gap between the last explicit year's growth and the terminal ran 3.8pp at best and 15.6pp at worst against a bound of 2pp, and six of the seven carried a terminal worth MORE than the whole enterprise value (102% to 1820%), meaning an explicit window contributing nothing or less. PHDC 2019 showed an explicit present value of -EGP 2.28bn against a terminal of +EGP 32.52bn. The rule had been adopted four days before the declaration that sealed the lens.</w:t>
      </w:r>
    </w:p>
    <w:p>
      <w:pPr>
        <w:spacing w:after="160"/>
        <w:ind w:left="283"/>
      </w:pPr>
      <w:r>
        <w:rPr>
          <w:b w:val="0"/>
          <w:i w:val="0"/>
          <w:color w:val="5B6570"/>
          <w:sz w:val="19"/>
        </w:rPr>
        <w:t>What would overturn it.  An instrument found to build a forecast value while being genuinely outside the rule's subject — which would mean the rule is narrower than its own reasoning, not that the instrument escaped it.</w:t>
      </w:r>
    </w:p>
    <w:p>
      <w:pPr>
        <w:keepNext/>
        <w:spacing w:before="240" w:after="60"/>
      </w:pPr>
      <w:r>
        <w:rPr>
          <w:b/>
          <w:color w:val="1A1D21"/>
          <w:sz w:val="22"/>
        </w:rPr>
        <w:t>L-393  A larger pool of inadmissible cells is not closer to an answer than a small one.</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plan for the valuation calibration was to wire more names until the pooled sample could answer its acceptance clause. The defect that was actually blocking it sat in the construction rather than in any name, so every name added would have added more cells of the same broken kind — while the count rose and the table looked healthier.</w:t>
      </w:r>
    </w:p>
    <w:p>
      <w:pPr>
        <w:spacing w:after="60"/>
        <w:ind w:left="283"/>
      </w:pPr>
      <w:r>
        <w:rPr>
          <w:b w:val="0"/>
          <w:i w:val="0"/>
          <w:color w:val="5B6570"/>
          <w:sz w:val="19"/>
        </w:rPr>
        <w:t>How we know.  The convergence refusal dropped 21 cells spanning six of the nine names (AMOC, ARCC, EGCH, PHAR, PHDC, TMGH) and became the largest single drop class in the run at a stroke. Before it, five cells scored and the work in front of the desk was wiring three more projectors; after it, the declared run scores none and the work is in the runs' own pre-registered windows.</w:t>
      </w:r>
    </w:p>
    <w:p>
      <w:pPr>
        <w:spacing w:after="160"/>
        <w:ind w:left="283"/>
      </w:pPr>
      <w:r>
        <w:rPr>
          <w:b w:val="0"/>
          <w:i w:val="0"/>
          <w:color w:val="5B6570"/>
          <w:sz w:val="19"/>
        </w:rPr>
        <w:t>What would overturn it.  A pooled sample whose defect is genuinely name-specific, where adding names dilutes it rather than reproducing it.</w:t>
      </w:r>
    </w:p>
    <w:p>
      <w:pPr>
        <w:keepNext/>
        <w:spacing w:before="240" w:after="60"/>
      </w:pPr>
      <w:r>
        <w:rPr>
          <w:b/>
          <w:color w:val="1A1D21"/>
          <w:sz w:val="22"/>
        </w:rPr>
        <w:t>L-394  A verdict printed in two states hides the third, and the hidden one is always 'we did not measure this'.</w:t>
      </w:r>
    </w:p>
    <w:p>
      <w:pPr>
        <w:keepNext/>
        <w:spacing w:after="100"/>
      </w:pPr>
      <w:r>
        <w:rPr>
          <w:b/>
          <w:color w:val="1D6FA3"/>
          <w:sz w:val="16"/>
        </w:rPr>
        <w:t>EVERY STUDY</w:t>
      </w:r>
      <w:r>
        <w:rPr>
          <w:color w:val="5B6570"/>
          <w:sz w:val="16"/>
        </w:rPr>
        <w:t xml:space="preserve">   applies to every study   ·   learned from a self-audit, criterion 3 reporter, 18-09-2026</w:t>
      </w:r>
    </w:p>
    <w:p>
      <w:pPr>
        <w:spacing w:after="100"/>
      </w:pPr>
      <w:r>
        <w:rPr>
          <w:b w:val="0"/>
          <w:i w:val="0"/>
          <w:color w:val="1A1D21"/>
          <w:sz w:val="21"/>
        </w:rPr>
        <w:t>A clause that can be met, failed or unmeasured must print all three. Where the printer collapses unmeasured onto failed, a criterion reports a conclusion it has no evidence for; where it collapses onto met, worse. The collapse survives because it is invisible until the third state first occurs, which may be months after the line was written.</w:t>
      </w:r>
    </w:p>
    <w:p>
      <w:pPr>
        <w:spacing w:after="60"/>
        <w:ind w:left="283"/>
      </w:pPr>
      <w:r>
        <w:rPr>
          <w:b w:val="0"/>
          <w:i w:val="0"/>
          <w:color w:val="5B6570"/>
          <w:sz w:val="19"/>
        </w:rPr>
        <w:t>How we know.  criterion3.py printed clause A as 'MET if a_met else NOT MET' while clauses B and C printed all three states correctly. The line was right for as long as the series could not be empty, and the moment the convergence refusal emptied it, an UNMEASURED clause printed as a FAILED one — in the clause that gates Phase 1 hardest. The same run found the reporter crashing on the empty series and a header count typed as a literal (28 of 33) that had gone on printing through two population changes.</w:t>
      </w:r>
    </w:p>
    <w:p>
      <w:pPr>
        <w:spacing w:after="160"/>
        <w:ind w:left="283"/>
      </w:pPr>
      <w:r>
        <w:rPr>
          <w:b w:val="0"/>
          <w:i w:val="0"/>
          <w:color w:val="5B6570"/>
          <w:sz w:val="19"/>
        </w:rPr>
        <w:t>What would overturn it.  A clause genuinely binary by construction, where no third state can arise — which must then be argued rather than assumed from the printer.</w:t>
      </w:r>
    </w:p>
    <w:p>
      <w:pPr>
        <w:keepNext/>
        <w:spacing w:before="240" w:after="60"/>
      </w:pPr>
      <w:r>
        <w:rPr>
          <w:b/>
          <w:color w:val="1A1D21"/>
          <w:sz w:val="22"/>
        </w:rPr>
        <w:t>L-395  An instrument built to grade a method must reproduce the method, and sharing its inputs is not reproducing it.</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mechanical valuation lens takes the same drivers, the same audited statements, the same point-in-time macro archive and the same sanctioned terminal module as the studies it grades. It still is not those studies, because it stops the forecast where the driver walk-forward stops rather than where a valuation converges — and nothing about the shared inputs made that visible.</w:t>
      </w:r>
    </w:p>
    <w:p>
      <w:pPr>
        <w:spacing w:after="60"/>
        <w:ind w:left="283"/>
      </w:pPr>
      <w:r>
        <w:rPr>
          <w:b w:val="0"/>
          <w:i w:val="0"/>
          <w:color w:val="5B6570"/>
          <w:sz w:val="19"/>
        </w:rPr>
        <w:t>How we know.  Every delivered study committing the record converges exactly to its terminal: PHDC on FIFTEEN explicit years, TMGH on ten, the rest on five. The mechanical lens runs five for every name, because its sealed declaration fixes the window at the walk-forward's own horizons 1-5. On PHDC it therefore rebuilds a fifteen-year construction on five years, and produced 6.08, 2.49, 8.81, 6.37, 6.46 and 7.51 across six origins against a delivered central of 17.85. Every input agreed and the answer was a third of the size.</w:t>
      </w:r>
    </w:p>
    <w:p>
      <w:pPr>
        <w:spacing w:after="160"/>
        <w:ind w:left="283"/>
      </w:pPr>
      <w:r>
        <w:rPr>
          <w:b w:val="0"/>
          <w:i w:val="0"/>
          <w:color w:val="5B6570"/>
          <w:sz w:val="19"/>
        </w:rPr>
        <w:t>What would overturn it.  A rebuild on the study's own window landing in the same place as the five-year one, which would make the window immaterial to the comparison rather than the whole of it.</w:t>
      </w:r>
    </w:p>
    <w:p>
      <w:pPr>
        <w:keepNext/>
        <w:spacing w:before="240" w:after="60"/>
      </w:pPr>
      <w:r>
        <w:rPr>
          <w:b/>
          <w:color w:val="1A1D21"/>
          <w:sz w:val="22"/>
        </w:rPr>
        <w:t>L-396  Point-in-time discipline forbids foresight, not a declining forecast — and the difference decides whether a past origin can converge at all.</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A mechanical rule that compounds the LAST PUBLISHED inflation print flat at every horizon looks like the strictest possible reading of 'only what was known at the origin'. It is stricter than the rule requires and wrong in a way that compounds: a forecast PUBLISHED at the origin was known at the origin, and published forecasts decline where a realised print does not.</w:t>
      </w:r>
    </w:p>
    <w:p>
      <w:pPr>
        <w:spacing w:after="60"/>
        <w:ind w:left="283"/>
      </w:pPr>
      <w:r>
        <w:rPr>
          <w:b w:val="0"/>
          <w:i w:val="0"/>
          <w:color w:val="5B6570"/>
          <w:sz w:val="19"/>
        </w:rPr>
        <w:t>How we know.  The walk-forward projectors escalate on (1 + cpi(origin)) ** h, so a 31-December-2019 Egyptian origin compounds at the 13.87% realised print for five straight years and ends still growing at four times its terminal. The IMF World Economic Outlook of October 2019 — already extracted in engine/macro_history/ with its file name and sha256, and in existence at that origin — projects 13.866, 9.965, 7.217, 7.011, 7.002, 7.078, converging to the house terminal by year three with no fade and no free parameter.</w:t>
      </w:r>
    </w:p>
    <w:p>
      <w:pPr>
        <w:spacing w:after="160"/>
        <w:ind w:left="283"/>
      </w:pPr>
      <w:r>
        <w:rPr>
          <w:b w:val="0"/>
          <w:i w:val="0"/>
          <w:color w:val="5B6570"/>
          <w:sz w:val="19"/>
        </w:rPr>
        <w:t>What would overturn it.  An origin where no forecast had been published by the origin date, which is the case the flat rule is actually right for — and which must then be named rather than assumed.</w:t>
      </w:r>
    </w:p>
    <w:p>
      <w:pPr>
        <w:keepNext/>
        <w:spacing w:before="240" w:after="60"/>
      </w:pPr>
      <w:r>
        <w:rPr>
          <w:b/>
          <w:color w:val="1A1D21"/>
          <w:sz w:val="22"/>
        </w:rPr>
        <w:t>L-397  A rule cited as a reason is not checked the way a number is.</w:t>
      </w:r>
    </w:p>
    <w:p>
      <w:pPr>
        <w:keepNext/>
        <w:spacing w:after="100"/>
      </w:pPr>
      <w:r>
        <w:rPr>
          <w:b/>
          <w:color w:val="1D6FA3"/>
          <w:sz w:val="16"/>
        </w:rPr>
        <w:t>EVERY STUDY</w:t>
      </w:r>
      <w:r>
        <w:rPr>
          <w:color w:val="5B6570"/>
          <w:sz w:val="16"/>
        </w:rPr>
        <w:t xml:space="preserve">   applies to every study   ·   learned from a outside critique, AMOC forecast anchor, 18-09-2026</w:t>
      </w:r>
    </w:p>
    <w:p>
      <w:pPr>
        <w:spacing w:after="100"/>
      </w:pPr>
      <w:r>
        <w:rPr>
          <w:b w:val="0"/>
          <w:i w:val="0"/>
          <w:color w:val="1A1D21"/>
          <w:sz w:val="21"/>
        </w:rPr>
        <w:t>Every figure in a committed record is computed, sourced and dated, and the one sentence carrying a rule identifier is simply believed — by the record that wrote it, by the standing digest that repeated it, and by every reader since. Where a record gives a standing rule as the reason something was not done, read the rule.</w:t>
      </w:r>
    </w:p>
    <w:p>
      <w:pPr>
        <w:spacing w:after="60"/>
        <w:ind w:left="283"/>
      </w:pPr>
      <w:r>
        <w:rPr>
          <w:b w:val="0"/>
          <w:i w:val="0"/>
          <w:color w:val="5B6570"/>
          <w:sz w:val="19"/>
        </w:rPr>
        <w:t>How we know.  AMOC's forecast-anchor record gave [R-VCAL-01]'s one-lever-at-a-time guard as the reason a correction priced at +55% was not applied. That guard governs levers promoted from the valuation calibration, never corrections to defects, and the standing digest had repeated the same false reason in its own [R-ANCHOR-01] paragraph. Measured the day the clause was adopted, the misreading had reached SIX passages across two study builders and one ratchet, and EVERY ONE OF THEM DEFERRED A CORRECTION THAT RAISES THE VALUE — so an interpretation that always ran one way was behaving exactly like a house lean while every individual step in it was defensible. All six carried their own measurement already, so correcting them was rewriting the reason and keeping the number; no value moved.</w:t>
      </w:r>
    </w:p>
    <w:p>
      <w:pPr>
        <w:spacing w:after="160"/>
        <w:ind w:left="283"/>
      </w:pPr>
      <w:r>
        <w:rPr>
          <w:b w:val="0"/>
          <w:i w:val="0"/>
          <w:color w:val="5B6570"/>
          <w:sz w:val="19"/>
        </w:rPr>
        <w:t>What would overturn it.  A deferral citing a rule that genuinely does govern it — which would make the citation a fact to check rather than a reason to believe.</w:t>
      </w:r>
    </w:p>
    <w:p>
      <w:pPr>
        <w:keepNext/>
        <w:spacing w:before="240" w:after="60"/>
      </w:pPr>
      <w:r>
        <w:rPr>
          <w:b/>
          <w:color w:val="1A1D21"/>
          <w:sz w:val="22"/>
        </w:rPr>
        <w:t>L-398  A pile of individually-correct lists has a total, and nobody who maintains one of them can see it.</w:t>
      </w:r>
    </w:p>
    <w:p>
      <w:pPr>
        <w:keepNext/>
        <w:spacing w:after="100"/>
      </w:pPr>
      <w:r>
        <w:rPr>
          <w:b/>
          <w:color w:val="1D6FA3"/>
          <w:sz w:val="16"/>
        </w:rPr>
        <w:t>EVERY STUDY</w:t>
      </w:r>
      <w:r>
        <w:rPr>
          <w:color w:val="5B6570"/>
          <w:sz w:val="16"/>
        </w:rPr>
        <w:t xml:space="preserve">   applies to every study   ·   learned from a self-audit, recorded debt census, 18-09-2026</w:t>
      </w:r>
    </w:p>
    <w:p>
      <w:pPr>
        <w:spacing w:after="100"/>
      </w:pPr>
      <w:r>
        <w:rPr>
          <w:b w:val="0"/>
          <w:i w:val="0"/>
          <w:color w:val="1A1D21"/>
          <w:sz w:val="21"/>
        </w:rPr>
        <w:t>Every ratchet entry in this repository was a correct decision to carry a known defect rather than fix it in passing, and every list may only ever shorten. What no list can show is how many there are altogether, because each is maintained by whoever wrote the rule it belongs to.</w:t>
      </w:r>
    </w:p>
    <w:p>
      <w:pPr>
        <w:spacing w:after="60"/>
        <w:ind w:left="283"/>
      </w:pPr>
      <w:r>
        <w:rPr>
          <w:b w:val="0"/>
          <w:i w:val="0"/>
          <w:color w:val="5B6570"/>
          <w:sz w:val="19"/>
        </w:rPr>
        <w:t>How we know.  [R-REPAIR-01] was adopted on '47 ratchet entries accumulated on five studies', read off the lists somebody happened to open. Counted across all 67 ratchets the figure is 386 entries across 94 names — 274 on the 24 studies that exist on disk and 112 on 70 names the site publishes with no study directory at all. The gap between 47 and 386 is not an error in either number; it is what a total looks like when nothing computes it.</w:t>
      </w:r>
    </w:p>
    <w:p>
      <w:pPr>
        <w:spacing w:after="160"/>
        <w:ind w:left="283"/>
      </w:pPr>
      <w:r>
        <w:rPr>
          <w:b w:val="0"/>
          <w:i w:val="0"/>
          <w:color w:val="5B6570"/>
          <w:sz w:val="19"/>
        </w:rPr>
        <w:t>What would overturn it.  A census finding the total close to what the separate lists suggested, which would mean the lists were being read together already.</w:t>
      </w:r>
    </w:p>
    <w:p>
      <w:pPr>
        <w:keepNext/>
        <w:spacing w:before="240" w:after="60"/>
      </w:pPr>
      <w:r>
        <w:rPr>
          <w:b/>
          <w:color w:val="1A1D21"/>
          <w:sz w:val="22"/>
        </w:rPr>
        <w:t>L-399  A reader that classifies by pattern finds what the pattern was written for; one that REFUSES what it cannot place finds what nobody thought of.</w:t>
      </w:r>
    </w:p>
    <w:p>
      <w:pPr>
        <w:keepNext/>
        <w:spacing w:after="100"/>
      </w:pPr>
      <w:r>
        <w:rPr>
          <w:b/>
          <w:color w:val="1D6FA3"/>
          <w:sz w:val="16"/>
        </w:rPr>
        <w:t>EVERY STUDY</w:t>
      </w:r>
      <w:r>
        <w:rPr>
          <w:color w:val="5B6570"/>
          <w:sz w:val="16"/>
        </w:rPr>
        <w:t xml:space="preserve">   applies to every study   ·   learned from a self-audit, recorded debt census, 18-09-2026</w:t>
      </w:r>
    </w:p>
    <w:p>
      <w:pPr>
        <w:spacing w:after="100"/>
      </w:pPr>
      <w:r>
        <w:rPr>
          <w:b w:val="0"/>
          <w:i w:val="0"/>
          <w:color w:val="1A1D21"/>
          <w:sz w:val="21"/>
        </w:rPr>
        <w:t>The difference is not strictness, it is what happens to the residue. A pattern-based reader silently absorbs anything it does not recognise into whichever bucket it falls through to, and reports a number. A reader that names every category and refuses the rest reports a QUESTION, and the questions are where the findings are.</w:t>
      </w:r>
    </w:p>
    <w:p>
      <w:pPr>
        <w:spacing w:after="60"/>
        <w:ind w:left="283"/>
      </w:pPr>
      <w:r>
        <w:rPr>
          <w:b w:val="0"/>
          <w:i w:val="0"/>
          <w:color w:val="5B6570"/>
          <w:sz w:val="19"/>
        </w:rPr>
        <w:t>How we know.  The first run of the ratchet census refused eleven keys across 67 files and every one needed a decision a pattern could not make — an unrunnable figure script is a debt, a resolved-and-kept entry is not, an [R-ENF-08] failure signature sitting beside its entry is not, a walk-forward run owing a valuation-input block is. It also refused two NAMES that turned out to be index series rather than studies, which resolve against a different population entirely. And it found 2POINTZERO — a ticker starting with a digit, which the first draft's ticker pattern silently dropped, and which this protocol already records as having been dropped from three separate tools by a regex written the same way.</w:t>
      </w:r>
    </w:p>
    <w:p>
      <w:pPr>
        <w:spacing w:after="160"/>
        <w:ind w:left="283"/>
      </w:pPr>
      <w:r>
        <w:rPr>
          <w:b w:val="0"/>
          <w:i w:val="0"/>
          <w:color w:val="5B6570"/>
          <w:sz w:val="19"/>
        </w:rPr>
        <w:t>What would overturn it.  A residue that turns out to be uniform, where one rule really does cover every case the reader could not place.</w:t>
      </w:r>
    </w:p>
    <w:p>
      <w:pPr>
        <w:keepNext/>
        <w:spacing w:before="240" w:after="60"/>
      </w:pPr>
      <w:r>
        <w:rPr>
          <w:b/>
          <w:color w:val="1A1D21"/>
          <w:sz w:val="22"/>
        </w:rPr>
        <w:t>L-400  Re-running a generator re-asserts every claim its stamps are taken from, and a comment change is enough to do it.</w:t>
      </w:r>
    </w:p>
    <w:p>
      <w:pPr>
        <w:keepNext/>
        <w:spacing w:after="100"/>
      </w:pPr>
      <w:r>
        <w:rPr>
          <w:b/>
          <w:color w:val="1D6FA3"/>
          <w:sz w:val="16"/>
        </w:rPr>
        <w:t>EVERY STUDY</w:t>
      </w:r>
      <w:r>
        <w:rPr>
          <w:color w:val="5B6570"/>
          <w:sz w:val="16"/>
        </w:rPr>
        <w:t xml:space="preserve">   applies to every study   ·   learned from a self-audit, AMOC rebuild, 18-09-2026</w:t>
      </w:r>
    </w:p>
    <w:p>
      <w:pPr>
        <w:spacing w:after="100"/>
      </w:pPr>
      <w:r>
        <w:rPr>
          <w:b w:val="0"/>
          <w:i w:val="0"/>
          <w:color w:val="1A1D21"/>
          <w:sz w:val="21"/>
        </w:rPr>
        <w:t>A study's committed record carries claims about the standard it was built to and the day the work was done. Where those are read from a live constant or a clock rather than frozen to a fact, ANY rebuild moves them — and a rebuild happens for reasons that have nothing to do with the claim, such as correcting a comment.</w:t>
      </w:r>
    </w:p>
    <w:p>
      <w:pPr>
        <w:spacing w:after="60"/>
        <w:ind w:left="283"/>
      </w:pPr>
      <w:r>
        <w:rPr>
          <w:b w:val="0"/>
          <w:i w:val="0"/>
          <w:color w:val="5B6570"/>
          <w:sz w:val="19"/>
        </w:rPr>
        <w:t>How we know.  Re-running amoc_study/compute.py to correct a COMMENT moved the committed standard claim from 2026.09.01 to 2026.09.07, silently asserting conformance to four standards nobody had checked the study against — one of which, [R-ASSET-01], it is ratcheted as not meeting. check_standard_claim went red the same evening, on the first rebuild after [R-STD-02] was written, having been green before it. The fix is the one that rule prescribes and the one another generator had already taken for its study DATE: freeze the claim to the version the edition was actually built to.</w:t>
      </w:r>
    </w:p>
    <w:p>
      <w:pPr>
        <w:spacing w:after="160"/>
        <w:ind w:left="283"/>
      </w:pPr>
      <w:r>
        <w:rPr>
          <w:b w:val="0"/>
          <w:i w:val="0"/>
          <w:color w:val="5B6570"/>
          <w:sz w:val="19"/>
        </w:rPr>
        <w:t>What would overturn it.  A generator whose stamps are all frozen to facts, where a rebuild genuinely changes nothing but what was rebuilt.</w:t>
      </w:r>
    </w:p>
    <w:p>
      <w:pPr>
        <w:keepNext/>
        <w:spacing w:before="240" w:after="60"/>
      </w:pPr>
      <w:r>
        <w:rPr>
          <w:b/>
          <w:color w:val="1A1D21"/>
          <w:sz w:val="22"/>
        </w:rPr>
        <w:t>L-401  A convention adopted to AVOID making a forecast can be a forecast, and saying it is not is a false statement about the model.</w:t>
      </w:r>
    </w:p>
    <w:p>
      <w:pPr>
        <w:keepNext/>
        <w:spacing w:after="100"/>
      </w:pPr>
      <w:r>
        <w:rPr>
          <w:b/>
          <w:color w:val="1D6FA3"/>
          <w:sz w:val="16"/>
        </w:rPr>
        <w:t>EVERY STUDY</w:t>
      </w:r>
      <w:r>
        <w:rPr>
          <w:color w:val="5B6570"/>
          <w:sz w:val="16"/>
        </w:rPr>
        <w:t xml:space="preserve">   applies to every study   ·   learned from a outside critique, flat-nominal price convention, 18-09-2026</w:t>
      </w:r>
    </w:p>
    <w:p>
      <w:pPr>
        <w:spacing w:after="100"/>
      </w:pPr>
      <w:r>
        <w:rPr>
          <w:b w:val="0"/>
          <w:i w:val="0"/>
          <w:color w:val="1A1D21"/>
          <w:sz w:val="21"/>
        </w:rPr>
        <w:t>Holding a traded price flat in nominal terms is legitimate and often sensible. Describing it as 'no forecast of a traded commodity price is defensible' is not a wording problem: the model IS forecasting a price that falls in real terms every year for ever, and the reader is told the opposite. The genuinely view-free choice — the one with no forecast in it — is flat in REAL terms.</w:t>
      </w:r>
    </w:p>
    <w:p>
      <w:pPr>
        <w:spacing w:after="60"/>
        <w:ind w:left="283"/>
      </w:pPr>
      <w:r>
        <w:rPr>
          <w:b w:val="0"/>
          <w:i w:val="0"/>
          <w:color w:val="5B6570"/>
          <w:sz w:val="19"/>
        </w:rPr>
        <w:t>How we know.  Measured across 898 study builders and committed records carrying 407 quantities held flat: TWO studies name the consequence ('flat in nominal terms, which is a REAL DECLINE across the window'; 'holding earnings flat in NOMINAL terms while discounting at a NOMINAL rate') and TWO deny it. In both deniers the costs escalate at full domestic inflation while revenue does not, so the convention manufactures a margin decline the forecast then reports as a finding; closing the wedge is worth +17.8% on one and +68.7% on the other, measured independently by two outside auditors.</w:t>
      </w:r>
    </w:p>
    <w:p>
      <w:pPr>
        <w:spacing w:after="160"/>
        <w:ind w:left="283"/>
      </w:pPr>
      <w:r>
        <w:rPr>
          <w:b w:val="0"/>
          <w:i w:val="0"/>
          <w:color w:val="5B6570"/>
          <w:sz w:val="19"/>
        </w:rPr>
        <w:t>What would overturn it.  A market with no inflation in it, where flat nominal and flat real are the same path and the claim costs nothing.</w:t>
      </w:r>
    </w:p>
    <w:p>
      <w:pPr>
        <w:keepNext/>
        <w:spacing w:before="240" w:after="60"/>
      </w:pPr>
      <w:r>
        <w:rPr>
          <w:b/>
          <w:color w:val="1A1D21"/>
          <w:sz w:val="22"/>
        </w:rPr>
        <w:t>L-402  A judgement declared 'not contested' is removed from the instrument that counts which way judgements go.</w:t>
      </w:r>
    </w:p>
    <w:p>
      <w:pPr>
        <w:keepNext/>
        <w:spacing w:after="100"/>
      </w:pPr>
      <w:r>
        <w:rPr>
          <w:b/>
          <w:color w:val="1D6FA3"/>
          <w:sz w:val="16"/>
        </w:rPr>
        <w:t>EVERY STUDY</w:t>
      </w:r>
      <w:r>
        <w:rPr>
          <w:color w:val="5B6570"/>
          <w:sz w:val="16"/>
        </w:rPr>
        <w:t xml:space="preserve">   applies to every study   ·   learned from a outside critique, flat-nominal price convention, 18-09-2026</w:t>
      </w:r>
    </w:p>
    <w:p>
      <w:pPr>
        <w:spacing w:after="100"/>
      </w:pPr>
      <w:r>
        <w:rPr>
          <w:b w:val="0"/>
          <w:i w:val="0"/>
          <w:color w:val="1A1D21"/>
          <w:sz w:val="21"/>
        </w:rPr>
        <w:t>[R-ENF-05]'s sign test exists because any single contested choice is defensible and what is not is a study resolving every one of them the same way without noticing. A study that declares a material choice settled convention does not merely mislead a reader about that choice — it takes the choice out of the count, and the count is the only instrument that can see a lean.</w:t>
      </w:r>
    </w:p>
    <w:p>
      <w:pPr>
        <w:spacing w:after="60"/>
        <w:ind w:left="283"/>
      </w:pPr>
      <w:r>
        <w:rPr>
          <w:b w:val="0"/>
          <w:i w:val="0"/>
          <w:color w:val="5B6570"/>
          <w:sz w:val="19"/>
        </w:rPr>
        <w:t>How we know.  One study records 'Holding a traded commodity price flat rather than forecasting it is settled house convention and IS NOT CONTESTED', of a choice worth +68.7% of its own central. The sign test then runs on the judgements that remain, correctly, and reports on a population the largest item is missing from.</w:t>
      </w:r>
    </w:p>
    <w:p>
      <w:pPr>
        <w:spacing w:after="160"/>
        <w:ind w:left="283"/>
      </w:pPr>
      <w:r>
        <w:rPr>
          <w:b w:val="0"/>
          <w:i w:val="0"/>
          <w:color w:val="5B6570"/>
          <w:sz w:val="19"/>
        </w:rPr>
        <w:t>What would overturn it.  A declaration of settled convention on a choice worth less than the 5% materiality line the sign test already applies, where nothing is being removed from the count.</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keepNext/>
        <w:spacing w:before="240" w:after="60"/>
      </w:pPr>
      <w:r>
        <w:rPr>
          <w:b/>
          <w:color w:val="1A1D21"/>
          <w:sz w:val="22"/>
        </w:rPr>
        <w:t>L-368  Revenue forecasts run about 1.8 times too low for SCEM.</w:t>
      </w:r>
    </w:p>
    <w:p>
      <w:pPr>
        <w:keepNext/>
        <w:spacing w:after="100"/>
      </w:pPr>
      <w:r>
        <w:rPr>
          <w:b/>
          <w:color w:val="7E4A94"/>
          <w:sz w:val="16"/>
        </w:rPr>
        <w:t>A CLASS OF COMPANY</w:t>
      </w:r>
      <w:r>
        <w:rPr>
          <w:color w:val="5B6570"/>
          <w:sz w:val="16"/>
        </w:rPr>
        <w:t xml:space="preserve">   applies to every cement and heavy industrial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-0.561 log (about 1.8 times too low), average miss 0.561,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keepNext/>
        <w:spacing w:before="240" w:after="60"/>
      </w:pPr>
      <w:r>
        <w:rPr>
          <w:b/>
          <w:color w:val="1A1D21"/>
          <w:sz w:val="22"/>
        </w:rPr>
        <w:t>L-366  Price per pack forecasts run about 42% too low for PHAR.</w:t>
      </w:r>
    </w:p>
    <w:p>
      <w:pPr>
        <w:keepNext/>
        <w:spacing w:after="100"/>
      </w:pPr>
      <w:r>
        <w:rPr>
          <w:b/>
          <w:color w:val="7E4A94"/>
          <w:sz w:val="16"/>
        </w:rPr>
        <w:t>A CLASS OF COMPANY</w:t>
      </w:r>
      <w:r>
        <w:rPr>
          <w:color w:val="5B6570"/>
          <w:sz w:val="16"/>
        </w:rPr>
        <w:t xml:space="preserve">   applies to every pharmaceutical manufacturer, generic and branded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-0.352 log (about 42% too low), average miss 0.375, wrong in the same direction in 89%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keepNext/>
        <w:spacing w:before="240" w:after="60"/>
      </w:pPr>
      <w:r>
        <w:rPr>
          <w:b/>
          <w:color w:val="1A1D21"/>
          <w:sz w:val="22"/>
        </w:rPr>
        <w:t>L-389  A partial-adjustment conversion model cannot reach the period it is labelled with, and the label is what the study sensitises.</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Where revenue moves a fraction of the way toward a target each year and the target itself compounds, realised conversion never reaches the rate the target was built from. The cell carrying the period is then a label rather than a driver — and it is the label the crux grid, the headline and the sensitivity all move.</w:t>
      </w:r>
    </w:p>
    <w:p>
      <w:pPr>
        <w:spacing w:after="60"/>
        <w:ind w:left="283"/>
      </w:pPr>
      <w:r>
        <w:rPr>
          <w:b w:val="0"/>
          <w:i w:val="0"/>
          <w:color w:val="5B6570"/>
          <w:sz w:val="19"/>
        </w:rPr>
        <w:t>How we know.  TMGH commits CAPACITY_YEARS 14 and CAPACITY_RAMP 0.25. Revenue moves a quarter of the way to (opening book + sales) / 14 each year while the book compounds at 15%, so the committed book cover runs 15.03 to 20.97 to 19.75 years and never 14. The 2027 recursion reproduces the workbook to ten decimals. The words ramp, partial adjustment and adjustment speed appear zero times in the delivered document.</w:t>
      </w:r>
    </w:p>
    <w:p>
      <w:pPr>
        <w:spacing w:after="160"/>
        <w:ind w:left="283"/>
      </w:pPr>
      <w:r>
        <w:rPr>
          <w:b w:val="0"/>
          <w:i w:val="0"/>
          <w:color w:val="5B6570"/>
          <w:sz w:val="19"/>
        </w:rPr>
        <w:t>What would overturn it.  A conversion model whose realised rate reaches its stated period within the explicit window, shown by the committed series.</w:t>
      </w:r>
    </w:p>
    <w:p>
      <w:pPr>
        <w:keepNext/>
        <w:spacing w:before="240" w:after="60"/>
      </w:pPr>
      <w:r>
        <w:rPr>
          <w:b/>
          <w:color w:val="1A1D21"/>
          <w:sz w:val="22"/>
        </w:rPr>
        <w:t>L-390  Contracted sales earned as a development fee never enter the backlog, and must not drive the collections line.</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A developer can sell on its own balance sheet and sell for somebody else on a commission. Only the first creates a deliverable obligation and only the first is collected against. Feeding total reported sales into an advances driver treats fee volume as if it were an order book, and the company usually says so in a footnote on the same page as the backlog chart.</w:t>
      </w:r>
    </w:p>
    <w:p>
      <w:pPr>
        <w:spacing w:after="60"/>
        <w:ind w:left="283"/>
      </w:pPr>
      <w:r>
        <w:rPr>
          <w:b w:val="0"/>
          <w:i w:val="0"/>
          <w:color w:val="5B6570"/>
          <w:sz w:val="19"/>
        </w:rPr>
        <w:t>How we know.  TMG discloses that SouthMed sales sit outside the backlog under an asset-light model earning a c.8% fee; SouthMed was EGP 93.9bn of the 219.1bn of 1H2026 sales, 43%. The FY2023 release separately states EGP 47.8bn of third-party commission volume, which the study's register characterises as a land transaction. TMGH's model injects EGP 300bn of new sales a year at face into the collections driver, and by 2035 that line supplies 152,135 against total free cash flow of 137,742.</w:t>
      </w:r>
    </w:p>
    <w:p>
      <w:pPr>
        <w:spacing w:after="160"/>
        <w:ind w:left="283"/>
      </w:pPr>
      <w:r>
        <w:rPr>
          <w:b w:val="0"/>
          <w:i w:val="0"/>
          <w:color w:val="5B6570"/>
          <w:sz w:val="19"/>
        </w:rPr>
        <w:t>What would overturn it.  A company of this class whose fee-based volume does create a collectable obligation, disclosed as such.</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keepNext/>
        <w:spacing w:before="240" w:after="60"/>
      </w:pPr>
      <w:r>
        <w:rPr>
          <w:b/>
          <w:color w:val="1A1D21"/>
          <w:sz w:val="22"/>
        </w:rPr>
        <w:t>L-388  Holding a dollar-linked price flat in nominal dollars while domestic costs escalate at full inflation is a real-terms price decline, not the absence of a forecast.</w:t>
      </w:r>
    </w:p>
    <w:p>
      <w:pPr>
        <w:keepNext/>
        <w:spacing w:after="100"/>
      </w:pPr>
      <w:r>
        <w:rPr>
          <w:b/>
          <w:color w:val="7E4A94"/>
          <w:sz w:val="16"/>
        </w:rPr>
        <w:t>A CLASS OF COMPANY</w:t>
      </w:r>
      <w:r>
        <w:rPr>
          <w:color w:val="5B6570"/>
          <w:sz w:val="16"/>
        </w:rPr>
        <w:t xml:space="preserve">   applies to every refiner, commodity pass-through on a thin spread   ·   learned from a outside critique, AMOC critique response, 18-09-2026</w:t>
      </w:r>
    </w:p>
    <w:p>
      <w:pPr>
        <w:spacing w:after="100"/>
      </w:pPr>
      <w:r>
        <w:rPr>
          <w:b w:val="0"/>
          <w:i w:val="0"/>
          <w:color w:val="1A1D21"/>
          <w:sz w:val="21"/>
        </w:rPr>
        <w:t>On a pass-through processor the slate is priced off a dollar benchmark and the conversion costs are domestic. Declining to forecast the benchmark is right; holding it flat in NOMINAL dollars is not the way to decline, because it forecasts the price falling in real terms at foreign inflation every year for ever, against domestic costs that do not. The neutral assumption is flat in REAL terms.</w:t>
      </w:r>
    </w:p>
    <w:p>
      <w:pPr>
        <w:spacing w:after="60"/>
        <w:ind w:left="283"/>
      </w:pPr>
      <w:r>
        <w:rPr>
          <w:b w:val="0"/>
          <w:i w:val="0"/>
          <w:color w:val="5B6570"/>
          <w:sz w:val="19"/>
        </w:rPr>
        <w:t>How we know.  AMOC derives realisation growth as (1 + Egyptian inflation) / 1.025 - 1 while operating expense and capital expenditure take the full Egyptian ladder — an undisclosed 2.5%-a-year wedge that drifts opex/revenue from 3.795% to 4.189% where parity holds it at 3.703%. Closing it, re-run through the study's own compute.py, is +17.84%: EGP 11.4012 to 13.4350. Four studies in the book carry the convention.</w:t>
      </w:r>
    </w:p>
    <w:p>
      <w:pPr>
        <w:spacing w:after="160"/>
        <w:ind w:left="283"/>
      </w:pPr>
      <w:r>
        <w:rPr>
          <w:b w:val="0"/>
          <w:i w:val="0"/>
          <w:color w:val="5B6570"/>
          <w:sz w:val="19"/>
        </w:rPr>
        <w:t>What would overturn it.  Evidence that the real dollar price of this slate has in fact declined at foreign inflation over a long enough record to measure, which would make the nominal convention the right one.</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pPr>
        <w:keepNext/>
        <w:spacing w:before="240" w:after="60"/>
      </w:pPr>
      <w:r>
        <w:rPr>
          <w:b/>
          <w:color w:val="1A1D21"/>
          <w:sz w:val="22"/>
        </w:rPr>
        <w:t>L-372  D1 cable volume t forecasts run about 28% too high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+0.250 log (about 28% too high), average miss 0.256, wrong in the same direction in 95% of cases, and the sign holds across every bootstrap block tested (n=20).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L-373  D5 contracting revenue forecasts run about 39% too low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-0.326 log (about 39% too low), average miss 0.390, wrong in the same direction in 76%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pStyle w:val="Heading2"/>
      </w:pPr>
      <w:r>
        <w:t>Automotive assembler and distributor with a captive lender</w:t>
      </w:r>
    </w:p>
    <w:p>
      <w:pPr>
        <w:keepNext/>
        <w:spacing w:before="240" w:after="60"/>
      </w:pPr>
      <w:r>
        <w:rPr>
          <w:b/>
          <w:color w:val="1A1D21"/>
          <w:sz w:val="22"/>
        </w:rPr>
        <w:t>L-376  A captive lender's own equity is not a valuation base until what that equity holds has been taken out of it.</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financing arm inside an operating group usually holds the group's investments as well as its loan book, so its reported equity funds two different things. Value the leg on that whole figure and you have paid for the investments twice — once inside the lender and once when the sum of the parts adds them back at their own mark. Take the investments out of the equity first, and take their income out of the return you measure on it.</w:t>
      </w:r>
    </w:p>
    <w:p>
      <w:pPr>
        <w:spacing w:after="60"/>
        <w:ind w:left="283"/>
      </w:pPr>
      <w:r>
        <w:rPr>
          <w:b w:val="0"/>
          <w:i w:val="0"/>
          <w:color w:val="5B6570"/>
          <w:sz w:val="19"/>
        </w:rPr>
        <w:t>How we know.  GB Capital's segment shareholders' equity before non- controlling interests was EGP 22,497.8mn at 30 June 2026 and the associates carried inside it were EGP 16,230.5mn, so the equity actually funding the lending business was 6,267.3mn — 28% of the reported figure. The company's own adjusted return on average equity implies a base near 9,046mn whose NUMERATOR carries EGP 986.4mn of associate income, and the delivered study used a typed 9,500 taken from that basis.</w:t>
      </w:r>
    </w:p>
    <w:p>
      <w:pPr>
        <w:spacing w:after="160"/>
        <w:ind w:left="283"/>
      </w:pPr>
      <w:r>
        <w:rPr>
          <w:b w:val="0"/>
          <w:i w:val="0"/>
          <w:color w:val="5B6570"/>
          <w:sz w:val="19"/>
        </w:rPr>
        <w:t>What would overturn it.  A group of this class whose financing segment carries no investments inside its own equity, so the identity returns the same base the company's own return measure implies and there is nothing to remove.</w:t>
      </w:r>
    </w:p>
    <w:p>
      <w:pPr>
        <w:keepNext/>
        <w:spacing w:before="240" w:after="60"/>
      </w:pPr>
      <w:r>
        <w:rPr>
          <w:b/>
          <w:color w:val="1A1D21"/>
          <w:sz w:val="22"/>
        </w:rPr>
        <w:t>L-377  Group earnings in this class cannot be normalised, because the associate marks move them more than the operating business does.</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normalised-earnings lens asks what the company earns in an ordinary year. Where a large minority holding is equity- accounted, the reported line swings on that holding's results and on revaluations, so an average of it is an average of something the operating business does not control. Publish the operating legs and the holding separately instead.</w:t>
      </w:r>
    </w:p>
    <w:p>
      <w:pPr>
        <w:spacing w:after="60"/>
        <w:ind w:left="283"/>
      </w:pPr>
      <w:r>
        <w:rPr>
          <w:b w:val="0"/>
          <w:i w:val="0"/>
          <w:color w:val="5B6570"/>
          <w:sz w:val="19"/>
        </w:rPr>
        <w:t>How we know.  Investment gains from associates ran EGP 451.6mn, 294.6mn and 131.6mn across three consecutive quarters to 2Q26 while GB Capital's own operating profit over the same quarters ran 156.5mn, 187.0mn and 387.4mn — the associate line was larger than the operating line in two of the three and moved in the opposite direction. The delivered study gave a normalised lens a quarter of its weight on six typed figures.</w:t>
      </w:r>
    </w:p>
    <w:p>
      <w:pPr>
        <w:spacing w:after="160"/>
        <w:ind w:left="283"/>
      </w:pPr>
      <w:r>
        <w:rPr>
          <w:b w:val="0"/>
          <w:i w:val="0"/>
          <w:color w:val="5B6570"/>
          <w:sz w:val="19"/>
        </w:rPr>
        <w:t>What would overturn it.  A company of this class whose equity-accounted holdings are small enough that the reported earnings track the operating legs, which would make a normalised read of the group meaningful again.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ELEC</w:t>
      </w:r>
    </w:p>
    <w:p>
      <w:pPr>
        <w:keepNext/>
        <w:spacing w:before="240" w:after="60"/>
      </w:pPr>
      <w:r>
        <w:rPr>
          <w:b/>
          <w:color w:val="1A1D21"/>
          <w:sz w:val="22"/>
        </w:rPr>
        <w:t>L-356  The forecasting method could not be tested on ELEC at all.</w:t>
      </w:r>
    </w:p>
    <w:p>
      <w:pPr>
        <w:keepNext/>
        <w:spacing w:after="100"/>
      </w:pPr>
      <w:r>
        <w:rPr>
          <w:b/>
          <w:color w:val="B03A2E"/>
          <w:sz w:val="16"/>
        </w:rPr>
        <w:t>ONE COMPANY ONLY</w:t>
      </w:r>
      <w:r>
        <w:rPr>
          <w:color w:val="5B6570"/>
          <w:sz w:val="16"/>
        </w:rPr>
        <w:t xml:space="preserve">   applies to ELEC only   ·   learned from a fundamental walk-forward test, ELEC walk-forward, date not recorded</w:t>
      </w:r>
      <w:r>
        <w:rPr>
          <w:b/>
          <w:color w:val="B03A2E"/>
          <w:sz w:val="16"/>
        </w:rPr>
        <w:t xml:space="preserve">   ·   STATUS: PROVISIONAL</w:t>
      </w:r>
    </w:p>
    <w:p>
      <w:pPr>
        <w:spacing w:after="100"/>
      </w:pPr>
      <w:r>
        <w:rPr>
          <w:b w:val="0"/>
          <w:i w:val="0"/>
          <w:color w:val="1A1D21"/>
          <w:sz w:val="21"/>
        </w:rPr>
        <w:t>A walk-forward needs an origin to project from and a later actual to score against. Where the archive is too short there is no test to run, and saying so is the result — not a gap to be filled by stretching the window.</w:t>
      </w:r>
    </w:p>
    <w:p>
      <w:pPr>
        <w:spacing w:after="60"/>
        <w:ind w:left="283"/>
      </w:pPr>
      <w:r>
        <w:rPr>
          <w:b w:val="0"/>
          <w:i w:val="0"/>
          <w:color w:val="5B6570"/>
          <w:sz w:val="19"/>
        </w:rPr>
        <w:t>How we know.  4 sourceable fiscal years on the best available basis against a bar of 5, and 0 scoreable origins: the last sourceable actual is FY2023, so the last possible origin is FY2022 at h=1, and FY2022 needs five years of history to it (FY2018-FY2022) which do not exist on any basis in hand.</w:t>
      </w:r>
    </w:p>
    <w:p>
      <w:pPr>
        <w:spacing w:after="160"/>
        <w:ind w:left="283"/>
      </w:pPr>
      <w:r>
        <w:rPr>
          <w:b w:val="0"/>
          <w:i w:val="0"/>
          <w:color w:val="5B6570"/>
          <w:sz w:val="19"/>
        </w:rPr>
        <w:t>What would overturn it.  A filing archive that becomes reachable, or filings supplied directly, taking the sourceable span to five years or more on one basis.</w:t>
      </w:r>
    </w:p>
    <w:p>
      <w:pPr>
        <w:pStyle w:val="Heading2"/>
      </w:pPr>
      <w:r>
        <w:t>GBCO</w:t>
      </w:r>
    </w:p>
    <w:p>
      <w:pPr>
        <w:keepNext/>
        <w:spacing w:before="240" w:after="60"/>
      </w:pPr>
      <w:r>
        <w:rPr>
          <w:b/>
          <w:color w:val="1A1D21"/>
          <w:sz w:val="22"/>
        </w:rPr>
        <w:t>L-363  The finance cost forecast loses to assuming no change.</w:t>
      </w:r>
    </w:p>
    <w:p>
      <w:pPr>
        <w:keepNext/>
        <w:spacing w:after="100"/>
      </w:pPr>
      <w:r>
        <w:rPr>
          <w:b/>
          <w:color w:val="B03A2E"/>
          <w:sz w:val="16"/>
        </w:rPr>
        <w:t>ONE COMPANY ONLY</w:t>
      </w:r>
      <w:r>
        <w:rPr>
          <w:color w:val="5B6570"/>
          <w:sz w:val="16"/>
        </w:rPr>
        <w:t xml:space="preserve">   applies to GBCO only   ·   learned from a fundamental walk-forward test, GBCO walk-forward, date not recorded</w:t>
      </w:r>
      <w:r>
        <w:rPr>
          <w:b/>
          <w:color w:val="B03A2E"/>
          <w:sz w:val="16"/>
        </w:rPr>
        <w:t xml:space="preserve">   ·   STATUS: PROVISIONAL</w:t>
      </w:r>
    </w:p>
    <w:p>
      <w:pPr>
        <w:spacing w:after="100"/>
      </w:pPr>
      <w:r>
        <w:rPr>
          <w:b w:val="0"/>
          <w:i w:val="0"/>
          <w:color w:val="1A1D21"/>
          <w:sz w:val="21"/>
        </w:rPr>
        <w:t>At 5 of 5 horizons, simply carrying last year's number forward beat the model. A method that cannot beat 'no change' has not earned the precision it displays, and should be published as a range or not at all.</w:t>
      </w:r>
    </w:p>
    <w:p>
      <w:pPr>
        <w:spacing w:after="60"/>
        <w:ind w:left="283"/>
      </w:pPr>
      <w:r>
        <w:rPr>
          <w:b w:val="0"/>
          <w:i w:val="0"/>
          <w:color w:val="5B6570"/>
          <w:sz w:val="19"/>
        </w:rPr>
        <w:t>How we know.  Negative skill against the freeze benchmark at horizons h1, h2, h3, h4, h5, worst -0.485.</w:t>
      </w:r>
    </w:p>
    <w:p>
      <w:pPr>
        <w:spacing w:after="160"/>
        <w:ind w:left="283"/>
      </w:pPr>
      <w:r>
        <w:rPr>
          <w:b w:val="0"/>
          <w:i w:val="0"/>
          <w:color w:val="5B6570"/>
          <w:sz w:val="19"/>
        </w:rPr>
        <w:t>What would overturn it.  A later run where the model beats the freeze benchmark at a majority of horizons.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pPr>
        <w:pStyle w:val="Heading2"/>
      </w:pPr>
      <w:r>
        <w:t>SCEM</w:t>
      </w:r>
    </w:p>
    <w:p>
      <w:pPr>
        <w:keepNext/>
        <w:spacing w:before="240" w:after="60"/>
      </w:pPr>
      <w:r>
        <w:rPr>
          <w:b/>
          <w:color w:val="1A1D21"/>
          <w:sz w:val="22"/>
        </w:rPr>
        <w:t>L-367  Cogs wages forecasts run about 27% too low for SCEM.</w:t>
      </w:r>
    </w:p>
    <w:p>
      <w:pPr>
        <w:keepNext/>
        <w:spacing w:after="100"/>
      </w:pPr>
      <w:r>
        <w:rPr>
          <w:b/>
          <w:color w:val="B03A2E"/>
          <w:sz w:val="16"/>
        </w:rPr>
        <w:t>ONE COMPANY ONLY</w:t>
      </w:r>
      <w:r>
        <w:rPr>
          <w:color w:val="5B6570"/>
          <w:sz w:val="16"/>
        </w:rPr>
        <w:t xml:space="preserve">   applies to SCEM only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-0.241 log (about 27% too low), average miss 0.241,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TMGH</w:t>
      </w:r>
    </w:p>
    <w:p>
      <w:pPr>
        <w:keepNext/>
        <w:spacing w:before="240" w:after="60"/>
      </w:pPr>
      <w:r>
        <w:rPr>
          <w:b/>
          <w:color w:val="1A1D21"/>
          <w:sz w:val="22"/>
        </w:rPr>
        <w:t>L-391  TMG publishes its own discount rate, projection period and terminal growth in its goodwill note, and no study here has read them.</w:t>
      </w:r>
    </w:p>
    <w:p>
      <w:pPr>
        <w:keepNext/>
        <w:spacing w:after="100"/>
      </w:pPr>
      <w:r>
        <w:rPr>
          <w:b/>
          <w:color w:val="B03A2E"/>
          <w:sz w:val="16"/>
        </w:rPr>
        <w:t>ONE COMPANY ONLY</w:t>
      </w:r>
      <w:r>
        <w:rPr>
          <w:color w:val="5B6570"/>
          <w:sz w:val="16"/>
        </w:rPr>
        <w:t xml:space="preserve">   applies to TMGH only   ·   learned from a outside critique, TMGH critique response, 18-09-2026</w:t>
      </w:r>
    </w:p>
    <w:p>
      <w:pPr>
        <w:spacing w:after="100"/>
      </w:pPr>
      <w:r>
        <w:rPr>
          <w:b w:val="0"/>
          <w:i w:val="0"/>
          <w:color w:val="1A1D21"/>
          <w:sz w:val="21"/>
        </w:rPr>
        <w:t>The goodwill impairment test is a discounted cash flow the company runs on itself and discloses annually. It is the one place a filing states what the company believes about its own cost of capital and horizon — a free cross-check on the two inputs a study argues hardest about.</w:t>
      </w:r>
    </w:p>
    <w:p>
      <w:pPr>
        <w:spacing w:after="60"/>
        <w:ind w:left="283"/>
      </w:pPr>
      <w:r>
        <w:rPr>
          <w:b w:val="0"/>
          <w:i w:val="0"/>
          <w:color w:val="5B6570"/>
          <w:sz w:val="19"/>
        </w:rPr>
        <w:t>How we know.  Note 9 of TMG's 30 June 2026 interim consolidated statements: a pre-tax discount rate of 33.9% applied to cash-flow projections, a 20-year period, and a terminal growth rate of 5%. The study runs a terminal WACC of 21.93% and terminal growth of 7%. Neither the study nor either outside audit found it.</w:t>
      </w:r>
    </w:p>
    <w:p>
      <w:pPr>
        <w:spacing w:after="160"/>
        <w:ind w:left="283"/>
      </w:pPr>
      <w:r>
        <w:rPr>
          <w:b w:val="0"/>
          <w:i w:val="0"/>
          <w:color w:val="5B6570"/>
          <w:sz w:val="19"/>
        </w:rPr>
        <w:t>What would overturn it.  A year in which the note stops disclosing the rate, or discloses one built on a basis the study's own rate cannot be compared with.</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