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10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77.18, and the cross-checks around it span EGP 45.65 to EGP 65.57, against a market price of EGP 77.00 — +0.2%.</w:t>
            </w:r>
          </w:p>
        </w:tc>
      </w:tr>
    </w:tbl>
    <w:p>
      <w:pPr>
        <w:spacing w:after="40"/>
      </w:pPr>
    </w:p>
    <w:p>
      <w:pPr>
        <w:spacing w:after="120" w:before="280"/>
      </w:pPr>
      <w:r>
        <w:rPr>
          <w:b/>
          <w:i w:val="0"/>
          <w:color w:val="1C3A36"/>
          <w:sz w:val="30"/>
        </w:rPr>
        <w:t>Headline</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1C3A36"/>
          <w:sz w:val="21"/>
        </w:rPr>
        <w:t>Arabian Cement is worth EGP 77.18 a share on the cash-flow lens this study publishes, against a market price of EGP 77.00 on 3 September 2026 — +0.2%.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29.83 and the bull corner EGP 77.79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29.83.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worth +15.3% of value and published both ways rather than averaged. The study's LARGEST contested judgement is a different one — terminal useful life, worth +22.5% — and it is set out with the rest in section 1.9.</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77.18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+0.2%</w:t>
            </w:r>
          </w:p>
        </w:tc>
        <w:tc>
          <w:tcPr>
            <w:tcW w:type="dxa" w:w="1699"/>
            <w:shd w:val="clear" w:color="auto" w:fill="F6F1E6"/>
          </w:tcPr>
          <w:p>
            <w:pPr>
              <w:spacing w:after="20"/>
              <w:jc w:val="right"/>
            </w:pPr>
            <w:r>
              <w:rPr>
                <w:b/>
                <w:color w:val="1C3A36"/>
                <w:sz w:val="18"/>
              </w:rPr>
              <w:t>59.7%</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63.89;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earlier editions of this forecast turned on, and the measure they turned on was wrong. Egypt sold 65.1 million tonnes of CEMENT — 54.0 domestic and 11.1 exported — against roughly 76 million tonnes of cement nameplate. That is 86%, with about 10.9 million tonnes of grinding capacity idle. The 72.6Mt figure earlier editions used adds 7.6Mt of exported CLINKER, which leaves at the kiln and never enters a cement mill, and printed 96%.</w:t>
      </w:r>
    </w:p>
    <w:p>
      <w:pPr>
        <w:spacing w:after="120" w:before="0"/>
      </w:pPr>
      <w:r>
        <w:rPr>
          <w:b w:val="0"/>
          <w:i w:val="0"/>
          <w:color w:val="1C3A36"/>
          <w:sz w:val="21"/>
        </w:rPr>
        <w:t>SO THE MARKET IS NEITHER OF THE TWO THINGS THIS STUDY HAS CALLED IT. It is not the structurally slack market the first editions described, and it is not the 96% market the last one described. It is running with roughly a sixth of its cement capacity unused, and the 12.6 million tonne restart programme would take that to about 23.5Mt — a third of nameplate — before a tonne of new demand appears. A production quota suspended in May 2025 rather than repealed sits on top of that.</w:t>
      </w:r>
    </w:p>
    <w:p>
      <w:pPr>
        <w:spacing w:after="120" w:before="0"/>
      </w:pPr>
      <w:r>
        <w:rPr>
          <w:b w:val="0"/>
          <w:i w:val="0"/>
          <w:color w:val="1C3A36"/>
          <w:sz w:val="21"/>
        </w:rPr>
        <w:t>WHAT THIS DOES AND DOES NOT DO TO THE FORECAST, because a corrected premise that quietly leaves its conclusion standing is the same defect one step along. The price path in this study does NOT rest on the sector being tight. Its FY2026 step is taken from a filed number — the company's own fourth-quarter 2025 realised price, which is 7.2% above its full-year average — and every year after it grows at zero real against the house inflation path. That argument is unaffected by which utilisation figure is right. What IS affected is the comfort around it: at 86% with a restart programme pending, a price path that merely holds real is a stronger assumption than it looked at 96%, and the margin sensitivity in section 7 is where a reader should go to disagree with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77.18.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63.89;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ties to audited FY2025 revenue at +0.000% and to audited FY2025 EBITDA at +0.000%. THAT IS A TIE AND NOT A TEST, and it is worth being plain about which: prices here are derived as revenue over volume, so revenue rebuilt as volume times price reconstructs by construction and would foot on any volume whatever. It is checked because a tie that failed to foot would mean an arithmetic error, not because footing corroborates the volume.</w:t>
      </w:r>
    </w:p>
    <w:p>
      <w:pPr>
        <w:spacing w:after="120" w:before="0"/>
      </w:pPr>
      <w:r>
        <w:rPr>
          <w:b w:val="0"/>
          <w:i w:val="0"/>
          <w:color w:val="1C3A36"/>
          <w:sz w:val="21"/>
        </w:rPr>
        <w:t>The test that CAN fail is the three derived prices, because they can be held against a market: local cement at EGP 2,856 a tonne, export cement at USD 46.2 and export clinker at USD 30.0. Two of the three are credible against Egyptian commentary. The third is not comfortable — export clinker sits roughly a third below the USD 44-48 the trade press quotes for Egyptian FOB cargoes — and that gap is a live disagreement between the physical disclosure and the price indices. It is published rather than tuned away, and it is the reason the volume base carries a sensitivity.</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+5.4%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10.50%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10.50%</w:t>
            </w:r>
          </w:p>
        </w:tc>
      </w:tr>
      <w:tr>
        <w:tc>
          <w:tcPr>
            <w:tcW w:type="dxa" w:w="4176"/>
          </w:tcPr>
          <w:p>
            <w:pPr>
              <w:spacing w:after="20"/>
            </w:pPr>
            <w:r>
              <w:rPr>
                <w:color w:val="1C3A36"/>
                <w:sz w:val="18"/>
              </w:rPr>
              <w:t>Beta  (terminal is the explicit beta unlevered and relevered — see below)</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28.65%</w:t>
            </w:r>
          </w:p>
        </w:tc>
        <w:tc>
          <w:tcPr>
            <w:tcW w:type="dxa" w:w="2592"/>
          </w:tcPr>
          <w:p>
            <w:pPr>
              <w:spacing w:after="20"/>
              <w:jc w:val="right"/>
            </w:pPr>
            <w:r>
              <w:rPr>
                <w:color w:val="1C3A36"/>
                <w:sz w:val="18"/>
              </w:rPr>
              <w:t>18.02%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27.96%</w:t>
            </w:r>
          </w:p>
        </w:tc>
        <w:tc>
          <w:tcPr>
            <w:tcW w:type="dxa" w:w="2592"/>
            <w:shd w:val="clear" w:color="auto" w:fill="F6F1E6"/>
          </w:tcPr>
          <w:p>
            <w:pPr>
              <w:spacing w:after="20"/>
              <w:jc w:val="right"/>
            </w:pPr>
            <w:r>
              <w:rPr>
                <w:b/>
                <w:color w:val="1C3A36"/>
                <w:sz w:val="18"/>
              </w:rPr>
              <w:t>16.74%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28.65%.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27.96%</w:t>
            </w:r>
          </w:p>
        </w:tc>
        <w:tc>
          <w:tcPr>
            <w:tcW w:type="dxa" w:w="1526"/>
          </w:tcPr>
          <w:p>
            <w:pPr>
              <w:spacing w:after="20"/>
              <w:jc w:val="right"/>
            </w:pPr>
            <w:r>
              <w:rPr>
                <w:color w:val="1C3A36"/>
                <w:sz w:val="18"/>
              </w:rPr>
              <w:t>23.71%</w:t>
            </w:r>
          </w:p>
        </w:tc>
        <w:tc>
          <w:tcPr>
            <w:tcW w:type="dxa" w:w="1526"/>
          </w:tcPr>
          <w:p>
            <w:pPr>
              <w:spacing w:after="20"/>
              <w:jc w:val="right"/>
            </w:pPr>
            <w:r>
              <w:rPr>
                <w:color w:val="1C3A36"/>
                <w:sz w:val="18"/>
              </w:rPr>
              <w:t>20.31%</w:t>
            </w:r>
          </w:p>
        </w:tc>
        <w:tc>
          <w:tcPr>
            <w:tcW w:type="dxa" w:w="1526"/>
          </w:tcPr>
          <w:p>
            <w:pPr>
              <w:spacing w:after="20"/>
              <w:jc w:val="right"/>
            </w:pPr>
            <w:r>
              <w:rPr>
                <w:color w:val="1C3A36"/>
                <w:sz w:val="18"/>
              </w:rPr>
              <w:t>18.27%</w:t>
            </w:r>
          </w:p>
        </w:tc>
        <w:tc>
          <w:tcPr>
            <w:tcW w:type="dxa" w:w="1526"/>
          </w:tcPr>
          <w:p>
            <w:pPr>
              <w:spacing w:after="20"/>
              <w:jc w:val="right"/>
            </w:pPr>
            <w:r>
              <w:rPr>
                <w:color w:val="1C3A36"/>
                <w:sz w:val="18"/>
              </w:rPr>
              <w:t>16.74%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0.9402</w:t>
            </w:r>
          </w:p>
        </w:tc>
        <w:tc>
          <w:tcPr>
            <w:tcW w:type="dxa" w:w="1526"/>
          </w:tcPr>
          <w:p>
            <w:pPr>
              <w:spacing w:after="20"/>
              <w:jc w:val="right"/>
            </w:pPr>
            <w:r>
              <w:rPr>
                <w:color w:val="1C3A36"/>
                <w:sz w:val="18"/>
              </w:rPr>
              <w:t>0.7948</w:t>
            </w:r>
          </w:p>
        </w:tc>
        <w:tc>
          <w:tcPr>
            <w:tcW w:type="dxa" w:w="1526"/>
          </w:tcPr>
          <w:p>
            <w:pPr>
              <w:spacing w:after="20"/>
              <w:jc w:val="right"/>
            </w:pPr>
            <w:r>
              <w:rPr>
                <w:color w:val="1C3A36"/>
                <w:sz w:val="18"/>
              </w:rPr>
              <w:t>0.6515</w:t>
            </w:r>
          </w:p>
        </w:tc>
        <w:tc>
          <w:tcPr>
            <w:tcW w:type="dxa" w:w="1526"/>
          </w:tcPr>
          <w:p>
            <w:pPr>
              <w:spacing w:after="20"/>
              <w:jc w:val="right"/>
            </w:pPr>
            <w:r>
              <w:rPr>
                <w:color w:val="1C3A36"/>
                <w:sz w:val="18"/>
              </w:rPr>
              <w:t>0.5461</w:t>
            </w:r>
          </w:p>
        </w:tc>
        <w:tc>
          <w:tcPr>
            <w:tcW w:type="dxa" w:w="1526"/>
          </w:tcPr>
          <w:p>
            <w:pPr>
              <w:spacing w:after="20"/>
              <w:jc w:val="right"/>
            </w:pPr>
            <w:r>
              <w:rPr>
                <w:color w:val="1C3A36"/>
                <w:sz w:val="18"/>
              </w:rPr>
              <w:t>0.4648</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the END-OF-WINDOW factor of 0.4302 at 4.50 years — it is the value at the end of the window of everything after it, so it arrives half a year later than year five's own cash flow at 0.4648 and is worth less. One date, one price of time, and the terminal's date is not year five's.</w:t>
      </w:r>
    </w:p>
    <w:p>
      <w:pPr>
        <w:spacing w:after="120" w:before="0"/>
      </w:pPr>
      <w:r>
        <w:rPr>
          <w:b w:val="0"/>
          <w:i w:val="0"/>
          <w:color w:val="1C3A36"/>
          <w:sz w:val="21"/>
        </w:rPr>
        <w:t>ONE CHOICE IN THAT TABLE IS NOT THE ONLY PUBLISHED ANSWER, and a reader should be told which. The equity risk premium of 9.41% is the CDS-based figure from the country risk file this study cites. The same row of the same file also publishes a RATING-based construction — Egypt at Caa1, a default spread of 6.37% and a total premium of 13.94% — and these are two answers rather than an answer and a footnote.</w:t>
      </w:r>
    </w:p>
    <w:p>
      <w:pPr>
        <w:spacing w:after="120" w:before="0"/>
      </w:pPr>
      <w:r>
        <w:rPr>
          <w:b w:val="0"/>
          <w:i w:val="0"/>
          <w:color w:val="1C3A36"/>
          <w:sz w:val="21"/>
        </w:rPr>
        <w:t>APPLIED CONSISTENTLY, the rating basis nets its own spread out of the risk-free rate and puts its own premium back on: a normalised risk-free of 16.58%, a cost of equity of 30.21% and an explicit cost of capital of 29.46% against the 27.96% adopted here — 150 basis points dearer. Half a basis is not a basis: mixing a CDS-netted risk-free rate with a rating premium would charge Egypt's default risk once at one price and once at another, so the comparison moves both legs together.</w:t>
      </w:r>
    </w:p>
    <w:p>
      <w:pPr>
        <w:spacing w:after="120" w:before="0"/>
      </w:pPr>
      <w:r>
        <w:rPr>
          <w:b w:val="0"/>
          <w:i w:val="0"/>
          <w:color w:val="1C3A36"/>
          <w:sz w:val="21"/>
        </w:rPr>
        <w:t>WHY THE CDS BASIS IS ADOPTED, and the honest form of the answer includes which way it cuts. A CDS spread is a price at which sovereign risk actually changed hands; a rating spread is a lookup from a letter grade to a table, and Egypt's letter grade moves in steps while its traded spread moves continuously. For a sovereign whose CDS trades in size, the traded price is the better estimate of what the market charges for that risk today. IT IS ALSO THE CHEAPER OF THE TWO, and therefore the one that flatters this valuation. A reader who prefers the rating basis should read 29.46% wherever this study prints 27.96%, and the terminal shifts with it.</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88.96 against 77.18 on the adopted one, a difference of +15.3%.</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95.83</w:t>
            </w:r>
          </w:p>
        </w:tc>
        <w:tc>
          <w:tcPr>
            <w:tcW w:type="dxa" w:w="1391"/>
          </w:tcPr>
          <w:p>
            <w:pPr>
              <w:spacing w:after="20"/>
              <w:jc w:val="right"/>
            </w:pPr>
            <w:r>
              <w:rPr>
                <w:color w:val="1C3A36"/>
                <w:sz w:val="18"/>
              </w:rPr>
              <w:t>82.86</w:t>
            </w:r>
          </w:p>
        </w:tc>
        <w:tc>
          <w:tcPr>
            <w:tcW w:type="dxa" w:w="1391"/>
          </w:tcPr>
          <w:p>
            <w:pPr>
              <w:spacing w:after="20"/>
              <w:jc w:val="right"/>
            </w:pPr>
            <w:r>
              <w:rPr>
                <w:color w:val="1C3A36"/>
                <w:sz w:val="18"/>
              </w:rPr>
              <w:t>73.20</w:t>
            </w:r>
          </w:p>
        </w:tc>
        <w:tc>
          <w:tcPr>
            <w:tcW w:type="dxa" w:w="1391"/>
          </w:tcPr>
          <w:p>
            <w:pPr>
              <w:spacing w:after="20"/>
              <w:jc w:val="right"/>
            </w:pPr>
            <w:r>
              <w:rPr>
                <w:color w:val="1C3A36"/>
                <w:sz w:val="18"/>
              </w:rPr>
              <w:t>67.44</w:t>
            </w:r>
          </w:p>
        </w:tc>
        <w:tc>
          <w:tcPr>
            <w:tcW w:type="dxa" w:w="1391"/>
          </w:tcPr>
          <w:p>
            <w:pPr>
              <w:spacing w:after="20"/>
              <w:jc w:val="right"/>
            </w:pPr>
            <w:r>
              <w:rPr>
                <w:color w:val="1C3A36"/>
                <w:sz w:val="18"/>
              </w:rPr>
              <w:t>62.60</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133.85. That end is the value-RAISING one, and it is stated rather than left off the table: a wider interval than the anchors show is a fact about how little this regression establishes, not a reason to print a narrower one.</w:t>
      </w:r>
    </w:p>
    <w:p>
      <w:pPr>
        <w:spacing w:after="120" w:before="0"/>
      </w:pPr>
      <w:r>
        <w:rPr>
          <w:b w:val="0"/>
          <w:i w:val="0"/>
          <w:color w:val="1C3A36"/>
          <w:sz w:val="21"/>
        </w:rPr>
        <w:t>ONE MORE BETA, AND IT IS NOT THE ONE ABOVE. Everything in this section concerns the beta the EXPLICIT window runs on. The terminal block runs on a different one — 1.074 against 0.928 — and the difference is not a second estimate but the same estimate at a different capital structure. The company today carries debt at 3.78% of its capital and holds more cash than debt; the terminal assumes it has settled at 20.0%, which is the structure a mature cement producer in this market would be expected to hold. A beta is a levered quantity, so it cannot be carried across that change unaltered: it is unlevered at the observed structure to an asset beta of 0.900 and relevered at the terminal one.</w:t>
      </w:r>
    </w:p>
    <w:p>
      <w:pPr>
        <w:spacing w:after="120" w:before="0"/>
      </w:pPr>
      <w:r>
        <w:rPr>
          <w:b w:val="0"/>
          <w:i w:val="0"/>
          <w:color w:val="1C3A36"/>
          <w:sz w:val="21"/>
        </w:rPr>
        <w:t>The tax rate in that step is the STATUTORY 22.50%, and it is deliberately not the effective 23.82% that every profit line in this model carries. The two answer different questions: what a pound of debt saves in tax is worth the statutory rate, while what the company actually pays on its profit is the effective one. Both are stated here because a reader who found two tax rates in one model and no explanation would be right to suspect one of them of being a mistake.</w:t>
      </w:r>
    </w:p>
    <w:p>
      <w:pPr>
        <w:spacing w:after="120" w:before="0"/>
      </w:pPr>
      <w:r>
        <w:rPr>
          <w:b w:val="0"/>
          <w:i w:val="0"/>
          <w:color w:val="1C3A36"/>
          <w:sz w:val="21"/>
        </w:rPr>
        <w:t>WHAT THE STEP IS WORTH, because a construction disclosed without its price is only half-disclosed. Relevering raises the terminal beta and therefore the terminal discount rate: carrying the explicit 0.928 straight through instead would lower the terminal cost of capital and RAISE the value. This study takes the more expensive of the two, and it does so because the terminal capital structure it assumes is a real assumption with a real consequence, not because the answer is preferred.</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(111)</w:t>
            </w:r>
          </w:p>
        </w:tc>
        <w:tc>
          <w:tcPr>
            <w:tcW w:type="dxa" w:w="1325"/>
          </w:tcPr>
          <w:p>
            <w:pPr>
              <w:spacing w:after="20"/>
              <w:jc w:val="right"/>
            </w:pPr>
            <w:r>
              <w:rPr>
                <w:color w:val="1C3A36"/>
                <w:sz w:val="17"/>
              </w:rPr>
              <w:t>(201)</w:t>
            </w:r>
          </w:p>
        </w:tc>
        <w:tc>
          <w:tcPr>
            <w:tcW w:type="dxa" w:w="1325"/>
          </w:tcPr>
          <w:p>
            <w:pPr>
              <w:spacing w:after="20"/>
              <w:jc w:val="right"/>
            </w:pPr>
            <w:r>
              <w:rPr>
                <w:color w:val="1C3A36"/>
                <w:sz w:val="17"/>
              </w:rPr>
              <w:t>(179)</w:t>
            </w:r>
          </w:p>
        </w:tc>
        <w:tc>
          <w:tcPr>
            <w:tcW w:type="dxa" w:w="1325"/>
          </w:tcPr>
          <w:p>
            <w:pPr>
              <w:spacing w:after="20"/>
              <w:jc w:val="right"/>
            </w:pPr>
            <w:r>
              <w:rPr>
                <w:color w:val="1C3A36"/>
                <w:sz w:val="17"/>
              </w:rPr>
              <w:t>(153)</w:t>
            </w:r>
          </w:p>
        </w:tc>
        <w:tc>
          <w:tcPr>
            <w:tcW w:type="dxa" w:w="1325"/>
          </w:tcPr>
          <w:p>
            <w:pPr>
              <w:spacing w:after="20"/>
              <w:jc w:val="right"/>
            </w:pPr>
            <w:r>
              <w:rPr>
                <w:color w:val="1C3A36"/>
                <w:sz w:val="17"/>
              </w:rPr>
              <w:t>(153)</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1,544</w:t>
            </w:r>
          </w:p>
        </w:tc>
        <w:tc>
          <w:tcPr>
            <w:tcW w:type="dxa" w:w="1325"/>
          </w:tcPr>
          <w:p>
            <w:pPr>
              <w:spacing w:after="20"/>
              <w:jc w:val="right"/>
            </w:pPr>
            <w:r>
              <w:rPr>
                <w:color w:val="1C3A36"/>
                <w:sz w:val="17"/>
              </w:rPr>
              <w:t>3,476</w:t>
            </w:r>
          </w:p>
        </w:tc>
        <w:tc>
          <w:tcPr>
            <w:tcW w:type="dxa" w:w="1325"/>
          </w:tcPr>
          <w:p>
            <w:pPr>
              <w:spacing w:after="20"/>
              <w:jc w:val="right"/>
            </w:pPr>
            <w:r>
              <w:rPr>
                <w:color w:val="1C3A36"/>
                <w:sz w:val="17"/>
              </w:rPr>
              <w:t>3,955</w:t>
            </w:r>
          </w:p>
        </w:tc>
        <w:tc>
          <w:tcPr>
            <w:tcW w:type="dxa" w:w="1325"/>
          </w:tcPr>
          <w:p>
            <w:pPr>
              <w:spacing w:after="20"/>
              <w:jc w:val="right"/>
            </w:pPr>
            <w:r>
              <w:rPr>
                <w:color w:val="1C3A36"/>
                <w:sz w:val="17"/>
              </w:rPr>
              <w:t>4,359</w:t>
            </w:r>
          </w:p>
        </w:tc>
        <w:tc>
          <w:tcPr>
            <w:tcW w:type="dxa" w:w="1325"/>
          </w:tcPr>
          <w:p>
            <w:pPr>
              <w:spacing w:after="20"/>
              <w:jc w:val="right"/>
            </w:pPr>
            <w:r>
              <w:rPr>
                <w:color w:val="1C3A36"/>
                <w:sz w:val="17"/>
              </w:rPr>
              <w:t>4,743</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0.9402</w:t>
            </w:r>
          </w:p>
        </w:tc>
        <w:tc>
          <w:tcPr>
            <w:tcW w:type="dxa" w:w="1325"/>
          </w:tcPr>
          <w:p>
            <w:pPr>
              <w:spacing w:after="20"/>
              <w:jc w:val="right"/>
            </w:pPr>
            <w:r>
              <w:rPr>
                <w:color w:val="1C3A36"/>
                <w:sz w:val="17"/>
              </w:rPr>
              <w:t>0.7948</w:t>
            </w:r>
          </w:p>
        </w:tc>
        <w:tc>
          <w:tcPr>
            <w:tcW w:type="dxa" w:w="1325"/>
          </w:tcPr>
          <w:p>
            <w:pPr>
              <w:spacing w:after="20"/>
              <w:jc w:val="right"/>
            </w:pPr>
            <w:r>
              <w:rPr>
                <w:color w:val="1C3A36"/>
                <w:sz w:val="17"/>
              </w:rPr>
              <w:t>0.6515</w:t>
            </w:r>
          </w:p>
        </w:tc>
        <w:tc>
          <w:tcPr>
            <w:tcW w:type="dxa" w:w="1325"/>
          </w:tcPr>
          <w:p>
            <w:pPr>
              <w:spacing w:after="20"/>
              <w:jc w:val="right"/>
            </w:pPr>
            <w:r>
              <w:rPr>
                <w:color w:val="1C3A36"/>
                <w:sz w:val="17"/>
              </w:rPr>
              <w:t>0.5461</w:t>
            </w:r>
          </w:p>
        </w:tc>
        <w:tc>
          <w:tcPr>
            <w:tcW w:type="dxa" w:w="1325"/>
          </w:tcPr>
          <w:p>
            <w:pPr>
              <w:spacing w:after="20"/>
              <w:jc w:val="right"/>
            </w:pPr>
            <w:r>
              <w:rPr>
                <w:color w:val="1C3A36"/>
                <w:sz w:val="17"/>
              </w:rPr>
              <w:t>0.4648</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1,452</w:t>
            </w:r>
          </w:p>
        </w:tc>
        <w:tc>
          <w:tcPr>
            <w:tcW w:type="dxa" w:w="1325"/>
            <w:shd w:val="clear" w:color="auto" w:fill="F6F1E6"/>
          </w:tcPr>
          <w:p>
            <w:pPr>
              <w:spacing w:after="20"/>
              <w:jc w:val="right"/>
            </w:pPr>
            <w:r>
              <w:rPr>
                <w:b/>
                <w:color w:val="1C3A36"/>
                <w:sz w:val="17"/>
              </w:rPr>
              <w:t>2,762</w:t>
            </w:r>
          </w:p>
        </w:tc>
        <w:tc>
          <w:tcPr>
            <w:tcW w:type="dxa" w:w="1325"/>
            <w:shd w:val="clear" w:color="auto" w:fill="F6F1E6"/>
          </w:tcPr>
          <w:p>
            <w:pPr>
              <w:spacing w:after="20"/>
              <w:jc w:val="right"/>
            </w:pPr>
            <w:r>
              <w:rPr>
                <w:b/>
                <w:color w:val="1C3A36"/>
                <w:sz w:val="17"/>
              </w:rPr>
              <w:t>2,577</w:t>
            </w:r>
          </w:p>
        </w:tc>
        <w:tc>
          <w:tcPr>
            <w:tcW w:type="dxa" w:w="1325"/>
            <w:shd w:val="clear" w:color="auto" w:fill="F6F1E6"/>
          </w:tcPr>
          <w:p>
            <w:pPr>
              <w:spacing w:after="20"/>
              <w:jc w:val="right"/>
            </w:pPr>
            <w:r>
              <w:rPr>
                <w:b/>
                <w:color w:val="1C3A36"/>
                <w:sz w:val="17"/>
              </w:rPr>
              <w:t>2,381</w:t>
            </w:r>
          </w:p>
        </w:tc>
        <w:tc>
          <w:tcPr>
            <w:tcW w:type="dxa" w:w="1325"/>
            <w:shd w:val="clear" w:color="auto" w:fill="F6F1E6"/>
          </w:tcPr>
          <w:p>
            <w:pPr>
              <w:spacing w:after="20"/>
              <w:jc w:val="right"/>
            </w:pPr>
            <w:r>
              <w:rPr>
                <w:b/>
                <w:color w:val="1C3A36"/>
                <w:sz w:val="17"/>
              </w:rPr>
              <w:t>2,205</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 including where that number runs against the story. Local prices are assumed to grow 51.7% in total across the five years while the INPUT-PRICE index grows 56.6%, so on the published ladders cost outruns price by 3.2%. That is not the cost this model charges. Netting the alternative-fuel saving off the materials line — a funded programme with an asset under construction behind it, not a trend — the cash cost per tonne charged grows 46.9%, which is 3.1% SLOWER than price rather than faster.</w:t>
      </w:r>
    </w:p>
    <w:p>
      <w:pPr>
        <w:spacing w:after="120" w:before="0"/>
      </w:pPr>
      <w:r>
        <w:rPr>
          <w:b w:val="0"/>
          <w:i w:val="0"/>
          <w:color w:val="1C3A36"/>
          <w:sz w:val="21"/>
        </w:rPr>
        <w:t>SO THE MARGIN DOES NOT GIVE BACK, AND EARLIER EDITIONS OF THIS PARAGRAPH SAID IT DID. The EBITDA margin dips once, to 39.0% in FY2026 from the audited 39.3%, and then rises in every year after it to 40.4% by FY2030 — above the best year this company has ever filed, against 23.1% in FY2024 and 22.0% in FY2023. A forecast that ends above a company's best filed year is a claim that needs its mechanism named rather than a sentence saying the opposite, and the mechanism is the alternative-fuel substitution: it is the whole of the gap between the input-price ladder and the cost charged. Strip it out and cost grows 56.6% against price at 51.7%, the wedge turns the other way, and the margin declines instead of rising.</w:t>
      </w:r>
    </w:p>
    <w:p>
      <w:pPr>
        <w:spacing w:after="120" w:before="0"/>
      </w:pPr>
      <w:r>
        <w:rPr>
          <w:b w:val="0"/>
          <w:i w:val="0"/>
          <w:color w:val="1C3A36"/>
          <w:sz w:val="21"/>
        </w:rPr>
        <w:t>THAT IS THE ASSUMPTION IN THIS SECTION MOST WORTH DISAGREEING WITH. It rests on a substitution rate reaching 5.5% of the materials and fuel line by FY2030, on capacity that is funded and being built rather than running. A reader who thinks the programme underdelivers, or that the industry passes cost through faster than assumed, should read the margin sensitivity in section 7: two points of margin is worth about EGP 5.56 a share.</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so holding that exit flat through 2026 would by itself produce a full-year average 7.2% higher. THE STEP THIS FORECAST ACTUALLY CARRIES IS 16.5%, not the 8.0% growth index alone: the model calibrates its FY2026 channel prices to the reviewed half before growing them, and the calibration and the index both sit in that number. It is 9.3% above the flat-exit path rather than under a point above it, and the earlier editions of this paragraph quoted the index and left the calibration out — which understated the step by about half while claiming the forecast was conservative on exactly that ground. The honest statement is narrower: the price path grows BELOW cost inflation in every forecast year, which is where the margin discipline in this study actually sits, and the first-year level is set by a filed half rather than by a view.</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11,376</w:t>
            </w:r>
          </w:p>
        </w:tc>
        <w:tc>
          <w:tcPr>
            <w:tcW w:type="dxa" w:w="2160"/>
          </w:tcPr>
          <w:p>
            <w:pPr>
              <w:spacing w:after="20"/>
              <w:jc w:val="right"/>
            </w:pPr>
            <w:r>
              <w:rPr>
                <w:color w:val="1C3A36"/>
                <w:sz w:val="18"/>
              </w:rPr>
              <w:t>30.35</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16,868</w:t>
            </w:r>
          </w:p>
        </w:tc>
        <w:tc>
          <w:tcPr>
            <w:tcW w:type="dxa" w:w="2160"/>
          </w:tcPr>
          <w:p>
            <w:pPr>
              <w:spacing w:after="20"/>
              <w:jc w:val="right"/>
            </w:pPr>
            <w:r>
              <w:rPr>
                <w:color w:val="1C3A36"/>
                <w:sz w:val="18"/>
              </w:rPr>
              <w:t>45.00</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28,245</w:t>
            </w:r>
          </w:p>
        </w:tc>
        <w:tc>
          <w:tcPr>
            <w:tcW w:type="dxa" w:w="2160"/>
            <w:shd w:val="clear" w:color="auto" w:fill="F6F1E6"/>
          </w:tcPr>
          <w:p>
            <w:pPr>
              <w:spacing w:after="20"/>
              <w:jc w:val="right"/>
            </w:pPr>
            <w:r>
              <w:rPr>
                <w:b/>
                <w:color w:val="1C3A36"/>
                <w:sz w:val="18"/>
              </w:rPr>
              <w:t>75.35</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28,932</w:t>
            </w:r>
          </w:p>
        </w:tc>
        <w:tc>
          <w:tcPr>
            <w:tcW w:type="dxa" w:w="2160"/>
            <w:shd w:val="clear" w:color="auto" w:fill="F6F1E6"/>
          </w:tcPr>
          <w:p>
            <w:pPr>
              <w:spacing w:after="20"/>
              <w:jc w:val="right"/>
            </w:pPr>
            <w:r>
              <w:rPr>
                <w:b/>
                <w:color w:val="1C3A36"/>
                <w:sz w:val="18"/>
              </w:rPr>
              <w:t>77.18</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59.7%</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+0.2%</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1,252mn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0.0007% of equity value. The subsidiaries are 99% to 99.99% owned.</w:t>
      </w:r>
    </w:p>
    <w:p>
      <w:pPr>
        <w:spacing w:after="120" w:before="0"/>
      </w:pPr>
      <w:r>
        <w:rPr>
          <w:b w:val="0"/>
          <w:i w:val="0"/>
          <w:color w:val="1C3A36"/>
          <w:sz w:val="21"/>
        </w:rPr>
        <w:t>At 59.7% of enterprise value, the terminal value carries less of this valuation than the two-thirds to four-fifths a long-horizon discounted cash-flow model usually ends up with, and that is a consequence of the 28.0% explicit-window discount rate rather than a design choice — at that rate the fifth forecast year is already discounted to 46%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45,911mn, being 5.0Mt at USD 130 a tonne, converted at EGP 50.30 to the dollar and carried forward at the model's own cost inflation to the last forecast year — 5.0 x 130 x 50.30 x 1.566. THE ESCALATION IS NOT AN ADJUSTMENT AND IT IS THE OPERAND MOST EASILY MISSED: the terminal is struck in that year's money, so a replacement cost quoted in today's pounds against a profit five years out would compare two different currencies of the same name. In today's pounds the same capacity is EGP 32,695mn. On that basis the return on capital is 11.73% — the last forecast year's operating profit after tax against that capital, both measured at the same date. A figure of 12.6% appears in the earlier editions of this section and is NOT used here: it divides a profit already grown by one year of terminal growth by a capital base that has not grown, which flatters the return by 82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55.8% of terminal profit. Substituting the definitions, that construction collapses to a fixed charge of growth multiplied by invested capital: EGP 3,214mn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2,296mn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11.73% against a terminal rate of 16.7% — 501 basis points BELOW it. Growth therefore DESTROYS value: the cash-flow lens is EGP 77.65 at 3% terminal growth and EGP 77.18 at 7%, so four extra points of perpetual growth take the value DOWN by 0.6%.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24.96%</w:t>
            </w:r>
          </w:p>
        </w:tc>
        <w:tc>
          <w:tcPr>
            <w:tcW w:type="dxa" w:w="1469"/>
          </w:tcPr>
          <w:p>
            <w:pPr>
              <w:spacing w:after="20"/>
              <w:jc w:val="right"/>
            </w:pPr>
            <w:r>
              <w:rPr>
                <w:color w:val="1C3A36"/>
                <w:sz w:val="18"/>
              </w:rPr>
              <w:t>80.29</w:t>
            </w:r>
          </w:p>
        </w:tc>
        <w:tc>
          <w:tcPr>
            <w:tcW w:type="dxa" w:w="1469"/>
          </w:tcPr>
          <w:p>
            <w:pPr>
              <w:spacing w:after="20"/>
              <w:jc w:val="right"/>
            </w:pPr>
            <w:r>
              <w:rPr>
                <w:color w:val="1C3A36"/>
                <w:sz w:val="18"/>
              </w:rPr>
              <w:t>80.31</w:t>
            </w:r>
          </w:p>
        </w:tc>
        <w:tc>
          <w:tcPr>
            <w:tcW w:type="dxa" w:w="1469"/>
          </w:tcPr>
          <w:p>
            <w:pPr>
              <w:spacing w:after="20"/>
              <w:jc w:val="right"/>
            </w:pPr>
            <w:r>
              <w:rPr>
                <w:color w:val="1C3A36"/>
                <w:sz w:val="18"/>
              </w:rPr>
              <w:t>80.26</w:t>
            </w:r>
          </w:p>
        </w:tc>
        <w:tc>
          <w:tcPr>
            <w:tcW w:type="dxa" w:w="1469"/>
          </w:tcPr>
          <w:p>
            <w:pPr>
              <w:spacing w:after="20"/>
              <w:jc w:val="right"/>
            </w:pPr>
            <w:r>
              <w:rPr>
                <w:color w:val="1C3A36"/>
                <w:sz w:val="18"/>
              </w:rPr>
              <w:t>80.10</w:t>
            </w:r>
          </w:p>
        </w:tc>
        <w:tc>
          <w:tcPr>
            <w:tcW w:type="dxa" w:w="1469"/>
          </w:tcPr>
          <w:p>
            <w:pPr>
              <w:spacing w:after="20"/>
              <w:jc w:val="right"/>
            </w:pPr>
            <w:r>
              <w:rPr>
                <w:color w:val="1C3A36"/>
                <w:sz w:val="18"/>
              </w:rPr>
              <w:t>79.80</w:t>
            </w:r>
          </w:p>
        </w:tc>
      </w:tr>
      <w:tr>
        <w:tc>
          <w:tcPr>
            <w:tcW w:type="dxa" w:w="2477"/>
          </w:tcPr>
          <w:p>
            <w:pPr>
              <w:spacing w:after="20"/>
            </w:pPr>
            <w:r>
              <w:rPr>
                <w:color w:val="1C3A36"/>
                <w:sz w:val="18"/>
              </w:rPr>
              <w:t>26.46%</w:t>
            </w:r>
          </w:p>
        </w:tc>
        <w:tc>
          <w:tcPr>
            <w:tcW w:type="dxa" w:w="1469"/>
          </w:tcPr>
          <w:p>
            <w:pPr>
              <w:spacing w:after="20"/>
              <w:jc w:val="right"/>
            </w:pPr>
            <w:r>
              <w:rPr>
                <w:color w:val="1C3A36"/>
                <w:sz w:val="18"/>
              </w:rPr>
              <w:t>78.95</w:t>
            </w:r>
          </w:p>
        </w:tc>
        <w:tc>
          <w:tcPr>
            <w:tcW w:type="dxa" w:w="1469"/>
          </w:tcPr>
          <w:p>
            <w:pPr>
              <w:spacing w:after="20"/>
              <w:jc w:val="right"/>
            </w:pPr>
            <w:r>
              <w:rPr>
                <w:color w:val="1C3A36"/>
                <w:sz w:val="18"/>
              </w:rPr>
              <w:t>78.98</w:t>
            </w:r>
          </w:p>
        </w:tc>
        <w:tc>
          <w:tcPr>
            <w:tcW w:type="dxa" w:w="1469"/>
          </w:tcPr>
          <w:p>
            <w:pPr>
              <w:spacing w:after="20"/>
              <w:jc w:val="right"/>
            </w:pPr>
            <w:r>
              <w:rPr>
                <w:color w:val="1C3A36"/>
                <w:sz w:val="18"/>
              </w:rPr>
              <w:t>78.92</w:t>
            </w:r>
          </w:p>
        </w:tc>
        <w:tc>
          <w:tcPr>
            <w:tcW w:type="dxa" w:w="1469"/>
          </w:tcPr>
          <w:p>
            <w:pPr>
              <w:spacing w:after="20"/>
              <w:jc w:val="right"/>
            </w:pPr>
            <w:r>
              <w:rPr>
                <w:color w:val="1C3A36"/>
                <w:sz w:val="18"/>
              </w:rPr>
              <w:t>78.76</w:t>
            </w:r>
          </w:p>
        </w:tc>
        <w:tc>
          <w:tcPr>
            <w:tcW w:type="dxa" w:w="1469"/>
          </w:tcPr>
          <w:p>
            <w:pPr>
              <w:spacing w:after="20"/>
              <w:jc w:val="right"/>
            </w:pPr>
            <w:r>
              <w:rPr>
                <w:color w:val="1C3A36"/>
                <w:sz w:val="18"/>
              </w:rPr>
              <w:t>78.47</w:t>
            </w:r>
          </w:p>
        </w:tc>
      </w:tr>
      <w:tr>
        <w:tc>
          <w:tcPr>
            <w:tcW w:type="dxa" w:w="2477"/>
          </w:tcPr>
          <w:p>
            <w:pPr>
              <w:spacing w:after="20"/>
            </w:pPr>
            <w:r>
              <w:rPr>
                <w:color w:val="1C3A36"/>
                <w:sz w:val="18"/>
              </w:rPr>
              <w:t>27.96%</w:t>
            </w:r>
          </w:p>
        </w:tc>
        <w:tc>
          <w:tcPr>
            <w:tcW w:type="dxa" w:w="1469"/>
          </w:tcPr>
          <w:p>
            <w:pPr>
              <w:spacing w:after="20"/>
              <w:jc w:val="right"/>
            </w:pPr>
            <w:r>
              <w:rPr>
                <w:color w:val="1C3A36"/>
                <w:sz w:val="18"/>
              </w:rPr>
              <w:t>77.65</w:t>
            </w:r>
          </w:p>
        </w:tc>
        <w:tc>
          <w:tcPr>
            <w:tcW w:type="dxa" w:w="1469"/>
          </w:tcPr>
          <w:p>
            <w:pPr>
              <w:spacing w:after="20"/>
              <w:jc w:val="right"/>
            </w:pPr>
            <w:r>
              <w:rPr>
                <w:color w:val="1C3A36"/>
                <w:sz w:val="18"/>
              </w:rPr>
              <w:t>77.68</w:t>
            </w:r>
          </w:p>
        </w:tc>
        <w:tc>
          <w:tcPr>
            <w:tcW w:type="dxa" w:w="1469"/>
          </w:tcPr>
          <w:p>
            <w:pPr>
              <w:spacing w:after="20"/>
              <w:jc w:val="right"/>
            </w:pPr>
            <w:r>
              <w:rPr>
                <w:color w:val="1C3A36"/>
                <w:sz w:val="18"/>
              </w:rPr>
              <w:t>77.62</w:t>
            </w:r>
          </w:p>
        </w:tc>
        <w:tc>
          <w:tcPr>
            <w:tcW w:type="dxa" w:w="1469"/>
          </w:tcPr>
          <w:p>
            <w:pPr>
              <w:spacing w:after="20"/>
              <w:jc w:val="right"/>
            </w:pPr>
            <w:r>
              <w:rPr>
                <w:color w:val="1C3A36"/>
                <w:sz w:val="18"/>
              </w:rPr>
              <w:t>77.47</w:t>
            </w:r>
          </w:p>
        </w:tc>
        <w:tc>
          <w:tcPr>
            <w:tcW w:type="dxa" w:w="1469"/>
          </w:tcPr>
          <w:p>
            <w:pPr>
              <w:spacing w:after="20"/>
              <w:jc w:val="right"/>
            </w:pPr>
            <w:r>
              <w:rPr>
                <w:color w:val="1C3A36"/>
                <w:sz w:val="18"/>
              </w:rPr>
              <w:t>77.18</w:t>
            </w:r>
          </w:p>
        </w:tc>
      </w:tr>
      <w:tr>
        <w:tc>
          <w:tcPr>
            <w:tcW w:type="dxa" w:w="2477"/>
          </w:tcPr>
          <w:p>
            <w:pPr>
              <w:spacing w:after="20"/>
            </w:pPr>
            <w:r>
              <w:rPr>
                <w:color w:val="1C3A36"/>
                <w:sz w:val="18"/>
              </w:rPr>
              <w:t>29.46%</w:t>
            </w:r>
          </w:p>
        </w:tc>
        <w:tc>
          <w:tcPr>
            <w:tcW w:type="dxa" w:w="1469"/>
          </w:tcPr>
          <w:p>
            <w:pPr>
              <w:spacing w:after="20"/>
              <w:jc w:val="right"/>
            </w:pPr>
            <w:r>
              <w:rPr>
                <w:color w:val="1C3A36"/>
                <w:sz w:val="18"/>
              </w:rPr>
              <w:t>76.38</w:t>
            </w:r>
          </w:p>
        </w:tc>
        <w:tc>
          <w:tcPr>
            <w:tcW w:type="dxa" w:w="1469"/>
          </w:tcPr>
          <w:p>
            <w:pPr>
              <w:spacing w:after="20"/>
              <w:jc w:val="right"/>
            </w:pPr>
            <w:r>
              <w:rPr>
                <w:color w:val="1C3A36"/>
                <w:sz w:val="18"/>
              </w:rPr>
              <w:t>76.41</w:t>
            </w:r>
          </w:p>
        </w:tc>
        <w:tc>
          <w:tcPr>
            <w:tcW w:type="dxa" w:w="1469"/>
          </w:tcPr>
          <w:p>
            <w:pPr>
              <w:spacing w:after="20"/>
              <w:jc w:val="right"/>
            </w:pPr>
            <w:r>
              <w:rPr>
                <w:color w:val="1C3A36"/>
                <w:sz w:val="18"/>
              </w:rPr>
              <w:t>76.35</w:t>
            </w:r>
          </w:p>
        </w:tc>
        <w:tc>
          <w:tcPr>
            <w:tcW w:type="dxa" w:w="1469"/>
          </w:tcPr>
          <w:p>
            <w:pPr>
              <w:spacing w:after="20"/>
              <w:jc w:val="right"/>
            </w:pPr>
            <w:r>
              <w:rPr>
                <w:color w:val="1C3A36"/>
                <w:sz w:val="18"/>
              </w:rPr>
              <w:t>76.20</w:t>
            </w:r>
          </w:p>
        </w:tc>
        <w:tc>
          <w:tcPr>
            <w:tcW w:type="dxa" w:w="1469"/>
          </w:tcPr>
          <w:p>
            <w:pPr>
              <w:spacing w:after="20"/>
              <w:jc w:val="right"/>
            </w:pPr>
            <w:r>
              <w:rPr>
                <w:color w:val="1C3A36"/>
                <w:sz w:val="18"/>
              </w:rPr>
              <w:t>75.92</w:t>
            </w:r>
          </w:p>
        </w:tc>
      </w:tr>
      <w:tr>
        <w:tc>
          <w:tcPr>
            <w:tcW w:type="dxa" w:w="2477"/>
          </w:tcPr>
          <w:p>
            <w:pPr>
              <w:spacing w:after="20"/>
            </w:pPr>
            <w:r>
              <w:rPr>
                <w:color w:val="1C3A36"/>
                <w:sz w:val="18"/>
              </w:rPr>
              <w:t>30.96%</w:t>
            </w:r>
          </w:p>
        </w:tc>
        <w:tc>
          <w:tcPr>
            <w:tcW w:type="dxa" w:w="1469"/>
          </w:tcPr>
          <w:p>
            <w:pPr>
              <w:spacing w:after="20"/>
              <w:jc w:val="right"/>
            </w:pPr>
            <w:r>
              <w:rPr>
                <w:color w:val="1C3A36"/>
                <w:sz w:val="18"/>
              </w:rPr>
              <w:t>75.15</w:t>
            </w:r>
          </w:p>
        </w:tc>
        <w:tc>
          <w:tcPr>
            <w:tcW w:type="dxa" w:w="1469"/>
          </w:tcPr>
          <w:p>
            <w:pPr>
              <w:spacing w:after="20"/>
              <w:jc w:val="right"/>
            </w:pPr>
            <w:r>
              <w:rPr>
                <w:color w:val="1C3A36"/>
                <w:sz w:val="18"/>
              </w:rPr>
              <w:t>75.17</w:t>
            </w:r>
          </w:p>
        </w:tc>
        <w:tc>
          <w:tcPr>
            <w:tcW w:type="dxa" w:w="1469"/>
          </w:tcPr>
          <w:p>
            <w:pPr>
              <w:spacing w:after="20"/>
              <w:jc w:val="right"/>
            </w:pPr>
            <w:r>
              <w:rPr>
                <w:color w:val="1C3A36"/>
                <w:sz w:val="18"/>
              </w:rPr>
              <w:t>75.12</w:t>
            </w:r>
          </w:p>
        </w:tc>
        <w:tc>
          <w:tcPr>
            <w:tcW w:type="dxa" w:w="1469"/>
          </w:tcPr>
          <w:p>
            <w:pPr>
              <w:spacing w:after="20"/>
              <w:jc w:val="right"/>
            </w:pPr>
            <w:r>
              <w:rPr>
                <w:color w:val="1C3A36"/>
                <w:sz w:val="18"/>
              </w:rPr>
              <w:t>74.97</w:t>
            </w:r>
          </w:p>
        </w:tc>
        <w:tc>
          <w:tcPr>
            <w:tcW w:type="dxa" w:w="1469"/>
          </w:tcPr>
          <w:p>
            <w:pPr>
              <w:spacing w:after="20"/>
              <w:jc w:val="right"/>
            </w:pPr>
            <w:r>
              <w:rPr>
                <w:color w:val="1C3A36"/>
                <w:sz w:val="18"/>
              </w:rPr>
              <w:t>74.69</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0.49, against EGP 5.14 down a column. The paragraphs above set out why the growth axis is nearly flat — on a replacement-cost denominator this plant sits within -501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14.7%</w:t>
            </w:r>
          </w:p>
        </w:tc>
        <w:tc>
          <w:tcPr>
            <w:tcW w:type="dxa" w:w="1469"/>
            <w:shd w:val="clear" w:color="auto" w:fill="EAF0EE"/>
          </w:tcPr>
          <w:p>
            <w:pPr>
              <w:spacing w:after="20"/>
            </w:pPr>
            <w:r>
              <w:rPr>
                <w:b/>
                <w:color w:val="1C3A36"/>
                <w:sz w:val="18"/>
              </w:rPr>
              <w:t>15.7%</w:t>
            </w:r>
          </w:p>
        </w:tc>
        <w:tc>
          <w:tcPr>
            <w:tcW w:type="dxa" w:w="1469"/>
            <w:shd w:val="clear" w:color="auto" w:fill="EAF0EE"/>
          </w:tcPr>
          <w:p>
            <w:pPr>
              <w:spacing w:after="20"/>
            </w:pPr>
            <w:r>
              <w:rPr>
                <w:b/>
                <w:color w:val="1C3A36"/>
                <w:sz w:val="18"/>
              </w:rPr>
              <w:t>16.7%</w:t>
            </w:r>
          </w:p>
        </w:tc>
        <w:tc>
          <w:tcPr>
            <w:tcW w:type="dxa" w:w="1469"/>
            <w:shd w:val="clear" w:color="auto" w:fill="EAF0EE"/>
          </w:tcPr>
          <w:p>
            <w:pPr>
              <w:spacing w:after="20"/>
            </w:pPr>
            <w:r>
              <w:rPr>
                <w:b/>
                <w:color w:val="1C3A36"/>
                <w:sz w:val="18"/>
              </w:rPr>
              <w:t>17.7%</w:t>
            </w:r>
          </w:p>
        </w:tc>
        <w:tc>
          <w:tcPr>
            <w:tcW w:type="dxa" w:w="1469"/>
            <w:shd w:val="clear" w:color="auto" w:fill="EAF0EE"/>
          </w:tcPr>
          <w:p>
            <w:pPr>
              <w:spacing w:after="20"/>
            </w:pPr>
            <w:r>
              <w:rPr>
                <w:b/>
                <w:color w:val="1C3A36"/>
                <w:sz w:val="18"/>
              </w:rPr>
              <w:t>18.7%</w:t>
            </w:r>
          </w:p>
        </w:tc>
      </w:tr>
      <w:tr>
        <w:tc>
          <w:tcPr>
            <w:tcW w:type="dxa" w:w="2477"/>
          </w:tcPr>
          <w:p>
            <w:pPr>
              <w:spacing w:after="20"/>
            </w:pPr>
            <w:r>
              <w:rPr>
                <w:color w:val="1C3A36"/>
                <w:sz w:val="18"/>
              </w:rPr>
              <w:t>24.96%</w:t>
            </w:r>
          </w:p>
        </w:tc>
        <w:tc>
          <w:tcPr>
            <w:tcW w:type="dxa" w:w="1469"/>
          </w:tcPr>
          <w:p>
            <w:pPr>
              <w:spacing w:after="20"/>
              <w:jc w:val="right"/>
            </w:pPr>
            <w:r>
              <w:rPr>
                <w:color w:val="1C3A36"/>
                <w:sz w:val="18"/>
              </w:rPr>
              <w:t>95.41</w:t>
            </w:r>
          </w:p>
        </w:tc>
        <w:tc>
          <w:tcPr>
            <w:tcW w:type="dxa" w:w="1469"/>
          </w:tcPr>
          <w:p>
            <w:pPr>
              <w:spacing w:after="20"/>
              <w:jc w:val="right"/>
            </w:pPr>
            <w:r>
              <w:rPr>
                <w:color w:val="1C3A36"/>
                <w:sz w:val="18"/>
              </w:rPr>
              <w:t>86.72</w:t>
            </w:r>
          </w:p>
        </w:tc>
        <w:tc>
          <w:tcPr>
            <w:tcW w:type="dxa" w:w="1469"/>
          </w:tcPr>
          <w:p>
            <w:pPr>
              <w:spacing w:after="20"/>
              <w:jc w:val="right"/>
            </w:pPr>
            <w:r>
              <w:rPr>
                <w:color w:val="1C3A36"/>
                <w:sz w:val="18"/>
              </w:rPr>
              <w:t>79.80</w:t>
            </w:r>
          </w:p>
        </w:tc>
        <w:tc>
          <w:tcPr>
            <w:tcW w:type="dxa" w:w="1469"/>
          </w:tcPr>
          <w:p>
            <w:pPr>
              <w:spacing w:after="20"/>
              <w:jc w:val="right"/>
            </w:pPr>
            <w:r>
              <w:rPr>
                <w:color w:val="1C3A36"/>
                <w:sz w:val="18"/>
              </w:rPr>
              <w:t>74.15</w:t>
            </w:r>
          </w:p>
        </w:tc>
        <w:tc>
          <w:tcPr>
            <w:tcW w:type="dxa" w:w="1469"/>
          </w:tcPr>
          <w:p>
            <w:pPr>
              <w:spacing w:after="20"/>
              <w:jc w:val="right"/>
            </w:pPr>
            <w:r>
              <w:rPr>
                <w:color w:val="1C3A36"/>
                <w:sz w:val="18"/>
              </w:rPr>
              <w:t>69.46</w:t>
            </w:r>
          </w:p>
        </w:tc>
      </w:tr>
      <w:tr>
        <w:tc>
          <w:tcPr>
            <w:tcW w:type="dxa" w:w="2477"/>
          </w:tcPr>
          <w:p>
            <w:pPr>
              <w:spacing w:after="20"/>
            </w:pPr>
            <w:r>
              <w:rPr>
                <w:color w:val="1C3A36"/>
                <w:sz w:val="18"/>
              </w:rPr>
              <w:t>26.46%</w:t>
            </w:r>
          </w:p>
        </w:tc>
        <w:tc>
          <w:tcPr>
            <w:tcW w:type="dxa" w:w="1469"/>
          </w:tcPr>
          <w:p>
            <w:pPr>
              <w:spacing w:after="20"/>
              <w:jc w:val="right"/>
            </w:pPr>
            <w:r>
              <w:rPr>
                <w:color w:val="1C3A36"/>
                <w:sz w:val="18"/>
              </w:rPr>
              <w:t>93.78</w:t>
            </w:r>
          </w:p>
        </w:tc>
        <w:tc>
          <w:tcPr>
            <w:tcW w:type="dxa" w:w="1469"/>
          </w:tcPr>
          <w:p>
            <w:pPr>
              <w:spacing w:after="20"/>
              <w:jc w:val="right"/>
            </w:pPr>
            <w:r>
              <w:rPr>
                <w:color w:val="1C3A36"/>
                <w:sz w:val="18"/>
              </w:rPr>
              <w:t>85.26</w:t>
            </w:r>
          </w:p>
        </w:tc>
        <w:tc>
          <w:tcPr>
            <w:tcW w:type="dxa" w:w="1469"/>
          </w:tcPr>
          <w:p>
            <w:pPr>
              <w:spacing w:after="20"/>
              <w:jc w:val="right"/>
            </w:pPr>
            <w:r>
              <w:rPr>
                <w:color w:val="1C3A36"/>
                <w:sz w:val="18"/>
              </w:rPr>
              <w:t>78.47</w:t>
            </w:r>
          </w:p>
        </w:tc>
        <w:tc>
          <w:tcPr>
            <w:tcW w:type="dxa" w:w="1469"/>
          </w:tcPr>
          <w:p>
            <w:pPr>
              <w:spacing w:after="20"/>
              <w:jc w:val="right"/>
            </w:pPr>
            <w:r>
              <w:rPr>
                <w:color w:val="1C3A36"/>
                <w:sz w:val="18"/>
              </w:rPr>
              <w:t>72.94</w:t>
            </w:r>
          </w:p>
        </w:tc>
        <w:tc>
          <w:tcPr>
            <w:tcW w:type="dxa" w:w="1469"/>
          </w:tcPr>
          <w:p>
            <w:pPr>
              <w:spacing w:after="20"/>
              <w:jc w:val="right"/>
            </w:pPr>
            <w:r>
              <w:rPr>
                <w:color w:val="1C3A36"/>
                <w:sz w:val="18"/>
              </w:rPr>
              <w:t>68.34</w:t>
            </w:r>
          </w:p>
        </w:tc>
      </w:tr>
      <w:tr>
        <w:tc>
          <w:tcPr>
            <w:tcW w:type="dxa" w:w="2477"/>
          </w:tcPr>
          <w:p>
            <w:pPr>
              <w:spacing w:after="20"/>
            </w:pPr>
            <w:r>
              <w:rPr>
                <w:color w:val="1C3A36"/>
                <w:sz w:val="18"/>
              </w:rPr>
              <w:t>27.96%</w:t>
            </w:r>
          </w:p>
        </w:tc>
        <w:tc>
          <w:tcPr>
            <w:tcW w:type="dxa" w:w="1469"/>
          </w:tcPr>
          <w:p>
            <w:pPr>
              <w:spacing w:after="20"/>
              <w:jc w:val="right"/>
            </w:pPr>
            <w:r>
              <w:rPr>
                <w:color w:val="1C3A36"/>
                <w:sz w:val="18"/>
              </w:rPr>
              <w:t>92.19</w:t>
            </w:r>
          </w:p>
        </w:tc>
        <w:tc>
          <w:tcPr>
            <w:tcW w:type="dxa" w:w="1469"/>
          </w:tcPr>
          <w:p>
            <w:pPr>
              <w:spacing w:after="20"/>
              <w:jc w:val="right"/>
            </w:pPr>
            <w:r>
              <w:rPr>
                <w:color w:val="1C3A36"/>
                <w:sz w:val="18"/>
              </w:rPr>
              <w:t>83.83</w:t>
            </w:r>
          </w:p>
        </w:tc>
        <w:tc>
          <w:tcPr>
            <w:tcW w:type="dxa" w:w="1469"/>
          </w:tcPr>
          <w:p>
            <w:pPr>
              <w:spacing w:after="20"/>
              <w:jc w:val="right"/>
            </w:pPr>
            <w:r>
              <w:rPr>
                <w:color w:val="1C3A36"/>
                <w:sz w:val="18"/>
              </w:rPr>
              <w:t>77.18</w:t>
            </w:r>
          </w:p>
        </w:tc>
        <w:tc>
          <w:tcPr>
            <w:tcW w:type="dxa" w:w="1469"/>
          </w:tcPr>
          <w:p>
            <w:pPr>
              <w:spacing w:after="20"/>
              <w:jc w:val="right"/>
            </w:pPr>
            <w:r>
              <w:rPr>
                <w:color w:val="1C3A36"/>
                <w:sz w:val="18"/>
              </w:rPr>
              <w:t>71.75</w:t>
            </w:r>
          </w:p>
        </w:tc>
        <w:tc>
          <w:tcPr>
            <w:tcW w:type="dxa" w:w="1469"/>
          </w:tcPr>
          <w:p>
            <w:pPr>
              <w:spacing w:after="20"/>
              <w:jc w:val="right"/>
            </w:pPr>
            <w:r>
              <w:rPr>
                <w:color w:val="1C3A36"/>
                <w:sz w:val="18"/>
              </w:rPr>
              <w:t>67.24</w:t>
            </w:r>
          </w:p>
        </w:tc>
      </w:tr>
      <w:tr>
        <w:tc>
          <w:tcPr>
            <w:tcW w:type="dxa" w:w="2477"/>
          </w:tcPr>
          <w:p>
            <w:pPr>
              <w:spacing w:after="20"/>
            </w:pPr>
            <w:r>
              <w:rPr>
                <w:color w:val="1C3A36"/>
                <w:sz w:val="18"/>
              </w:rPr>
              <w:t>29.46%</w:t>
            </w:r>
          </w:p>
        </w:tc>
        <w:tc>
          <w:tcPr>
            <w:tcW w:type="dxa" w:w="1469"/>
          </w:tcPr>
          <w:p>
            <w:pPr>
              <w:spacing w:after="20"/>
              <w:jc w:val="right"/>
            </w:pPr>
            <w:r>
              <w:rPr>
                <w:color w:val="1C3A36"/>
                <w:sz w:val="18"/>
              </w:rPr>
              <w:t>90.64</w:t>
            </w:r>
          </w:p>
        </w:tc>
        <w:tc>
          <w:tcPr>
            <w:tcW w:type="dxa" w:w="1469"/>
          </w:tcPr>
          <w:p>
            <w:pPr>
              <w:spacing w:after="20"/>
              <w:jc w:val="right"/>
            </w:pPr>
            <w:r>
              <w:rPr>
                <w:color w:val="1C3A36"/>
                <w:sz w:val="18"/>
              </w:rPr>
              <w:t>82.44</w:t>
            </w:r>
          </w:p>
        </w:tc>
        <w:tc>
          <w:tcPr>
            <w:tcW w:type="dxa" w:w="1469"/>
          </w:tcPr>
          <w:p>
            <w:pPr>
              <w:spacing w:after="20"/>
              <w:jc w:val="right"/>
            </w:pPr>
            <w:r>
              <w:rPr>
                <w:color w:val="1C3A36"/>
                <w:sz w:val="18"/>
              </w:rPr>
              <w:t>75.92</w:t>
            </w:r>
          </w:p>
        </w:tc>
        <w:tc>
          <w:tcPr>
            <w:tcW w:type="dxa" w:w="1469"/>
          </w:tcPr>
          <w:p>
            <w:pPr>
              <w:spacing w:after="20"/>
              <w:jc w:val="right"/>
            </w:pPr>
            <w:r>
              <w:rPr>
                <w:color w:val="1C3A36"/>
                <w:sz w:val="18"/>
              </w:rPr>
              <w:t>70.60</w:t>
            </w:r>
          </w:p>
        </w:tc>
        <w:tc>
          <w:tcPr>
            <w:tcW w:type="dxa" w:w="1469"/>
          </w:tcPr>
          <w:p>
            <w:pPr>
              <w:spacing w:after="20"/>
              <w:jc w:val="right"/>
            </w:pPr>
            <w:r>
              <w:rPr>
                <w:color w:val="1C3A36"/>
                <w:sz w:val="18"/>
              </w:rPr>
              <w:t>66.18</w:t>
            </w:r>
          </w:p>
        </w:tc>
      </w:tr>
      <w:tr>
        <w:tc>
          <w:tcPr>
            <w:tcW w:type="dxa" w:w="2477"/>
          </w:tcPr>
          <w:p>
            <w:pPr>
              <w:spacing w:after="20"/>
            </w:pPr>
            <w:r>
              <w:rPr>
                <w:color w:val="1C3A36"/>
                <w:sz w:val="18"/>
              </w:rPr>
              <w:t>30.96%</w:t>
            </w:r>
          </w:p>
        </w:tc>
        <w:tc>
          <w:tcPr>
            <w:tcW w:type="dxa" w:w="1469"/>
          </w:tcPr>
          <w:p>
            <w:pPr>
              <w:spacing w:after="20"/>
              <w:jc w:val="right"/>
            </w:pPr>
            <w:r>
              <w:rPr>
                <w:color w:val="1C3A36"/>
                <w:sz w:val="18"/>
              </w:rPr>
              <w:t>89.13</w:t>
            </w:r>
          </w:p>
        </w:tc>
        <w:tc>
          <w:tcPr>
            <w:tcW w:type="dxa" w:w="1469"/>
          </w:tcPr>
          <w:p>
            <w:pPr>
              <w:spacing w:after="20"/>
              <w:jc w:val="right"/>
            </w:pPr>
            <w:r>
              <w:rPr>
                <w:color w:val="1C3A36"/>
                <w:sz w:val="18"/>
              </w:rPr>
              <w:t>81.09</w:t>
            </w:r>
          </w:p>
        </w:tc>
        <w:tc>
          <w:tcPr>
            <w:tcW w:type="dxa" w:w="1469"/>
          </w:tcPr>
          <w:p>
            <w:pPr>
              <w:spacing w:after="20"/>
              <w:jc w:val="right"/>
            </w:pPr>
            <w:r>
              <w:rPr>
                <w:color w:val="1C3A36"/>
                <w:sz w:val="18"/>
              </w:rPr>
              <w:t>74.69</w:t>
            </w:r>
          </w:p>
        </w:tc>
        <w:tc>
          <w:tcPr>
            <w:tcW w:type="dxa" w:w="1469"/>
          </w:tcPr>
          <w:p>
            <w:pPr>
              <w:spacing w:after="20"/>
              <w:jc w:val="right"/>
            </w:pPr>
            <w:r>
              <w:rPr>
                <w:color w:val="1C3A36"/>
                <w:sz w:val="18"/>
              </w:rPr>
              <w:t>69.48</w:t>
            </w:r>
          </w:p>
        </w:tc>
        <w:tc>
          <w:tcPr>
            <w:tcW w:type="dxa" w:w="1469"/>
          </w:tcPr>
          <w:p>
            <w:pPr>
              <w:spacing w:after="20"/>
              <w:jc w:val="right"/>
            </w:pPr>
            <w:r>
              <w:rPr>
                <w:color w:val="1C3A36"/>
                <w:sz w:val="18"/>
              </w:rPr>
              <w:t>65.14</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77.31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88.96  (+15.3%)</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81.31  (+5.4%)</w:t>
            </w:r>
          </w:p>
        </w:tc>
      </w:tr>
      <w:tr>
        <w:tc>
          <w:tcPr>
            <w:tcW w:type="dxa" w:w="3672"/>
          </w:tcPr>
          <w:p>
            <w:pPr>
              <w:spacing w:after="20"/>
            </w:pPr>
            <w:r>
              <w:rPr>
                <w:color w:val="1C3A36"/>
                <w:sz w:val="17"/>
              </w:rPr>
              <w:t>Terminal useful life: the disclosed 20 years of machinery and equipment, the class the replacement-cost base actually represents (adopted), vs the longest life disclosed in the same accounting-policies note, 50 years</w:t>
            </w:r>
          </w:p>
        </w:tc>
        <w:tc>
          <w:tcPr>
            <w:tcW w:type="dxa" w:w="1512"/>
          </w:tcPr>
          <w:p>
            <w:pPr>
              <w:spacing w:after="20"/>
              <w:jc w:val="right"/>
            </w:pPr>
            <w:r>
              <w:rPr>
                <w:color w:val="1C3A36"/>
                <w:sz w:val="17"/>
              </w:rPr>
              <w:t>20 years</w:t>
            </w:r>
          </w:p>
        </w:tc>
        <w:tc>
          <w:tcPr>
            <w:tcW w:type="dxa" w:w="1728"/>
          </w:tcPr>
          <w:p>
            <w:pPr>
              <w:spacing w:after="20"/>
              <w:jc w:val="right"/>
            </w:pPr>
            <w:r>
              <w:rPr>
                <w:color w:val="1C3A36"/>
                <w:sz w:val="17"/>
              </w:rPr>
              <w:t>50 years</w:t>
            </w:r>
          </w:p>
        </w:tc>
        <w:tc>
          <w:tcPr>
            <w:tcW w:type="dxa" w:w="2448"/>
          </w:tcPr>
          <w:p>
            <w:pPr>
              <w:spacing w:after="20"/>
              <w:jc w:val="right"/>
            </w:pPr>
            <w:r>
              <w:rPr>
                <w:color w:val="1C3A36"/>
                <w:sz w:val="17"/>
              </w:rPr>
              <w:t>94.54  (+22.5%)</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-7.42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+9.74</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+21.92</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-6.12</w:t>
            </w:r>
          </w:p>
        </w:tc>
        <w:tc>
          <w:tcPr>
            <w:tcW w:type="dxa" w:w="4320"/>
          </w:tcPr>
          <w:p>
            <w:pPr>
              <w:spacing w:after="20"/>
              <w:jc w:val="right"/>
            </w:pPr>
            <w:r>
              <w:rPr>
                <w:color w:val="1C3A36"/>
                <w:sz w:val="17"/>
              </w:rPr>
              <w:t>their flat 20.06% vs our 27.96%-&gt;16.74%</w:t>
            </w:r>
          </w:p>
        </w:tc>
      </w:tr>
      <w:tr>
        <w:tc>
          <w:tcPr>
            <w:tcW w:type="dxa" w:w="3816"/>
          </w:tcPr>
          <w:p>
            <w:pPr>
              <w:spacing w:after="20"/>
            </w:pPr>
            <w:r>
              <w:rPr>
                <w:color w:val="1C3A36"/>
                <w:sz w:val="17"/>
              </w:rPr>
              <w:t>Valuation date 1 Jan -&gt; 30 Jun</w:t>
            </w:r>
          </w:p>
        </w:tc>
        <w:tc>
          <w:tcPr>
            <w:tcW w:type="dxa" w:w="1224"/>
          </w:tcPr>
          <w:p>
            <w:pPr>
              <w:spacing w:after="20"/>
              <w:jc w:val="right"/>
            </w:pPr>
            <w:r>
              <w:rPr>
                <w:color w:val="1C3A36"/>
                <w:sz w:val="17"/>
              </w:rPr>
              <w:t>-3.60</w:t>
            </w:r>
          </w:p>
        </w:tc>
        <w:tc>
          <w:tcPr>
            <w:tcW w:type="dxa" w:w="4320"/>
          </w:tcPr>
          <w:p>
            <w:pPr>
              <w:spacing w:after="20"/>
              <w:jc w:val="right"/>
            </w:pPr>
            <w:r>
              <w:rPr>
                <w:color w:val="1C3A36"/>
                <w:sz w:val="17"/>
              </w:rPr>
              <w:t>-4.96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-0.03</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77.18</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(+7.42 vs +7.42).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+3.84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+3.61. The remaining -0.03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(+9.74,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(+21.92, EFG off mark). They grow FY2030 free cash flow at 2.5% for ever with no charge for keeping the plant standing. A perpetuity has to maintain its own capital: on replacement-cost capital of EGP 45,911 and the 20-year machinery life ARCC's own audited accounting-policies note discloses, that maintenance is EGP 2,296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(-6.12, open — no referee). Their flat 20.06% is applied to FY2026 while the Egyptian 1-year T-bill yields 22.95% -- below the risk-free rate, which is hard to defend. Late in the window it runs the other way. On THEIR calendar, which is the only way to compare a rate against a rate, their year-five factor is 0.4813 against ours of 0.4439, so ours discounts the far end harder. The two work against each other and what is LEFT is this bar, -6.12 a share, which is the number to argue with rather than either convention.</w:t>
      </w:r>
    </w:p>
    <w:p>
      <w:pPr>
        <w:spacing w:after="120" w:before="0"/>
      </w:pPr>
      <w:r>
        <w:rPr>
          <w:b w:val="0"/>
          <w:i w:val="0"/>
          <w:color w:val="1C3A36"/>
          <w:sz w:val="19"/>
        </w:rPr>
        <w:t>Valuation date 1 Jan -&gt; 30 Jun (-3.60,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(-0.03,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77.18</w:t>
            </w:r>
          </w:p>
        </w:tc>
        <w:tc>
          <w:tcPr>
            <w:tcW w:type="dxa" w:w="1728"/>
          </w:tcPr>
          <w:p>
            <w:pPr>
              <w:spacing w:after="20"/>
              <w:jc w:val="right"/>
            </w:pPr>
            <w:r>
              <w:rPr>
                <w:color w:val="1C3A36"/>
                <w:sz w:val="17"/>
              </w:rPr>
              <w:t>+0.2%</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76.32</w:t>
            </w:r>
          </w:p>
        </w:tc>
        <w:tc>
          <w:tcPr>
            <w:tcW w:type="dxa" w:w="1728"/>
          </w:tcPr>
          <w:p>
            <w:pPr>
              <w:spacing w:after="20"/>
              <w:jc w:val="right"/>
            </w:pPr>
            <w:r>
              <w:rPr>
                <w:color w:val="1C3A36"/>
                <w:sz w:val="17"/>
              </w:rPr>
              <w:t>-0.9%</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75.46</w:t>
            </w:r>
          </w:p>
        </w:tc>
        <w:tc>
          <w:tcPr>
            <w:tcW w:type="dxa" w:w="1728"/>
          </w:tcPr>
          <w:p>
            <w:pPr>
              <w:spacing w:after="20"/>
              <w:jc w:val="right"/>
            </w:pPr>
            <w:r>
              <w:rPr>
                <w:color w:val="1C3A36"/>
                <w:sz w:val="17"/>
              </w:rPr>
              <w:t>-2.0%</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52.46</w:t>
            </w:r>
          </w:p>
        </w:tc>
        <w:tc>
          <w:tcPr>
            <w:tcW w:type="dxa" w:w="1728"/>
          </w:tcPr>
          <w:p>
            <w:pPr>
              <w:spacing w:after="20"/>
              <w:jc w:val="right"/>
            </w:pPr>
            <w:r>
              <w:rPr>
                <w:color w:val="1C3A36"/>
                <w:sz w:val="17"/>
              </w:rPr>
              <w:t>-31.9%</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75.46</w:t>
            </w:r>
          </w:p>
        </w:tc>
        <w:tc>
          <w:tcPr>
            <w:tcW w:type="dxa" w:w="1728"/>
          </w:tcPr>
          <w:p>
            <w:pPr>
              <w:spacing w:after="20"/>
              <w:jc w:val="right"/>
            </w:pPr>
            <w:r>
              <w:rPr>
                <w:color w:val="1C3A36"/>
                <w:sz w:val="17"/>
              </w:rPr>
              <w:t>-2.0%</w:t>
            </w:r>
          </w:p>
        </w:tc>
      </w:tr>
    </w:tbl>
    <w:p>
      <w:pPr>
        <w:spacing w:after="40"/>
      </w:pPr>
    </w:p>
    <w:p>
      <w:pPr>
        <w:spacing w:after="200" w:before="0"/>
      </w:pPr>
      <w:r>
        <w:rPr>
          <w:b w:val="0"/>
          <w:i/>
          <w:color w:val="6E7B77"/>
          <w:sz w:val="17"/>
        </w:rPr>
        <w:t>Table 16 — What EFG’s margin view is worth, held against both volume assumptions. Their margin on OUR volumes reaches EGP 75.46, -2.0% against the latest close; their margin AND their volumes together reach EGP 52.46, -31.9%. NEITHER clears the price, and the volume assumption is worth 23.00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77.18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76.32, -0.9%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1.45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29.83</w:t>
            </w:r>
          </w:p>
        </w:tc>
        <w:tc>
          <w:tcPr>
            <w:tcW w:type="dxa" w:w="1440"/>
            <w:shd w:val="clear" w:color="auto" w:fill="F6F1E6"/>
          </w:tcPr>
          <w:p>
            <w:pPr>
              <w:spacing w:after="20"/>
              <w:jc w:val="right"/>
            </w:pPr>
            <w:r>
              <w:rPr>
                <w:b/>
                <w:color w:val="1C3A36"/>
                <w:sz w:val="18"/>
              </w:rPr>
              <w:t>77.18</w:t>
            </w:r>
          </w:p>
        </w:tc>
        <w:tc>
          <w:tcPr>
            <w:tcW w:type="dxa" w:w="1440"/>
            <w:shd w:val="clear" w:color="auto" w:fill="F6F1E6"/>
          </w:tcPr>
          <w:p>
            <w:pPr>
              <w:spacing w:after="20"/>
              <w:jc w:val="right"/>
            </w:pPr>
            <w:r>
              <w:rPr>
                <w:b/>
                <w:color w:val="1C3A36"/>
                <w:sz w:val="18"/>
              </w:rPr>
              <w:t>77.79</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+0.2%</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-61.3%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One sits ABOVE the market price — DCF (cash flow), at EGP 77.18 — and two below: Relative multiples and Asset / replacement cost, at EGP 45.65 and EGP 65.57.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63.89; but those weights were chosen rather than tested, and an average of four methods is a fifth method nobody has checked, carrying every weakness of the weakest at whatever weight somebody typed. The value published here is the cash-flow lens alone, EGP 77.18 against EGP 77.00 — +0.2%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2 of this study's 3 valuation lenses sits BELOW the market, the nearest at +0.2%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77.18, and the conclusion moves from a premium over the market of that day to a discount of +0.2%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 TWO FURTHER FACTORS COME OUT OF THE SAME HALF AND ARE STATED HERE RATHER THAN LEFT TO THE MODEL: the export price is scaled 0.871 times, because export sales of goods FELL over the same half, and the whole cash-cost stack is scaled 0.976 times, because the half's own cost of sales and administrative expenses gross up to EGP 8,056mn against what the uncalibrated model would have charged. The cost factor is not an adjustment to the answer and it is the one that keeps the margin honest: calibrating price to a filed half WITHOUT calibrating cost to the same half would manufacture a margin out of the calibration itself, which is precisely what this study forbids elsewhere. The three move in different directions because that is what the half reports — local price up, export price down, cost down — and all three come from one document.</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11.73% on replacement cost. The terminal block uses replacement cost, which leaves the plant roughly breaking even on new tonnes — 11.73% against a hurdle of 16.74%, so four points of terminal growth are worth -0.6%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73.18</w:t>
            </w:r>
          </w:p>
        </w:tc>
        <w:tc>
          <w:tcPr>
            <w:tcW w:type="dxa" w:w="1325"/>
          </w:tcPr>
          <w:p>
            <w:pPr>
              <w:spacing w:after="20"/>
              <w:jc w:val="right"/>
            </w:pPr>
            <w:r>
              <w:rPr>
                <w:color w:val="1C3A36"/>
                <w:sz w:val="17"/>
              </w:rPr>
              <w:t>75.18</w:t>
            </w:r>
          </w:p>
        </w:tc>
        <w:tc>
          <w:tcPr>
            <w:tcW w:type="dxa" w:w="1325"/>
          </w:tcPr>
          <w:p>
            <w:pPr>
              <w:spacing w:after="20"/>
              <w:jc w:val="right"/>
            </w:pPr>
            <w:r>
              <w:rPr>
                <w:color w:val="1C3A36"/>
                <w:sz w:val="17"/>
              </w:rPr>
              <w:t>77.18</w:t>
            </w:r>
          </w:p>
        </w:tc>
        <w:tc>
          <w:tcPr>
            <w:tcW w:type="dxa" w:w="1325"/>
          </w:tcPr>
          <w:p>
            <w:pPr>
              <w:spacing w:after="20"/>
              <w:jc w:val="right"/>
            </w:pPr>
            <w:r>
              <w:rPr>
                <w:color w:val="1C3A36"/>
                <w:sz w:val="17"/>
              </w:rPr>
              <w:t>79.18</w:t>
            </w:r>
          </w:p>
        </w:tc>
        <w:tc>
          <w:tcPr>
            <w:tcW w:type="dxa" w:w="1325"/>
          </w:tcPr>
          <w:p>
            <w:pPr>
              <w:spacing w:after="20"/>
              <w:jc w:val="right"/>
            </w:pPr>
            <w:r>
              <w:rPr>
                <w:color w:val="1C3A36"/>
                <w:sz w:val="17"/>
              </w:rPr>
              <w:t>81.18</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71.62</w:t>
            </w:r>
          </w:p>
        </w:tc>
        <w:tc>
          <w:tcPr>
            <w:tcW w:type="dxa" w:w="1325"/>
          </w:tcPr>
          <w:p>
            <w:pPr>
              <w:spacing w:after="20"/>
              <w:jc w:val="right"/>
            </w:pPr>
            <w:r>
              <w:rPr>
                <w:color w:val="1C3A36"/>
                <w:sz w:val="17"/>
              </w:rPr>
              <w:t>77.18</w:t>
            </w:r>
          </w:p>
        </w:tc>
        <w:tc>
          <w:tcPr>
            <w:tcW w:type="dxa" w:w="1325"/>
          </w:tcPr>
          <w:p>
            <w:pPr>
              <w:spacing w:after="20"/>
              <w:jc w:val="right"/>
            </w:pPr>
            <w:r>
              <w:rPr>
                <w:color w:val="1C3A36"/>
                <w:sz w:val="17"/>
              </w:rPr>
              <w:t>82.74</w:t>
            </w:r>
          </w:p>
        </w:tc>
        <w:tc>
          <w:tcPr>
            <w:tcW w:type="dxa" w:w="1325"/>
          </w:tcPr>
          <w:p>
            <w:pPr>
              <w:spacing w:after="20"/>
              <w:jc w:val="right"/>
            </w:pPr>
            <w:r>
              <w:rPr>
                <w:color w:val="1C3A36"/>
                <w:sz w:val="17"/>
              </w:rPr>
              <w:t>88.30</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Plus other operating income</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50</w:t>
            </w:r>
          </w:p>
        </w:tc>
        <w:tc>
          <w:tcPr>
            <w:tcW w:type="dxa" w:w="997"/>
          </w:tcPr>
          <w:p>
            <w:pPr>
              <w:spacing w:after="20"/>
              <w:jc w:val="right"/>
            </w:pPr>
            <w:r>
              <w:rPr>
                <w:color w:val="1C3A36"/>
                <w:sz w:val="16"/>
              </w:rPr>
              <w:t>54</w:t>
            </w:r>
          </w:p>
        </w:tc>
        <w:tc>
          <w:tcPr>
            <w:tcW w:type="dxa" w:w="997"/>
          </w:tcPr>
          <w:p>
            <w:pPr>
              <w:spacing w:after="20"/>
              <w:jc w:val="right"/>
            </w:pPr>
            <w:r>
              <w:rPr>
                <w:color w:val="1C3A36"/>
                <w:sz w:val="16"/>
              </w:rPr>
              <w:t>57</w:t>
            </w:r>
          </w:p>
        </w:tc>
        <w:tc>
          <w:tcPr>
            <w:tcW w:type="dxa" w:w="997"/>
          </w:tcPr>
          <w:p>
            <w:pPr>
              <w:spacing w:after="20"/>
              <w:jc w:val="right"/>
            </w:pPr>
            <w:r>
              <w:rPr>
                <w:color w:val="1C3A36"/>
                <w:sz w:val="16"/>
              </w:rPr>
              <w:t>60</w:t>
            </w:r>
          </w:p>
        </w:tc>
        <w:tc>
          <w:tcPr>
            <w:tcW w:type="dxa" w:w="997"/>
          </w:tcPr>
          <w:p>
            <w:pPr>
              <w:spacing w:after="20"/>
              <w:jc w:val="right"/>
            </w:pPr>
            <w:r>
              <w:rPr>
                <w:color w:val="1C3A36"/>
                <w:sz w:val="16"/>
              </w:rPr>
              <w:t>62</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358</w:t>
            </w:r>
          </w:p>
        </w:tc>
        <w:tc>
          <w:tcPr>
            <w:tcW w:type="dxa" w:w="997"/>
          </w:tcPr>
          <w:p>
            <w:pPr>
              <w:spacing w:after="20"/>
              <w:jc w:val="right"/>
            </w:pPr>
            <w:r>
              <w:rPr>
                <w:color w:val="1C3A36"/>
                <w:sz w:val="16"/>
              </w:rPr>
              <w:t>495</w:t>
            </w:r>
          </w:p>
        </w:tc>
        <w:tc>
          <w:tcPr>
            <w:tcW w:type="dxa" w:w="997"/>
          </w:tcPr>
          <w:p>
            <w:pPr>
              <w:spacing w:after="20"/>
              <w:jc w:val="right"/>
            </w:pPr>
            <w:r>
              <w:rPr>
                <w:color w:val="1C3A36"/>
                <w:sz w:val="16"/>
              </w:rPr>
              <w:t>662</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6,498</w:t>
            </w:r>
          </w:p>
        </w:tc>
        <w:tc>
          <w:tcPr>
            <w:tcW w:type="dxa" w:w="997"/>
          </w:tcPr>
          <w:p>
            <w:pPr>
              <w:spacing w:after="20"/>
              <w:jc w:val="right"/>
            </w:pPr>
            <w:r>
              <w:rPr>
                <w:color w:val="1C3A36"/>
                <w:sz w:val="16"/>
              </w:rPr>
              <w:t>7,101</w:t>
            </w:r>
          </w:p>
        </w:tc>
        <w:tc>
          <w:tcPr>
            <w:tcW w:type="dxa" w:w="997"/>
          </w:tcPr>
          <w:p>
            <w:pPr>
              <w:spacing w:after="20"/>
              <w:jc w:val="right"/>
            </w:pPr>
            <w:r>
              <w:rPr>
                <w:color w:val="1C3A36"/>
                <w:sz w:val="16"/>
              </w:rPr>
              <w:t>7,731</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(1,691)</w:t>
            </w:r>
          </w:p>
        </w:tc>
        <w:tc>
          <w:tcPr>
            <w:tcW w:type="dxa" w:w="997"/>
          </w:tcPr>
          <w:p>
            <w:pPr>
              <w:spacing w:after="20"/>
              <w:jc w:val="right"/>
            </w:pPr>
            <w:r>
              <w:rPr>
                <w:color w:val="1C3A36"/>
                <w:sz w:val="16"/>
              </w:rPr>
              <w:t>(1,841)</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4,950</w:t>
            </w:r>
          </w:p>
        </w:tc>
        <w:tc>
          <w:tcPr>
            <w:tcW w:type="dxa" w:w="997"/>
            <w:shd w:val="clear" w:color="auto" w:fill="F6F1E6"/>
          </w:tcPr>
          <w:p>
            <w:pPr>
              <w:spacing w:after="20"/>
              <w:jc w:val="right"/>
            </w:pPr>
            <w:r>
              <w:rPr>
                <w:b/>
                <w:color w:val="1C3A36"/>
                <w:sz w:val="16"/>
              </w:rPr>
              <w:t>5,409</w:t>
            </w:r>
          </w:p>
        </w:tc>
        <w:tc>
          <w:tcPr>
            <w:tcW w:type="dxa" w:w="997"/>
            <w:shd w:val="clear" w:color="auto" w:fill="F6F1E6"/>
          </w:tcPr>
          <w:p>
            <w:pPr>
              <w:spacing w:after="20"/>
              <w:jc w:val="right"/>
            </w:pPr>
            <w:r>
              <w:rPr>
                <w:b/>
                <w:color w:val="1C3A36"/>
                <w:sz w:val="16"/>
              </w:rPr>
              <w:t>5,889</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TWO ROWS CHANGE BASIS BETWEEN THE AUDITED AND FORECAST HALVES AND BOTH ARE STATED RATHER THAN LEFT FOR A READER TO DISCOVER. Operating profit is EBITDA less depreciation in the audited years and EBITDA less depreciation PLUS other operating income in the forecast years, which is why that line is printed. And the audited earnings per share is the PUBLISHED figure, struck on distributable profit after the statutory employees' and directors' share — EGP 9.49 in FY2025 against EGP 9.60 on profit over the share count — while the forecast years are profit over the share count, since this model does not forecast that statutory appropriation. The step at the boundary is a change of basis, not a change in the business.</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12,644</w:t>
            </w:r>
          </w:p>
        </w:tc>
        <w:tc>
          <w:tcPr>
            <w:tcW w:type="dxa" w:w="997"/>
            <w:shd w:val="clear" w:color="auto" w:fill="F6F1E6"/>
          </w:tcPr>
          <w:p>
            <w:pPr>
              <w:spacing w:after="20"/>
              <w:jc w:val="right"/>
            </w:pPr>
            <w:r>
              <w:rPr>
                <w:b/>
                <w:color w:val="1C3A36"/>
                <w:sz w:val="16"/>
              </w:rPr>
              <w:t>15,046</w:t>
            </w:r>
          </w:p>
        </w:tc>
        <w:tc>
          <w:tcPr>
            <w:tcW w:type="dxa" w:w="997"/>
            <w:shd w:val="clear" w:color="auto" w:fill="F6F1E6"/>
          </w:tcPr>
          <w:p>
            <w:pPr>
              <w:spacing w:after="20"/>
              <w:jc w:val="right"/>
            </w:pPr>
            <w:r>
              <w:rPr>
                <w:b/>
                <w:color w:val="1C3A36"/>
                <w:sz w:val="16"/>
              </w:rPr>
              <w:t>17,661</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2,506</w:t>
            </w:r>
          </w:p>
        </w:tc>
        <w:tc>
          <w:tcPr>
            <w:tcW w:type="dxa" w:w="997"/>
          </w:tcPr>
          <w:p>
            <w:pPr>
              <w:spacing w:after="20"/>
              <w:jc w:val="right"/>
            </w:pPr>
            <w:r>
              <w:rPr>
                <w:color w:val="1C3A36"/>
                <w:sz w:val="16"/>
              </w:rPr>
              <w:t>3,709</w:t>
            </w:r>
          </w:p>
        </w:tc>
        <w:tc>
          <w:tcPr>
            <w:tcW w:type="dxa" w:w="997"/>
          </w:tcPr>
          <w:p>
            <w:pPr>
              <w:spacing w:after="20"/>
              <w:jc w:val="right"/>
            </w:pPr>
            <w:r>
              <w:rPr>
                <w:color w:val="1C3A36"/>
                <w:sz w:val="16"/>
              </w:rPr>
              <w:t>5,185</w:t>
            </w:r>
          </w:p>
        </w:tc>
        <w:tc>
          <w:tcPr>
            <w:tcW w:type="dxa" w:w="997"/>
          </w:tcPr>
          <w:p>
            <w:pPr>
              <w:spacing w:after="20"/>
              <w:jc w:val="right"/>
            </w:pPr>
            <w:r>
              <w:rPr>
                <w:color w:val="1C3A36"/>
                <w:sz w:val="16"/>
              </w:rPr>
              <w:t>6,913</w:t>
            </w:r>
          </w:p>
        </w:tc>
        <w:tc>
          <w:tcPr>
            <w:tcW w:type="dxa" w:w="997"/>
          </w:tcPr>
          <w:p>
            <w:pPr>
              <w:spacing w:after="20"/>
              <w:jc w:val="right"/>
            </w:pPr>
            <w:r>
              <w:rPr>
                <w:color w:val="1C3A36"/>
                <w:sz w:val="16"/>
              </w:rPr>
              <w:t>8,886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-1,371</w:t>
            </w:r>
          </w:p>
        </w:tc>
        <w:tc>
          <w:tcPr>
            <w:tcW w:type="dxa" w:w="997"/>
          </w:tcPr>
          <w:p>
            <w:pPr>
              <w:spacing w:after="20"/>
              <w:jc w:val="right"/>
            </w:pPr>
            <w:r>
              <w:rPr>
                <w:color w:val="1C3A36"/>
                <w:sz w:val="16"/>
              </w:rPr>
              <w:t>-2,574</w:t>
            </w:r>
          </w:p>
        </w:tc>
        <w:tc>
          <w:tcPr>
            <w:tcW w:type="dxa" w:w="997"/>
          </w:tcPr>
          <w:p>
            <w:pPr>
              <w:spacing w:after="20"/>
              <w:jc w:val="right"/>
            </w:pPr>
            <w:r>
              <w:rPr>
                <w:color w:val="1C3A36"/>
                <w:sz w:val="16"/>
              </w:rPr>
              <w:t>-4,050</w:t>
            </w:r>
          </w:p>
        </w:tc>
        <w:tc>
          <w:tcPr>
            <w:tcW w:type="dxa" w:w="997"/>
          </w:tcPr>
          <w:p>
            <w:pPr>
              <w:spacing w:after="20"/>
              <w:jc w:val="right"/>
            </w:pPr>
            <w:r>
              <w:rPr>
                <w:color w:val="1C3A36"/>
                <w:sz w:val="16"/>
              </w:rPr>
              <w:t>-5,778</w:t>
            </w:r>
          </w:p>
        </w:tc>
        <w:tc>
          <w:tcPr>
            <w:tcW w:type="dxa" w:w="997"/>
          </w:tcPr>
          <w:p>
            <w:pPr>
              <w:spacing w:after="20"/>
              <w:jc w:val="right"/>
            </w:pPr>
            <w:r>
              <w:rPr>
                <w:color w:val="1C3A36"/>
                <w:sz w:val="16"/>
              </w:rPr>
              <w:t>-7,751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13,520</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22.68</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4,950</w:t>
            </w:r>
          </w:p>
        </w:tc>
        <w:tc>
          <w:tcPr>
            <w:tcW w:type="dxa" w:w="1325"/>
          </w:tcPr>
          <w:p>
            <w:pPr>
              <w:spacing w:after="20"/>
              <w:jc w:val="right"/>
            </w:pPr>
            <w:r>
              <w:rPr>
                <w:color w:val="1C3A36"/>
                <w:sz w:val="17"/>
              </w:rPr>
              <w:t>5,409</w:t>
            </w:r>
          </w:p>
        </w:tc>
        <w:tc>
          <w:tcPr>
            <w:tcW w:type="dxa" w:w="1325"/>
          </w:tcPr>
          <w:p>
            <w:pPr>
              <w:spacing w:after="20"/>
              <w:jc w:val="right"/>
            </w:pPr>
            <w:r>
              <w:rPr>
                <w:color w:val="1C3A36"/>
                <w:sz w:val="17"/>
              </w:rPr>
              <w:t>5,889</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-111</w:t>
            </w:r>
          </w:p>
        </w:tc>
        <w:tc>
          <w:tcPr>
            <w:tcW w:type="dxa" w:w="1325"/>
          </w:tcPr>
          <w:p>
            <w:pPr>
              <w:spacing w:after="20"/>
              <w:jc w:val="right"/>
            </w:pPr>
            <w:r>
              <w:rPr>
                <w:color w:val="1C3A36"/>
                <w:sz w:val="17"/>
              </w:rPr>
              <w:t>-201</w:t>
            </w:r>
          </w:p>
        </w:tc>
        <w:tc>
          <w:tcPr>
            <w:tcW w:type="dxa" w:w="1325"/>
          </w:tcPr>
          <w:p>
            <w:pPr>
              <w:spacing w:after="20"/>
              <w:jc w:val="right"/>
            </w:pPr>
            <w:r>
              <w:rPr>
                <w:color w:val="1C3A36"/>
                <w:sz w:val="17"/>
              </w:rPr>
              <w:t>-179</w:t>
            </w:r>
          </w:p>
        </w:tc>
        <w:tc>
          <w:tcPr>
            <w:tcW w:type="dxa" w:w="1325"/>
          </w:tcPr>
          <w:p>
            <w:pPr>
              <w:spacing w:after="20"/>
              <w:jc w:val="right"/>
            </w:pPr>
            <w:r>
              <w:rPr>
                <w:color w:val="1C3A36"/>
                <w:sz w:val="17"/>
              </w:rPr>
              <w:t>-153</w:t>
            </w:r>
          </w:p>
        </w:tc>
        <w:tc>
          <w:tcPr>
            <w:tcW w:type="dxa" w:w="1325"/>
          </w:tcPr>
          <w:p>
            <w:pPr>
              <w:spacing w:after="20"/>
              <w:jc w:val="right"/>
            </w:pPr>
            <w:r>
              <w:rPr>
                <w:color w:val="1C3A36"/>
                <w:sz w:val="17"/>
              </w:rPr>
              <w:t>-153</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-2,752</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-3,274</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2,506</w:t>
            </w:r>
          </w:p>
        </w:tc>
        <w:tc>
          <w:tcPr>
            <w:tcW w:type="dxa" w:w="1325"/>
            <w:shd w:val="clear" w:color="auto" w:fill="F6F1E6"/>
          </w:tcPr>
          <w:p>
            <w:pPr>
              <w:spacing w:after="20"/>
              <w:jc w:val="right"/>
            </w:pPr>
            <w:r>
              <w:rPr>
                <w:b/>
                <w:color w:val="1C3A36"/>
                <w:sz w:val="17"/>
              </w:rPr>
              <w:t>3,709</w:t>
            </w:r>
          </w:p>
        </w:tc>
        <w:tc>
          <w:tcPr>
            <w:tcW w:type="dxa" w:w="1325"/>
            <w:shd w:val="clear" w:color="auto" w:fill="F6F1E6"/>
          </w:tcPr>
          <w:p>
            <w:pPr>
              <w:spacing w:after="20"/>
              <w:jc w:val="right"/>
            </w:pPr>
            <w:r>
              <w:rPr>
                <w:b/>
                <w:color w:val="1C3A36"/>
                <w:sz w:val="17"/>
              </w:rPr>
              <w:t>5,185</w:t>
            </w:r>
          </w:p>
        </w:tc>
        <w:tc>
          <w:tcPr>
            <w:tcW w:type="dxa" w:w="1325"/>
            <w:shd w:val="clear" w:color="auto" w:fill="F6F1E6"/>
          </w:tcPr>
          <w:p>
            <w:pPr>
              <w:spacing w:after="20"/>
              <w:jc w:val="right"/>
            </w:pPr>
            <w:r>
              <w:rPr>
                <w:b/>
                <w:color w:val="1C3A36"/>
                <w:sz w:val="17"/>
              </w:rPr>
              <w:t>6,913</w:t>
            </w:r>
          </w:p>
        </w:tc>
        <w:tc>
          <w:tcPr>
            <w:tcW w:type="dxa" w:w="1325"/>
            <w:shd w:val="clear" w:color="auto" w:fill="F6F1E6"/>
          </w:tcPr>
          <w:p>
            <w:pPr>
              <w:spacing w:after="20"/>
              <w:jc w:val="right"/>
            </w:pPr>
            <w:r>
              <w:rPr>
                <w:b/>
                <w:color w:val="1C3A36"/>
                <w:sz w:val="17"/>
              </w:rPr>
              <w:t>8,886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1,544</w:t>
            </w:r>
          </w:p>
        </w:tc>
        <w:tc>
          <w:tcPr>
            <w:tcW w:type="dxa" w:w="1325"/>
          </w:tcPr>
          <w:p>
            <w:pPr>
              <w:spacing w:after="20"/>
              <w:jc w:val="right"/>
            </w:pPr>
            <w:r>
              <w:rPr>
                <w:color w:val="1C3A36"/>
                <w:sz w:val="17"/>
              </w:rPr>
              <w:t>3,476</w:t>
            </w:r>
          </w:p>
        </w:tc>
        <w:tc>
          <w:tcPr>
            <w:tcW w:type="dxa" w:w="1325"/>
          </w:tcPr>
          <w:p>
            <w:pPr>
              <w:spacing w:after="20"/>
              <w:jc w:val="right"/>
            </w:pPr>
            <w:r>
              <w:rPr>
                <w:color w:val="1C3A36"/>
                <w:sz w:val="17"/>
              </w:rPr>
              <w:t>3,955</w:t>
            </w:r>
          </w:p>
        </w:tc>
        <w:tc>
          <w:tcPr>
            <w:tcW w:type="dxa" w:w="1325"/>
          </w:tcPr>
          <w:p>
            <w:pPr>
              <w:spacing w:after="20"/>
              <w:jc w:val="right"/>
            </w:pPr>
            <w:r>
              <w:rPr>
                <w:color w:val="1C3A36"/>
                <w:sz w:val="17"/>
              </w:rPr>
              <w:t>4,359</w:t>
            </w:r>
          </w:p>
        </w:tc>
        <w:tc>
          <w:tcPr>
            <w:tcW w:type="dxa" w:w="1325"/>
          </w:tcPr>
          <w:p>
            <w:pPr>
              <w:spacing w:after="20"/>
              <w:jc w:val="right"/>
            </w:pPr>
            <w:r>
              <w:rPr>
                <w:color w:val="1C3A36"/>
                <w:sz w:val="17"/>
              </w:rPr>
              <w:t>4,743</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pPr>
        <w:spacing w:after="80" w:before="200"/>
      </w:pPr>
      <w:r>
        <w:rPr>
          <w:b/>
          <w:i w:val="0"/>
          <w:color w:val="1C3A36"/>
          <w:sz w:val="24"/>
        </w:rPr>
        <w:t>A.4  Years three to five as ranges — this company's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656"/>
        <w:gridCol w:w="1656"/>
        <w:gridCol w:w="1656"/>
      </w:tblGrid>
      <w:tr>
        <w:tc>
          <w:tcPr>
            <w:tcW w:type="dxa" w:w="3528"/>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FY2028E</w:t>
            </w:r>
          </w:p>
        </w:tc>
        <w:tc>
          <w:tcPr>
            <w:tcW w:type="dxa" w:w="1656"/>
            <w:shd w:val="clear" w:color="auto" w:fill="EAF0EE"/>
          </w:tcPr>
          <w:p>
            <w:pPr>
              <w:spacing w:after="20"/>
            </w:pPr>
            <w:r>
              <w:rPr>
                <w:b/>
                <w:color w:val="1C3A36"/>
                <w:sz w:val="16"/>
              </w:rPr>
              <w:t>FY2029E</w:t>
            </w:r>
          </w:p>
        </w:tc>
        <w:tc>
          <w:tcPr>
            <w:tcW w:type="dxa" w:w="1656"/>
            <w:shd w:val="clear" w:color="auto" w:fill="EAF0EE"/>
          </w:tcPr>
          <w:p>
            <w:pPr>
              <w:spacing w:after="20"/>
            </w:pPr>
            <w:r>
              <w:rPr>
                <w:b/>
                <w:color w:val="1C3A36"/>
                <w:sz w:val="16"/>
              </w:rPr>
              <w:t>FY2030E</w:t>
            </w:r>
          </w:p>
        </w:tc>
      </w:tr>
      <w:tr>
        <w:tc>
          <w:tcPr>
            <w:tcW w:type="dxa" w:w="3528"/>
          </w:tcPr>
          <w:p>
            <w:pPr>
              <w:spacing w:after="20"/>
            </w:pPr>
            <w:r>
              <w:rPr>
                <w:color w:val="1C3A36"/>
                <w:sz w:val="16"/>
              </w:rPr>
              <w:t>Revenue — point (EGP mn)</w:t>
            </w:r>
          </w:p>
        </w:tc>
        <w:tc>
          <w:tcPr>
            <w:tcW w:type="dxa" w:w="1656"/>
          </w:tcPr>
          <w:p>
            <w:pPr>
              <w:spacing w:after="20"/>
              <w:jc w:val="right"/>
            </w:pPr>
            <w:r>
              <w:rPr>
                <w:color w:val="1C3A36"/>
                <w:sz w:val="16"/>
              </w:rPr>
              <w:t>16,440</w:t>
            </w:r>
          </w:p>
        </w:tc>
        <w:tc>
          <w:tcPr>
            <w:tcW w:type="dxa" w:w="1656"/>
          </w:tcPr>
          <w:p>
            <w:pPr>
              <w:spacing w:after="20"/>
              <w:jc w:val="right"/>
            </w:pPr>
            <w:r>
              <w:rPr>
                <w:color w:val="1C3A36"/>
                <w:sz w:val="16"/>
              </w:rPr>
              <w:t>17,688</w:t>
            </w:r>
          </w:p>
        </w:tc>
        <w:tc>
          <w:tcPr>
            <w:tcW w:type="dxa" w:w="1656"/>
          </w:tcPr>
          <w:p>
            <w:pPr>
              <w:spacing w:after="20"/>
              <w:jc w:val="right"/>
            </w:pPr>
            <w:r>
              <w:rPr>
                <w:color w:val="1C3A36"/>
                <w:sz w:val="16"/>
              </w:rPr>
              <w:t>18,934</w:t>
            </w:r>
          </w:p>
        </w:tc>
      </w:tr>
      <w:tr>
        <w:tc>
          <w:tcPr>
            <w:tcW w:type="dxa" w:w="3528"/>
          </w:tcPr>
          <w:p>
            <w:pPr>
              <w:spacing w:after="20"/>
            </w:pPr>
            <w:r>
              <w:rPr>
                <w:color w:val="1C3A36"/>
                <w:sz w:val="16"/>
              </w:rPr>
              <w:t>Revenue — low of the range</w:t>
            </w:r>
          </w:p>
        </w:tc>
        <w:tc>
          <w:tcPr>
            <w:tcW w:type="dxa" w:w="1656"/>
          </w:tcPr>
          <w:p>
            <w:pPr>
              <w:spacing w:after="20"/>
              <w:jc w:val="right"/>
            </w:pPr>
            <w:r>
              <w:rPr>
                <w:color w:val="1C3A36"/>
                <w:sz w:val="16"/>
              </w:rPr>
              <w:t>8,062</w:t>
            </w:r>
          </w:p>
        </w:tc>
        <w:tc>
          <w:tcPr>
            <w:tcW w:type="dxa" w:w="1656"/>
          </w:tcPr>
          <w:p>
            <w:pPr>
              <w:spacing w:after="20"/>
              <w:jc w:val="right"/>
            </w:pPr>
            <w:r>
              <w:rPr>
                <w:color w:val="1C3A36"/>
                <w:sz w:val="16"/>
              </w:rPr>
              <w:t>14,344</w:t>
            </w:r>
          </w:p>
        </w:tc>
        <w:tc>
          <w:tcPr>
            <w:tcW w:type="dxa" w:w="1656"/>
          </w:tcPr>
          <w:p>
            <w:pPr>
              <w:spacing w:after="20"/>
              <w:jc w:val="right"/>
            </w:pPr>
            <w:r>
              <w:rPr>
                <w:color w:val="1C3A36"/>
                <w:sz w:val="16"/>
              </w:rPr>
              <w:t>17,168</w:t>
            </w:r>
          </w:p>
        </w:tc>
      </w:tr>
      <w:tr>
        <w:tc>
          <w:tcPr>
            <w:tcW w:type="dxa" w:w="3528"/>
          </w:tcPr>
          <w:p>
            <w:pPr>
              <w:spacing w:after="20"/>
            </w:pPr>
            <w:r>
              <w:rPr>
                <w:color w:val="1C3A36"/>
                <w:sz w:val="16"/>
              </w:rPr>
              <w:t>Revenue — high of the range</w:t>
            </w:r>
          </w:p>
        </w:tc>
        <w:tc>
          <w:tcPr>
            <w:tcW w:type="dxa" w:w="1656"/>
          </w:tcPr>
          <w:p>
            <w:pPr>
              <w:spacing w:after="20"/>
              <w:jc w:val="right"/>
            </w:pPr>
            <w:r>
              <w:rPr>
                <w:color w:val="1C3A36"/>
                <w:sz w:val="16"/>
              </w:rPr>
              <w:t>49,203</w:t>
            </w:r>
          </w:p>
        </w:tc>
        <w:tc>
          <w:tcPr>
            <w:tcW w:type="dxa" w:w="1656"/>
          </w:tcPr>
          <w:p>
            <w:pPr>
              <w:spacing w:after="20"/>
              <w:jc w:val="right"/>
            </w:pPr>
            <w:r>
              <w:rPr>
                <w:color w:val="1C3A36"/>
                <w:sz w:val="16"/>
              </w:rPr>
              <w:t>71,149</w:t>
            </w:r>
          </w:p>
        </w:tc>
        <w:tc>
          <w:tcPr>
            <w:tcW w:type="dxa" w:w="1656"/>
          </w:tcPr>
          <w:p>
            <w:pPr>
              <w:spacing w:after="20"/>
              <w:jc w:val="right"/>
            </w:pPr>
            <w:r>
              <w:rPr>
                <w:color w:val="1C3A36"/>
                <w:sz w:val="16"/>
              </w:rPr>
              <w:t>71,453</w:t>
            </w:r>
          </w:p>
        </w:tc>
      </w:tr>
      <w:tr>
        <w:tc>
          <w:tcPr>
            <w:tcW w:type="dxa" w:w="3528"/>
            <w:shd w:val="clear" w:color="auto" w:fill="F6F1E6"/>
          </w:tcPr>
          <w:p>
            <w:pPr>
              <w:spacing w:after="20"/>
            </w:pPr>
            <w:r>
              <w:rPr>
                <w:b/>
                <w:color w:val="1C3A36"/>
                <w:sz w:val="16"/>
              </w:rPr>
              <w:t>Cement and clinker sold — point (mn t)</w:t>
            </w:r>
          </w:p>
        </w:tc>
        <w:tc>
          <w:tcPr>
            <w:tcW w:type="dxa" w:w="1656"/>
            <w:shd w:val="clear" w:color="auto" w:fill="F6F1E6"/>
          </w:tcPr>
          <w:p>
            <w:pPr>
              <w:spacing w:after="20"/>
              <w:jc w:val="right"/>
            </w:pPr>
            <w:r>
              <w:rPr>
                <w:b/>
                <w:color w:val="1C3A36"/>
                <w:sz w:val="16"/>
              </w:rPr>
              <w:t>4.89</w:t>
            </w:r>
          </w:p>
        </w:tc>
        <w:tc>
          <w:tcPr>
            <w:tcW w:type="dxa" w:w="1656"/>
            <w:shd w:val="clear" w:color="auto" w:fill="F6F1E6"/>
          </w:tcPr>
          <w:p>
            <w:pPr>
              <w:spacing w:after="20"/>
              <w:jc w:val="right"/>
            </w:pPr>
            <w:r>
              <w:rPr>
                <w:b/>
                <w:color w:val="1C3A36"/>
                <w:sz w:val="16"/>
              </w:rPr>
              <w:t>4.91</w:t>
            </w:r>
          </w:p>
        </w:tc>
        <w:tc>
          <w:tcPr>
            <w:tcW w:type="dxa" w:w="1656"/>
            <w:shd w:val="clear" w:color="auto" w:fill="F6F1E6"/>
          </w:tcPr>
          <w:p>
            <w:pPr>
              <w:spacing w:after="20"/>
              <w:jc w:val="right"/>
            </w:pPr>
            <w:r>
              <w:rPr>
                <w:b/>
                <w:color w:val="1C3A36"/>
                <w:sz w:val="16"/>
              </w:rPr>
              <w:t>4.93</w:t>
            </w:r>
          </w:p>
        </w:tc>
      </w:tr>
      <w:tr>
        <w:tc>
          <w:tcPr>
            <w:tcW w:type="dxa" w:w="3528"/>
          </w:tcPr>
          <w:p>
            <w:pPr>
              <w:spacing w:after="20"/>
            </w:pPr>
            <w:r>
              <w:rPr>
                <w:color w:val="1C3A36"/>
                <w:sz w:val="16"/>
              </w:rPr>
              <w:t>Volume — low of the range</w:t>
            </w:r>
          </w:p>
        </w:tc>
        <w:tc>
          <w:tcPr>
            <w:tcW w:type="dxa" w:w="1656"/>
          </w:tcPr>
          <w:p>
            <w:pPr>
              <w:spacing w:after="20"/>
              <w:jc w:val="right"/>
            </w:pPr>
            <w:r>
              <w:rPr>
                <w:color w:val="1C3A36"/>
                <w:sz w:val="16"/>
              </w:rPr>
              <w:t>3.35</w:t>
            </w:r>
          </w:p>
        </w:tc>
        <w:tc>
          <w:tcPr>
            <w:tcW w:type="dxa" w:w="1656"/>
          </w:tcPr>
          <w:p>
            <w:pPr>
              <w:spacing w:after="20"/>
              <w:jc w:val="right"/>
            </w:pPr>
            <w:r>
              <w:rPr>
                <w:color w:val="1C3A36"/>
                <w:sz w:val="16"/>
              </w:rPr>
              <w:t>4.44</w:t>
            </w:r>
          </w:p>
        </w:tc>
        <w:tc>
          <w:tcPr>
            <w:tcW w:type="dxa" w:w="1656"/>
          </w:tcPr>
          <w:p>
            <w:pPr>
              <w:spacing w:after="20"/>
              <w:jc w:val="right"/>
            </w:pPr>
            <w:r>
              <w:rPr>
                <w:color w:val="1C3A36"/>
                <w:sz w:val="16"/>
              </w:rPr>
              <w:t>4.45</w:t>
            </w:r>
          </w:p>
        </w:tc>
      </w:tr>
      <w:tr>
        <w:tc>
          <w:tcPr>
            <w:tcW w:type="dxa" w:w="3528"/>
          </w:tcPr>
          <w:p>
            <w:pPr>
              <w:spacing w:after="20"/>
            </w:pPr>
            <w:r>
              <w:rPr>
                <w:color w:val="1C3A36"/>
                <w:sz w:val="16"/>
              </w:rPr>
              <w:t>Volume — high of the range</w:t>
            </w:r>
          </w:p>
        </w:tc>
        <w:tc>
          <w:tcPr>
            <w:tcW w:type="dxa" w:w="1656"/>
          </w:tcPr>
          <w:p>
            <w:pPr>
              <w:spacing w:after="20"/>
              <w:jc w:val="right"/>
            </w:pPr>
            <w:r>
              <w:rPr>
                <w:color w:val="1C3A36"/>
                <w:sz w:val="16"/>
              </w:rPr>
              <w:t>7.41</w:t>
            </w:r>
          </w:p>
        </w:tc>
        <w:tc>
          <w:tcPr>
            <w:tcW w:type="dxa" w:w="1656"/>
          </w:tcPr>
          <w:p>
            <w:pPr>
              <w:spacing w:after="20"/>
              <w:jc w:val="right"/>
            </w:pPr>
            <w:r>
              <w:rPr>
                <w:color w:val="1C3A36"/>
                <w:sz w:val="16"/>
              </w:rPr>
              <w:t>7.06</w:t>
            </w:r>
          </w:p>
        </w:tc>
        <w:tc>
          <w:tcPr>
            <w:tcW w:type="dxa" w:w="1656"/>
          </w:tcPr>
          <w:p>
            <w:pPr>
              <w:spacing w:after="20"/>
              <w:jc w:val="right"/>
            </w:pPr>
            <w:r>
              <w:rPr>
                <w:color w:val="1C3A36"/>
                <w:sz w:val="16"/>
              </w:rPr>
              <w:t>5.45</w:t>
            </w:r>
          </w:p>
        </w:tc>
      </w:tr>
      <w:tr>
        <w:tc>
          <w:tcPr>
            <w:tcW w:type="dxa" w:w="3528"/>
            <w:shd w:val="clear" w:color="auto" w:fill="F6F1E6"/>
          </w:tcPr>
          <w:p>
            <w:pPr>
              <w:spacing w:after="20"/>
            </w:pPr>
            <w:r>
              <w:rPr>
                <w:b/>
                <w:color w:val="1C3A36"/>
                <w:sz w:val="16"/>
              </w:rPr>
              <w:t>Profit before tax — point (EGP mn)</w:t>
            </w:r>
          </w:p>
        </w:tc>
        <w:tc>
          <w:tcPr>
            <w:tcW w:type="dxa" w:w="1656"/>
            <w:shd w:val="clear" w:color="auto" w:fill="F6F1E6"/>
          </w:tcPr>
          <w:p>
            <w:pPr>
              <w:spacing w:after="20"/>
              <w:jc w:val="right"/>
            </w:pPr>
            <w:r>
              <w:rPr>
                <w:b/>
                <w:color w:val="1C3A36"/>
                <w:sz w:val="16"/>
              </w:rPr>
              <w:t>6,498</w:t>
            </w:r>
          </w:p>
        </w:tc>
        <w:tc>
          <w:tcPr>
            <w:tcW w:type="dxa" w:w="1656"/>
            <w:shd w:val="clear" w:color="auto" w:fill="F6F1E6"/>
          </w:tcPr>
          <w:p>
            <w:pPr>
              <w:spacing w:after="20"/>
              <w:jc w:val="right"/>
            </w:pPr>
            <w:r>
              <w:rPr>
                <w:b/>
                <w:color w:val="1C3A36"/>
                <w:sz w:val="16"/>
              </w:rPr>
              <w:t>7,101</w:t>
            </w:r>
          </w:p>
        </w:tc>
        <w:tc>
          <w:tcPr>
            <w:tcW w:type="dxa" w:w="1656"/>
            <w:shd w:val="clear" w:color="auto" w:fill="F6F1E6"/>
          </w:tcPr>
          <w:p>
            <w:pPr>
              <w:spacing w:after="20"/>
              <w:jc w:val="right"/>
            </w:pPr>
            <w:r>
              <w:rPr>
                <w:b/>
                <w:color w:val="1C3A36"/>
                <w:sz w:val="16"/>
              </w:rPr>
              <w:t>7,731</w:t>
            </w:r>
          </w:p>
        </w:tc>
      </w:tr>
      <w:tr>
        <w:tc>
          <w:tcPr>
            <w:tcW w:type="dxa" w:w="3528"/>
          </w:tcPr>
          <w:p>
            <w:pPr>
              <w:spacing w:after="20"/>
            </w:pPr>
            <w:r>
              <w:rPr>
                <w:color w:val="1C3A36"/>
                <w:sz w:val="16"/>
              </w:rPr>
              <w:t>Profit before tax — low of the range</w:t>
            </w:r>
          </w:p>
        </w:tc>
        <w:tc>
          <w:tcPr>
            <w:tcW w:type="dxa" w:w="1656"/>
          </w:tcPr>
          <w:p>
            <w:pPr>
              <w:spacing w:after="20"/>
              <w:jc w:val="right"/>
            </w:pPr>
            <w:r>
              <w:rPr>
                <w:color w:val="1C3A36"/>
                <w:sz w:val="16"/>
              </w:rPr>
              <w:t>345</w:t>
            </w:r>
          </w:p>
        </w:tc>
        <w:tc>
          <w:tcPr>
            <w:tcW w:type="dxa" w:w="1656"/>
          </w:tcPr>
          <w:p>
            <w:pPr>
              <w:spacing w:after="20"/>
              <w:jc w:val="right"/>
            </w:pPr>
            <w:r>
              <w:rPr>
                <w:color w:val="1C3A36"/>
                <w:sz w:val="16"/>
              </w:rPr>
              <w:t>2,641</w:t>
            </w:r>
          </w:p>
        </w:tc>
        <w:tc>
          <w:tcPr>
            <w:tcW w:type="dxa" w:w="1656"/>
          </w:tcPr>
          <w:p>
            <w:pPr>
              <w:spacing w:after="20"/>
              <w:jc w:val="right"/>
            </w:pPr>
            <w:r>
              <w:rPr>
                <w:color w:val="1C3A36"/>
                <w:sz w:val="16"/>
              </w:rPr>
              <w:t>3,925</w:t>
            </w:r>
          </w:p>
        </w:tc>
      </w:tr>
      <w:tr>
        <w:tc>
          <w:tcPr>
            <w:tcW w:type="dxa" w:w="3528"/>
          </w:tcPr>
          <w:p>
            <w:pPr>
              <w:spacing w:after="20"/>
            </w:pPr>
            <w:r>
              <w:rPr>
                <w:color w:val="1C3A36"/>
                <w:sz w:val="16"/>
              </w:rPr>
              <w:t>Profit before tax — high of the range</w:t>
            </w:r>
          </w:p>
        </w:tc>
        <w:tc>
          <w:tcPr>
            <w:tcW w:type="dxa" w:w="1656"/>
          </w:tcPr>
          <w:p>
            <w:pPr>
              <w:spacing w:after="20"/>
              <w:jc w:val="right"/>
            </w:pPr>
            <w:r>
              <w:rPr>
                <w:color w:val="1C3A36"/>
                <w:sz w:val="16"/>
              </w:rPr>
              <w:t>42,128</w:t>
            </w:r>
          </w:p>
        </w:tc>
        <w:tc>
          <w:tcPr>
            <w:tcW w:type="dxa" w:w="1656"/>
          </w:tcPr>
          <w:p>
            <w:pPr>
              <w:spacing w:after="20"/>
              <w:jc w:val="right"/>
            </w:pPr>
            <w:r>
              <w:rPr>
                <w:color w:val="1C3A36"/>
                <w:sz w:val="16"/>
              </w:rPr>
              <w:t>268,271</w:t>
            </w:r>
          </w:p>
        </w:tc>
        <w:tc>
          <w:tcPr>
            <w:tcW w:type="dxa" w:w="1656"/>
          </w:tcPr>
          <w:p>
            <w:pPr>
              <w:spacing w:after="20"/>
              <w:jc w:val="right"/>
            </w:pPr>
            <w:r>
              <w:rPr>
                <w:color w:val="1C3A36"/>
                <w:sz w:val="16"/>
              </w:rPr>
              <w:t>360,783</w:t>
            </w:r>
          </w:p>
        </w:tc>
      </w:tr>
      <w:tr>
        <w:tc>
          <w:tcPr>
            <w:tcW w:type="dxa" w:w="3528"/>
          </w:tcPr>
          <w:p>
            <w:pPr>
              <w:spacing w:after="20"/>
            </w:pPr>
            <w:r>
              <w:rPr>
                <w:color w:val="1C3A36"/>
                <w:sz w:val="16"/>
              </w:rPr>
              <w:t>Tested cases behind each band</w:t>
            </w:r>
          </w:p>
        </w:tc>
        <w:tc>
          <w:tcPr>
            <w:tcW w:type="dxa" w:w="1656"/>
          </w:tcPr>
          <w:p>
            <w:pPr>
              <w:spacing w:after="20"/>
              <w:jc w:val="right"/>
            </w:pPr>
            <w:r>
              <w:rPr>
                <w:color w:val="1C3A36"/>
                <w:sz w:val="16"/>
              </w:rPr>
              <w:t>5</w:t>
            </w:r>
          </w:p>
        </w:tc>
        <w:tc>
          <w:tcPr>
            <w:tcW w:type="dxa" w:w="1656"/>
          </w:tcPr>
          <w:p>
            <w:pPr>
              <w:spacing w:after="20"/>
              <w:jc w:val="right"/>
            </w:pPr>
            <w:r>
              <w:rPr>
                <w:color w:val="1C3A36"/>
                <w:sz w:val="16"/>
              </w:rPr>
              <w:t>4</w:t>
            </w:r>
          </w:p>
        </w:tc>
        <w:tc>
          <w:tcPr>
            <w:tcW w:type="dxa" w:w="1656"/>
          </w:tcPr>
          <w:p>
            <w:pPr>
              <w:spacing w:after="20"/>
              <w:jc w:val="right"/>
            </w:pPr>
            <w:r>
              <w:rPr>
                <w:color w:val="1C3A36"/>
                <w:sz w:val="16"/>
              </w:rPr>
              <w:t>3</w:t>
            </w:r>
          </w:p>
        </w:tc>
      </w:tr>
    </w:tbl>
    <w:p>
      <w:pPr>
        <w:spacing w:after="40"/>
      </w:pPr>
    </w:p>
    <w:p>
      <w:pPr>
        <w:spacing w:after="200" w:before="0"/>
      </w:pPr>
      <w:r>
        <w:rPr>
          <w:b w:val="0"/>
          <w:i/>
          <w:color w:val="6E7B77"/>
          <w:sz w:val="17"/>
        </w:rPr>
        <w:t>Table A4 — the multipliers come from rebuilding this company's forecast as it would have stood at each of 8 past year-ends, projecting one to five years ahead under the same rules, and scoring every projection against what was later reported: 25 tested cases over FY2014-FY2025. The bands are the spread of those misses at three, four and five years out, applied to this forecast's own path.</w:t>
      </w:r>
    </w:p>
    <w:p>
      <w:pPr>
        <w:spacing w:after="120" w:before="0"/>
      </w:pPr>
      <w:r>
        <w:rPr>
          <w:b w:val="0"/>
          <w:i w:val="0"/>
          <w:color w:val="1C3A36"/>
          <w:sz w:val="21"/>
        </w:rPr>
        <w:t>THE TONNES WERE FORECAST FAR BETTER THAN THE MONEY, and that is the most useful thing this test says about the forecast above. Three years out, the volume band runs 0.68 to 1.52 times the point, while revenue runs 0.49 to 2.99 times and profit before tax 0.05 to 6.48 times. The physical business — kilns, mills, tonnes sold — was largely knowable in advance. What was not knowable was the price those tonnes fetched and the cost of making them, in a currency that was devalued twice inside the tested window. The width on profit is a measurement of Egyptian inflation and the exchange rate, not of this plant.</w:t>
      </w:r>
    </w:p>
    <w:p>
      <w:pPr>
        <w:spacing w:after="120" w:before="0"/>
      </w:pPr>
      <w:r>
        <w:rPr>
          <w:b w:val="0"/>
          <w:i w:val="0"/>
          <w:color w:val="1C3A36"/>
          <w:sz w:val="21"/>
        </w:rPr>
        <w:t>The band is wide because the record is short and the period was violent, and it narrows on volume for the same reason it widens on profit. It is published rather than smoothed: a far year of any projection of this company supports a range and never a point, and the reader is entitled to the width the method actually earned rather than to a single figure carried to the decimal. The counts in the last row fall from 5 to 3 across the three years, because a five-year-ahead test needs five more years of history than a one-year-ahead test, and those are the cases the record actually holds.</w:t>
      </w:r>
    </w:p>
    <w:p>
      <w:pPr>
        <w:spacing w:after="120" w:before="0"/>
      </w:pPr>
      <w:r>
        <w:rPr>
          <w:b w:val="0"/>
          <w:i w:val="0"/>
          <w:color w:val="1C3A36"/>
          <w:sz w:val="21"/>
        </w:rPr>
        <w:t>One correction was adopted out of 12 candidates — manufacturing depreciation, at a factor of 1.0298 — and 11 others were recorded as watch flags and acted on by nobody. A correction is adopted only where the bias holds its sign across the record and the model is otherwise right; where the model itself is wrong, a multiplier would hide it rather than fix 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cement nameplate capacity. The company's own market page splits FY2025 sales three ways, and the split is what this balance turns on: domestic cement 54.0Mt, exported cement 11.1Mt, exported clinker 7.6Mt, total 72.6Mt. The three add to the disclosed total exactly, and the export line adds to the disclosed export total exactly, which is what makes either ratio below safe to publish.</w:t>
      </w:r>
    </w:p>
    <w:p>
      <w:pPr>
        <w:spacing w:after="120" w:before="0"/>
      </w:pPr>
      <w:r>
        <w:rPr>
          <w:b w:val="0"/>
          <w:i w:val="0"/>
          <w:color w:val="1C3A36"/>
          <w:sz w:val="21"/>
        </w:rPr>
        <w:t>TWO RATIOS COME OUT OF THAT PAGE AND ONLY ONE OF THEM MEANS ANYTHING. Cement sold — domestic plus export, 65.1Mt — against cement nameplate is 85.6%. All product sold, 72.6Mt, against the same cement nameplate is 95.6%. The second is the one earlier editions of this study printed, and it is not a measure of anything: clinker leaves at the kiln and never enters a cement mill, so a tonne exported as clinker consumes no grinding capacity and does not belong in the numerator. That is the SAME mismatch this study identified in the editions before it — a cement-plus-clinker figure against a cement-only one — committed again in the other direction, and the 65.1Mt discarded then as a failed balance was the correct cement-basis number all along.</w:t>
      </w:r>
    </w:p>
    <w:p>
      <w:pPr>
        <w:spacing w:after="120" w:before="0"/>
      </w:pPr>
      <w:r>
        <w:rPr>
          <w:b w:val="0"/>
          <w:i w:val="0"/>
          <w:color w:val="1C3A36"/>
          <w:sz w:val="21"/>
        </w:rPr>
        <w:t>ON THE MEASURE THAT MEANS SOMETHING, the market is running with about 10.9Mt of cement capacity idle — roughly a sixth of nameplate. That is neither the structurally slack market the first editions of this study described nor the tight one the last edition described. The 12.6Mt restart programme would take idle capacity to about 23.5Mt before any new demand appears, and the production quota abolished in May 2025 removed the mechanism that had been supporting price into a surplus. The forecast price path does not depend on which of these two numbers is right — its first-year step is a filed quarterly realisation and every later year holds flat in real terms — but the comfort around it does, and this is where a reader who wants to press on the price path should press.</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it is LARGER than the edition before this one said, because that edition measured the market wrongly. On matched denominators Egypt sold 65.1Mt of cement against roughly 76Mt of cement nameplate — 86%, about 10.9Mt idle — where the previous edition printed 96% by counting exported clinker against grinding capacity it never touched. So the surplus is CURRENT as well as prospective. On top of it sit two further legs: the 12.6Mt restart programme, and a production quota SUSPENDED rather than repealed, which could return without legislation. Against that, this company realised a 60.7% rise in its local price in FY2025 and exited the year 7.2% above its own annual average, which is the evidence the first forecast year rests on — a filed number rather than a view about how tight the market is. Every year after it holds flat in real terms.</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of the three audited years this study holds, by a wide margin. (An earlier edition called it the best year the Egyptian INDUSTRY had had in over a decade, which is a claim about the industry that nothing in this study measures.)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56.96 to EGP 75.34, central EGP 64.84 (-15.8%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4133mn; required at a 17.5% cash return that is a business worth EGP 23619mn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56.96.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56.96</w:t>
            </w:r>
          </w:p>
        </w:tc>
        <w:tc>
          <w:tcPr>
            <w:tcW w:type="dxa" w:w="1656"/>
          </w:tcPr>
          <w:p>
            <w:pPr>
              <w:spacing w:after="20"/>
              <w:jc w:val="right"/>
            </w:pPr>
            <w:r>
              <w:rPr>
                <w:color w:val="1C3A36"/>
                <w:sz w:val="18"/>
              </w:rPr>
              <w:t>64.84</w:t>
            </w:r>
          </w:p>
        </w:tc>
        <w:tc>
          <w:tcPr>
            <w:tcW w:type="dxa" w:w="1469"/>
          </w:tcPr>
          <w:p>
            <w:pPr>
              <w:spacing w:after="20"/>
              <w:jc w:val="right"/>
            </w:pPr>
            <w:r>
              <w:rPr>
                <w:color w:val="1C3A36"/>
                <w:sz w:val="18"/>
              </w:rPr>
              <w:t>75.34</w:t>
            </w:r>
          </w:p>
        </w:tc>
        <w:tc>
          <w:tcPr>
            <w:tcW w:type="dxa" w:w="1354"/>
          </w:tcPr>
          <w:p>
            <w:pPr>
              <w:spacing w:after="20"/>
              <w:jc w:val="right"/>
            </w:pPr>
            <w:r>
              <w:rPr>
                <w:color w:val="1C3A36"/>
                <w:sz w:val="18"/>
              </w:rPr>
              <w:t>-15.8%</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64.84</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-15.8%</w:t>
            </w:r>
          </w:p>
        </w:tc>
      </w:tr>
    </w:tbl>
    <w:p>
      <w:pPr>
        <w:spacing w:after="40"/>
      </w:pPr>
    </w:p>
    <w:p>
      <w:pPr>
        <w:spacing w:after="200" w:before="0"/>
      </w:pPr>
      <w:r>
        <w:rPr>
          <w:b w:val="0"/>
          <w:i/>
          <w:color w:val="6E7B77"/>
          <w:sz w:val="17"/>
        </w:rPr>
        <w:t>Table C1 — The panel. The median of the three, EGP 64.84, sits -16.0% from this study's own central of EGP 77.18 and -15.8%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77.18,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88.96 against EGP 77.18 — +15.3%. The study's largest is terminal useful life at +22.5%.</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The return on replacement-cost capital is 11.73% against a terminal cost of capital of 16.74% — short of it by 501 basis points — so moving terminal growth from 3% to 7% takes the value from EGP 77.65 DOWN to EGP 77.18, -0.6%, about 0.12 a share for each point of growth, and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64.84 against a market price of EGP 77.00 — -15.8%. All three sit below the price, and so does the study's own central of EGP 77.18.</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0.73</w:t>
            </w:r>
          </w:p>
        </w:tc>
        <w:tc>
          <w:tcPr>
            <w:tcW w:type="dxa" w:w="936"/>
          </w:tcPr>
          <w:p>
            <w:pPr>
              <w:spacing w:after="20"/>
              <w:jc w:val="right"/>
            </w:pPr>
            <w:r>
              <w:rPr>
                <w:color w:val="1C3A36"/>
                <w:sz w:val="16"/>
              </w:rPr>
              <w:t>1.1%</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15.20</w:t>
            </w:r>
          </w:p>
        </w:tc>
        <w:tc>
          <w:tcPr>
            <w:tcW w:type="dxa" w:w="936"/>
          </w:tcPr>
          <w:p>
            <w:pPr>
              <w:spacing w:after="20"/>
              <w:jc w:val="right"/>
            </w:pPr>
            <w:r>
              <w:rPr>
                <w:color w:val="1C3A36"/>
                <w:sz w:val="16"/>
              </w:rPr>
              <w:t>30.6%</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-12.34</w:t>
            </w:r>
          </w:p>
        </w:tc>
        <w:tc>
          <w:tcPr>
            <w:tcW w:type="dxa" w:w="936"/>
          </w:tcPr>
          <w:p>
            <w:pPr>
              <w:spacing w:after="20"/>
              <w:jc w:val="right"/>
            </w:pPr>
            <w:r>
              <w:rPr>
                <w:color w:val="1C3A36"/>
                <w:sz w:val="16"/>
              </w:rPr>
              <w:t>16.0%</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