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10 September 2026</w:t>
      </w:r>
    </w:p>
    <w:p>
      <w:pPr>
        <w:pStyle w:val="Heading1"/>
      </w:pPr>
      <w:r>
        <w:t>Read first</w:t>
      </w:r>
    </w:p>
    <w:p>
      <w:r>
        <w:rPr>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30.10% in the first year to 18.86%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77.13 and EGP 140.74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30.10% on the credit-default-swap premium — the rating-based premium runs 1.46% higher in the first year — and settling at 18.86%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31.56%</w:t>
            </w:r>
          </w:p>
        </w:tc>
        <w:tc>
          <w:tcPr>
            <w:tcW w:type="dxa" w:w="1378"/>
          </w:tcPr>
          <w:p>
            <w:pPr>
              <w:jc w:val="right"/>
            </w:pPr>
            <w:r/>
            <w:r>
              <w:rPr>
                <w:color w:val="1A1D21"/>
                <w:sz w:val="17"/>
              </w:rPr>
              <w:t>273,166</w:t>
            </w:r>
          </w:p>
        </w:tc>
        <w:tc>
          <w:tcPr>
            <w:tcW w:type="dxa" w:w="1202"/>
          </w:tcPr>
          <w:p>
            <w:pPr>
              <w:jc w:val="right"/>
            </w:pPr>
            <w:r/>
            <w:r>
              <w:rPr>
                <w:color w:val="1A1D21"/>
                <w:sz w:val="17"/>
              </w:rPr>
              <w:t>284,849</w:t>
            </w:r>
          </w:p>
        </w:tc>
        <w:tc>
          <w:tcPr>
            <w:tcW w:type="dxa" w:w="1151"/>
          </w:tcPr>
          <w:p>
            <w:pPr>
              <w:jc w:val="right"/>
            </w:pPr>
            <w:r/>
            <w:r>
              <w:rPr>
                <w:color w:val="1A1D21"/>
                <w:sz w:val="17"/>
              </w:rPr>
              <w:t>138.23</w:t>
            </w:r>
          </w:p>
        </w:tc>
        <w:tc>
          <w:tcPr>
            <w:tcW w:type="dxa" w:w="867"/>
          </w:tcPr>
          <w:p>
            <w:pPr>
              <w:jc w:val="right"/>
            </w:pPr>
            <w:r/>
            <w:r>
              <w:rPr>
                <w:color w:val="1A1D21"/>
                <w:sz w:val="17"/>
              </w:rPr>
              <w:t>138.21</w:t>
            </w:r>
          </w:p>
        </w:tc>
        <w:tc>
          <w:tcPr>
            <w:tcW w:type="dxa" w:w="867"/>
          </w:tcPr>
          <w:p>
            <w:pPr>
              <w:jc w:val="right"/>
            </w:pPr>
            <w:r/>
            <w:r>
              <w:rPr>
                <w:color w:val="1A1D21"/>
                <w:sz w:val="17"/>
              </w:rPr>
              <w:t>95.84</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31.56%</w:t>
            </w:r>
          </w:p>
        </w:tc>
        <w:tc>
          <w:tcPr>
            <w:tcW w:type="dxa" w:w="1378"/>
          </w:tcPr>
          <w:p>
            <w:pPr>
              <w:jc w:val="right"/>
            </w:pPr>
            <w:r/>
            <w:r>
              <w:rPr>
                <w:color w:val="1A1D21"/>
                <w:sz w:val="17"/>
              </w:rPr>
              <w:t>113,831</w:t>
            </w:r>
          </w:p>
        </w:tc>
        <w:tc>
          <w:tcPr>
            <w:tcW w:type="dxa" w:w="1202"/>
          </w:tcPr>
          <w:p>
            <w:pPr>
              <w:jc w:val="right"/>
            </w:pPr>
            <w:r/>
            <w:r>
              <w:rPr>
                <w:color w:val="1A1D21"/>
                <w:sz w:val="17"/>
              </w:rPr>
              <w:t>158,936</w:t>
            </w:r>
          </w:p>
        </w:tc>
        <w:tc>
          <w:tcPr>
            <w:tcW w:type="dxa" w:w="1151"/>
          </w:tcPr>
          <w:p>
            <w:pPr>
              <w:jc w:val="right"/>
            </w:pPr>
            <w:r/>
            <w:r>
              <w:rPr>
                <w:color w:val="1A1D21"/>
                <w:sz w:val="17"/>
              </w:rPr>
              <w:t>77.13</w:t>
            </w:r>
          </w:p>
        </w:tc>
        <w:tc>
          <w:tcPr>
            <w:tcW w:type="dxa" w:w="867"/>
          </w:tcPr>
          <w:p>
            <w:pPr>
              <w:jc w:val="right"/>
            </w:pPr>
            <w:r/>
            <w:r>
              <w:rPr>
                <w:color w:val="1A1D21"/>
                <w:sz w:val="17"/>
              </w:rPr>
              <w:t>60.89</w:t>
            </w:r>
          </w:p>
        </w:tc>
        <w:tc>
          <w:tcPr>
            <w:tcW w:type="dxa" w:w="867"/>
          </w:tcPr>
          <w:p>
            <w:pPr>
              <w:jc w:val="right"/>
            </w:pPr>
            <w:r/>
            <w:r>
              <w:rPr>
                <w:color w:val="1A1D21"/>
                <w:sz w:val="17"/>
              </w:rPr>
              <w:t>53.47</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30.10%</w:t>
            </w:r>
          </w:p>
        </w:tc>
        <w:tc>
          <w:tcPr>
            <w:tcW w:type="dxa" w:w="1378"/>
          </w:tcPr>
          <w:p>
            <w:pPr>
              <w:jc w:val="right"/>
            </w:pPr>
            <w:r/>
            <w:r>
              <w:rPr>
                <w:color w:val="1A1D21"/>
                <w:sz w:val="17"/>
              </w:rPr>
              <w:t>279,712</w:t>
            </w:r>
          </w:p>
        </w:tc>
        <w:tc>
          <w:tcPr>
            <w:tcW w:type="dxa" w:w="1202"/>
          </w:tcPr>
          <w:p>
            <w:pPr>
              <w:jc w:val="right"/>
            </w:pPr>
            <w:r/>
            <w:r>
              <w:rPr>
                <w:color w:val="1A1D21"/>
                <w:sz w:val="17"/>
              </w:rPr>
              <w:t>290,022</w:t>
            </w:r>
          </w:p>
        </w:tc>
        <w:tc>
          <w:tcPr>
            <w:tcW w:type="dxa" w:w="1151"/>
          </w:tcPr>
          <w:p>
            <w:pPr>
              <w:jc w:val="right"/>
            </w:pPr>
            <w:r/>
            <w:r>
              <w:rPr>
                <w:color w:val="1A1D21"/>
                <w:sz w:val="17"/>
              </w:rPr>
              <w:t>140.74</w:t>
            </w:r>
          </w:p>
        </w:tc>
        <w:tc>
          <w:tcPr>
            <w:tcW w:type="dxa" w:w="867"/>
          </w:tcPr>
          <w:p>
            <w:pPr>
              <w:jc w:val="right"/>
            </w:pPr>
            <w:r/>
            <w:r>
              <w:rPr>
                <w:color w:val="1A1D21"/>
                <w:sz w:val="17"/>
              </w:rPr>
              <w:t>141.39</w:t>
            </w:r>
          </w:p>
        </w:tc>
        <w:tc>
          <w:tcPr>
            <w:tcW w:type="dxa" w:w="867"/>
          </w:tcPr>
          <w:p>
            <w:pPr>
              <w:jc w:val="right"/>
            </w:pPr>
            <w:r/>
            <w:r>
              <w:rPr>
                <w:color w:val="1A1D21"/>
                <w:sz w:val="17"/>
              </w:rPr>
              <w:t>97.58</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30.10%</w:t>
            </w:r>
          </w:p>
        </w:tc>
        <w:tc>
          <w:tcPr>
            <w:tcW w:type="dxa" w:w="1378"/>
          </w:tcPr>
          <w:p>
            <w:pPr>
              <w:jc w:val="right"/>
            </w:pPr>
            <w:r/>
            <w:r>
              <w:rPr>
                <w:color w:val="1A1D21"/>
                <w:sz w:val="17"/>
              </w:rPr>
              <w:t>116,510</w:t>
            </w:r>
          </w:p>
        </w:tc>
        <w:tc>
          <w:tcPr>
            <w:tcW w:type="dxa" w:w="1202"/>
          </w:tcPr>
          <w:p>
            <w:pPr>
              <w:jc w:val="right"/>
            </w:pPr>
            <w:r/>
            <w:r>
              <w:rPr>
                <w:color w:val="1A1D21"/>
                <w:sz w:val="17"/>
              </w:rPr>
              <w:t>161,053</w:t>
            </w:r>
          </w:p>
        </w:tc>
        <w:tc>
          <w:tcPr>
            <w:tcW w:type="dxa" w:w="1151"/>
          </w:tcPr>
          <w:p>
            <w:pPr>
              <w:jc w:val="right"/>
            </w:pPr>
            <w:r/>
            <w:r>
              <w:rPr>
                <w:color w:val="1A1D21"/>
                <w:sz w:val="17"/>
              </w:rPr>
              <w:t>78.16</w:t>
            </w:r>
          </w:p>
        </w:tc>
        <w:tc>
          <w:tcPr>
            <w:tcW w:type="dxa" w:w="867"/>
          </w:tcPr>
          <w:p>
            <w:pPr>
              <w:jc w:val="right"/>
            </w:pPr>
            <w:r/>
            <w:r>
              <w:rPr>
                <w:color w:val="1A1D21"/>
                <w:sz w:val="17"/>
              </w:rPr>
              <w:t>62.19</w:t>
            </w:r>
          </w:p>
        </w:tc>
        <w:tc>
          <w:tcPr>
            <w:tcW w:type="dxa" w:w="867"/>
          </w:tcPr>
          <w:p>
            <w:pPr>
              <w:jc w:val="right"/>
            </w:pPr>
            <w:r/>
            <w:r>
              <w:rPr>
                <w:color w:val="1A1D21"/>
                <w:sz w:val="17"/>
              </w:rPr>
              <w:t>54.19</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12.65</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15.47 – 23.80</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0.5984</w:t>
            </w:r>
          </w:p>
        </w:tc>
        <w:tc>
          <w:tcPr>
            <w:tcW w:type="dxa" w:w="1134"/>
          </w:tcPr>
          <w:p>
            <w:pPr>
              <w:jc w:val="right"/>
            </w:pPr>
            <w:r/>
            <w:r>
              <w:rPr>
                <w:color w:val="1A1D21"/>
                <w:sz w:val="17"/>
              </w:rPr>
              <w:t>0.4849</w:t>
            </w:r>
          </w:p>
        </w:tc>
        <w:tc>
          <w:tcPr>
            <w:tcW w:type="dxa" w:w="1134"/>
          </w:tcPr>
          <w:p>
            <w:pPr>
              <w:jc w:val="right"/>
            </w:pPr>
            <w:r/>
            <w:r>
              <w:rPr>
                <w:color w:val="1A1D21"/>
                <w:sz w:val="17"/>
              </w:rPr>
              <w:t>0.4018</w:t>
            </w:r>
          </w:p>
        </w:tc>
        <w:tc>
          <w:tcPr>
            <w:tcW w:type="dxa" w:w="1134"/>
          </w:tcPr>
          <w:p>
            <w:pPr>
              <w:jc w:val="right"/>
            </w:pPr>
            <w:r/>
            <w:r>
              <w:rPr>
                <w:color w:val="1A1D21"/>
                <w:sz w:val="17"/>
              </w:rPr>
              <w:t>0.3380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18,893</w:t>
            </w:r>
          </w:p>
        </w:tc>
        <w:tc>
          <w:tcPr>
            <w:tcW w:type="dxa" w:w="1134"/>
          </w:tcPr>
          <w:p>
            <w:pPr>
              <w:jc w:val="right"/>
            </w:pPr>
            <w:r/>
            <w:r>
              <w:rPr>
                <w:color w:val="1A1D21"/>
                <w:sz w:val="17"/>
              </w:rPr>
              <w:t>22,150</w:t>
            </w:r>
          </w:p>
        </w:tc>
        <w:tc>
          <w:tcPr>
            <w:tcW w:type="dxa" w:w="1134"/>
          </w:tcPr>
          <w:p>
            <w:pPr>
              <w:jc w:val="right"/>
            </w:pPr>
            <w:r/>
            <w:r>
              <w:rPr>
                <w:color w:val="1A1D21"/>
                <w:sz w:val="17"/>
              </w:rPr>
              <w:t>22,956</w:t>
            </w:r>
          </w:p>
        </w:tc>
        <w:tc>
          <w:tcPr>
            <w:tcW w:type="dxa" w:w="1134"/>
          </w:tcPr>
          <w:p>
            <w:pPr>
              <w:jc w:val="right"/>
            </w:pPr>
            <w:r/>
            <w:r>
              <w:rPr>
                <w:color w:val="1A1D21"/>
                <w:sz w:val="17"/>
              </w:rPr>
              <w:t>22,878</w:t>
            </w:r>
          </w:p>
        </w:tc>
        <w:tc>
          <w:tcPr>
            <w:tcW w:type="dxa" w:w="1134"/>
          </w:tcPr>
          <w:p>
            <w:pPr>
              <w:jc w:val="right"/>
            </w:pPr>
            <w:r/>
            <w:r>
              <w:rPr>
                <w:color w:val="1A1D21"/>
                <w:sz w:val="17"/>
              </w:rPr>
              <w:t>22,532</w:t>
            </w:r>
          </w:p>
        </w:tc>
      </w:tr>
    </w:tbl>
    <w:p>
      <w:pPr>
        <w:spacing w:after="200"/>
      </w:pPr>
      <w:r>
        <w:rPr>
          <w:b w:val="0"/>
          <w:i/>
          <w:color w:val="5B6570"/>
          <w:sz w:val="16"/>
        </w:rPr>
        <w:t>The first five of the ten explicit years, on the case built on the rating-based equity risk premium, slower conversion, whose first-year rate is 31.56%;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213,065</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20,702</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39,399</w:t>
            </w:r>
          </w:p>
        </w:tc>
      </w:tr>
      <w:tr>
        <w:trPr>
          <w:cantSplit/>
        </w:trPr>
        <w:tc>
          <w:tcPr>
            <w:tcW w:type="dxa" w:w="6236"/>
          </w:tcPr>
          <w:p>
            <w:r/>
            <w:r>
              <w:rPr>
                <w:color w:val="1A1D21"/>
                <w:sz w:val="17"/>
              </w:rPr>
              <w:t>Enterprise value</w:t>
            </w:r>
          </w:p>
        </w:tc>
        <w:tc>
          <w:tcPr>
            <w:tcW w:type="dxa" w:w="2948"/>
          </w:tcPr>
          <w:p>
            <w:pPr>
              <w:jc w:val="right"/>
            </w:pPr>
            <w:r/>
            <w:r>
              <w:rPr>
                <w:color w:val="1A1D21"/>
                <w:sz w:val="17"/>
              </w:rPr>
              <w:t>273,166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360,460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(75,611)</w:t>
            </w:r>
          </w:p>
        </w:tc>
      </w:tr>
      <w:tr>
        <w:trPr>
          <w:cantSplit/>
        </w:trPr>
        <w:tc>
          <w:tcPr>
            <w:tcW w:type="dxa" w:w="6236"/>
          </w:tcPr>
          <w:p>
            <w:r/>
            <w:r>
              <w:rPr>
                <w:color w:val="1A1D21"/>
                <w:sz w:val="17"/>
              </w:rPr>
              <w:t xml:space="preserve">  for reference: at book 75,653; pro rata to book 162,976</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284,849</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138.23</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15.47 to EGP 23.80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71.89</w:t>
            </w:r>
          </w:p>
        </w:tc>
      </w:tr>
      <w:tr>
        <w:trPr>
          <w:cantSplit/>
        </w:trPr>
        <w:tc>
          <w:tcPr>
            <w:tcW w:type="dxa" w:w="3969"/>
          </w:tcPr>
          <w:p>
            <w:r/>
            <w:r>
              <w:rPr>
                <w:color w:val="1A1D21"/>
                <w:sz w:val="17"/>
              </w:rPr>
              <w:t>10</w:t>
            </w:r>
          </w:p>
        </w:tc>
        <w:tc>
          <w:tcPr>
            <w:tcW w:type="dxa" w:w="2268"/>
          </w:tcPr>
          <w:p>
            <w:pPr>
              <w:jc w:val="right"/>
            </w:pPr>
            <w:r/>
            <w:r>
              <w:rPr>
                <w:color w:val="1A1D21"/>
                <w:sz w:val="17"/>
              </w:rPr>
              <w:t>100.35</w:t>
            </w:r>
          </w:p>
        </w:tc>
      </w:tr>
      <w:tr>
        <w:trPr>
          <w:cantSplit/>
        </w:trPr>
        <w:tc>
          <w:tcPr>
            <w:tcW w:type="dxa" w:w="3969"/>
          </w:tcPr>
          <w:p>
            <w:r/>
            <w:r>
              <w:rPr>
                <w:color w:val="1A1D21"/>
                <w:sz w:val="17"/>
              </w:rPr>
              <w:t>12</w:t>
            </w:r>
          </w:p>
        </w:tc>
        <w:tc>
          <w:tcPr>
            <w:tcW w:type="dxa" w:w="2268"/>
          </w:tcPr>
          <w:p>
            <w:pPr>
              <w:jc w:val="right"/>
            </w:pPr>
            <w:r/>
            <w:r>
              <w:rPr>
                <w:color w:val="1A1D21"/>
                <w:sz w:val="17"/>
              </w:rPr>
              <w:t>121.60</w:t>
            </w:r>
          </w:p>
        </w:tc>
      </w:tr>
      <w:tr>
        <w:trPr>
          <w:cantSplit/>
        </w:trPr>
        <w:tc>
          <w:tcPr>
            <w:tcW w:type="dxa" w:w="3969"/>
          </w:tcPr>
          <w:p>
            <w:r/>
            <w:r>
              <w:rPr>
                <w:color w:val="1A1D21"/>
                <w:sz w:val="17"/>
              </w:rPr>
              <w:t>14</w:t>
            </w:r>
          </w:p>
        </w:tc>
        <w:tc>
          <w:tcPr>
            <w:tcW w:type="dxa" w:w="2268"/>
          </w:tcPr>
          <w:p>
            <w:pPr>
              <w:jc w:val="right"/>
            </w:pPr>
            <w:r/>
            <w:r>
              <w:rPr>
                <w:color w:val="1A1D21"/>
                <w:sz w:val="17"/>
              </w:rPr>
              <w:t>138.23</w:t>
            </w:r>
          </w:p>
        </w:tc>
      </w:tr>
      <w:tr>
        <w:trPr>
          <w:cantSplit/>
        </w:trPr>
        <w:tc>
          <w:tcPr>
            <w:tcW w:type="dxa" w:w="3969"/>
          </w:tcPr>
          <w:p>
            <w:r/>
            <w:r>
              <w:rPr>
                <w:color w:val="1A1D21"/>
                <w:sz w:val="17"/>
              </w:rPr>
              <w:t>16</w:t>
            </w:r>
          </w:p>
        </w:tc>
        <w:tc>
          <w:tcPr>
            <w:tcW w:type="dxa" w:w="2268"/>
          </w:tcPr>
          <w:p>
            <w:pPr>
              <w:jc w:val="right"/>
            </w:pPr>
            <w:r/>
            <w:r>
              <w:rPr>
                <w:color w:val="1A1D21"/>
                <w:sz w:val="17"/>
              </w:rPr>
              <w:t>151.66</w:t>
            </w:r>
          </w:p>
        </w:tc>
      </w:tr>
      <w:tr>
        <w:trPr>
          <w:cantSplit/>
        </w:trPr>
        <w:tc>
          <w:tcPr>
            <w:tcW w:type="dxa" w:w="3969"/>
          </w:tcPr>
          <w:p>
            <w:r/>
            <w:r>
              <w:rPr>
                <w:color w:val="1A1D21"/>
                <w:sz w:val="17"/>
              </w:rPr>
              <w:t>20</w:t>
            </w:r>
          </w:p>
        </w:tc>
        <w:tc>
          <w:tcPr>
            <w:tcW w:type="dxa" w:w="2268"/>
          </w:tcPr>
          <w:p>
            <w:pPr>
              <w:jc w:val="right"/>
            </w:pPr>
            <w:r/>
            <w:r>
              <w:rPr>
                <w:color w:val="1A1D21"/>
                <w:sz w:val="17"/>
              </w:rPr>
              <w:t>172.10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30% that investment pays back only slowly inside the window. The slower reading is worth EGP 138.23 a share and the faster one EGP 77.13.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18.86%</w:t>
            </w:r>
          </w:p>
        </w:tc>
        <w:tc>
          <w:tcPr>
            <w:tcW w:type="dxa" w:w="5216"/>
          </w:tcPr>
          <w:p>
            <w:r/>
            <w:r>
              <w:rPr>
                <w:color w:val="1A1D21"/>
                <w:sz w:val="17"/>
              </w:rPr>
              <w:t>built from the central bank's own inflation target plus a standard real return, not quoted from any market: 10.50%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30.1% to 18.9%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30.1%</w:t>
            </w:r>
          </w:p>
        </w:tc>
        <w:tc>
          <w:tcPr>
            <w:tcW w:type="dxa" w:w="794"/>
          </w:tcPr>
          <w:p>
            <w:pPr>
              <w:jc w:val="right"/>
            </w:pPr>
            <w:r/>
            <w:r>
              <w:rPr>
                <w:color w:val="1A1D21"/>
                <w:sz w:val="17"/>
              </w:rPr>
              <w:t>26.1%</w:t>
            </w:r>
          </w:p>
        </w:tc>
        <w:tc>
          <w:tcPr>
            <w:tcW w:type="dxa" w:w="794"/>
          </w:tcPr>
          <w:p>
            <w:pPr>
              <w:jc w:val="right"/>
            </w:pPr>
            <w:r/>
            <w:r>
              <w:rPr>
                <w:color w:val="1A1D21"/>
                <w:sz w:val="17"/>
              </w:rPr>
              <w:t>22.9%</w:t>
            </w:r>
          </w:p>
        </w:tc>
        <w:tc>
          <w:tcPr>
            <w:tcW w:type="dxa" w:w="794"/>
          </w:tcPr>
          <w:p>
            <w:pPr>
              <w:jc w:val="right"/>
            </w:pPr>
            <w:r/>
            <w:r>
              <w:rPr>
                <w:color w:val="1A1D21"/>
                <w:sz w:val="17"/>
              </w:rPr>
              <w:t>20.5%</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0.769</w:t>
            </w:r>
          </w:p>
        </w:tc>
        <w:tc>
          <w:tcPr>
            <w:tcW w:type="dxa" w:w="794"/>
          </w:tcPr>
          <w:p>
            <w:pPr>
              <w:jc w:val="right"/>
            </w:pPr>
            <w:r/>
            <w:r>
              <w:rPr>
                <w:color w:val="1A1D21"/>
                <w:sz w:val="17"/>
              </w:rPr>
              <w:t>0.610</w:t>
            </w:r>
          </w:p>
        </w:tc>
        <w:tc>
          <w:tcPr>
            <w:tcW w:type="dxa" w:w="794"/>
          </w:tcPr>
          <w:p>
            <w:pPr>
              <w:jc w:val="right"/>
            </w:pPr>
            <w:r/>
            <w:r>
              <w:rPr>
                <w:color w:val="1A1D21"/>
                <w:sz w:val="17"/>
              </w:rPr>
              <w:t>0.496</w:t>
            </w:r>
          </w:p>
        </w:tc>
        <w:tc>
          <w:tcPr>
            <w:tcW w:type="dxa" w:w="794"/>
          </w:tcPr>
          <w:p>
            <w:pPr>
              <w:jc w:val="right"/>
            </w:pPr>
            <w:r/>
            <w:r>
              <w:rPr>
                <w:color w:val="1A1D21"/>
                <w:sz w:val="17"/>
              </w:rPr>
              <w:t>0.412</w:t>
            </w:r>
          </w:p>
        </w:tc>
        <w:tc>
          <w:tcPr>
            <w:tcW w:type="dxa" w:w="794"/>
          </w:tcPr>
          <w:p>
            <w:pPr>
              <w:jc w:val="right"/>
            </w:pPr>
            <w:r/>
            <w:r>
              <w:rPr>
                <w:color w:val="1A1D21"/>
                <w:sz w:val="17"/>
              </w:rPr>
              <w:t>0.346</w:t>
            </w:r>
          </w:p>
        </w:tc>
        <w:tc>
          <w:tcPr>
            <w:tcW w:type="dxa" w:w="794"/>
          </w:tcPr>
          <w:p>
            <w:pPr>
              <w:jc w:val="right"/>
            </w:pPr>
            <w:r/>
            <w:r>
              <w:rPr>
                <w:color w:val="1A1D21"/>
                <w:sz w:val="17"/>
              </w:rPr>
              <w:t>0.292</w:t>
            </w:r>
          </w:p>
        </w:tc>
        <w:tc>
          <w:tcPr>
            <w:tcW w:type="dxa" w:w="794"/>
          </w:tcPr>
          <w:p>
            <w:pPr>
              <w:jc w:val="right"/>
            </w:pPr>
            <w:r/>
            <w:r>
              <w:rPr>
                <w:color w:val="1A1D21"/>
                <w:sz w:val="17"/>
              </w:rPr>
              <w:t>0.245</w:t>
            </w:r>
          </w:p>
        </w:tc>
        <w:tc>
          <w:tcPr>
            <w:tcW w:type="dxa" w:w="794"/>
          </w:tcPr>
          <w:p>
            <w:pPr>
              <w:jc w:val="right"/>
            </w:pPr>
            <w:r/>
            <w:r>
              <w:rPr>
                <w:color w:val="1A1D21"/>
                <w:sz w:val="17"/>
              </w:rPr>
              <w:t>0.206</w:t>
            </w:r>
          </w:p>
        </w:tc>
        <w:tc>
          <w:tcPr>
            <w:tcW w:type="dxa" w:w="794"/>
          </w:tcPr>
          <w:p>
            <w:pPr>
              <w:jc w:val="right"/>
            </w:pPr>
            <w:r/>
            <w:r>
              <w:rPr>
                <w:color w:val="1A1D21"/>
                <w:sz w:val="17"/>
              </w:rPr>
              <w:t>0.174</w:t>
            </w:r>
          </w:p>
        </w:tc>
        <w:tc>
          <w:tcPr>
            <w:tcW w:type="dxa" w:w="794"/>
          </w:tcPr>
          <w:p>
            <w:pPr>
              <w:jc w:val="right"/>
            </w:pPr>
            <w:r/>
            <w:r>
              <w:rPr>
                <w:color w:val="1A1D21"/>
                <w:sz w:val="17"/>
              </w:rPr>
              <w:t>0.146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0.146.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22.10%</w:t>
            </w:r>
          </w:p>
        </w:tc>
        <w:tc>
          <w:tcPr>
            <w:tcW w:type="dxa" w:w="2494"/>
          </w:tcPr>
          <w:p>
            <w:pPr>
              <w:jc w:val="right"/>
            </w:pPr>
            <w:r/>
            <w:r>
              <w:rPr>
                <w:color w:val="1A1D21"/>
                <w:sz w:val="17"/>
              </w:rPr>
              <w:t>274.31</w:t>
            </w:r>
          </w:p>
        </w:tc>
        <w:tc>
          <w:tcPr>
            <w:tcW w:type="dxa" w:w="2494"/>
          </w:tcPr>
          <w:p>
            <w:pPr>
              <w:jc w:val="right"/>
            </w:pPr>
            <w:r/>
            <w:r>
              <w:rPr>
                <w:color w:val="1A1D21"/>
                <w:sz w:val="17"/>
              </w:rPr>
              <w:t>202.31</w:t>
            </w:r>
          </w:p>
        </w:tc>
        <w:tc>
          <w:tcPr>
            <w:tcW w:type="dxa" w:w="2381"/>
          </w:tcPr>
          <w:p>
            <w:pPr>
              <w:jc w:val="right"/>
            </w:pPr>
            <w:r/>
            <w:r>
              <w:rPr>
                <w:color w:val="1A1D21"/>
                <w:sz w:val="17"/>
              </w:rPr>
              <w:t>184%</w:t>
            </w:r>
          </w:p>
        </w:tc>
      </w:tr>
      <w:tr>
        <w:trPr>
          <w:cantSplit/>
        </w:trPr>
        <w:tc>
          <w:tcPr>
            <w:tcW w:type="dxa" w:w="1814"/>
          </w:tcPr>
          <w:p>
            <w:r/>
            <w:r>
              <w:rPr>
                <w:color w:val="1A1D21"/>
                <w:sz w:val="17"/>
              </w:rPr>
              <w:t>26.10%</w:t>
            </w:r>
          </w:p>
        </w:tc>
        <w:tc>
          <w:tcPr>
            <w:tcW w:type="dxa" w:w="2494"/>
          </w:tcPr>
          <w:p>
            <w:pPr>
              <w:jc w:val="right"/>
            </w:pPr>
            <w:r/>
            <w:r>
              <w:rPr>
                <w:color w:val="1A1D21"/>
                <w:sz w:val="17"/>
              </w:rPr>
              <w:t>180.42</w:t>
            </w:r>
          </w:p>
        </w:tc>
        <w:tc>
          <w:tcPr>
            <w:tcW w:type="dxa" w:w="2494"/>
          </w:tcPr>
          <w:p>
            <w:pPr>
              <w:jc w:val="right"/>
            </w:pPr>
            <w:r/>
            <w:r>
              <w:rPr>
                <w:color w:val="1A1D21"/>
                <w:sz w:val="17"/>
              </w:rPr>
              <w:t>111.53</w:t>
            </w:r>
          </w:p>
        </w:tc>
        <w:tc>
          <w:tcPr>
            <w:tcW w:type="dxa" w:w="2381"/>
          </w:tcPr>
          <w:p>
            <w:pPr>
              <w:jc w:val="right"/>
            </w:pPr>
            <w:r/>
            <w:r>
              <w:rPr>
                <w:color w:val="1A1D21"/>
                <w:sz w:val="17"/>
              </w:rPr>
              <w:t>87%</w:t>
            </w:r>
          </w:p>
        </w:tc>
      </w:tr>
      <w:tr>
        <w:trPr>
          <w:cantSplit/>
        </w:trPr>
        <w:tc>
          <w:tcPr>
            <w:tcW w:type="dxa" w:w="1814"/>
          </w:tcPr>
          <w:p>
            <w:r/>
            <w:r>
              <w:rPr>
                <w:color w:val="1A1D21"/>
                <w:sz w:val="17"/>
              </w:rPr>
              <w:t>28.10%</w:t>
            </w:r>
          </w:p>
        </w:tc>
        <w:tc>
          <w:tcPr>
            <w:tcW w:type="dxa" w:w="2494"/>
          </w:tcPr>
          <w:p>
            <w:pPr>
              <w:jc w:val="right"/>
            </w:pPr>
            <w:r/>
            <w:r>
              <w:rPr>
                <w:color w:val="1A1D21"/>
                <w:sz w:val="17"/>
              </w:rPr>
              <w:t>157.54</w:t>
            </w:r>
          </w:p>
        </w:tc>
        <w:tc>
          <w:tcPr>
            <w:tcW w:type="dxa" w:w="2494"/>
          </w:tcPr>
          <w:p>
            <w:pPr>
              <w:jc w:val="right"/>
            </w:pPr>
            <w:r/>
            <w:r>
              <w:rPr>
                <w:color w:val="1A1D21"/>
                <w:sz w:val="17"/>
              </w:rPr>
              <w:t>91.59</w:t>
            </w:r>
          </w:p>
        </w:tc>
        <w:tc>
          <w:tcPr>
            <w:tcW w:type="dxa" w:w="2381"/>
          </w:tcPr>
          <w:p>
            <w:pPr>
              <w:jc w:val="right"/>
            </w:pPr>
            <w:r/>
            <w:r>
              <w:rPr>
                <w:color w:val="1A1D21"/>
                <w:sz w:val="17"/>
              </w:rPr>
              <w:t>63%</w:t>
            </w:r>
          </w:p>
        </w:tc>
      </w:tr>
      <w:tr>
        <w:trPr>
          <w:cantSplit/>
        </w:trPr>
        <w:tc>
          <w:tcPr>
            <w:tcW w:type="dxa" w:w="1814"/>
          </w:tcPr>
          <w:p>
            <w:r/>
            <w:r>
              <w:rPr>
                <w:color w:val="1A1D21"/>
                <w:sz w:val="17"/>
              </w:rPr>
              <w:t>30.10%</w:t>
            </w:r>
          </w:p>
        </w:tc>
        <w:tc>
          <w:tcPr>
            <w:tcW w:type="dxa" w:w="2494"/>
          </w:tcPr>
          <w:p>
            <w:pPr>
              <w:jc w:val="right"/>
            </w:pPr>
            <w:r/>
            <w:r>
              <w:rPr>
                <w:color w:val="1A1D21"/>
                <w:sz w:val="17"/>
              </w:rPr>
              <w:t>140.74</w:t>
            </w:r>
          </w:p>
        </w:tc>
        <w:tc>
          <w:tcPr>
            <w:tcW w:type="dxa" w:w="2494"/>
          </w:tcPr>
          <w:p>
            <w:pPr>
              <w:jc w:val="right"/>
            </w:pPr>
            <w:r/>
            <w:r>
              <w:rPr>
                <w:color w:val="1A1D21"/>
                <w:sz w:val="17"/>
              </w:rPr>
              <w:t>78.16</w:t>
            </w:r>
          </w:p>
        </w:tc>
        <w:tc>
          <w:tcPr>
            <w:tcW w:type="dxa" w:w="2381"/>
          </w:tcPr>
          <w:p>
            <w:pPr>
              <w:jc w:val="right"/>
            </w:pPr>
            <w:r/>
            <w:r>
              <w:rPr>
                <w:color w:val="1A1D21"/>
                <w:sz w:val="17"/>
              </w:rPr>
              <w:t>46%</w:t>
            </w:r>
          </w:p>
        </w:tc>
      </w:tr>
      <w:tr>
        <w:trPr>
          <w:cantSplit/>
        </w:trPr>
        <w:tc>
          <w:tcPr>
            <w:tcW w:type="dxa" w:w="1814"/>
          </w:tcPr>
          <w:p>
            <w:r/>
            <w:r>
              <w:rPr>
                <w:color w:val="1A1D21"/>
                <w:sz w:val="17"/>
              </w:rPr>
              <w:t>32.10%</w:t>
            </w:r>
          </w:p>
        </w:tc>
        <w:tc>
          <w:tcPr>
            <w:tcW w:type="dxa" w:w="2494"/>
          </w:tcPr>
          <w:p>
            <w:pPr>
              <w:jc w:val="right"/>
            </w:pPr>
            <w:r/>
            <w:r>
              <w:rPr>
                <w:color w:val="1A1D21"/>
                <w:sz w:val="17"/>
              </w:rPr>
              <w:t>127.77</w:t>
            </w:r>
          </w:p>
        </w:tc>
        <w:tc>
          <w:tcPr>
            <w:tcW w:type="dxa" w:w="2494"/>
          </w:tcPr>
          <w:p>
            <w:pPr>
              <w:jc w:val="right"/>
            </w:pPr>
            <w:r/>
            <w:r>
              <w:rPr>
                <w:color w:val="1A1D21"/>
                <w:sz w:val="17"/>
              </w:rPr>
              <w:t>68.72</w:t>
            </w:r>
          </w:p>
        </w:tc>
        <w:tc>
          <w:tcPr>
            <w:tcW w:type="dxa" w:w="2381"/>
          </w:tcPr>
          <w:p>
            <w:pPr>
              <w:jc w:val="right"/>
            </w:pPr>
            <w:r/>
            <w:r>
              <w:rPr>
                <w:color w:val="1A1D21"/>
                <w:sz w:val="17"/>
              </w:rPr>
              <w:t>32%</w:t>
            </w:r>
          </w:p>
        </w:tc>
      </w:tr>
      <w:tr>
        <w:trPr>
          <w:cantSplit/>
        </w:trPr>
        <w:tc>
          <w:tcPr>
            <w:tcW w:type="dxa" w:w="1814"/>
          </w:tcPr>
          <w:p>
            <w:r/>
            <w:r>
              <w:rPr>
                <w:color w:val="1A1D21"/>
                <w:sz w:val="17"/>
              </w:rPr>
              <w:t>34.10%</w:t>
            </w:r>
          </w:p>
        </w:tc>
        <w:tc>
          <w:tcPr>
            <w:tcW w:type="dxa" w:w="2494"/>
          </w:tcPr>
          <w:p>
            <w:pPr>
              <w:jc w:val="right"/>
            </w:pPr>
            <w:r/>
            <w:r>
              <w:rPr>
                <w:color w:val="1A1D21"/>
                <w:sz w:val="17"/>
              </w:rPr>
              <w:t>117.39</w:t>
            </w:r>
          </w:p>
        </w:tc>
        <w:tc>
          <w:tcPr>
            <w:tcW w:type="dxa" w:w="2494"/>
          </w:tcPr>
          <w:p>
            <w:pPr>
              <w:jc w:val="right"/>
            </w:pPr>
            <w:r/>
            <w:r>
              <w:rPr>
                <w:color w:val="1A1D21"/>
                <w:sz w:val="17"/>
              </w:rPr>
              <w:t>61.91</w:t>
            </w:r>
          </w:p>
        </w:tc>
        <w:tc>
          <w:tcPr>
            <w:tcW w:type="dxa" w:w="2381"/>
          </w:tcPr>
          <w:p>
            <w:pPr>
              <w:jc w:val="right"/>
            </w:pPr>
            <w:r/>
            <w:r>
              <w:rPr>
                <w:color w:val="1A1D21"/>
                <w:sz w:val="17"/>
              </w:rPr>
              <w:t>22%</w:t>
            </w:r>
          </w:p>
        </w:tc>
      </w:tr>
      <w:tr>
        <w:trPr>
          <w:cantSplit/>
        </w:trPr>
        <w:tc>
          <w:tcPr>
            <w:tcW w:type="dxa" w:w="1814"/>
          </w:tcPr>
          <w:p>
            <w:r/>
            <w:r>
              <w:rPr>
                <w:color w:val="1A1D21"/>
                <w:sz w:val="17"/>
              </w:rPr>
              <w:t>38.10%</w:t>
            </w:r>
          </w:p>
        </w:tc>
        <w:tc>
          <w:tcPr>
            <w:tcW w:type="dxa" w:w="2494"/>
          </w:tcPr>
          <w:p>
            <w:pPr>
              <w:jc w:val="right"/>
            </w:pPr>
            <w:r/>
            <w:r>
              <w:rPr>
                <w:color w:val="1A1D21"/>
                <w:sz w:val="17"/>
              </w:rPr>
              <w:t>101.80</w:t>
            </w:r>
          </w:p>
        </w:tc>
        <w:tc>
          <w:tcPr>
            <w:tcW w:type="dxa" w:w="2494"/>
          </w:tcPr>
          <w:p>
            <w:pPr>
              <w:jc w:val="right"/>
            </w:pPr>
            <w:r/>
            <w:r>
              <w:rPr>
                <w:color w:val="1A1D21"/>
                <w:sz w:val="17"/>
              </w:rPr>
              <w:t>53.17</w:t>
            </w:r>
          </w:p>
        </w:tc>
        <w:tc>
          <w:tcPr>
            <w:tcW w:type="dxa" w:w="2381"/>
          </w:tcPr>
          <w:p>
            <w:pPr>
              <w:jc w:val="right"/>
            </w:pPr>
            <w:r/>
            <w:r>
              <w:rPr>
                <w:color w:val="1A1D21"/>
                <w:sz w:val="17"/>
              </w:rPr>
              <w:t>5%</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77.13 – 140.74</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12.65</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15.47 – 23.80</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30.10% to 18.86%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35.74%</w:t>
            </w:r>
          </w:p>
        </w:tc>
        <w:tc>
          <w:tcPr>
            <w:tcW w:type="dxa" w:w="2494"/>
          </w:tcPr>
          <w:p>
            <w:pPr>
              <w:jc w:val="right"/>
            </w:pPr>
            <w:r/>
            <w:r>
              <w:rPr>
                <w:color w:val="1A1D21"/>
                <w:sz w:val="17"/>
              </w:rPr>
              <w:t>20,398</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83,578</w:t>
            </w:r>
          </w:p>
        </w:tc>
      </w:tr>
    </w:tbl>
    <w:p>
      <w:pPr>
        <w:spacing w:after="80"/>
      </w:pPr>
      <w:r>
        <w:rPr>
          <w:b w:val="0"/>
          <w:i w:val="0"/>
          <w:color w:val="1A1D21"/>
          <w:sz w:val="8"/>
        </w:rPr>
      </w:r>
    </w:p>
    <w:p>
      <w:pPr>
        <w:spacing w:after="140"/>
      </w:pPr>
      <w:r>
        <w:rPr>
          <w:b/>
          <w:i w:val="0"/>
          <w:color w:val="1A1D21"/>
          <w:sz w:val="20"/>
        </w:rPr>
        <w:t>Value per share: EGP 40.56</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44.58</w:t>
            </w:r>
          </w:p>
        </w:tc>
      </w:tr>
      <w:tr>
        <w:trPr>
          <w:cantSplit/>
        </w:trPr>
        <w:tc>
          <w:tcPr>
            <w:tcW w:type="dxa" w:w="3969"/>
          </w:tcPr>
          <w:p>
            <w:r/>
            <w:r>
              <w:rPr>
                <w:color w:val="1A1D21"/>
                <w:sz w:val="17"/>
              </w:rPr>
              <w:t>10</w:t>
            </w:r>
          </w:p>
        </w:tc>
        <w:tc>
          <w:tcPr>
            <w:tcW w:type="dxa" w:w="2268"/>
          </w:tcPr>
          <w:p>
            <w:pPr>
              <w:jc w:val="right"/>
            </w:pPr>
            <w:r/>
            <w:r>
              <w:rPr>
                <w:color w:val="1A1D21"/>
                <w:sz w:val="17"/>
              </w:rPr>
              <w:t>42.28</w:t>
            </w:r>
          </w:p>
        </w:tc>
      </w:tr>
      <w:tr>
        <w:trPr>
          <w:cantSplit/>
        </w:trPr>
        <w:tc>
          <w:tcPr>
            <w:tcW w:type="dxa" w:w="3969"/>
          </w:tcPr>
          <w:p>
            <w:r/>
            <w:r>
              <w:rPr>
                <w:color w:val="1A1D21"/>
                <w:sz w:val="17"/>
              </w:rPr>
              <w:t>12</w:t>
            </w:r>
          </w:p>
        </w:tc>
        <w:tc>
          <w:tcPr>
            <w:tcW w:type="dxa" w:w="2268"/>
          </w:tcPr>
          <w:p>
            <w:pPr>
              <w:jc w:val="right"/>
            </w:pPr>
            <w:r/>
            <w:r>
              <w:rPr>
                <w:color w:val="1A1D21"/>
                <w:sz w:val="17"/>
              </w:rPr>
              <w:t>40.56</w:t>
            </w:r>
          </w:p>
        </w:tc>
      </w:tr>
      <w:tr>
        <w:trPr>
          <w:cantSplit/>
        </w:trPr>
        <w:tc>
          <w:tcPr>
            <w:tcW w:type="dxa" w:w="3969"/>
          </w:tcPr>
          <w:p>
            <w:r/>
            <w:r>
              <w:rPr>
                <w:color w:val="1A1D21"/>
                <w:sz w:val="17"/>
              </w:rPr>
              <w:t>14</w:t>
            </w:r>
          </w:p>
        </w:tc>
        <w:tc>
          <w:tcPr>
            <w:tcW w:type="dxa" w:w="2268"/>
          </w:tcPr>
          <w:p>
            <w:pPr>
              <w:jc w:val="right"/>
            </w:pPr>
            <w:r/>
            <w:r>
              <w:rPr>
                <w:color w:val="1A1D21"/>
                <w:sz w:val="17"/>
              </w:rPr>
              <w:t>39.25</w:t>
            </w:r>
          </w:p>
        </w:tc>
      </w:tr>
      <w:tr>
        <w:trPr>
          <w:cantSplit/>
        </w:trPr>
        <w:tc>
          <w:tcPr>
            <w:tcW w:type="dxa" w:w="3969"/>
          </w:tcPr>
          <w:p>
            <w:r/>
            <w:r>
              <w:rPr>
                <w:color w:val="1A1D21"/>
                <w:sz w:val="17"/>
              </w:rPr>
              <w:t>18</w:t>
            </w:r>
          </w:p>
        </w:tc>
        <w:tc>
          <w:tcPr>
            <w:tcW w:type="dxa" w:w="2268"/>
          </w:tcPr>
          <w:p>
            <w:pPr>
              <w:jc w:val="right"/>
            </w:pPr>
            <w:r/>
            <w:r>
              <w:rPr>
                <w:color w:val="1A1D21"/>
                <w:sz w:val="17"/>
              </w:rPr>
              <w:t>37.40</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37.10% less growth 15%</w:t>
            </w:r>
          </w:p>
        </w:tc>
        <w:tc>
          <w:tcPr>
            <w:tcW w:type="dxa" w:w="2494"/>
          </w:tcPr>
          <w:p>
            <w:pPr>
              <w:jc w:val="right"/>
            </w:pPr>
            <w:r/>
            <w:r>
              <w:rPr>
                <w:color w:val="1A1D21"/>
                <w:sz w:val="17"/>
              </w:rPr>
              <w:t>36,508</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20,135</w:t>
            </w:r>
          </w:p>
        </w:tc>
      </w:tr>
    </w:tbl>
    <w:p>
      <w:pPr>
        <w:spacing w:after="80"/>
      </w:pPr>
      <w:r>
        <w:rPr>
          <w:b w:val="0"/>
          <w:i w:val="0"/>
          <w:color w:val="1A1D21"/>
          <w:sz w:val="8"/>
        </w:rPr>
      </w:r>
    </w:p>
    <w:p>
      <w:pPr>
        <w:spacing w:after="140"/>
      </w:pPr>
      <w:r>
        <w:rPr>
          <w:b/>
          <w:i w:val="0"/>
          <w:color w:val="1A1D21"/>
          <w:sz w:val="20"/>
        </w:rPr>
        <w:t>Value per share: EGP 9.77</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5.87</w:t>
            </w:r>
          </w:p>
        </w:tc>
      </w:tr>
      <w:tr>
        <w:trPr>
          <w:cantSplit/>
        </w:trPr>
        <w:tc>
          <w:tcPr>
            <w:tcW w:type="dxa" w:w="3969"/>
          </w:tcPr>
          <w:p>
            <w:r/>
            <w:r>
              <w:rPr>
                <w:color w:val="1A1D21"/>
                <w:sz w:val="17"/>
              </w:rPr>
              <w:t>12%</w:t>
            </w:r>
          </w:p>
        </w:tc>
        <w:tc>
          <w:tcPr>
            <w:tcW w:type="dxa" w:w="2268"/>
          </w:tcPr>
          <w:p>
            <w:pPr>
              <w:jc w:val="right"/>
            </w:pPr>
            <w:r/>
            <w:r>
              <w:rPr>
                <w:color w:val="1A1D21"/>
                <w:sz w:val="17"/>
              </w:rPr>
              <w:t>7.63</w:t>
            </w:r>
          </w:p>
        </w:tc>
      </w:tr>
      <w:tr>
        <w:trPr>
          <w:cantSplit/>
        </w:trPr>
        <w:tc>
          <w:tcPr>
            <w:tcW w:type="dxa" w:w="3969"/>
          </w:tcPr>
          <w:p>
            <w:r/>
            <w:r>
              <w:rPr>
                <w:color w:val="1A1D21"/>
                <w:sz w:val="17"/>
              </w:rPr>
              <w:t>15%</w:t>
            </w:r>
          </w:p>
        </w:tc>
        <w:tc>
          <w:tcPr>
            <w:tcW w:type="dxa" w:w="2268"/>
          </w:tcPr>
          <w:p>
            <w:pPr>
              <w:jc w:val="right"/>
            </w:pPr>
            <w:r/>
            <w:r>
              <w:rPr>
                <w:color w:val="1A1D21"/>
                <w:sz w:val="17"/>
              </w:rPr>
              <w:t>9.77</w:t>
            </w:r>
          </w:p>
        </w:tc>
      </w:tr>
      <w:tr>
        <w:trPr>
          <w:cantSplit/>
        </w:trPr>
        <w:tc>
          <w:tcPr>
            <w:tcW w:type="dxa" w:w="3969"/>
          </w:tcPr>
          <w:p>
            <w:r/>
            <w:r>
              <w:rPr>
                <w:color w:val="1A1D21"/>
                <w:sz w:val="17"/>
              </w:rPr>
              <w:t>18%</w:t>
            </w:r>
          </w:p>
        </w:tc>
        <w:tc>
          <w:tcPr>
            <w:tcW w:type="dxa" w:w="2268"/>
          </w:tcPr>
          <w:p>
            <w:pPr>
              <w:jc w:val="right"/>
            </w:pPr>
            <w:r/>
            <w:r>
              <w:rPr>
                <w:color w:val="1A1D21"/>
                <w:sz w:val="17"/>
              </w:rPr>
              <w:t>12.47</w:t>
            </w:r>
          </w:p>
        </w:tc>
      </w:tr>
      <w:tr>
        <w:trPr>
          <w:cantSplit/>
        </w:trPr>
        <w:tc>
          <w:tcPr>
            <w:tcW w:type="dxa" w:w="3969"/>
          </w:tcPr>
          <w:p>
            <w:r/>
            <w:r>
              <w:rPr>
                <w:color w:val="1A1D21"/>
                <w:sz w:val="17"/>
              </w:rPr>
              <w:t>20%</w:t>
            </w:r>
          </w:p>
        </w:tc>
        <w:tc>
          <w:tcPr>
            <w:tcW w:type="dxa" w:w="2268"/>
          </w:tcPr>
          <w:p>
            <w:pPr>
              <w:jc w:val="right"/>
            </w:pPr>
            <w:r/>
            <w:r>
              <w:rPr>
                <w:color w:val="1A1D21"/>
                <w:sz w:val="17"/>
              </w:rPr>
              <w:t>15.95</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35.74%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9.77 is the floor, deliberately: it gives the shareholder nothing at all for EGP 491bn of sold product, and says so. Experts 1 and 2 arrive at EGP 40.56 and EGP 38.30 by routes that share almost no arithmetic — one discounts a twelve-year net cash stream, the other reconciles a balance sheet and strips goodwill — and land within EGP 2.26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9.77 to EGP 40.56.</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2.26</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30.79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28.53</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