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 September 2026  ·  Reporting and valuation currency: Egyptian pounds  ·  Anchor price EGP 13.98 at the close of 2026-08-06</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Four lenses give a field, not a point. Where they disagree, the disagreement is the information —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0.00 and EGP 15.47 a share. It trades at EGP 13.98. The gap is not a rounding difference between the lenses: it is the whole disagreement. The multiple lens, on the range Egyptian fertilizer producers actually trade at, centres at EGP 15.47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7.8%,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24.2% to 18.2%, terminal growth 5.0%</w:t>
            </w:r>
          </w:p>
        </w:tc>
        <w:tc>
          <w:tcPr>
            <w:tcW w:type="dxa" w:w="1512"/>
          </w:tcPr>
          <w:p>
            <w:pPr>
              <w:spacing w:after="20"/>
              <w:jc w:val="right"/>
            </w:pPr>
            <w:r>
              <w:rPr>
                <w:color w:val="1C3A36"/>
                <w:sz w:val="15"/>
              </w:rPr>
              <w:t>-2.35 to 1.98</w:t>
            </w:r>
          </w:p>
        </w:tc>
        <w:tc>
          <w:tcPr>
            <w:tcW w:type="dxa" w:w="1008"/>
          </w:tcPr>
          <w:p>
            <w:pPr>
              <w:spacing w:after="20"/>
              <w:jc w:val="right"/>
            </w:pPr>
            <w:r>
              <w:rPr>
                <w:color w:val="1C3A36"/>
                <w:sz w:val="15"/>
              </w:rPr>
              <w:t>-0.56</w:t>
            </w:r>
          </w:p>
        </w:tc>
        <w:tc>
          <w:tcPr>
            <w:tcW w:type="dxa" w:w="936"/>
          </w:tcPr>
          <w:p>
            <w:pPr>
              <w:spacing w:after="20"/>
              <w:jc w:val="right"/>
            </w:pPr>
            <w:r>
              <w:rPr>
                <w:color w:val="1C3A36"/>
                <w:sz w:val="15"/>
              </w:rPr>
              <w:t>-104%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1.66 to 3.65</w:t>
            </w:r>
          </w:p>
        </w:tc>
        <w:tc>
          <w:tcPr>
            <w:tcW w:type="dxa" w:w="1008"/>
          </w:tcPr>
          <w:p>
            <w:pPr>
              <w:spacing w:after="20"/>
              <w:jc w:val="right"/>
            </w:pPr>
            <w:r>
              <w:rPr>
                <w:color w:val="1C3A36"/>
                <w:sz w:val="15"/>
              </w:rPr>
              <w:t>3.59</w:t>
            </w:r>
          </w:p>
        </w:tc>
        <w:tc>
          <w:tcPr>
            <w:tcW w:type="dxa" w:w="936"/>
          </w:tcPr>
          <w:p>
            <w:pPr>
              <w:spacing w:after="20"/>
              <w:jc w:val="right"/>
            </w:pPr>
            <w:r>
              <w:rPr>
                <w:color w:val="1C3A36"/>
                <w:sz w:val="15"/>
              </w:rPr>
              <w:t>-74%</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10.88 to 20.07</w:t>
            </w:r>
          </w:p>
        </w:tc>
        <w:tc>
          <w:tcPr>
            <w:tcW w:type="dxa" w:w="1008"/>
          </w:tcPr>
          <w:p>
            <w:pPr>
              <w:spacing w:after="20"/>
              <w:jc w:val="right"/>
            </w:pPr>
            <w:r>
              <w:rPr>
                <w:color w:val="1C3A36"/>
                <w:sz w:val="15"/>
              </w:rPr>
              <w:t>15.47</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31.0%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0.58</w:t>
            </w:r>
          </w:p>
        </w:tc>
        <w:tc>
          <w:tcPr>
            <w:tcW w:type="dxa" w:w="936"/>
          </w:tcPr>
          <w:p>
            <w:pPr>
              <w:spacing w:after="20"/>
              <w:jc w:val="right"/>
            </w:pPr>
            <w:r>
              <w:rPr>
                <w:color w:val="1C3A36"/>
                <w:sz w:val="15"/>
              </w:rPr>
              <w:t>-96%</w:t>
            </w:r>
          </w:p>
        </w:tc>
      </w:tr>
      <w:tr>
        <w:trPr>
          <w:cantSplit/>
        </w:trPr>
        <w:tc>
          <w:tcPr>
            <w:tcW w:type="dxa" w:w="2232"/>
            <w:shd w:val="clear" w:color="auto" w:fill="F6F1E6"/>
          </w:tcPr>
          <w:p>
            <w:pPr>
              <w:spacing w:after="20"/>
            </w:pPr>
            <w:r>
              <w:rPr>
                <w:b/>
                <w:color w:val="1C3A36"/>
                <w:sz w:val="15"/>
              </w:rPr>
              <w:t>THE FIELD, all four lenses</w:t>
            </w:r>
          </w:p>
        </w:tc>
        <w:tc>
          <w:tcPr>
            <w:tcW w:type="dxa" w:w="3960"/>
            <w:shd w:val="clear" w:color="auto" w:fill="F6F1E6"/>
          </w:tcPr>
          <w:p>
            <w:pPr>
              <w:spacing w:after="20"/>
            </w:pPr>
            <w:r>
              <w:rPr>
                <w:b/>
                <w:color w:val="1C3A36"/>
                <w:sz w:val="15"/>
              </w:rPr>
              <w:t>Low to high across every read above. The two cash-flow readings are the contested judgement and are never averaged into one another</w:t>
            </w:r>
          </w:p>
        </w:tc>
        <w:tc>
          <w:tcPr>
            <w:tcW w:type="dxa" w:w="1512"/>
            <w:shd w:val="clear" w:color="auto" w:fill="F6F1E6"/>
          </w:tcPr>
          <w:p>
            <w:pPr>
              <w:spacing w:after="20"/>
              <w:jc w:val="right"/>
            </w:pPr>
            <w:r>
              <w:rPr>
                <w:b/>
                <w:color w:val="1C3A36"/>
                <w:sz w:val="15"/>
              </w:rPr>
              <w:t>0.00 to 15.47</w:t>
            </w:r>
          </w:p>
        </w:tc>
        <w:tc>
          <w:tcPr>
            <w:tcW w:type="dxa" w:w="1008"/>
            <w:shd w:val="clear" w:color="auto" w:fill="F6F1E6"/>
          </w:tcPr>
          <w:p>
            <w:pPr>
              <w:spacing w:after="20"/>
              <w:jc w:val="right"/>
            </w:pPr>
            <w:r>
              <w:rPr>
                <w:b/>
                <w:color w:val="1C3A36"/>
                <w:sz w:val="15"/>
              </w:rPr>
              <w:t>—</w:t>
            </w:r>
          </w:p>
        </w:tc>
        <w:tc>
          <w:tcPr>
            <w:tcW w:type="dxa" w:w="936"/>
            <w:shd w:val="clear" w:color="auto" w:fill="F6F1E6"/>
          </w:tcPr>
          <w:p>
            <w:pPr>
              <w:spacing w:after="20"/>
              <w:jc w:val="right"/>
            </w:pPr>
            <w:r>
              <w:rPr>
                <w:b/>
                <w:color w:val="1C3A36"/>
                <w:sz w:val="15"/>
              </w:rPr>
              <w:t>—</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13.98</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0.20</w:t>
            </w:r>
          </w:p>
        </w:tc>
        <w:tc>
          <w:tcPr>
            <w:tcW w:type="dxa" w:w="936"/>
          </w:tcPr>
          <w:p>
            <w:pPr>
              <w:spacing w:after="20"/>
              <w:jc w:val="right"/>
            </w:pPr>
            <w:r>
              <w:rPr>
                <w:color w:val="1C3A36"/>
                <w:sz w:val="15"/>
              </w:rPr>
              <w:t>-99%</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-1.24</w:t>
            </w:r>
          </w:p>
        </w:tc>
        <w:tc>
          <w:tcPr>
            <w:tcW w:type="dxa" w:w="936"/>
          </w:tcPr>
          <w:p>
            <w:pPr>
              <w:spacing w:after="20"/>
              <w:jc w:val="right"/>
            </w:pPr>
            <w:r>
              <w:rPr>
                <w:color w:val="1C3A36"/>
                <w:sz w:val="15"/>
              </w:rPr>
              <w:t>-109%</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-0.60</w:t>
            </w:r>
          </w:p>
        </w:tc>
        <w:tc>
          <w:tcPr>
            <w:tcW w:type="dxa" w:w="936"/>
          </w:tcPr>
          <w:p>
            <w:pPr>
              <w:spacing w:after="20"/>
              <w:jc w:val="right"/>
            </w:pPr>
            <w:r>
              <w:rPr>
                <w:color w:val="1C3A36"/>
                <w:sz w:val="15"/>
              </w:rPr>
              <w:t>-104%</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0.27</w:t>
            </w:r>
          </w:p>
        </w:tc>
        <w:tc>
          <w:tcPr>
            <w:tcW w:type="dxa" w:w="936"/>
          </w:tcPr>
          <w:p>
            <w:pPr>
              <w:spacing w:after="20"/>
              <w:jc w:val="right"/>
            </w:pPr>
            <w:r>
              <w:rPr>
                <w:color w:val="1C3A36"/>
                <w:sz w:val="15"/>
              </w:rPr>
              <w:t>-98%</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-2.49</w:t>
            </w:r>
          </w:p>
        </w:tc>
        <w:tc>
          <w:tcPr>
            <w:tcW w:type="dxa" w:w="936"/>
          </w:tcPr>
          <w:p>
            <w:pPr>
              <w:spacing w:after="20"/>
              <w:jc w:val="right"/>
            </w:pPr>
            <w:r>
              <w:rPr>
                <w:color w:val="1C3A36"/>
                <w:sz w:val="15"/>
              </w:rPr>
              <w:t>-118%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-0.32</w:t>
            </w:r>
          </w:p>
        </w:tc>
        <w:tc>
          <w:tcPr>
            <w:tcW w:type="dxa" w:w="936"/>
          </w:tcPr>
          <w:p>
            <w:pPr>
              <w:spacing w:after="20"/>
              <w:jc w:val="right"/>
            </w:pPr>
            <w:r>
              <w:rPr>
                <w:color w:val="1C3A36"/>
                <w:sz w:val="15"/>
              </w:rPr>
              <w:t>-102%</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-1.36</w:t>
            </w:r>
          </w:p>
        </w:tc>
        <w:tc>
          <w:tcPr>
            <w:tcW w:type="dxa" w:w="936"/>
          </w:tcPr>
          <w:p>
            <w:pPr>
              <w:spacing w:after="20"/>
              <w:jc w:val="right"/>
            </w:pPr>
            <w:r>
              <w:rPr>
                <w:color w:val="1C3A36"/>
                <w:sz w:val="15"/>
              </w:rPr>
              <w:t>-110%</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-0.28</w:t>
            </w:r>
          </w:p>
        </w:tc>
        <w:tc>
          <w:tcPr>
            <w:tcW w:type="dxa" w:w="936"/>
          </w:tcPr>
          <w:p>
            <w:pPr>
              <w:spacing w:after="20"/>
              <w:jc w:val="right"/>
            </w:pPr>
            <w:r>
              <w:rPr>
                <w:color w:val="1C3A36"/>
                <w:sz w:val="15"/>
              </w:rPr>
              <w:t>-102%</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-0.79</w:t>
            </w:r>
          </w:p>
        </w:tc>
        <w:tc>
          <w:tcPr>
            <w:tcW w:type="dxa" w:w="936"/>
          </w:tcPr>
          <w:p>
            <w:pPr>
              <w:spacing w:after="20"/>
              <w:jc w:val="right"/>
            </w:pPr>
            <w:r>
              <w:rPr>
                <w:color w:val="1C3A36"/>
                <w:sz w:val="15"/>
              </w:rPr>
              <w:t>-106%</w:t>
            </w:r>
          </w:p>
        </w:tc>
      </w:tr>
    </w:tbl>
    <w:p>
      <w:pPr>
        <w:spacing w:after="40"/>
      </w:pPr>
    </w:p>
    <w:p>
      <w:pPr>
        <w:spacing w:after="200" w:before="0"/>
      </w:pPr>
      <w:r>
        <w:rPr>
          <w:b w:val="0"/>
          <w:i/>
          <w:color w:val="6E7B77"/>
          <w:sz w:val="17"/>
        </w:rPr>
        <w:t>Table 1.  Egyptian pounds a share against a traded price of EGP 13.98.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67.3%</w:t>
            </w:r>
          </w:p>
        </w:tc>
        <w:tc>
          <w:tcPr>
            <w:tcW w:type="dxa" w:w="2736"/>
          </w:tcPr>
          <w:p>
            <w:pPr>
              <w:spacing w:after="20"/>
              <w:jc w:val="right"/>
            </w:pPr>
            <w:r>
              <w:rPr>
                <w:color w:val="1C3A36"/>
                <w:sz w:val="17"/>
              </w:rPr>
              <w:t>33.2%</w:t>
            </w:r>
          </w:p>
        </w:tc>
      </w:tr>
    </w:tbl>
    <w:p>
      <w:pPr>
        <w:spacing w:after="40"/>
      </w:pPr>
    </w:p>
    <w:p>
      <w:pPr>
        <w:spacing w:after="200" w:before="0"/>
      </w:pPr>
      <w:r>
        <w:rPr>
          <w:b w:val="0"/>
          <w:i/>
          <w:color w:val="6E7B77"/>
          <w:sz w:val="17"/>
        </w:rPr>
        <w:t>Table 2.  Reported beside the cash-flow lens because on this company it is the number that decides the answer. Above one hundred per cent means the five explicit years contribute negative present value: the capital programme absorbs more cash than the plant generates, so the terminal block carries the whole enterprise value and then some.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1.93 a share. The narrowest is terminal growth, worth EGP 0.04.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11,400</w:t>
            </w:r>
          </w:p>
        </w:tc>
        <w:tc>
          <w:tcPr>
            <w:tcW w:type="dxa" w:w="1426"/>
          </w:tcPr>
          <w:p>
            <w:pPr>
              <w:spacing w:after="20"/>
              <w:jc w:val="right"/>
            </w:pPr>
            <w:r>
              <w:rPr>
                <w:color w:val="1C3A36"/>
                <w:sz w:val="16"/>
              </w:rPr>
              <w:t>11,352</w:t>
            </w:r>
          </w:p>
        </w:tc>
        <w:tc>
          <w:tcPr>
            <w:tcW w:type="dxa" w:w="1426"/>
          </w:tcPr>
          <w:p>
            <w:pPr>
              <w:spacing w:after="20"/>
              <w:jc w:val="right"/>
            </w:pPr>
            <w:r>
              <w:rPr>
                <w:color w:val="1C3A36"/>
                <w:sz w:val="16"/>
              </w:rPr>
              <w:t>11,406</w:t>
            </w:r>
          </w:p>
        </w:tc>
        <w:tc>
          <w:tcPr>
            <w:tcW w:type="dxa" w:w="1426"/>
          </w:tcPr>
          <w:p>
            <w:pPr>
              <w:spacing w:after="20"/>
              <w:jc w:val="right"/>
            </w:pPr>
            <w:r>
              <w:rPr>
                <w:color w:val="1C3A36"/>
                <w:sz w:val="16"/>
              </w:rPr>
              <w:t>11,654</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4,684</w:t>
            </w:r>
          </w:p>
        </w:tc>
        <w:tc>
          <w:tcPr>
            <w:tcW w:type="dxa" w:w="1426"/>
            <w:shd w:val="clear" w:color="auto" w:fill="F6F1E6"/>
          </w:tcPr>
          <w:p>
            <w:pPr>
              <w:spacing w:after="20"/>
              <w:jc w:val="right"/>
            </w:pPr>
            <w:r>
              <w:rPr>
                <w:b/>
                <w:color w:val="1C3A36"/>
                <w:sz w:val="16"/>
              </w:rPr>
              <w:t>4,394</w:t>
            </w:r>
          </w:p>
        </w:tc>
        <w:tc>
          <w:tcPr>
            <w:tcW w:type="dxa" w:w="1426"/>
            <w:shd w:val="clear" w:color="auto" w:fill="F6F1E6"/>
          </w:tcPr>
          <w:p>
            <w:pPr>
              <w:spacing w:after="20"/>
              <w:jc w:val="right"/>
            </w:pPr>
            <w:r>
              <w:rPr>
                <w:b/>
                <w:color w:val="1C3A36"/>
                <w:sz w:val="16"/>
              </w:rPr>
              <w:t>4,006</w:t>
            </w:r>
          </w:p>
        </w:tc>
        <w:tc>
          <w:tcPr>
            <w:tcW w:type="dxa" w:w="1426"/>
            <w:shd w:val="clear" w:color="auto" w:fill="F6F1E6"/>
          </w:tcPr>
          <w:p>
            <w:pPr>
              <w:spacing w:after="20"/>
              <w:jc w:val="right"/>
            </w:pPr>
            <w:r>
              <w:rPr>
                <w:b/>
                <w:color w:val="1C3A36"/>
                <w:sz w:val="16"/>
              </w:rPr>
              <w:t>3,755</w:t>
            </w:r>
          </w:p>
        </w:tc>
        <w:tc>
          <w:tcPr>
            <w:tcW w:type="dxa" w:w="1426"/>
            <w:shd w:val="clear" w:color="auto" w:fill="F6F1E6"/>
          </w:tcPr>
          <w:p>
            <w:pPr>
              <w:spacing w:after="20"/>
              <w:jc w:val="right"/>
            </w:pPr>
            <w:r>
              <w:rPr>
                <w:b/>
                <w:color w:val="1C3A36"/>
                <w:sz w:val="16"/>
              </w:rPr>
              <w:t>3,684</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3,793</w:t>
            </w:r>
          </w:p>
        </w:tc>
        <w:tc>
          <w:tcPr>
            <w:tcW w:type="dxa" w:w="1426"/>
            <w:shd w:val="clear" w:color="auto" w:fill="F6F1E6"/>
          </w:tcPr>
          <w:p>
            <w:pPr>
              <w:spacing w:after="20"/>
              <w:jc w:val="right"/>
            </w:pPr>
            <w:r>
              <w:rPr>
                <w:b/>
                <w:color w:val="1C3A36"/>
                <w:sz w:val="16"/>
              </w:rPr>
              <w:t>3,385</w:t>
            </w:r>
          </w:p>
        </w:tc>
        <w:tc>
          <w:tcPr>
            <w:tcW w:type="dxa" w:w="1426"/>
            <w:shd w:val="clear" w:color="auto" w:fill="F6F1E6"/>
          </w:tcPr>
          <w:p>
            <w:pPr>
              <w:spacing w:after="20"/>
              <w:jc w:val="right"/>
            </w:pPr>
            <w:r>
              <w:rPr>
                <w:b/>
                <w:color w:val="1C3A36"/>
                <w:sz w:val="16"/>
              </w:rPr>
              <w:t>2,859</w:t>
            </w:r>
          </w:p>
        </w:tc>
        <w:tc>
          <w:tcPr>
            <w:tcW w:type="dxa" w:w="1426"/>
            <w:shd w:val="clear" w:color="auto" w:fill="F6F1E6"/>
          </w:tcPr>
          <w:p>
            <w:pPr>
              <w:spacing w:after="20"/>
              <w:jc w:val="right"/>
            </w:pPr>
            <w:r>
              <w:rPr>
                <w:b/>
                <w:color w:val="1C3A36"/>
                <w:sz w:val="16"/>
              </w:rPr>
              <w:t>2,463</w:t>
            </w:r>
          </w:p>
        </w:tc>
        <w:tc>
          <w:tcPr>
            <w:tcW w:type="dxa" w:w="1426"/>
            <w:shd w:val="clear" w:color="auto" w:fill="F6F1E6"/>
          </w:tcPr>
          <w:p>
            <w:pPr>
              <w:spacing w:after="20"/>
              <w:jc w:val="right"/>
            </w:pPr>
            <w:r>
              <w:rPr>
                <w:b/>
                <w:color w:val="1C3A36"/>
                <w:sz w:val="16"/>
              </w:rPr>
              <w:t>2,250</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2,940</w:t>
            </w:r>
          </w:p>
        </w:tc>
        <w:tc>
          <w:tcPr>
            <w:tcW w:type="dxa" w:w="1426"/>
          </w:tcPr>
          <w:p>
            <w:pPr>
              <w:spacing w:after="20"/>
              <w:jc w:val="right"/>
            </w:pPr>
            <w:r>
              <w:rPr>
                <w:color w:val="1C3A36"/>
                <w:sz w:val="16"/>
              </w:rPr>
              <w:t>2,623</w:t>
            </w:r>
          </w:p>
        </w:tc>
        <w:tc>
          <w:tcPr>
            <w:tcW w:type="dxa" w:w="1426"/>
          </w:tcPr>
          <w:p>
            <w:pPr>
              <w:spacing w:after="20"/>
              <w:jc w:val="right"/>
            </w:pPr>
            <w:r>
              <w:rPr>
                <w:color w:val="1C3A36"/>
                <w:sz w:val="16"/>
              </w:rPr>
              <w:t>2,216</w:t>
            </w:r>
          </w:p>
        </w:tc>
        <w:tc>
          <w:tcPr>
            <w:tcW w:type="dxa" w:w="1426"/>
          </w:tcPr>
          <w:p>
            <w:pPr>
              <w:spacing w:after="20"/>
              <w:jc w:val="right"/>
            </w:pPr>
            <w:r>
              <w:rPr>
                <w:color w:val="1C3A36"/>
                <w:sz w:val="16"/>
              </w:rPr>
              <w:t>1,909</w:t>
            </w:r>
          </w:p>
        </w:tc>
        <w:tc>
          <w:tcPr>
            <w:tcW w:type="dxa" w:w="1426"/>
          </w:tcPr>
          <w:p>
            <w:pPr>
              <w:spacing w:after="20"/>
              <w:jc w:val="right"/>
            </w:pPr>
            <w:r>
              <w:rPr>
                <w:color w:val="1C3A36"/>
                <w:sz w:val="16"/>
              </w:rPr>
              <w:t>1,743</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-3,227</w:t>
            </w:r>
          </w:p>
        </w:tc>
        <w:tc>
          <w:tcPr>
            <w:tcW w:type="dxa" w:w="1426"/>
          </w:tcPr>
          <w:p>
            <w:pPr>
              <w:spacing w:after="20"/>
              <w:jc w:val="right"/>
            </w:pPr>
            <w:r>
              <w:rPr>
                <w:color w:val="1C3A36"/>
                <w:sz w:val="16"/>
              </w:rPr>
              <w:t>-3,427</w:t>
            </w:r>
          </w:p>
        </w:tc>
        <w:tc>
          <w:tcPr>
            <w:tcW w:type="dxa" w:w="1426"/>
          </w:tcPr>
          <w:p>
            <w:pPr>
              <w:spacing w:after="20"/>
              <w:jc w:val="right"/>
            </w:pPr>
            <w:r>
              <w:rPr>
                <w:color w:val="1C3A36"/>
                <w:sz w:val="16"/>
              </w:rPr>
              <w:t>-3,327</w:t>
            </w:r>
          </w:p>
        </w:tc>
        <w:tc>
          <w:tcPr>
            <w:tcW w:type="dxa" w:w="1426"/>
          </w:tcPr>
          <w:p>
            <w:pPr>
              <w:spacing w:after="20"/>
              <w:jc w:val="right"/>
            </w:pPr>
            <w:r>
              <w:rPr>
                <w:color w:val="1C3A36"/>
                <w:sz w:val="16"/>
              </w:rPr>
              <w:t>-2,619</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-92</w:t>
            </w:r>
          </w:p>
        </w:tc>
        <w:tc>
          <w:tcPr>
            <w:tcW w:type="dxa" w:w="1426"/>
          </w:tcPr>
          <w:p>
            <w:pPr>
              <w:spacing w:after="20"/>
              <w:jc w:val="right"/>
            </w:pPr>
            <w:r>
              <w:rPr>
                <w:color w:val="1C3A36"/>
                <w:sz w:val="16"/>
              </w:rPr>
              <w:t>-92</w:t>
            </w:r>
          </w:p>
        </w:tc>
        <w:tc>
          <w:tcPr>
            <w:tcW w:type="dxa" w:w="1426"/>
          </w:tcPr>
          <w:p>
            <w:pPr>
              <w:spacing w:after="20"/>
              <w:jc w:val="right"/>
            </w:pPr>
            <w:r>
              <w:rPr>
                <w:color w:val="1C3A36"/>
                <w:sz w:val="16"/>
              </w:rPr>
              <w:t>-108</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298</w:t>
            </w:r>
          </w:p>
        </w:tc>
        <w:tc>
          <w:tcPr>
            <w:tcW w:type="dxa" w:w="1426"/>
            <w:shd w:val="clear" w:color="auto" w:fill="F6F1E6"/>
          </w:tcPr>
          <w:p>
            <w:pPr>
              <w:spacing w:after="20"/>
              <w:jc w:val="right"/>
            </w:pPr>
            <w:r>
              <w:rPr>
                <w:b/>
                <w:color w:val="1C3A36"/>
                <w:sz w:val="16"/>
              </w:rPr>
              <w:t>-156</w:t>
            </w:r>
          </w:p>
        </w:tc>
        <w:tc>
          <w:tcPr>
            <w:tcW w:type="dxa" w:w="1426"/>
            <w:shd w:val="clear" w:color="auto" w:fill="F6F1E6"/>
          </w:tcPr>
          <w:p>
            <w:pPr>
              <w:spacing w:after="20"/>
              <w:jc w:val="right"/>
            </w:pPr>
            <w:r>
              <w:rPr>
                <w:b/>
                <w:color w:val="1C3A36"/>
                <w:sz w:val="16"/>
              </w:rPr>
              <w:t>-219</w:t>
            </w:r>
          </w:p>
        </w:tc>
        <w:tc>
          <w:tcPr>
            <w:tcW w:type="dxa" w:w="1426"/>
            <w:shd w:val="clear" w:color="auto" w:fill="F6F1E6"/>
          </w:tcPr>
          <w:p>
            <w:pPr>
              <w:spacing w:after="20"/>
              <w:jc w:val="right"/>
            </w:pPr>
            <w:r>
              <w:rPr>
                <w:b/>
                <w:color w:val="1C3A36"/>
                <w:sz w:val="16"/>
              </w:rPr>
              <w:t>450</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24.18%</w:t>
            </w:r>
          </w:p>
        </w:tc>
        <w:tc>
          <w:tcPr>
            <w:tcW w:type="dxa" w:w="1426"/>
          </w:tcPr>
          <w:p>
            <w:pPr>
              <w:spacing w:after="20"/>
              <w:jc w:val="right"/>
            </w:pPr>
            <w:r>
              <w:rPr>
                <w:color w:val="1C3A36"/>
                <w:sz w:val="16"/>
              </w:rPr>
              <w:t>22.99%</w:t>
            </w:r>
          </w:p>
        </w:tc>
        <w:tc>
          <w:tcPr>
            <w:tcW w:type="dxa" w:w="1426"/>
          </w:tcPr>
          <w:p>
            <w:pPr>
              <w:spacing w:after="20"/>
              <w:jc w:val="right"/>
            </w:pPr>
            <w:r>
              <w:rPr>
                <w:color w:val="1C3A36"/>
                <w:sz w:val="16"/>
              </w:rPr>
              <w:t>21.80%</w:t>
            </w:r>
          </w:p>
        </w:tc>
        <w:tc>
          <w:tcPr>
            <w:tcW w:type="dxa" w:w="1426"/>
          </w:tcPr>
          <w:p>
            <w:pPr>
              <w:spacing w:after="20"/>
              <w:jc w:val="right"/>
            </w:pPr>
            <w:r>
              <w:rPr>
                <w:color w:val="1C3A36"/>
                <w:sz w:val="16"/>
              </w:rPr>
              <w:t>20.61%</w:t>
            </w:r>
          </w:p>
        </w:tc>
        <w:tc>
          <w:tcPr>
            <w:tcW w:type="dxa" w:w="1426"/>
          </w:tcPr>
          <w:p>
            <w:pPr>
              <w:spacing w:after="20"/>
              <w:jc w:val="right"/>
            </w:pPr>
            <w:r>
              <w:rPr>
                <w:color w:val="1C3A36"/>
                <w:sz w:val="16"/>
              </w:rPr>
              <w:t>19.42%</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0.8053</w:t>
            </w:r>
          </w:p>
        </w:tc>
        <w:tc>
          <w:tcPr>
            <w:tcW w:type="dxa" w:w="1426"/>
          </w:tcPr>
          <w:p>
            <w:pPr>
              <w:spacing w:after="20"/>
              <w:jc w:val="right"/>
            </w:pPr>
            <w:r>
              <w:rPr>
                <w:color w:val="1C3A36"/>
                <w:sz w:val="16"/>
              </w:rPr>
              <w:t>0.6547</w:t>
            </w:r>
          </w:p>
        </w:tc>
        <w:tc>
          <w:tcPr>
            <w:tcW w:type="dxa" w:w="1426"/>
          </w:tcPr>
          <w:p>
            <w:pPr>
              <w:spacing w:after="20"/>
              <w:jc w:val="right"/>
            </w:pPr>
            <w:r>
              <w:rPr>
                <w:color w:val="1C3A36"/>
                <w:sz w:val="16"/>
              </w:rPr>
              <w:t>0.5375</w:t>
            </w:r>
          </w:p>
        </w:tc>
        <w:tc>
          <w:tcPr>
            <w:tcW w:type="dxa" w:w="1426"/>
          </w:tcPr>
          <w:p>
            <w:pPr>
              <w:spacing w:after="20"/>
              <w:jc w:val="right"/>
            </w:pPr>
            <w:r>
              <w:rPr>
                <w:color w:val="1C3A36"/>
                <w:sz w:val="16"/>
              </w:rPr>
              <w:t>0.4457</w:t>
            </w:r>
          </w:p>
        </w:tc>
        <w:tc>
          <w:tcPr>
            <w:tcW w:type="dxa" w:w="1426"/>
          </w:tcPr>
          <w:p>
            <w:pPr>
              <w:spacing w:after="20"/>
              <w:jc w:val="right"/>
            </w:pPr>
            <w:r>
              <w:rPr>
                <w:color w:val="1C3A36"/>
                <w:sz w:val="16"/>
              </w:rPr>
              <w:t>0.3732</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195</w:t>
            </w:r>
          </w:p>
        </w:tc>
        <w:tc>
          <w:tcPr>
            <w:tcW w:type="dxa" w:w="1426"/>
            <w:shd w:val="clear" w:color="auto" w:fill="F6F1E6"/>
          </w:tcPr>
          <w:p>
            <w:pPr>
              <w:spacing w:after="20"/>
              <w:jc w:val="right"/>
            </w:pPr>
            <w:r>
              <w:rPr>
                <w:b/>
                <w:color w:val="1C3A36"/>
                <w:sz w:val="16"/>
              </w:rPr>
              <w:t>-84</w:t>
            </w:r>
          </w:p>
        </w:tc>
        <w:tc>
          <w:tcPr>
            <w:tcW w:type="dxa" w:w="1426"/>
            <w:shd w:val="clear" w:color="auto" w:fill="F6F1E6"/>
          </w:tcPr>
          <w:p>
            <w:pPr>
              <w:spacing w:after="20"/>
              <w:jc w:val="right"/>
            </w:pPr>
            <w:r>
              <w:rPr>
                <w:b/>
                <w:color w:val="1C3A36"/>
                <w:sz w:val="16"/>
              </w:rPr>
              <w:t>-98</w:t>
            </w:r>
          </w:p>
        </w:tc>
        <w:tc>
          <w:tcPr>
            <w:tcW w:type="dxa" w:w="1426"/>
            <w:shd w:val="clear" w:color="auto" w:fill="F6F1E6"/>
          </w:tcPr>
          <w:p>
            <w:pPr>
              <w:spacing w:after="20"/>
              <w:jc w:val="right"/>
            </w:pPr>
            <w:r>
              <w:rPr>
                <w:b/>
                <w:color w:val="1C3A36"/>
                <w:sz w:val="16"/>
              </w:rPr>
              <w:t>168</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1,763</w:t>
            </w:r>
          </w:p>
        </w:tc>
        <w:tc>
          <w:tcPr>
            <w:tcW w:type="dxa" w:w="2808"/>
          </w:tcPr>
          <w:p>
            <w:pPr>
              <w:spacing w:after="20"/>
              <w:jc w:val="right"/>
            </w:pPr>
            <w:r>
              <w:rPr>
                <w:color w:val="1C3A36"/>
                <w:sz w:val="17"/>
              </w:rPr>
              <w:t>9,091</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3,625</w:t>
            </w:r>
          </w:p>
        </w:tc>
        <w:tc>
          <w:tcPr>
            <w:tcW w:type="dxa" w:w="2808"/>
          </w:tcPr>
          <w:p>
            <w:pPr>
              <w:spacing w:after="20"/>
              <w:jc w:val="right"/>
            </w:pPr>
            <w:r>
              <w:rPr>
                <w:color w:val="1C3A36"/>
                <w:sz w:val="17"/>
              </w:rPr>
              <w:t>4,528</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5,388</w:t>
            </w:r>
          </w:p>
        </w:tc>
        <w:tc>
          <w:tcPr>
            <w:tcW w:type="dxa" w:w="2808"/>
            <w:shd w:val="clear" w:color="auto" w:fill="F6F1E6"/>
          </w:tcPr>
          <w:p>
            <w:pPr>
              <w:spacing w:after="20"/>
              <w:jc w:val="right"/>
            </w:pPr>
            <w:r>
              <w:rPr>
                <w:b/>
                <w:color w:val="1C3A36"/>
                <w:sz w:val="17"/>
              </w:rPr>
              <w:t>13,618</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67.3%</w:t>
            </w:r>
          </w:p>
        </w:tc>
        <w:tc>
          <w:tcPr>
            <w:tcW w:type="dxa" w:w="2808"/>
            <w:shd w:val="clear" w:color="auto" w:fill="F6F1E6"/>
          </w:tcPr>
          <w:p>
            <w:pPr>
              <w:spacing w:after="20"/>
              <w:jc w:val="right"/>
            </w:pPr>
            <w:r>
              <w:rPr>
                <w:b/>
                <w:color w:val="1C3A36"/>
                <w:sz w:val="17"/>
              </w:rPr>
              <w:t>33.2%</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-1,107</w:t>
            </w:r>
          </w:p>
        </w:tc>
        <w:tc>
          <w:tcPr>
            <w:tcW w:type="dxa" w:w="2808"/>
            <w:shd w:val="clear" w:color="auto" w:fill="F6F1E6"/>
          </w:tcPr>
          <w:p>
            <w:pPr>
              <w:spacing w:after="20"/>
              <w:jc w:val="right"/>
            </w:pPr>
            <w:r>
              <w:rPr>
                <w:b/>
                <w:color w:val="1C3A36"/>
                <w:sz w:val="17"/>
              </w:rPr>
              <w:t>7,124</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-0.56</w:t>
            </w:r>
          </w:p>
        </w:tc>
        <w:tc>
          <w:tcPr>
            <w:tcW w:type="dxa" w:w="2808"/>
            <w:shd w:val="clear" w:color="auto" w:fill="F6F1E6"/>
          </w:tcPr>
          <w:p>
            <w:pPr>
              <w:spacing w:after="20"/>
              <w:jc w:val="right"/>
            </w:pPr>
            <w:r>
              <w:rPr>
                <w:b/>
                <w:color w:val="1C3A36"/>
                <w:sz w:val="17"/>
              </w:rPr>
              <w:t>3.59</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negative, and what would change its sign</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2.71</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-0.56</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13.98</w:t>
            </w:r>
          </w:p>
        </w:tc>
      </w:tr>
    </w:tbl>
    <w:p>
      <w:pPr>
        <w:spacing w:after="40"/>
      </w:pPr>
    </w:p>
    <w:p>
      <w:pPr>
        <w:spacing w:after="200" w:before="0"/>
      </w:pPr>
      <w:r>
        <w:rPr>
          <w:b w:val="0"/>
          <w:i/>
          <w:color w:val="6E7B77"/>
          <w:sz w:val="17"/>
        </w:rPr>
        <w:t>Table 6.  The operating business is carried at less than half the debt standing against it. Free cash flow is positive in three of the five forecast years — the construction is no longer what makes the answer negative. The debt is.</w:t>
      </w:r>
    </w:p>
    <w:p>
      <w:pPr>
        <w:spacing w:after="120" w:before="0"/>
      </w:pPr>
      <w:r>
        <w:rPr>
          <w:b w:val="0"/>
          <w:i w:val="0"/>
          <w:color w:val="1C3A36"/>
          <w:sz w:val="21"/>
        </w:rPr>
        <w:t>So the question is not whether the plant earns. It is whether EGP 5,388 million is the right enterprise value for a business generating around EGP 4,684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-1.33</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-0.62</w:t>
            </w:r>
          </w:p>
        </w:tc>
        <w:tc>
          <w:tcPr>
            <w:tcW w:type="dxa" w:w="5184"/>
          </w:tcPr>
          <w:p>
            <w:pPr>
              <w:spacing w:after="20"/>
            </w:pPr>
            <w:r>
              <w:rPr>
                <w:color w:val="1C3A36"/>
                <w:sz w:val="17"/>
              </w:rPr>
              <w:t>below the sovereign's ten-year yield of 23.0%</w:t>
            </w:r>
          </w:p>
        </w:tc>
      </w:tr>
      <w:tr>
        <w:trPr>
          <w:cantSplit/>
        </w:trP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-0.15</w:t>
            </w:r>
          </w:p>
        </w:tc>
        <w:tc>
          <w:tcPr>
            <w:tcW w:type="dxa" w:w="5184"/>
            <w:shd w:val="clear" w:color="auto" w:fill="F6F1E6"/>
          </w:tcPr>
          <w:p>
            <w:pPr>
              <w:spacing w:after="20"/>
            </w:pPr>
            <w:r>
              <w:rPr>
                <w:b/>
                <w:color w:val="1C3A36"/>
                <w:sz w:val="17"/>
              </w:rPr>
              <w:t>the sign changes here</w:t>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0.49</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1.45</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2.98</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7.8%</w:t>
            </w:r>
          </w:p>
        </w:tc>
        <w:tc>
          <w:tcPr>
            <w:tcW w:type="dxa" w:w="2592"/>
            <w:shd w:val="clear" w:color="auto" w:fill="F6F1E6"/>
          </w:tcPr>
          <w:p>
            <w:pPr>
              <w:spacing w:after="20"/>
              <w:jc w:val="right"/>
            </w:pPr>
            <w:r>
              <w:rPr>
                <w:b/>
                <w:color w:val="1C3A36"/>
                <w:sz w:val="17"/>
              </w:rPr>
              <w:t>13.98</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7.8%, which is 15.2% below the sovereign.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30.99%</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5.0%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0.072x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0.07x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0.58</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1.71x</w:t>
            </w:r>
          </w:p>
        </w:tc>
      </w:tr>
    </w:tbl>
    <w:p>
      <w:pPr>
        <w:spacing w:after="40"/>
      </w:pPr>
    </w:p>
    <w:p>
      <w:pPr>
        <w:spacing w:after="200" w:before="0"/>
      </w:pPr>
      <w:r>
        <w:rPr>
          <w:b w:val="0"/>
          <w:i/>
          <w:color w:val="6E7B77"/>
          <w:sz w:val="17"/>
        </w:rPr>
        <w:t>Table 8.  The justified multiple of book is negative before flooring, and that is the finding rather than a rounding artefact: a sustainable return of 6.9% does not cover even nominal maintenance growth of 5.0%, let alone a 30.99% cost of equity. On this lens the book is worth nothing beyond what the assets would fetch, and the market pays 1.71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4,684 million the mid-point implies an enterprise value of EGP 37,236 million and, after the debt and the non-operating stack, EGP 15.47 a share — a range of EGP 10.88 to EGP 20.07 across the band.</w:t>
      </w:r>
    </w:p>
    <w:p>
      <w:pPr>
        <w:spacing w:after="120" w:before="0"/>
      </w:pPr>
      <w:r>
        <w:rPr>
          <w:b/>
          <w:i w:val="0"/>
          <w:color w:val="1C3A36"/>
          <w:sz w:val="21"/>
        </w:rPr>
        <w:t>The two numbers worth putting side by side are these: at the traded price the shares change hands at 8.1 times that same forward EBITDA, while the cash-flow lens values them at 1.2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0.00 to EGP 15.47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15.47 against EGP 13.98. That is a change from the first issue of this study, which used a lower multiple band it could not source, and it is reported rather than resisted.</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lens sits at zero because a 6.9% sustainable return on equity does not clear a 30.99%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440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53.49</w:t>
            </w:r>
          </w:p>
        </w:tc>
        <w:tc>
          <w:tcPr>
            <w:tcW w:type="dxa" w:w="1843"/>
          </w:tcPr>
          <w:p>
            <w:pPr>
              <w:spacing w:after="20"/>
              <w:jc w:val="right"/>
            </w:pPr>
            <w:r>
              <w:rPr>
                <w:color w:val="1C3A36"/>
                <w:sz w:val="17"/>
              </w:rPr>
              <w:t>60.83</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8.84</w:t>
            </w:r>
          </w:p>
        </w:tc>
        <w:tc>
          <w:tcPr>
            <w:tcW w:type="dxa" w:w="1843"/>
          </w:tcPr>
          <w:p>
            <w:pPr>
              <w:spacing w:after="20"/>
              <w:jc w:val="right"/>
            </w:pPr>
            <w:r>
              <w:rPr>
                <w:color w:val="1C3A36"/>
                <w:sz w:val="17"/>
              </w:rPr>
              <w:t>10.05</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5.0%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33.0%</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41.4%</w:t>
            </w:r>
          </w:p>
        </w:tc>
        <w:tc>
          <w:tcPr>
            <w:tcW w:type="dxa" w:w="1843"/>
            <w:shd w:val="clear" w:color="auto" w:fill="F6F1E6"/>
          </w:tcPr>
          <w:p>
            <w:pPr>
              <w:spacing w:after="20"/>
              <w:jc w:val="right"/>
            </w:pPr>
            <w:r>
              <w:rPr>
                <w:b/>
                <w:color w:val="1C3A36"/>
                <w:sz w:val="17"/>
              </w:rPr>
              <w:t>31.6%</w:t>
            </w:r>
          </w:p>
        </w:tc>
      </w:tr>
    </w:tbl>
    <w:p>
      <w:pPr>
        <w:spacing w:after="40"/>
      </w:pPr>
    </w:p>
    <w:p>
      <w:pPr>
        <w:spacing w:after="200" w:before="0"/>
      </w:pPr>
      <w:r>
        <w:rPr>
          <w:b w:val="0"/>
          <w:i/>
          <w:color w:val="6E7B77"/>
          <w:sz w:val="17"/>
        </w:rPr>
        <w:t>Table 11.  Each cost class escalates on its own driver and never on one blended index: gas is a globally traded input and escalates on its dollar price through the exchange rate, while wages, inland haulage and administration escalate on Egyptian consumer prices and the subsidised price follows its own administered path.</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11,400</w:t>
            </w:r>
          </w:p>
        </w:tc>
        <w:tc>
          <w:tcPr>
            <w:tcW w:type="dxa" w:w="1426"/>
          </w:tcPr>
          <w:p>
            <w:pPr>
              <w:spacing w:after="20"/>
              <w:jc w:val="right"/>
            </w:pPr>
            <w:r>
              <w:rPr>
                <w:color w:val="1C3A36"/>
                <w:sz w:val="16"/>
              </w:rPr>
              <w:t>11,352</w:t>
            </w:r>
          </w:p>
        </w:tc>
        <w:tc>
          <w:tcPr>
            <w:tcW w:type="dxa" w:w="1426"/>
          </w:tcPr>
          <w:p>
            <w:pPr>
              <w:spacing w:after="20"/>
              <w:jc w:val="right"/>
            </w:pPr>
            <w:r>
              <w:rPr>
                <w:color w:val="1C3A36"/>
                <w:sz w:val="16"/>
              </w:rPr>
              <w:t>11,406</w:t>
            </w:r>
          </w:p>
        </w:tc>
        <w:tc>
          <w:tcPr>
            <w:tcW w:type="dxa" w:w="1426"/>
          </w:tcPr>
          <w:p>
            <w:pPr>
              <w:spacing w:after="20"/>
              <w:jc w:val="right"/>
            </w:pPr>
            <w:r>
              <w:rPr>
                <w:color w:val="1C3A36"/>
                <w:sz w:val="16"/>
              </w:rPr>
              <w:t>11,654</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6,146</w:t>
            </w:r>
          </w:p>
        </w:tc>
        <w:tc>
          <w:tcPr>
            <w:tcW w:type="dxa" w:w="1426"/>
          </w:tcPr>
          <w:p>
            <w:pPr>
              <w:spacing w:after="20"/>
              <w:jc w:val="right"/>
            </w:pPr>
            <w:r>
              <w:rPr>
                <w:color w:val="1C3A36"/>
                <w:sz w:val="16"/>
              </w:rPr>
              <w:t>6,590</w:t>
            </w:r>
          </w:p>
        </w:tc>
        <w:tc>
          <w:tcPr>
            <w:tcW w:type="dxa" w:w="1426"/>
          </w:tcPr>
          <w:p>
            <w:pPr>
              <w:spacing w:after="20"/>
              <w:jc w:val="right"/>
            </w:pPr>
            <w:r>
              <w:rPr>
                <w:color w:val="1C3A36"/>
                <w:sz w:val="16"/>
              </w:rPr>
              <w:t>7,012</w:t>
            </w:r>
          </w:p>
        </w:tc>
        <w:tc>
          <w:tcPr>
            <w:tcW w:type="dxa" w:w="1426"/>
          </w:tcPr>
          <w:p>
            <w:pPr>
              <w:spacing w:after="20"/>
              <w:jc w:val="right"/>
            </w:pPr>
            <w:r>
              <w:rPr>
                <w:color w:val="1C3A36"/>
                <w:sz w:val="16"/>
              </w:rPr>
              <w:t>7,406</w:t>
            </w:r>
          </w:p>
        </w:tc>
        <w:tc>
          <w:tcPr>
            <w:tcW w:type="dxa" w:w="1426"/>
          </w:tcPr>
          <w:p>
            <w:pPr>
              <w:spacing w:after="20"/>
              <w:jc w:val="right"/>
            </w:pPr>
            <w:r>
              <w:rPr>
                <w:color w:val="1C3A36"/>
                <w:sz w:val="16"/>
              </w:rPr>
              <w:t>7,806</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5,165</w:t>
            </w:r>
          </w:p>
        </w:tc>
        <w:tc>
          <w:tcPr>
            <w:tcW w:type="dxa" w:w="1426"/>
          </w:tcPr>
          <w:p>
            <w:pPr>
              <w:spacing w:after="20"/>
              <w:jc w:val="right"/>
            </w:pPr>
            <w:r>
              <w:rPr>
                <w:color w:val="1C3A36"/>
                <w:sz w:val="16"/>
              </w:rPr>
              <w:t>4,810</w:t>
            </w:r>
          </w:p>
        </w:tc>
        <w:tc>
          <w:tcPr>
            <w:tcW w:type="dxa" w:w="1426"/>
          </w:tcPr>
          <w:p>
            <w:pPr>
              <w:spacing w:after="20"/>
              <w:jc w:val="right"/>
            </w:pPr>
            <w:r>
              <w:rPr>
                <w:color w:val="1C3A36"/>
                <w:sz w:val="16"/>
              </w:rPr>
              <w:t>4,340</w:t>
            </w:r>
          </w:p>
        </w:tc>
        <w:tc>
          <w:tcPr>
            <w:tcW w:type="dxa" w:w="1426"/>
          </w:tcPr>
          <w:p>
            <w:pPr>
              <w:spacing w:after="20"/>
              <w:jc w:val="right"/>
            </w:pPr>
            <w:r>
              <w:rPr>
                <w:color w:val="1C3A36"/>
                <w:sz w:val="16"/>
              </w:rPr>
              <w:t>4,000</w:t>
            </w:r>
          </w:p>
        </w:tc>
        <w:tc>
          <w:tcPr>
            <w:tcW w:type="dxa" w:w="1426"/>
          </w:tcPr>
          <w:p>
            <w:pPr>
              <w:spacing w:after="20"/>
              <w:jc w:val="right"/>
            </w:pPr>
            <w:r>
              <w:rPr>
                <w:color w:val="1C3A36"/>
                <w:sz w:val="16"/>
              </w:rPr>
              <w:t>3,848</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42.2%</w:t>
            </w:r>
          </w:p>
        </w:tc>
        <w:tc>
          <w:tcPr>
            <w:tcW w:type="dxa" w:w="1426"/>
            <w:shd w:val="clear" w:color="auto" w:fill="F6F1E6"/>
          </w:tcPr>
          <w:p>
            <w:pPr>
              <w:spacing w:after="20"/>
              <w:jc w:val="right"/>
            </w:pPr>
            <w:r>
              <w:rPr>
                <w:b/>
                <w:color w:val="1C3A36"/>
                <w:sz w:val="16"/>
              </w:rPr>
              <w:t>38.2%</w:t>
            </w:r>
          </w:p>
        </w:tc>
        <w:tc>
          <w:tcPr>
            <w:tcW w:type="dxa" w:w="1426"/>
            <w:shd w:val="clear" w:color="auto" w:fill="F6F1E6"/>
          </w:tcPr>
          <w:p>
            <w:pPr>
              <w:spacing w:after="20"/>
              <w:jc w:val="right"/>
            </w:pPr>
            <w:r>
              <w:rPr>
                <w:b/>
                <w:color w:val="1C3A36"/>
                <w:sz w:val="16"/>
              </w:rPr>
              <w:t>35.1%</w:t>
            </w:r>
          </w:p>
        </w:tc>
        <w:tc>
          <w:tcPr>
            <w:tcW w:type="dxa" w:w="1426"/>
            <w:shd w:val="clear" w:color="auto" w:fill="F6F1E6"/>
          </w:tcPr>
          <w:p>
            <w:pPr>
              <w:spacing w:after="20"/>
              <w:jc w:val="right"/>
            </w:pPr>
            <w:r>
              <w:rPr>
                <w:b/>
                <w:color w:val="1C3A36"/>
                <w:sz w:val="16"/>
              </w:rPr>
              <w:t>33.0%</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4,684</w:t>
            </w:r>
          </w:p>
        </w:tc>
        <w:tc>
          <w:tcPr>
            <w:tcW w:type="dxa" w:w="1426"/>
          </w:tcPr>
          <w:p>
            <w:pPr>
              <w:spacing w:after="20"/>
              <w:jc w:val="right"/>
            </w:pPr>
            <w:r>
              <w:rPr>
                <w:color w:val="1C3A36"/>
                <w:sz w:val="16"/>
              </w:rPr>
              <w:t>4,394</w:t>
            </w:r>
          </w:p>
        </w:tc>
        <w:tc>
          <w:tcPr>
            <w:tcW w:type="dxa" w:w="1426"/>
          </w:tcPr>
          <w:p>
            <w:pPr>
              <w:spacing w:after="20"/>
              <w:jc w:val="right"/>
            </w:pPr>
            <w:r>
              <w:rPr>
                <w:color w:val="1C3A36"/>
                <w:sz w:val="16"/>
              </w:rPr>
              <w:t>4,006</w:t>
            </w:r>
          </w:p>
        </w:tc>
        <w:tc>
          <w:tcPr>
            <w:tcW w:type="dxa" w:w="1426"/>
          </w:tcPr>
          <w:p>
            <w:pPr>
              <w:spacing w:after="20"/>
              <w:jc w:val="right"/>
            </w:pPr>
            <w:r>
              <w:rPr>
                <w:color w:val="1C3A36"/>
                <w:sz w:val="16"/>
              </w:rPr>
              <w:t>3,755</w:t>
            </w:r>
          </w:p>
        </w:tc>
        <w:tc>
          <w:tcPr>
            <w:tcW w:type="dxa" w:w="1426"/>
          </w:tcPr>
          <w:p>
            <w:pPr>
              <w:spacing w:after="20"/>
              <w:jc w:val="right"/>
            </w:pPr>
            <w:r>
              <w:rPr>
                <w:color w:val="1C3A36"/>
                <w:sz w:val="16"/>
              </w:rPr>
              <w:t>3,684</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41.4%</w:t>
            </w:r>
          </w:p>
        </w:tc>
        <w:tc>
          <w:tcPr>
            <w:tcW w:type="dxa" w:w="1426"/>
            <w:shd w:val="clear" w:color="auto" w:fill="F6F1E6"/>
          </w:tcPr>
          <w:p>
            <w:pPr>
              <w:spacing w:after="20"/>
              <w:jc w:val="right"/>
            </w:pPr>
            <w:r>
              <w:rPr>
                <w:b/>
                <w:color w:val="1C3A36"/>
                <w:sz w:val="16"/>
              </w:rPr>
              <w:t>38.5%</w:t>
            </w:r>
          </w:p>
        </w:tc>
        <w:tc>
          <w:tcPr>
            <w:tcW w:type="dxa" w:w="1426"/>
            <w:shd w:val="clear" w:color="auto" w:fill="F6F1E6"/>
          </w:tcPr>
          <w:p>
            <w:pPr>
              <w:spacing w:after="20"/>
              <w:jc w:val="right"/>
            </w:pPr>
            <w:r>
              <w:rPr>
                <w:b/>
                <w:color w:val="1C3A36"/>
                <w:sz w:val="16"/>
              </w:rPr>
              <w:t>35.3%</w:t>
            </w:r>
          </w:p>
        </w:tc>
        <w:tc>
          <w:tcPr>
            <w:tcW w:type="dxa" w:w="1426"/>
            <w:shd w:val="clear" w:color="auto" w:fill="F6F1E6"/>
          </w:tcPr>
          <w:p>
            <w:pPr>
              <w:spacing w:after="20"/>
              <w:jc w:val="right"/>
            </w:pPr>
            <w:r>
              <w:rPr>
                <w:b/>
                <w:color w:val="1C3A36"/>
                <w:sz w:val="16"/>
              </w:rPr>
              <w:t>32.9%</w:t>
            </w:r>
          </w:p>
        </w:tc>
        <w:tc>
          <w:tcPr>
            <w:tcW w:type="dxa" w:w="1426"/>
            <w:shd w:val="clear" w:color="auto" w:fill="F6F1E6"/>
          </w:tcPr>
          <w:p>
            <w:pPr>
              <w:spacing w:after="20"/>
              <w:jc w:val="right"/>
            </w:pPr>
            <w:r>
              <w:rPr>
                <w:b/>
                <w:color w:val="1C3A36"/>
                <w:sz w:val="16"/>
              </w:rPr>
              <w:t>31.6%</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3,793</w:t>
            </w:r>
          </w:p>
        </w:tc>
        <w:tc>
          <w:tcPr>
            <w:tcW w:type="dxa" w:w="1426"/>
          </w:tcPr>
          <w:p>
            <w:pPr>
              <w:spacing w:after="20"/>
              <w:jc w:val="right"/>
            </w:pPr>
            <w:r>
              <w:rPr>
                <w:color w:val="1C3A36"/>
                <w:sz w:val="16"/>
              </w:rPr>
              <w:t>3,385</w:t>
            </w:r>
          </w:p>
        </w:tc>
        <w:tc>
          <w:tcPr>
            <w:tcW w:type="dxa" w:w="1426"/>
          </w:tcPr>
          <w:p>
            <w:pPr>
              <w:spacing w:after="20"/>
              <w:jc w:val="right"/>
            </w:pPr>
            <w:r>
              <w:rPr>
                <w:color w:val="1C3A36"/>
                <w:sz w:val="16"/>
              </w:rPr>
              <w:t>2,859</w:t>
            </w:r>
          </w:p>
        </w:tc>
        <w:tc>
          <w:tcPr>
            <w:tcW w:type="dxa" w:w="1426"/>
          </w:tcPr>
          <w:p>
            <w:pPr>
              <w:spacing w:after="20"/>
              <w:jc w:val="right"/>
            </w:pPr>
            <w:r>
              <w:rPr>
                <w:color w:val="1C3A36"/>
                <w:sz w:val="16"/>
              </w:rPr>
              <w:t>2,463</w:t>
            </w:r>
          </w:p>
        </w:tc>
        <w:tc>
          <w:tcPr>
            <w:tcW w:type="dxa" w:w="1426"/>
          </w:tcPr>
          <w:p>
            <w:pPr>
              <w:spacing w:after="20"/>
              <w:jc w:val="right"/>
            </w:pPr>
            <w:r>
              <w:rPr>
                <w:color w:val="1C3A36"/>
                <w:sz w:val="16"/>
              </w:rPr>
              <w:t>2,250</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33.5%</w:t>
            </w:r>
          </w:p>
        </w:tc>
        <w:tc>
          <w:tcPr>
            <w:tcW w:type="dxa" w:w="1426"/>
          </w:tcPr>
          <w:p>
            <w:pPr>
              <w:spacing w:after="20"/>
              <w:jc w:val="right"/>
            </w:pPr>
            <w:r>
              <w:rPr>
                <w:color w:val="1C3A36"/>
                <w:sz w:val="16"/>
              </w:rPr>
              <w:t>29.7%</w:t>
            </w:r>
          </w:p>
        </w:tc>
        <w:tc>
          <w:tcPr>
            <w:tcW w:type="dxa" w:w="1426"/>
          </w:tcPr>
          <w:p>
            <w:pPr>
              <w:spacing w:after="20"/>
              <w:jc w:val="right"/>
            </w:pPr>
            <w:r>
              <w:rPr>
                <w:color w:val="1C3A36"/>
                <w:sz w:val="16"/>
              </w:rPr>
              <w:t>25.2%</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19.3%</w:t>
            </w:r>
          </w:p>
        </w:tc>
      </w:tr>
    </w:tbl>
    <w:p>
      <w:pPr>
        <w:spacing w:after="40"/>
      </w:pPr>
    </w:p>
    <w:p>
      <w:pPr>
        <w:spacing w:after="200" w:before="0"/>
      </w:pPr>
      <w:r>
        <w:rPr>
          <w:b w:val="0"/>
          <w:i/>
          <w:color w:val="6E7B77"/>
          <w:sz w:val="17"/>
        </w:rPr>
        <w:t>Table 12.  Not one margin in this table is set. Each is revenue less a cost stack that was built from physical consumption times a unit price, so the margin path is a consequence of the tonnes, the prices and the escalators above it. The margin falls across the window because the export price mean-reverts faster than the domestic cost base disinflates — which is a statement about two sourced paths, not a view about management.</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8,416</w:t>
            </w:r>
          </w:p>
        </w:tc>
        <w:tc>
          <w:tcPr>
            <w:tcW w:type="dxa" w:w="1296"/>
          </w:tcPr>
          <w:p>
            <w:pPr>
              <w:spacing w:after="20"/>
              <w:jc w:val="right"/>
            </w:pPr>
            <w:r>
              <w:rPr>
                <w:color w:val="1C3A36"/>
                <w:sz w:val="17"/>
              </w:rPr>
              <w:t>74.4%</w:t>
            </w:r>
          </w:p>
        </w:tc>
        <w:tc>
          <w:tcPr>
            <w:tcW w:type="dxa" w:w="1944"/>
          </w:tcPr>
          <w:p>
            <w:pPr>
              <w:spacing w:after="20"/>
              <w:jc w:val="right"/>
            </w:pPr>
            <w:r>
              <w:rPr>
                <w:color w:val="1C3A36"/>
                <w:sz w:val="17"/>
              </w:rPr>
              <w:t>7,852</w:t>
            </w:r>
          </w:p>
        </w:tc>
        <w:tc>
          <w:tcPr>
            <w:tcW w:type="dxa" w:w="1296"/>
          </w:tcPr>
          <w:p>
            <w:pPr>
              <w:spacing w:after="20"/>
              <w:jc w:val="right"/>
            </w:pPr>
            <w:r>
              <w:rPr>
                <w:color w:val="1C3A36"/>
                <w:sz w:val="17"/>
              </w:rPr>
              <w:t>67.4%</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10.3%</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16.4%</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1,021</w:t>
            </w:r>
          </w:p>
        </w:tc>
        <w:tc>
          <w:tcPr>
            <w:tcW w:type="dxa" w:w="1296"/>
          </w:tcPr>
          <w:p>
            <w:pPr>
              <w:spacing w:after="20"/>
              <w:jc w:val="right"/>
            </w:pPr>
            <w:r>
              <w:rPr>
                <w:color w:val="1C3A36"/>
                <w:sz w:val="17"/>
              </w:rPr>
              <w:t>9.0%</w:t>
            </w:r>
          </w:p>
        </w:tc>
        <w:tc>
          <w:tcPr>
            <w:tcW w:type="dxa" w:w="1944"/>
          </w:tcPr>
          <w:p>
            <w:pPr>
              <w:spacing w:after="20"/>
              <w:jc w:val="right"/>
            </w:pPr>
            <w:r>
              <w:rPr>
                <w:color w:val="1C3A36"/>
                <w:sz w:val="17"/>
              </w:rPr>
              <w:t>1,060</w:t>
            </w:r>
          </w:p>
        </w:tc>
        <w:tc>
          <w:tcPr>
            <w:tcW w:type="dxa" w:w="1296"/>
          </w:tcPr>
          <w:p>
            <w:pPr>
              <w:spacing w:after="20"/>
              <w:jc w:val="right"/>
            </w:pPr>
            <w:r>
              <w:rPr>
                <w:color w:val="1C3A36"/>
                <w:sz w:val="17"/>
              </w:rPr>
              <w:t>9.1%</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568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646</w:t>
            </w:r>
          </w:p>
        </w:tc>
        <w:tc>
          <w:tcPr>
            <w:tcW w:type="dxa" w:w="1296"/>
          </w:tcPr>
          <w:p>
            <w:pPr>
              <w:spacing w:after="20"/>
              <w:jc w:val="right"/>
            </w:pPr>
            <w:r>
              <w:rPr>
                <w:color w:val="1C3A36"/>
                <w:sz w:val="17"/>
              </w:rPr>
              <w:t>5.5%</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1.6%</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11,310</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11,654</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27.8 billion. EGP 5,654 million sat in construction at 31 March 2026 and the auditor put physical progress at 12.9% against a 37.0% plan.</w:t>
      </w:r>
    </w:p>
    <w:p>
      <w:pPr>
        <w:spacing w:after="120" w:before="0"/>
      </w:pPr>
      <w:r>
        <w:rPr>
          <w:b/>
          <w:i w:val="0"/>
          <w:color w:val="1C3A36"/>
          <w:sz w:val="21"/>
        </w:rPr>
        <w:t>Carried through, the programme is worth EGP -0.56 a share. Stopped, EGP 3.59. The difference, EGP 4.14 a share or EGP 8,231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73.2%</w:t>
            </w:r>
          </w:p>
        </w:tc>
        <w:tc>
          <w:tcPr>
            <w:tcW w:type="dxa" w:w="3456"/>
          </w:tcPr>
          <w:p>
            <w:pPr>
              <w:spacing w:after="20"/>
            </w:pPr>
            <w:r>
              <w:rPr>
                <w:color w:val="1C3A36"/>
                <w:sz w:val="16"/>
              </w:rPr>
              <w:t>Against a market value of EGP 27,772m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-51m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-0.3%</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18.2%</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0.81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2,212</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19.6%</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3.55%</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19.45%</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9.42%</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29.16%</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w:t>
            </w:r>
          </w:p>
        </w:tc>
        <w:tc>
          <w:tcPr>
            <w:tcW w:type="dxa" w:w="1512"/>
          </w:tcPr>
          <w:p>
            <w:pPr>
              <w:spacing w:after="20"/>
              <w:jc w:val="right"/>
            </w:pPr>
            <w:r>
              <w:rPr>
                <w:color w:val="1C3A36"/>
                <w:sz w:val="17"/>
              </w:rPr>
              <w:t>12.97%</w:t>
            </w:r>
          </w:p>
        </w:tc>
        <w:tc>
          <w:tcPr>
            <w:tcW w:type="dxa" w:w="1512"/>
          </w:tcPr>
          <w:p>
            <w:pPr>
              <w:spacing w:after="20"/>
              <w:jc w:val="right"/>
            </w:pPr>
            <w:r>
              <w:rPr>
                <w:color w:val="1C3A36"/>
                <w:sz w:val="17"/>
              </w:rPr>
              <w:t>12.97%</w:t>
            </w:r>
          </w:p>
        </w:tc>
        <w:tc>
          <w:tcPr>
            <w:tcW w:type="dxa" w:w="4248"/>
          </w:tcPr>
          <w:p>
            <w:pPr>
              <w:spacing w:after="20"/>
            </w:pPr>
            <w:r>
              <w:rPr>
                <w:color w:val="1C3A36"/>
                <w:sz w:val="17"/>
              </w:rPr>
              <w:t>99.7% dollar, carried at local-equivalent cost</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65.5% / 34.5%</w:t>
            </w:r>
          </w:p>
        </w:tc>
        <w:tc>
          <w:tcPr>
            <w:tcW w:type="dxa" w:w="1512"/>
          </w:tcPr>
          <w:p>
            <w:pPr>
              <w:spacing w:after="20"/>
              <w:jc w:val="right"/>
            </w:pPr>
            <w:r>
              <w:rPr>
                <w:color w:val="1C3A36"/>
                <w:sz w:val="17"/>
              </w:rPr>
              <w:t>65.5% / 34.5%</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24.18%</w:t>
            </w:r>
          </w:p>
        </w:tc>
        <w:tc>
          <w:tcPr>
            <w:tcW w:type="dxa" w:w="1512"/>
            <w:shd w:val="clear" w:color="auto" w:fill="F6F1E6"/>
          </w:tcPr>
          <w:p>
            <w:pPr>
              <w:spacing w:after="20"/>
              <w:jc w:val="right"/>
            </w:pPr>
            <w:r>
              <w:rPr>
                <w:b/>
                <w:color w:val="1C3A36"/>
                <w:sz w:val="17"/>
              </w:rPr>
              <w:t>23.57%</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by a 2.5% expected depreciation to a local-equivalent 16.73% — and the same wedge drives the currency path in the revenue build, so the two cannot quietly disagree.</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5.0%. Capitalising one at the other is a units mismatch, and on a company whose value sits in its terminal year it would be the largest error in the study. The rate therefore glides to a terminal rate built from its own components: 5.0% inflation — the same figure terminal growth is set at, so the perpetuity neither grows nor shrinks in real terms — compounded with a 3.5% real rate gives a normalised risk-free rate of 8.67%, and the terminal cost of capital is 18.23%. Discount factors compound the glide year by year rather than raising one rate to a power. The earlier edition of this study discounted a 5.0%-growth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Seven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-0.56</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0.20</w:t>
            </w:r>
          </w:p>
        </w:tc>
        <w:tc>
          <w:tcPr>
            <w:tcW w:type="dxa" w:w="950"/>
          </w:tcPr>
          <w:p>
            <w:pPr>
              <w:spacing w:after="20"/>
              <w:jc w:val="right"/>
            </w:pPr>
            <w:r>
              <w:rPr>
                <w:color w:val="1C3A36"/>
                <w:sz w:val="15"/>
              </w:rPr>
              <w:t>+0.75</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-1.24</w:t>
            </w:r>
          </w:p>
        </w:tc>
        <w:tc>
          <w:tcPr>
            <w:tcW w:type="dxa" w:w="950"/>
          </w:tcPr>
          <w:p>
            <w:pPr>
              <w:spacing w:after="20"/>
              <w:jc w:val="right"/>
            </w:pPr>
            <w:r>
              <w:rPr>
                <w:color w:val="1C3A36"/>
                <w:sz w:val="15"/>
              </w:rPr>
              <w:t>-0.69</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-0.60</w:t>
            </w:r>
          </w:p>
        </w:tc>
        <w:tc>
          <w:tcPr>
            <w:tcW w:type="dxa" w:w="950"/>
          </w:tcPr>
          <w:p>
            <w:pPr>
              <w:spacing w:after="20"/>
              <w:jc w:val="right"/>
            </w:pPr>
            <w:r>
              <w:rPr>
                <w:color w:val="1C3A36"/>
                <w:sz w:val="15"/>
              </w:rPr>
              <w:t>-0.04</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0.27</w:t>
            </w:r>
          </w:p>
        </w:tc>
        <w:tc>
          <w:tcPr>
            <w:tcW w:type="dxa" w:w="950"/>
          </w:tcPr>
          <w:p>
            <w:pPr>
              <w:spacing w:after="20"/>
              <w:jc w:val="right"/>
            </w:pPr>
            <w:r>
              <w:rPr>
                <w:color w:val="1C3A36"/>
                <w:sz w:val="15"/>
              </w:rPr>
              <w:t>+0.82</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-2.49</w:t>
            </w:r>
          </w:p>
        </w:tc>
        <w:tc>
          <w:tcPr>
            <w:tcW w:type="dxa" w:w="950"/>
          </w:tcPr>
          <w:p>
            <w:pPr>
              <w:spacing w:after="20"/>
              <w:jc w:val="right"/>
            </w:pPr>
            <w:r>
              <w:rPr>
                <w:color w:val="1C3A36"/>
                <w:sz w:val="15"/>
              </w:rPr>
              <w:t>-1.93</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-0.32</w:t>
            </w:r>
          </w:p>
        </w:tc>
        <w:tc>
          <w:tcPr>
            <w:tcW w:type="dxa" w:w="950"/>
          </w:tcPr>
          <w:p>
            <w:pPr>
              <w:spacing w:after="20"/>
              <w:jc w:val="right"/>
            </w:pPr>
            <w:r>
              <w:rPr>
                <w:color w:val="1C3A36"/>
                <w:sz w:val="15"/>
              </w:rPr>
              <w:t>+0.23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-1.36</w:t>
            </w:r>
          </w:p>
        </w:tc>
        <w:tc>
          <w:tcPr>
            <w:tcW w:type="dxa" w:w="950"/>
          </w:tcPr>
          <w:p>
            <w:pPr>
              <w:spacing w:after="20"/>
              <w:jc w:val="right"/>
            </w:pPr>
            <w:r>
              <w:rPr>
                <w:color w:val="1C3A36"/>
                <w:sz w:val="15"/>
              </w:rPr>
              <w:t>-0.81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-0.28</w:t>
            </w:r>
          </w:p>
        </w:tc>
        <w:tc>
          <w:tcPr>
            <w:tcW w:type="dxa" w:w="950"/>
          </w:tcPr>
          <w:p>
            <w:pPr>
              <w:spacing w:after="20"/>
              <w:jc w:val="right"/>
            </w:pPr>
            <w:r>
              <w:rPr>
                <w:color w:val="1C3A36"/>
                <w:sz w:val="15"/>
              </w:rPr>
              <w:t>+0.28</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-0.79</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premium basis and the gas price are the two that move the answer most, in opposite directions, and both are published on both readings elsewhere in this study. None of the seven,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-2.68</w:t>
            </w:r>
          </w:p>
        </w:tc>
        <w:tc>
          <w:tcPr>
            <w:tcW w:type="dxa" w:w="1483"/>
          </w:tcPr>
          <w:p>
            <w:pPr>
              <w:spacing w:after="20"/>
              <w:jc w:val="right"/>
            </w:pPr>
            <w:r>
              <w:rPr>
                <w:color w:val="1C3A36"/>
                <w:sz w:val="17"/>
              </w:rPr>
              <w:t>-1.14</w:t>
            </w:r>
          </w:p>
        </w:tc>
        <w:tc>
          <w:tcPr>
            <w:tcW w:type="dxa" w:w="1483"/>
          </w:tcPr>
          <w:p>
            <w:pPr>
              <w:spacing w:after="20"/>
              <w:jc w:val="right"/>
            </w:pPr>
            <w:r>
              <w:rPr>
                <w:color w:val="1C3A36"/>
                <w:sz w:val="17"/>
              </w:rPr>
              <w:t>0.40</w:t>
            </w:r>
          </w:p>
        </w:tc>
        <w:tc>
          <w:tcPr>
            <w:tcW w:type="dxa" w:w="1483"/>
          </w:tcPr>
          <w:p>
            <w:pPr>
              <w:spacing w:after="20"/>
              <w:jc w:val="right"/>
            </w:pPr>
            <w:r>
              <w:rPr>
                <w:color w:val="1C3A36"/>
                <w:sz w:val="17"/>
              </w:rPr>
              <w:t>1.94</w:t>
            </w:r>
          </w:p>
        </w:tc>
        <w:tc>
          <w:tcPr>
            <w:tcW w:type="dxa" w:w="1483"/>
          </w:tcPr>
          <w:p>
            <w:pPr>
              <w:spacing w:after="20"/>
              <w:jc w:val="right"/>
            </w:pPr>
            <w:r>
              <w:rPr>
                <w:color w:val="1C3A36"/>
                <w:sz w:val="17"/>
              </w:rPr>
              <w:t>3.48</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-2.78</w:t>
            </w:r>
          </w:p>
        </w:tc>
        <w:tc>
          <w:tcPr>
            <w:tcW w:type="dxa" w:w="1483"/>
          </w:tcPr>
          <w:p>
            <w:pPr>
              <w:spacing w:after="20"/>
              <w:jc w:val="right"/>
            </w:pPr>
            <w:r>
              <w:rPr>
                <w:color w:val="1C3A36"/>
                <w:sz w:val="17"/>
              </w:rPr>
              <w:t>-1.32</w:t>
            </w:r>
          </w:p>
        </w:tc>
        <w:tc>
          <w:tcPr>
            <w:tcW w:type="dxa" w:w="1483"/>
          </w:tcPr>
          <w:p>
            <w:pPr>
              <w:spacing w:after="20"/>
              <w:jc w:val="right"/>
            </w:pPr>
            <w:r>
              <w:rPr>
                <w:color w:val="1C3A36"/>
                <w:sz w:val="17"/>
              </w:rPr>
              <w:t>0.14</w:t>
            </w:r>
          </w:p>
        </w:tc>
        <w:tc>
          <w:tcPr>
            <w:tcW w:type="dxa" w:w="1483"/>
          </w:tcPr>
          <w:p>
            <w:pPr>
              <w:spacing w:after="20"/>
              <w:jc w:val="right"/>
            </w:pPr>
            <w:r>
              <w:rPr>
                <w:color w:val="1C3A36"/>
                <w:sz w:val="17"/>
              </w:rPr>
              <w:t>1.59</w:t>
            </w:r>
          </w:p>
        </w:tc>
        <w:tc>
          <w:tcPr>
            <w:tcW w:type="dxa" w:w="1483"/>
          </w:tcPr>
          <w:p>
            <w:pPr>
              <w:spacing w:after="20"/>
              <w:jc w:val="right"/>
            </w:pPr>
            <w:r>
              <w:rPr>
                <w:color w:val="1C3A36"/>
                <w:sz w:val="17"/>
              </w:rPr>
              <w:t>3.05</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-2.88</w:t>
            </w:r>
          </w:p>
        </w:tc>
        <w:tc>
          <w:tcPr>
            <w:tcW w:type="dxa" w:w="1483"/>
          </w:tcPr>
          <w:p>
            <w:pPr>
              <w:spacing w:after="20"/>
              <w:jc w:val="right"/>
            </w:pPr>
            <w:r>
              <w:rPr>
                <w:color w:val="1C3A36"/>
                <w:sz w:val="17"/>
              </w:rPr>
              <w:t>-1.50</w:t>
            </w:r>
          </w:p>
        </w:tc>
        <w:tc>
          <w:tcPr>
            <w:tcW w:type="dxa" w:w="1483"/>
          </w:tcPr>
          <w:p>
            <w:pPr>
              <w:spacing w:after="20"/>
              <w:jc w:val="right"/>
            </w:pPr>
            <w:r>
              <w:rPr>
                <w:color w:val="1C3A36"/>
                <w:sz w:val="17"/>
              </w:rPr>
              <w:t>-0.13</w:t>
            </w:r>
          </w:p>
        </w:tc>
        <w:tc>
          <w:tcPr>
            <w:tcW w:type="dxa" w:w="1483"/>
          </w:tcPr>
          <w:p>
            <w:pPr>
              <w:spacing w:after="20"/>
              <w:jc w:val="right"/>
            </w:pPr>
            <w:r>
              <w:rPr>
                <w:color w:val="1C3A36"/>
                <w:sz w:val="17"/>
              </w:rPr>
              <w:t>1.25</w:t>
            </w:r>
          </w:p>
        </w:tc>
        <w:tc>
          <w:tcPr>
            <w:tcW w:type="dxa" w:w="1483"/>
          </w:tcPr>
          <w:p>
            <w:pPr>
              <w:spacing w:after="20"/>
              <w:jc w:val="right"/>
            </w:pPr>
            <w:r>
              <w:rPr>
                <w:color w:val="1C3A36"/>
                <w:sz w:val="17"/>
              </w:rPr>
              <w:t>2.63</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-2.94</w:t>
            </w:r>
          </w:p>
        </w:tc>
        <w:tc>
          <w:tcPr>
            <w:tcW w:type="dxa" w:w="1483"/>
          </w:tcPr>
          <w:p>
            <w:pPr>
              <w:spacing w:after="20"/>
              <w:jc w:val="right"/>
            </w:pPr>
            <w:r>
              <w:rPr>
                <w:color w:val="1C3A36"/>
                <w:sz w:val="17"/>
              </w:rPr>
              <w:t>-1.62</w:t>
            </w:r>
          </w:p>
        </w:tc>
        <w:tc>
          <w:tcPr>
            <w:tcW w:type="dxa" w:w="1483"/>
          </w:tcPr>
          <w:p>
            <w:pPr>
              <w:spacing w:after="20"/>
              <w:jc w:val="right"/>
            </w:pPr>
            <w:r>
              <w:rPr>
                <w:color w:val="1C3A36"/>
                <w:sz w:val="17"/>
              </w:rPr>
              <w:t>-0.30</w:t>
            </w:r>
          </w:p>
        </w:tc>
        <w:tc>
          <w:tcPr>
            <w:tcW w:type="dxa" w:w="1483"/>
          </w:tcPr>
          <w:p>
            <w:pPr>
              <w:spacing w:after="20"/>
              <w:jc w:val="right"/>
            </w:pPr>
            <w:r>
              <w:rPr>
                <w:color w:val="1C3A36"/>
                <w:sz w:val="17"/>
              </w:rPr>
              <w:t>1.02</w:t>
            </w:r>
          </w:p>
        </w:tc>
        <w:tc>
          <w:tcPr>
            <w:tcW w:type="dxa" w:w="1483"/>
          </w:tcPr>
          <w:p>
            <w:pPr>
              <w:spacing w:after="20"/>
              <w:jc w:val="right"/>
            </w:pPr>
            <w:r>
              <w:rPr>
                <w:color w:val="1C3A36"/>
                <w:sz w:val="17"/>
              </w:rPr>
              <w:t>2.34</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-1.74</w:t>
            </w:r>
          </w:p>
        </w:tc>
        <w:tc>
          <w:tcPr>
            <w:tcW w:type="dxa" w:w="1483"/>
          </w:tcPr>
          <w:p>
            <w:pPr>
              <w:spacing w:after="20"/>
              <w:jc w:val="right"/>
            </w:pPr>
            <w:r>
              <w:rPr>
                <w:color w:val="1C3A36"/>
                <w:sz w:val="17"/>
              </w:rPr>
              <w:t>-0.48</w:t>
            </w:r>
          </w:p>
        </w:tc>
        <w:tc>
          <w:tcPr>
            <w:tcW w:type="dxa" w:w="1483"/>
          </w:tcPr>
          <w:p>
            <w:pPr>
              <w:spacing w:after="20"/>
              <w:jc w:val="right"/>
            </w:pPr>
            <w:r>
              <w:rPr>
                <w:color w:val="1C3A36"/>
                <w:sz w:val="17"/>
              </w:rPr>
              <w:t>0.79</w:t>
            </w:r>
          </w:p>
        </w:tc>
        <w:tc>
          <w:tcPr>
            <w:tcW w:type="dxa" w:w="1483"/>
          </w:tcPr>
          <w:p>
            <w:pPr>
              <w:spacing w:after="20"/>
              <w:jc w:val="right"/>
            </w:pPr>
            <w:r>
              <w:rPr>
                <w:color w:val="1C3A36"/>
                <w:sz w:val="17"/>
              </w:rPr>
              <w:t>2.05</w:t>
            </w:r>
          </w:p>
        </w:tc>
      </w:tr>
    </w:tbl>
    <w:p>
      <w:pPr>
        <w:spacing w:after="40"/>
      </w:pPr>
    </w:p>
    <w:p>
      <w:pPr>
        <w:spacing w:after="200" w:before="0"/>
      </w:pPr>
      <w:r>
        <w:rPr>
          <w:b w:val="0"/>
          <w:i/>
          <w:color w:val="6E7B77"/>
          <w:sz w:val="17"/>
        </w:rPr>
        <w:t>Table 19.  The highest cell in the grid is EGP 3.48, at a long-run export price above today's spot and a terminal rate below the sovereign's own short-term yield. Reaching EGP 13.98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-2.88 to 2.63</w:t>
            </w:r>
          </w:p>
        </w:tc>
        <w:tc>
          <w:tcPr>
            <w:tcW w:type="dxa" w:w="1152"/>
            <w:shd w:val="clear" w:color="auto" w:fill="F6F1E6"/>
          </w:tcPr>
          <w:p>
            <w:pPr>
              <w:spacing w:after="20"/>
              <w:jc w:val="right"/>
            </w:pPr>
            <w:r>
              <w:rPr>
                <w:b/>
                <w:color w:val="1C3A36"/>
                <w:sz w:val="16"/>
              </w:rPr>
              <w:t>5.51</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-0.56 to 3.59</w:t>
            </w:r>
          </w:p>
        </w:tc>
        <w:tc>
          <w:tcPr>
            <w:tcW w:type="dxa" w:w="1152"/>
          </w:tcPr>
          <w:p>
            <w:pPr>
              <w:spacing w:after="20"/>
              <w:jc w:val="right"/>
            </w:pPr>
            <w:r>
              <w:rPr>
                <w:color w:val="1C3A36"/>
                <w:sz w:val="16"/>
              </w:rPr>
              <w:t>4.14</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-2.49 to -0.56</w:t>
            </w:r>
          </w:p>
        </w:tc>
        <w:tc>
          <w:tcPr>
            <w:tcW w:type="dxa" w:w="1152"/>
          </w:tcPr>
          <w:p>
            <w:pPr>
              <w:spacing w:after="20"/>
              <w:jc w:val="right"/>
            </w:pPr>
            <w:r>
              <w:rPr>
                <w:color w:val="1C3A36"/>
                <w:sz w:val="16"/>
              </w:rPr>
              <w:t>1.93</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-0.48 to 0.40</w:t>
            </w:r>
          </w:p>
        </w:tc>
        <w:tc>
          <w:tcPr>
            <w:tcW w:type="dxa" w:w="1152"/>
          </w:tcPr>
          <w:p>
            <w:pPr>
              <w:spacing w:after="20"/>
              <w:jc w:val="right"/>
            </w:pPr>
            <w:r>
              <w:rPr>
                <w:color w:val="1C3A36"/>
                <w:sz w:val="16"/>
              </w:rPr>
              <w:t>0.88</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-0.56 to 0.27</w:t>
            </w:r>
          </w:p>
        </w:tc>
        <w:tc>
          <w:tcPr>
            <w:tcW w:type="dxa" w:w="1152"/>
          </w:tcPr>
          <w:p>
            <w:pPr>
              <w:spacing w:after="20"/>
              <w:jc w:val="right"/>
            </w:pPr>
            <w:r>
              <w:rPr>
                <w:color w:val="1C3A36"/>
                <w:sz w:val="16"/>
              </w:rPr>
              <w:t>0.82</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-1.36 to -0.56</w:t>
            </w:r>
          </w:p>
        </w:tc>
        <w:tc>
          <w:tcPr>
            <w:tcW w:type="dxa" w:w="1152"/>
          </w:tcPr>
          <w:p>
            <w:pPr>
              <w:spacing w:after="20"/>
              <w:jc w:val="right"/>
            </w:pPr>
            <w:r>
              <w:rPr>
                <w:color w:val="1C3A36"/>
                <w:sz w:val="16"/>
              </w:rPr>
              <w:t>0.81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-0.56 to 0.20</w:t>
            </w:r>
          </w:p>
        </w:tc>
        <w:tc>
          <w:tcPr>
            <w:tcW w:type="dxa" w:w="1152"/>
          </w:tcPr>
          <w:p>
            <w:pPr>
              <w:spacing w:after="20"/>
              <w:jc w:val="right"/>
            </w:pPr>
            <w:r>
              <w:rPr>
                <w:color w:val="1C3A36"/>
                <w:sz w:val="16"/>
              </w:rPr>
              <w:t>0.75</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-0.56 to -0.32</w:t>
            </w:r>
          </w:p>
        </w:tc>
        <w:tc>
          <w:tcPr>
            <w:tcW w:type="dxa" w:w="1152"/>
          </w:tcPr>
          <w:p>
            <w:pPr>
              <w:spacing w:after="20"/>
              <w:jc w:val="right"/>
            </w:pPr>
            <w:r>
              <w:rPr>
                <w:color w:val="1C3A36"/>
                <w:sz w:val="16"/>
              </w:rPr>
              <w:t>0.23</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5.0% against 3.0%</w:t>
            </w:r>
          </w:p>
        </w:tc>
        <w:tc>
          <w:tcPr>
            <w:tcW w:type="dxa" w:w="2160"/>
          </w:tcPr>
          <w:p>
            <w:pPr>
              <w:spacing w:after="20"/>
              <w:jc w:val="right"/>
            </w:pPr>
            <w:r>
              <w:rPr>
                <w:color w:val="1C3A36"/>
                <w:sz w:val="16"/>
              </w:rPr>
              <w:t>-0.60 to -0.56</w:t>
            </w:r>
          </w:p>
        </w:tc>
        <w:tc>
          <w:tcPr>
            <w:tcW w:type="dxa" w:w="1152"/>
          </w:tcPr>
          <w:p>
            <w:pPr>
              <w:spacing w:after="20"/>
              <w:jc w:val="right"/>
            </w:pPr>
            <w:r>
              <w:rPr>
                <w:color w:val="1C3A36"/>
                <w:sz w:val="16"/>
              </w:rPr>
              <w:t>0.04</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0.27 instead of EGP -0.56.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was tested, in plain terms. The same method was run backwards over the company's own price history in non-overlapping three-month windows and scored against a random walk that carries the same interest-rate drift. Over the 17 windows since the market's last structural break it beat that benchmark by 2.64 per cent on a proper scoring rule, and the advantage held across every resampling block size tested, so it is not an artefact of how the windows were cut. Outcomes fell inside the fifty, eighty and ninety per cent bands 64.7%, 88.2% and 94.1% of the time against the fifty, eighty and ninety they promise. A uniformity test on where each outcome landed within its predicted distribution returns a p-value of 0.625, which is to say the bands are neither too wide nor too narrow to a degree the data can detect. Over the last five years of windows the advantage was 2.04 per cent.</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-0.56</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3.59</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4.14</w:t>
            </w:r>
          </w:p>
        </w:tc>
      </w:tr>
      <w:tr>
        <w:trPr>
          <w:cantSplit/>
        </w:trPr>
        <w:tc>
          <w:tcPr>
            <w:tcW w:type="dxa" w:w="2448"/>
          </w:tcPr>
          <w:p>
            <w:pPr>
              <w:spacing w:after="20"/>
            </w:pPr>
            <w:r>
              <w:rPr>
                <w:color w:val="1C3A36"/>
                <w:sz w:val="16"/>
              </w:rPr>
              <w:t>Book value and sustainable return</w:t>
            </w:r>
          </w:p>
        </w:tc>
        <w:tc>
          <w:tcPr>
            <w:tcW w:type="dxa" w:w="1224"/>
          </w:tcPr>
          <w:p>
            <w:pPr>
              <w:spacing w:after="20"/>
              <w:jc w:val="right"/>
            </w:pPr>
            <w:r>
              <w:rPr>
                <w:color w:val="1C3A36"/>
                <w:sz w:val="16"/>
              </w:rPr>
              <w:t>0.58</w:t>
            </w:r>
          </w:p>
        </w:tc>
        <w:tc>
          <w:tcPr>
            <w:tcW w:type="dxa" w:w="3456"/>
          </w:tcPr>
          <w:p>
            <w:pPr>
              <w:spacing w:after="20"/>
            </w:pPr>
            <w:r>
              <w:rPr>
                <w:color w:val="1C3A36"/>
                <w:sz w:val="16"/>
              </w:rPr>
              <w:t>That the historic return on equity persists</w:t>
            </w:r>
          </w:p>
        </w:tc>
        <w:tc>
          <w:tcPr>
            <w:tcW w:type="dxa" w:w="2952"/>
          </w:tcPr>
          <w:p>
            <w:pPr>
              <w:spacing w:after="20"/>
            </w:pPr>
            <w:r>
              <w:rPr>
                <w:color w:val="1C3A36"/>
                <w:sz w:val="16"/>
              </w:rPr>
              <w:t>Nothing — it agrees, from the other direction, that the business does not earn its cost of capital</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15.47</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15.47 should be read as what the shares would be worth if the programme were free — which it is not. The multiple lens does reach EGP 13.98,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7.8%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1.93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0.30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27.8% of terminal operating profit after tax back into the business every year for ever — on a plant that has just been rebuilt and needs no further building. A thirty per cent return on capital, which is what a newly completed line earns while it is still filling, is worth EGP 0.28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67.3% of enterprise value on the carried-through case and 33.2% on the stopped case. Above one hundred per cent is unusual and is explained rather than smoothed: the explicit window is a construction window with negative free cash flow, so the terminal block carries the whole enterprise value and then some. It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11,310</w:t>
            </w:r>
          </w:p>
        </w:tc>
        <w:tc>
          <w:tcPr>
            <w:tcW w:type="dxa" w:w="893"/>
          </w:tcPr>
          <w:p>
            <w:pPr>
              <w:spacing w:after="20"/>
              <w:jc w:val="right"/>
            </w:pPr>
            <w:r>
              <w:rPr>
                <w:color w:val="1C3A36"/>
                <w:sz w:val="14"/>
              </w:rPr>
              <w:t>11,400</w:t>
            </w:r>
          </w:p>
        </w:tc>
        <w:tc>
          <w:tcPr>
            <w:tcW w:type="dxa" w:w="893"/>
          </w:tcPr>
          <w:p>
            <w:pPr>
              <w:spacing w:after="20"/>
              <w:jc w:val="right"/>
            </w:pPr>
            <w:r>
              <w:rPr>
                <w:color w:val="1C3A36"/>
                <w:sz w:val="14"/>
              </w:rPr>
              <w:t>11,352</w:t>
            </w:r>
          </w:p>
        </w:tc>
        <w:tc>
          <w:tcPr>
            <w:tcW w:type="dxa" w:w="893"/>
          </w:tcPr>
          <w:p>
            <w:pPr>
              <w:spacing w:after="20"/>
              <w:jc w:val="right"/>
            </w:pPr>
            <w:r>
              <w:rPr>
                <w:color w:val="1C3A36"/>
                <w:sz w:val="14"/>
              </w:rPr>
              <w:t>11,406</w:t>
            </w:r>
          </w:p>
        </w:tc>
        <w:tc>
          <w:tcPr>
            <w:tcW w:type="dxa" w:w="893"/>
          </w:tcPr>
          <w:p>
            <w:pPr>
              <w:spacing w:after="20"/>
              <w:jc w:val="right"/>
            </w:pPr>
            <w:r>
              <w:rPr>
                <w:color w:val="1C3A36"/>
                <w:sz w:val="14"/>
              </w:rPr>
              <w:t>11,654</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6,146</w:t>
            </w:r>
          </w:p>
        </w:tc>
        <w:tc>
          <w:tcPr>
            <w:tcW w:type="dxa" w:w="893"/>
          </w:tcPr>
          <w:p>
            <w:pPr>
              <w:spacing w:after="20"/>
              <w:jc w:val="right"/>
            </w:pPr>
            <w:r>
              <w:rPr>
                <w:color w:val="1C3A36"/>
                <w:sz w:val="14"/>
              </w:rPr>
              <w:t>6,590</w:t>
            </w:r>
          </w:p>
        </w:tc>
        <w:tc>
          <w:tcPr>
            <w:tcW w:type="dxa" w:w="893"/>
          </w:tcPr>
          <w:p>
            <w:pPr>
              <w:spacing w:after="20"/>
              <w:jc w:val="right"/>
            </w:pPr>
            <w:r>
              <w:rPr>
                <w:color w:val="1C3A36"/>
                <w:sz w:val="14"/>
              </w:rPr>
              <w:t>7,012</w:t>
            </w:r>
          </w:p>
        </w:tc>
        <w:tc>
          <w:tcPr>
            <w:tcW w:type="dxa" w:w="893"/>
          </w:tcPr>
          <w:p>
            <w:pPr>
              <w:spacing w:after="20"/>
              <w:jc w:val="right"/>
            </w:pPr>
            <w:r>
              <w:rPr>
                <w:color w:val="1C3A36"/>
                <w:sz w:val="14"/>
              </w:rPr>
              <w:t>7,406</w:t>
            </w:r>
          </w:p>
        </w:tc>
        <w:tc>
          <w:tcPr>
            <w:tcW w:type="dxa" w:w="893"/>
          </w:tcPr>
          <w:p>
            <w:pPr>
              <w:spacing w:after="20"/>
              <w:jc w:val="right"/>
            </w:pPr>
            <w:r>
              <w:rPr>
                <w:color w:val="1C3A36"/>
                <w:sz w:val="14"/>
              </w:rPr>
              <w:t>7,806</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5,165</w:t>
            </w:r>
          </w:p>
        </w:tc>
        <w:tc>
          <w:tcPr>
            <w:tcW w:type="dxa" w:w="893"/>
            <w:shd w:val="clear" w:color="auto" w:fill="F6F1E6"/>
          </w:tcPr>
          <w:p>
            <w:pPr>
              <w:spacing w:after="20"/>
              <w:jc w:val="right"/>
            </w:pPr>
            <w:r>
              <w:rPr>
                <w:b/>
                <w:color w:val="1C3A36"/>
                <w:sz w:val="14"/>
              </w:rPr>
              <w:t>4,810</w:t>
            </w:r>
          </w:p>
        </w:tc>
        <w:tc>
          <w:tcPr>
            <w:tcW w:type="dxa" w:w="893"/>
            <w:shd w:val="clear" w:color="auto" w:fill="F6F1E6"/>
          </w:tcPr>
          <w:p>
            <w:pPr>
              <w:spacing w:after="20"/>
              <w:jc w:val="right"/>
            </w:pPr>
            <w:r>
              <w:rPr>
                <w:b/>
                <w:color w:val="1C3A36"/>
                <w:sz w:val="14"/>
              </w:rPr>
              <w:t>4,340</w:t>
            </w:r>
          </w:p>
        </w:tc>
        <w:tc>
          <w:tcPr>
            <w:tcW w:type="dxa" w:w="893"/>
            <w:shd w:val="clear" w:color="auto" w:fill="F6F1E6"/>
          </w:tcPr>
          <w:p>
            <w:pPr>
              <w:spacing w:after="20"/>
              <w:jc w:val="right"/>
            </w:pPr>
            <w:r>
              <w:rPr>
                <w:b/>
                <w:color w:val="1C3A36"/>
                <w:sz w:val="14"/>
              </w:rPr>
              <w:t>4,000</w:t>
            </w:r>
          </w:p>
        </w:tc>
        <w:tc>
          <w:tcPr>
            <w:tcW w:type="dxa" w:w="893"/>
            <w:shd w:val="clear" w:color="auto" w:fill="F6F1E6"/>
          </w:tcPr>
          <w:p>
            <w:pPr>
              <w:spacing w:after="20"/>
              <w:jc w:val="right"/>
            </w:pPr>
            <w:r>
              <w:rPr>
                <w:b/>
                <w:color w:val="1C3A36"/>
                <w:sz w:val="14"/>
              </w:rPr>
              <w:t>3,848</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882</w:t>
            </w:r>
          </w:p>
        </w:tc>
        <w:tc>
          <w:tcPr>
            <w:tcW w:type="dxa" w:w="893"/>
          </w:tcPr>
          <w:p>
            <w:pPr>
              <w:spacing w:after="20"/>
              <w:jc w:val="right"/>
            </w:pPr>
            <w:r>
              <w:rPr>
                <w:color w:val="1C3A36"/>
                <w:sz w:val="14"/>
              </w:rPr>
              <w:t>932</w:t>
            </w:r>
          </w:p>
        </w:tc>
        <w:tc>
          <w:tcPr>
            <w:tcW w:type="dxa" w:w="893"/>
          </w:tcPr>
          <w:p>
            <w:pPr>
              <w:spacing w:after="20"/>
              <w:jc w:val="right"/>
            </w:pPr>
            <w:r>
              <w:rPr>
                <w:color w:val="1C3A36"/>
                <w:sz w:val="14"/>
              </w:rPr>
              <w:t>977</w:t>
            </w:r>
          </w:p>
        </w:tc>
        <w:tc>
          <w:tcPr>
            <w:tcW w:type="dxa" w:w="893"/>
          </w:tcPr>
          <w:p>
            <w:pPr>
              <w:spacing w:after="20"/>
              <w:jc w:val="right"/>
            </w:pPr>
            <w:r>
              <w:rPr>
                <w:color w:val="1C3A36"/>
                <w:sz w:val="14"/>
              </w:rPr>
              <w:t>1,023</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423</w:t>
            </w:r>
          </w:p>
        </w:tc>
        <w:tc>
          <w:tcPr>
            <w:tcW w:type="dxa" w:w="893"/>
          </w:tcPr>
          <w:p>
            <w:pPr>
              <w:spacing w:after="20"/>
              <w:jc w:val="right"/>
            </w:pPr>
            <w:r>
              <w:rPr>
                <w:color w:val="1C3A36"/>
                <w:sz w:val="14"/>
              </w:rPr>
              <w:t>449</w:t>
            </w:r>
          </w:p>
        </w:tc>
        <w:tc>
          <w:tcPr>
            <w:tcW w:type="dxa" w:w="893"/>
          </w:tcPr>
          <w:p>
            <w:pPr>
              <w:spacing w:after="20"/>
              <w:jc w:val="right"/>
            </w:pPr>
            <w:r>
              <w:rPr>
                <w:color w:val="1C3A36"/>
                <w:sz w:val="14"/>
              </w:rPr>
              <w:t>471</w:t>
            </w:r>
          </w:p>
        </w:tc>
        <w:tc>
          <w:tcPr>
            <w:tcW w:type="dxa" w:w="893"/>
          </w:tcPr>
          <w:p>
            <w:pPr>
              <w:spacing w:after="20"/>
              <w:jc w:val="right"/>
            </w:pPr>
            <w:r>
              <w:rPr>
                <w:color w:val="1C3A36"/>
                <w:sz w:val="14"/>
              </w:rPr>
              <w:t>495</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3,793</w:t>
            </w:r>
          </w:p>
        </w:tc>
        <w:tc>
          <w:tcPr>
            <w:tcW w:type="dxa" w:w="893"/>
            <w:shd w:val="clear" w:color="auto" w:fill="F6F1E6"/>
          </w:tcPr>
          <w:p>
            <w:pPr>
              <w:spacing w:after="20"/>
              <w:jc w:val="right"/>
            </w:pPr>
            <w:r>
              <w:rPr>
                <w:b/>
                <w:color w:val="1C3A36"/>
                <w:sz w:val="14"/>
              </w:rPr>
              <w:t>3,385</w:t>
            </w:r>
          </w:p>
        </w:tc>
        <w:tc>
          <w:tcPr>
            <w:tcW w:type="dxa" w:w="893"/>
            <w:shd w:val="clear" w:color="auto" w:fill="F6F1E6"/>
          </w:tcPr>
          <w:p>
            <w:pPr>
              <w:spacing w:after="20"/>
              <w:jc w:val="right"/>
            </w:pPr>
            <w:r>
              <w:rPr>
                <w:b/>
                <w:color w:val="1C3A36"/>
                <w:sz w:val="14"/>
              </w:rPr>
              <w:t>2,859</w:t>
            </w:r>
          </w:p>
        </w:tc>
        <w:tc>
          <w:tcPr>
            <w:tcW w:type="dxa" w:w="893"/>
            <w:shd w:val="clear" w:color="auto" w:fill="F6F1E6"/>
          </w:tcPr>
          <w:p>
            <w:pPr>
              <w:spacing w:after="20"/>
              <w:jc w:val="right"/>
            </w:pPr>
            <w:r>
              <w:rPr>
                <w:b/>
                <w:color w:val="1C3A36"/>
                <w:sz w:val="14"/>
              </w:rPr>
              <w:t>2,463</w:t>
            </w:r>
          </w:p>
        </w:tc>
        <w:tc>
          <w:tcPr>
            <w:tcW w:type="dxa" w:w="893"/>
            <w:shd w:val="clear" w:color="auto" w:fill="F6F1E6"/>
          </w:tcPr>
          <w:p>
            <w:pPr>
              <w:spacing w:after="20"/>
              <w:jc w:val="right"/>
            </w:pPr>
            <w:r>
              <w:rPr>
                <w:b/>
                <w:color w:val="1C3A36"/>
                <w:sz w:val="14"/>
              </w:rPr>
              <w:t>2,250</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4,684</w:t>
            </w:r>
          </w:p>
        </w:tc>
        <w:tc>
          <w:tcPr>
            <w:tcW w:type="dxa" w:w="893"/>
            <w:shd w:val="clear" w:color="auto" w:fill="F6F1E6"/>
          </w:tcPr>
          <w:p>
            <w:pPr>
              <w:spacing w:after="20"/>
              <w:jc w:val="right"/>
            </w:pPr>
            <w:r>
              <w:rPr>
                <w:b/>
                <w:color w:val="1C3A36"/>
                <w:sz w:val="14"/>
              </w:rPr>
              <w:t>4,394</w:t>
            </w:r>
          </w:p>
        </w:tc>
        <w:tc>
          <w:tcPr>
            <w:tcW w:type="dxa" w:w="893"/>
            <w:shd w:val="clear" w:color="auto" w:fill="F6F1E6"/>
          </w:tcPr>
          <w:p>
            <w:pPr>
              <w:spacing w:after="20"/>
              <w:jc w:val="right"/>
            </w:pPr>
            <w:r>
              <w:rPr>
                <w:b/>
                <w:color w:val="1C3A36"/>
                <w:sz w:val="14"/>
              </w:rPr>
              <w:t>4,006</w:t>
            </w:r>
          </w:p>
        </w:tc>
        <w:tc>
          <w:tcPr>
            <w:tcW w:type="dxa" w:w="893"/>
            <w:shd w:val="clear" w:color="auto" w:fill="F6F1E6"/>
          </w:tcPr>
          <w:p>
            <w:pPr>
              <w:spacing w:after="20"/>
              <w:jc w:val="right"/>
            </w:pPr>
            <w:r>
              <w:rPr>
                <w:b/>
                <w:color w:val="1C3A36"/>
                <w:sz w:val="14"/>
              </w:rPr>
              <w:t>3,755</w:t>
            </w:r>
          </w:p>
        </w:tc>
        <w:tc>
          <w:tcPr>
            <w:tcW w:type="dxa" w:w="893"/>
            <w:shd w:val="clear" w:color="auto" w:fill="F6F1E6"/>
          </w:tcPr>
          <w:p>
            <w:pPr>
              <w:spacing w:after="20"/>
              <w:jc w:val="right"/>
            </w:pPr>
            <w:r>
              <w:rPr>
                <w:b/>
                <w:color w:val="1C3A36"/>
                <w:sz w:val="14"/>
              </w:rPr>
              <w:t>3,684</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42.2%</w:t>
            </w:r>
          </w:p>
        </w:tc>
        <w:tc>
          <w:tcPr>
            <w:tcW w:type="dxa" w:w="893"/>
          </w:tcPr>
          <w:p>
            <w:pPr>
              <w:spacing w:after="20"/>
              <w:jc w:val="right"/>
            </w:pPr>
            <w:r>
              <w:rPr>
                <w:color w:val="1C3A36"/>
                <w:sz w:val="14"/>
              </w:rPr>
              <w:t>38.2%</w:t>
            </w:r>
          </w:p>
        </w:tc>
        <w:tc>
          <w:tcPr>
            <w:tcW w:type="dxa" w:w="893"/>
          </w:tcPr>
          <w:p>
            <w:pPr>
              <w:spacing w:after="20"/>
              <w:jc w:val="right"/>
            </w:pPr>
            <w:r>
              <w:rPr>
                <w:color w:val="1C3A36"/>
                <w:sz w:val="14"/>
              </w:rPr>
              <w:t>35.1%</w:t>
            </w:r>
          </w:p>
        </w:tc>
        <w:tc>
          <w:tcPr>
            <w:tcW w:type="dxa" w:w="893"/>
          </w:tcPr>
          <w:p>
            <w:pPr>
              <w:spacing w:after="20"/>
              <w:jc w:val="right"/>
            </w:pPr>
            <w:r>
              <w:rPr>
                <w:color w:val="1C3A36"/>
                <w:sz w:val="14"/>
              </w:rPr>
              <w:t>33.0%</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41.4%</w:t>
            </w:r>
          </w:p>
        </w:tc>
        <w:tc>
          <w:tcPr>
            <w:tcW w:type="dxa" w:w="893"/>
          </w:tcPr>
          <w:p>
            <w:pPr>
              <w:spacing w:after="20"/>
              <w:jc w:val="right"/>
            </w:pPr>
            <w:r>
              <w:rPr>
                <w:color w:val="1C3A36"/>
                <w:sz w:val="14"/>
              </w:rPr>
              <w:t>38.5%</w:t>
            </w:r>
          </w:p>
        </w:tc>
        <w:tc>
          <w:tcPr>
            <w:tcW w:type="dxa" w:w="893"/>
          </w:tcPr>
          <w:p>
            <w:pPr>
              <w:spacing w:after="20"/>
              <w:jc w:val="right"/>
            </w:pPr>
            <w:r>
              <w:rPr>
                <w:color w:val="1C3A36"/>
                <w:sz w:val="14"/>
              </w:rPr>
              <w:t>35.3%</w:t>
            </w:r>
          </w:p>
        </w:tc>
        <w:tc>
          <w:tcPr>
            <w:tcW w:type="dxa" w:w="893"/>
          </w:tcPr>
          <w:p>
            <w:pPr>
              <w:spacing w:after="20"/>
              <w:jc w:val="right"/>
            </w:pPr>
            <w:r>
              <w:rPr>
                <w:color w:val="1C3A36"/>
                <w:sz w:val="14"/>
              </w:rPr>
              <w:t>32.9%</w:t>
            </w:r>
          </w:p>
        </w:tc>
        <w:tc>
          <w:tcPr>
            <w:tcW w:type="dxa" w:w="893"/>
          </w:tcPr>
          <w:p>
            <w:pPr>
              <w:spacing w:after="20"/>
              <w:jc w:val="right"/>
            </w:pPr>
            <w:r>
              <w:rPr>
                <w:color w:val="1C3A36"/>
                <w:sz w:val="14"/>
              </w:rPr>
              <w:t>31.6%</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3,227</w:t>
            </w:r>
          </w:p>
        </w:tc>
        <w:tc>
          <w:tcPr>
            <w:tcW w:type="dxa" w:w="1426"/>
          </w:tcPr>
          <w:p>
            <w:pPr>
              <w:spacing w:after="20"/>
              <w:jc w:val="right"/>
            </w:pPr>
            <w:r>
              <w:rPr>
                <w:color w:val="1C3A36"/>
                <w:sz w:val="16"/>
              </w:rPr>
              <w:t>3,427</w:t>
            </w:r>
          </w:p>
        </w:tc>
        <w:tc>
          <w:tcPr>
            <w:tcW w:type="dxa" w:w="1426"/>
          </w:tcPr>
          <w:p>
            <w:pPr>
              <w:spacing w:after="20"/>
              <w:jc w:val="right"/>
            </w:pPr>
            <w:r>
              <w:rPr>
                <w:color w:val="1C3A36"/>
                <w:sz w:val="16"/>
              </w:rPr>
              <w:t>3,327</w:t>
            </w:r>
          </w:p>
        </w:tc>
        <w:tc>
          <w:tcPr>
            <w:tcW w:type="dxa" w:w="1426"/>
          </w:tcPr>
          <w:p>
            <w:pPr>
              <w:spacing w:after="20"/>
              <w:jc w:val="right"/>
            </w:pPr>
            <w:r>
              <w:rPr>
                <w:color w:val="1C3A36"/>
                <w:sz w:val="16"/>
              </w:rPr>
              <w:t>2,619</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830</w:t>
            </w:r>
          </w:p>
        </w:tc>
        <w:tc>
          <w:tcPr>
            <w:tcW w:type="dxa" w:w="1426"/>
          </w:tcPr>
          <w:p>
            <w:pPr>
              <w:spacing w:after="20"/>
              <w:jc w:val="right"/>
            </w:pPr>
            <w:r>
              <w:rPr>
                <w:color w:val="1C3A36"/>
                <w:sz w:val="16"/>
              </w:rPr>
              <w:t>836</w:t>
            </w:r>
          </w:p>
        </w:tc>
        <w:tc>
          <w:tcPr>
            <w:tcW w:type="dxa" w:w="1426"/>
          </w:tcPr>
          <w:p>
            <w:pPr>
              <w:spacing w:after="20"/>
              <w:jc w:val="right"/>
            </w:pPr>
            <w:r>
              <w:rPr>
                <w:color w:val="1C3A36"/>
                <w:sz w:val="16"/>
              </w:rPr>
              <w:t>833</w:t>
            </w:r>
          </w:p>
        </w:tc>
        <w:tc>
          <w:tcPr>
            <w:tcW w:type="dxa" w:w="1426"/>
          </w:tcPr>
          <w:p>
            <w:pPr>
              <w:spacing w:after="20"/>
              <w:jc w:val="right"/>
            </w:pPr>
            <w:r>
              <w:rPr>
                <w:color w:val="1C3A36"/>
                <w:sz w:val="16"/>
              </w:rPr>
              <w:t>837</w:t>
            </w:r>
          </w:p>
        </w:tc>
        <w:tc>
          <w:tcPr>
            <w:tcW w:type="dxa" w:w="1426"/>
          </w:tcPr>
          <w:p>
            <w:pPr>
              <w:spacing w:after="20"/>
              <w:jc w:val="right"/>
            </w:pPr>
            <w:r>
              <w:rPr>
                <w:color w:val="1C3A36"/>
                <w:sz w:val="16"/>
              </w:rPr>
              <w:t>855</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2,782</w:t>
            </w:r>
          </w:p>
        </w:tc>
        <w:tc>
          <w:tcPr>
            <w:tcW w:type="dxa" w:w="1426"/>
          </w:tcPr>
          <w:p>
            <w:pPr>
              <w:spacing w:after="20"/>
              <w:jc w:val="right"/>
            </w:pPr>
            <w:r>
              <w:rPr>
                <w:color w:val="1C3A36"/>
                <w:sz w:val="16"/>
              </w:rPr>
              <w:t>2,983</w:t>
            </w:r>
          </w:p>
        </w:tc>
        <w:tc>
          <w:tcPr>
            <w:tcW w:type="dxa" w:w="1426"/>
          </w:tcPr>
          <w:p>
            <w:pPr>
              <w:spacing w:after="20"/>
              <w:jc w:val="right"/>
            </w:pPr>
            <w:r>
              <w:rPr>
                <w:color w:val="1C3A36"/>
                <w:sz w:val="16"/>
              </w:rPr>
              <w:t>3,175</w:t>
            </w:r>
          </w:p>
        </w:tc>
        <w:tc>
          <w:tcPr>
            <w:tcW w:type="dxa" w:w="1426"/>
          </w:tcPr>
          <w:p>
            <w:pPr>
              <w:spacing w:after="20"/>
              <w:jc w:val="right"/>
            </w:pPr>
            <w:r>
              <w:rPr>
                <w:color w:val="1C3A36"/>
                <w:sz w:val="16"/>
              </w:rPr>
              <w:t>3,353</w:t>
            </w:r>
          </w:p>
        </w:tc>
        <w:tc>
          <w:tcPr>
            <w:tcW w:type="dxa" w:w="1426"/>
          </w:tcPr>
          <w:p>
            <w:pPr>
              <w:spacing w:after="20"/>
              <w:jc w:val="right"/>
            </w:pPr>
            <w:r>
              <w:rPr>
                <w:color w:val="1C3A36"/>
                <w:sz w:val="16"/>
              </w:rPr>
              <w:t>3,534</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1,400</w:t>
            </w:r>
          </w:p>
        </w:tc>
        <w:tc>
          <w:tcPr>
            <w:tcW w:type="dxa" w:w="1426"/>
          </w:tcPr>
          <w:p>
            <w:pPr>
              <w:spacing w:after="20"/>
              <w:jc w:val="right"/>
            </w:pPr>
            <w:r>
              <w:rPr>
                <w:color w:val="1C3A36"/>
                <w:sz w:val="16"/>
              </w:rPr>
              <w:t>1,502</w:t>
            </w:r>
          </w:p>
        </w:tc>
        <w:tc>
          <w:tcPr>
            <w:tcW w:type="dxa" w:w="1426"/>
          </w:tcPr>
          <w:p>
            <w:pPr>
              <w:spacing w:after="20"/>
              <w:jc w:val="right"/>
            </w:pPr>
            <w:r>
              <w:rPr>
                <w:color w:val="1C3A36"/>
                <w:sz w:val="16"/>
              </w:rPr>
              <w:t>1,598</w:t>
            </w:r>
          </w:p>
        </w:tc>
        <w:tc>
          <w:tcPr>
            <w:tcW w:type="dxa" w:w="1426"/>
          </w:tcPr>
          <w:p>
            <w:pPr>
              <w:spacing w:after="20"/>
              <w:jc w:val="right"/>
            </w:pPr>
            <w:r>
              <w:rPr>
                <w:color w:val="1C3A36"/>
                <w:sz w:val="16"/>
              </w:rPr>
              <w:t>1,688</w:t>
            </w:r>
          </w:p>
        </w:tc>
        <w:tc>
          <w:tcPr>
            <w:tcW w:type="dxa" w:w="1426"/>
          </w:tcPr>
          <w:p>
            <w:pPr>
              <w:spacing w:after="20"/>
              <w:jc w:val="right"/>
            </w:pPr>
            <w:r>
              <w:rPr>
                <w:color w:val="1C3A36"/>
                <w:sz w:val="16"/>
              </w:rPr>
              <w:t>1,779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2,212</w:t>
            </w:r>
          </w:p>
        </w:tc>
        <w:tc>
          <w:tcPr>
            <w:tcW w:type="dxa" w:w="1426"/>
          </w:tcPr>
          <w:p>
            <w:pPr>
              <w:spacing w:after="20"/>
              <w:jc w:val="right"/>
            </w:pPr>
            <w:r>
              <w:rPr>
                <w:color w:val="1C3A36"/>
                <w:sz w:val="16"/>
              </w:rPr>
              <w:t>2,318</w:t>
            </w:r>
          </w:p>
        </w:tc>
        <w:tc>
          <w:tcPr>
            <w:tcW w:type="dxa" w:w="1426"/>
          </w:tcPr>
          <w:p>
            <w:pPr>
              <w:spacing w:after="20"/>
              <w:jc w:val="right"/>
            </w:pPr>
            <w:r>
              <w:rPr>
                <w:color w:val="1C3A36"/>
                <w:sz w:val="16"/>
              </w:rPr>
              <w:t>2,410</w:t>
            </w:r>
          </w:p>
        </w:tc>
        <w:tc>
          <w:tcPr>
            <w:tcW w:type="dxa" w:w="1426"/>
          </w:tcPr>
          <w:p>
            <w:pPr>
              <w:spacing w:after="20"/>
              <w:jc w:val="right"/>
            </w:pPr>
            <w:r>
              <w:rPr>
                <w:color w:val="1C3A36"/>
                <w:sz w:val="16"/>
              </w:rPr>
              <w:t>2,502</w:t>
            </w:r>
          </w:p>
        </w:tc>
        <w:tc>
          <w:tcPr>
            <w:tcW w:type="dxa" w:w="1426"/>
          </w:tcPr>
          <w:p>
            <w:pPr>
              <w:spacing w:after="20"/>
              <w:jc w:val="right"/>
            </w:pPr>
            <w:r>
              <w:rPr>
                <w:color w:val="1C3A36"/>
                <w:sz w:val="16"/>
              </w:rPr>
              <w:t>2,610</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92</w:t>
            </w:r>
          </w:p>
        </w:tc>
        <w:tc>
          <w:tcPr>
            <w:tcW w:type="dxa" w:w="1426"/>
          </w:tcPr>
          <w:p>
            <w:pPr>
              <w:spacing w:after="20"/>
              <w:jc w:val="right"/>
            </w:pPr>
            <w:r>
              <w:rPr>
                <w:color w:val="1C3A36"/>
                <w:sz w:val="16"/>
              </w:rPr>
              <w:t>92</w:t>
            </w:r>
          </w:p>
        </w:tc>
        <w:tc>
          <w:tcPr>
            <w:tcW w:type="dxa" w:w="1426"/>
          </w:tcPr>
          <w:p>
            <w:pPr>
              <w:spacing w:after="20"/>
              <w:jc w:val="right"/>
            </w:pPr>
            <w:r>
              <w:rPr>
                <w:color w:val="1C3A36"/>
                <w:sz w:val="16"/>
              </w:rPr>
              <w:t>108</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298</w:t>
            </w:r>
          </w:p>
        </w:tc>
        <w:tc>
          <w:tcPr>
            <w:tcW w:type="dxa" w:w="1426"/>
            <w:shd w:val="clear" w:color="auto" w:fill="F6F1E6"/>
          </w:tcPr>
          <w:p>
            <w:pPr>
              <w:spacing w:after="20"/>
              <w:jc w:val="right"/>
            </w:pPr>
            <w:r>
              <w:rPr>
                <w:b/>
                <w:color w:val="1C3A36"/>
                <w:sz w:val="16"/>
              </w:rPr>
              <w:t>-156</w:t>
            </w:r>
          </w:p>
        </w:tc>
        <w:tc>
          <w:tcPr>
            <w:tcW w:type="dxa" w:w="1426"/>
            <w:shd w:val="clear" w:color="auto" w:fill="F6F1E6"/>
          </w:tcPr>
          <w:p>
            <w:pPr>
              <w:spacing w:after="20"/>
              <w:jc w:val="right"/>
            </w:pPr>
            <w:r>
              <w:rPr>
                <w:b/>
                <w:color w:val="1C3A36"/>
                <w:sz w:val="16"/>
              </w:rPr>
              <w:t>-219</w:t>
            </w:r>
          </w:p>
        </w:tc>
        <w:tc>
          <w:tcPr>
            <w:tcW w:type="dxa" w:w="1426"/>
            <w:shd w:val="clear" w:color="auto" w:fill="F6F1E6"/>
          </w:tcPr>
          <w:p>
            <w:pPr>
              <w:spacing w:after="20"/>
              <w:jc w:val="right"/>
            </w:pPr>
            <w:r>
              <w:rPr>
                <w:b/>
                <w:color w:val="1C3A36"/>
                <w:sz w:val="16"/>
              </w:rPr>
              <w:t>450</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11,352</w:t>
            </w:r>
          </w:p>
        </w:tc>
        <w:tc>
          <w:tcPr>
            <w:tcW w:type="dxa" w:w="2016"/>
          </w:tcPr>
          <w:p>
            <w:pPr>
              <w:spacing w:after="20"/>
              <w:jc w:val="right"/>
            </w:pPr>
            <w:r>
              <w:rPr>
                <w:color w:val="1C3A36"/>
                <w:sz w:val="16"/>
              </w:rPr>
              <w:t>11,406</w:t>
            </w:r>
          </w:p>
        </w:tc>
        <w:tc>
          <w:tcPr>
            <w:tcW w:type="dxa" w:w="2016"/>
          </w:tcPr>
          <w:p>
            <w:pPr>
              <w:spacing w:after="20"/>
              <w:jc w:val="right"/>
            </w:pPr>
            <w:r>
              <w:rPr>
                <w:color w:val="1C3A36"/>
                <w:sz w:val="16"/>
              </w:rPr>
              <w:t>11,654</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4,340</w:t>
            </w:r>
          </w:p>
        </w:tc>
        <w:tc>
          <w:tcPr>
            <w:tcW w:type="dxa" w:w="2016"/>
          </w:tcPr>
          <w:p>
            <w:pPr>
              <w:spacing w:after="20"/>
              <w:jc w:val="right"/>
            </w:pPr>
            <w:r>
              <w:rPr>
                <w:color w:val="1C3A36"/>
                <w:sz w:val="16"/>
              </w:rPr>
              <w:t>4,000</w:t>
            </w:r>
          </w:p>
        </w:tc>
        <w:tc>
          <w:tcPr>
            <w:tcW w:type="dxa" w:w="2016"/>
          </w:tcPr>
          <w:p>
            <w:pPr>
              <w:spacing w:after="20"/>
              <w:jc w:val="right"/>
            </w:pPr>
            <w:r>
              <w:rPr>
                <w:color w:val="1C3A36"/>
                <w:sz w:val="16"/>
              </w:rPr>
              <w:t>3,848</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4,006</w:t>
            </w:r>
          </w:p>
        </w:tc>
        <w:tc>
          <w:tcPr>
            <w:tcW w:type="dxa" w:w="2016"/>
            <w:shd w:val="clear" w:color="auto" w:fill="F6F1E6"/>
          </w:tcPr>
          <w:p>
            <w:pPr>
              <w:spacing w:after="20"/>
              <w:jc w:val="right"/>
            </w:pPr>
            <w:r>
              <w:rPr>
                <w:b/>
                <w:color w:val="1C3A36"/>
                <w:sz w:val="16"/>
              </w:rPr>
              <w:t>3,755</w:t>
            </w:r>
          </w:p>
        </w:tc>
        <w:tc>
          <w:tcPr>
            <w:tcW w:type="dxa" w:w="2016"/>
            <w:shd w:val="clear" w:color="auto" w:fill="F6F1E6"/>
          </w:tcPr>
          <w:p>
            <w:pPr>
              <w:spacing w:after="20"/>
              <w:jc w:val="right"/>
            </w:pPr>
            <w:r>
              <w:rPr>
                <w:b/>
                <w:color w:val="1C3A36"/>
                <w:sz w:val="16"/>
              </w:rPr>
              <w:t>3,684</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1,214</w:t>
            </w:r>
          </w:p>
        </w:tc>
        <w:tc>
          <w:tcPr>
            <w:tcW w:type="dxa" w:w="2016"/>
          </w:tcPr>
          <w:p>
            <w:pPr>
              <w:spacing w:after="20"/>
              <w:jc w:val="right"/>
            </w:pPr>
            <w:r>
              <w:rPr>
                <w:color w:val="1C3A36"/>
                <w:sz w:val="16"/>
              </w:rPr>
              <w:t>405</w:t>
            </w:r>
          </w:p>
        </w:tc>
        <w:tc>
          <w:tcPr>
            <w:tcW w:type="dxa" w:w="2016"/>
          </w:tcPr>
          <w:p>
            <w:pPr>
              <w:spacing w:after="20"/>
              <w:jc w:val="right"/>
            </w:pPr>
            <w:r>
              <w:rPr>
                <w:color w:val="1C3A36"/>
                <w:sz w:val="16"/>
              </w:rPr>
              <w:t>945</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13,343</w:t>
            </w:r>
          </w:p>
        </w:tc>
        <w:tc>
          <w:tcPr>
            <w:tcW w:type="dxa" w:w="2016"/>
          </w:tcPr>
          <w:p>
            <w:pPr>
              <w:spacing w:after="20"/>
              <w:jc w:val="right"/>
            </w:pPr>
            <w:r>
              <w:rPr>
                <w:color w:val="1C3A36"/>
                <w:sz w:val="16"/>
              </w:rPr>
              <w:t>13,692</w:t>
            </w:r>
          </w:p>
        </w:tc>
        <w:tc>
          <w:tcPr>
            <w:tcW w:type="dxa" w:w="2016"/>
          </w:tcPr>
          <w:p>
            <w:pPr>
              <w:spacing w:after="20"/>
              <w:jc w:val="right"/>
            </w:pPr>
            <w:r>
              <w:rPr>
                <w:color w:val="1C3A36"/>
                <w:sz w:val="16"/>
              </w:rPr>
              <w:t>15,490</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1,135</w:t>
            </w:r>
          </w:p>
        </w:tc>
        <w:tc>
          <w:tcPr>
            <w:tcW w:type="dxa" w:w="2016"/>
          </w:tcPr>
          <w:p>
            <w:pPr>
              <w:spacing w:after="20"/>
              <w:jc w:val="right"/>
            </w:pPr>
            <w:r>
              <w:rPr>
                <w:color w:val="1C3A36"/>
                <w:sz w:val="16"/>
              </w:rPr>
              <w:t>901</w:t>
            </w:r>
          </w:p>
        </w:tc>
        <w:tc>
          <w:tcPr>
            <w:tcW w:type="dxa" w:w="2016"/>
          </w:tcPr>
          <w:p>
            <w:pPr>
              <w:spacing w:after="20"/>
              <w:jc w:val="right"/>
            </w:pPr>
            <w:r>
              <w:rPr>
                <w:color w:val="1C3A36"/>
                <w:sz w:val="16"/>
              </w:rPr>
              <w:t>326</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8,683</w:t>
            </w:r>
          </w:p>
        </w:tc>
        <w:tc>
          <w:tcPr>
            <w:tcW w:type="dxa" w:w="2016"/>
            <w:shd w:val="clear" w:color="auto" w:fill="F6F1E6"/>
          </w:tcPr>
          <w:p>
            <w:pPr>
              <w:spacing w:after="20"/>
              <w:jc w:val="right"/>
            </w:pPr>
            <w:r>
              <w:rPr>
                <w:b/>
                <w:color w:val="1C3A36"/>
                <w:sz w:val="16"/>
              </w:rPr>
              <w:t>7,255</w:t>
            </w:r>
          </w:p>
        </w:tc>
        <w:tc>
          <w:tcPr>
            <w:tcW w:type="dxa" w:w="2016"/>
            <w:shd w:val="clear" w:color="auto" w:fill="F6F1E6"/>
          </w:tcPr>
          <w:p>
            <w:pPr>
              <w:spacing w:after="20"/>
              <w:jc w:val="right"/>
            </w:pPr>
            <w:r>
              <w:rPr>
                <w:b/>
                <w:color w:val="1C3A36"/>
                <w:sz w:val="16"/>
              </w:rPr>
              <w:t>5,182</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187</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11</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296</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4.47 to EGP 7.44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is the swing factor. At US$550 per annual tonne the range starts at EGP 3.82; at US$700 it reaches EGP 5.11. The control discount moves it by about a third either way.</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8,925</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4,830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4,354</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5,307</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3,623</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1.82</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2.00 a share.</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8,925m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0.84 a share, and at 60% over seven years EGP 2.52.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0.84</w:t>
            </w:r>
          </w:p>
        </w:tc>
        <w:tc>
          <w:tcPr>
            <w:tcW w:type="dxa" w:w="1541"/>
          </w:tcPr>
          <w:p>
            <w:pPr>
              <w:spacing w:after="20"/>
              <w:jc w:val="right"/>
            </w:pPr>
            <w:r>
              <w:rPr>
                <w:color w:val="1C3A36"/>
                <w:sz w:val="17"/>
              </w:rPr>
              <w:t>0.94</w:t>
            </w:r>
          </w:p>
        </w:tc>
        <w:tc>
          <w:tcPr>
            <w:tcW w:type="dxa" w:w="1541"/>
          </w:tcPr>
          <w:p>
            <w:pPr>
              <w:spacing w:after="20"/>
              <w:jc w:val="right"/>
            </w:pPr>
            <w:r>
              <w:rPr>
                <w:color w:val="1C3A36"/>
                <w:sz w:val="17"/>
              </w:rPr>
              <w:t>1.15</w:t>
            </w:r>
          </w:p>
        </w:tc>
        <w:tc>
          <w:tcPr>
            <w:tcW w:type="dxa" w:w="1541"/>
          </w:tcPr>
          <w:p>
            <w:pPr>
              <w:spacing w:after="20"/>
              <w:jc w:val="right"/>
            </w:pPr>
            <w:r>
              <w:rPr>
                <w:color w:val="1C3A36"/>
                <w:sz w:val="17"/>
              </w:rPr>
              <w:t>1.35</w:t>
            </w:r>
          </w:p>
        </w:tc>
        <w:tc>
          <w:tcPr>
            <w:tcW w:type="dxa" w:w="1541"/>
          </w:tcPr>
          <w:p>
            <w:pPr>
              <w:spacing w:after="20"/>
              <w:jc w:val="right"/>
            </w:pPr>
            <w:r>
              <w:rPr>
                <w:color w:val="1C3A36"/>
                <w:sz w:val="17"/>
              </w:rPr>
              <w:t>1.44</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1.56</w:t>
            </w:r>
          </w:p>
        </w:tc>
        <w:tc>
          <w:tcPr>
            <w:tcW w:type="dxa" w:w="1541"/>
          </w:tcPr>
          <w:p>
            <w:pPr>
              <w:spacing w:after="20"/>
              <w:jc w:val="right"/>
            </w:pPr>
            <w:r>
              <w:rPr>
                <w:color w:val="1C3A36"/>
                <w:sz w:val="17"/>
              </w:rPr>
              <w:t>1.64</w:t>
            </w:r>
          </w:p>
        </w:tc>
        <w:tc>
          <w:tcPr>
            <w:tcW w:type="dxa" w:w="1541"/>
          </w:tcPr>
          <w:p>
            <w:pPr>
              <w:spacing w:after="20"/>
              <w:jc w:val="right"/>
            </w:pPr>
            <w:r>
              <w:rPr>
                <w:color w:val="1C3A36"/>
                <w:sz w:val="17"/>
              </w:rPr>
              <w:t>1.82</w:t>
            </w:r>
          </w:p>
        </w:tc>
        <w:tc>
          <w:tcPr>
            <w:tcW w:type="dxa" w:w="1541"/>
          </w:tcPr>
          <w:p>
            <w:pPr>
              <w:spacing w:after="20"/>
              <w:jc w:val="right"/>
            </w:pPr>
            <w:r>
              <w:rPr>
                <w:color w:val="1C3A36"/>
                <w:sz w:val="17"/>
              </w:rPr>
              <w:t>2.00</w:t>
            </w:r>
          </w:p>
        </w:tc>
        <w:tc>
          <w:tcPr>
            <w:tcW w:type="dxa" w:w="1541"/>
          </w:tcPr>
          <w:p>
            <w:pPr>
              <w:spacing w:after="20"/>
              <w:jc w:val="right"/>
            </w:pPr>
            <w:r>
              <w:rPr>
                <w:color w:val="1C3A36"/>
                <w:sz w:val="17"/>
              </w:rPr>
              <w:t>2.09</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2.11</w:t>
            </w:r>
          </w:p>
        </w:tc>
        <w:tc>
          <w:tcPr>
            <w:tcW w:type="dxa" w:w="1541"/>
          </w:tcPr>
          <w:p>
            <w:pPr>
              <w:spacing w:after="20"/>
              <w:jc w:val="right"/>
            </w:pPr>
            <w:r>
              <w:rPr>
                <w:color w:val="1C3A36"/>
                <w:sz w:val="17"/>
              </w:rPr>
              <w:t>2.17</w:t>
            </w:r>
          </w:p>
        </w:tc>
        <w:tc>
          <w:tcPr>
            <w:tcW w:type="dxa" w:w="1541"/>
          </w:tcPr>
          <w:p>
            <w:pPr>
              <w:spacing w:after="20"/>
              <w:jc w:val="right"/>
            </w:pPr>
            <w:r>
              <w:rPr>
                <w:color w:val="1C3A36"/>
                <w:sz w:val="17"/>
              </w:rPr>
              <w:t>2.30</w:t>
            </w:r>
          </w:p>
        </w:tc>
        <w:tc>
          <w:tcPr>
            <w:tcW w:type="dxa" w:w="1541"/>
          </w:tcPr>
          <w:p>
            <w:pPr>
              <w:spacing w:after="20"/>
              <w:jc w:val="right"/>
            </w:pPr>
            <w:r>
              <w:rPr>
                <w:color w:val="1C3A36"/>
                <w:sz w:val="17"/>
              </w:rPr>
              <w:t>2.45</w:t>
            </w:r>
          </w:p>
        </w:tc>
        <w:tc>
          <w:tcPr>
            <w:tcW w:type="dxa" w:w="1541"/>
          </w:tcPr>
          <w:p>
            <w:pPr>
              <w:spacing w:after="20"/>
              <w:jc w:val="right"/>
            </w:pPr>
            <w:r>
              <w:rPr>
                <w:color w:val="1C3A36"/>
                <w:sz w:val="17"/>
              </w:rPr>
              <w:t>2.52</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1.64 a share, at 55% EGP 2.00.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7.44.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1.69</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0.77</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2.46</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0.56</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whole study against the market</w:t>
            </w:r>
          </w:p>
        </w:tc>
        <w:tc>
          <w:tcPr>
            <w:tcW w:type="dxa" w:w="1440"/>
          </w:tcPr>
          <w:p>
            <w:pPr>
              <w:spacing w:after="20"/>
              <w:jc w:val="right"/>
            </w:pPr>
            <w:r>
              <w:rPr>
                <w:color w:val="1C3A36"/>
                <w:sz w:val="16"/>
              </w:rPr>
              <w:t>1.49</w:t>
            </w:r>
          </w:p>
        </w:tc>
        <w:tc>
          <w:tcPr>
            <w:tcW w:type="dxa" w:w="5904"/>
          </w:tcPr>
          <w:p>
            <w:pPr>
              <w:spacing w:after="20"/>
            </w:pPr>
            <w:r>
              <w:rPr>
                <w:color w:val="1C3A36"/>
                <w:sz w:val="16"/>
              </w:rPr>
              <w:t>The discount rate, and only the discount rate. At about 7.8% the market's price is reproduced; at any rate anchored to Egypt's sovereign it is not.</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296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