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EGP 31.25 (7 Jul 2026 close) · 1,085.5 mn shares · mkt cap ~EGP 33.9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prices and probabilities computed 7 Jul 2026 from the attached daily history · primary lens: split-the-legs sum-of-the-parts (operating company + captive lender, §3.5-F5) · the MNT-Halan stake percentage is now the dominant swing factor, ahead of Auto cash conversion and the Egyptian nominal-rate path.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(FY23–FY25 earnings releases; 1Q26 release, 14 May 2026); forward-looking inputs — the marks on GB Capital and the MNT-Halan stake, the complexity discount, the multiples, the DCF and the Monte-Carlo factor probabilities — are the preparer’s judgments and are flagged throughout. A note on identity: GB Corp S.A.E. is the renamed GB Auto S.A.E. (Ghabbour Auto); the EGX ticker is GBCO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meaningfully undervalued on a now-confirmed number — and that number raises a real puzzle the market hasn't obviously resolved. </w:t>
      </w:r>
      <w:r>
        <w:rPr>
          <w:b w:val="0"/>
          <w:i w:val="0"/>
          <w:color w:val="1C3A36"/>
          <w:sz w:val="21"/>
        </w:rPr>
        <w:t>At EGP 31.25 the shares sit about 18% below our weighted central estimate of EGP 37.0. The four lenses spread wider than usual: the split-the-legs sum-of-the-parts lands at 40.6 after a 10% complexity discount (pre-discount 45.1), a conservative relative read at 28.9 marks the floor, and a normalized mid-cycle read at 32.9 sits in between. One update belongs up front: GB Corp's own 9-June-2026 press release on MNT-Halan's Al Ahly Capital-led round states the resulting stake directly — 41.61% (down from 42.58% pre-transaction) — a current, dated, company-confirmed figure, not an estimate. Applying 41.61% to the round's USD 1.4bn valuation values the stake alone at ≈EGP 27.7bn — 73% of GB Corp's entire spot market cap. That is now a confirmed fact, not a sourcing gap, and it is genuinely strange: it implies the market prices almost nothing into a real, profitable, EGP 66bn-revenue auto business, which points to one of two things — either the market applies a far steeper discount to this private mark than this study's 10% complexity haircut (illiquidity, minority-stake, execution-risk on the second closing), or GB Corp is genuinely mispriced. This study cannot settle which; §7 returns to it. The stake is now the largest single input in the model — every 5 percentage points is worth ≈EGP 3.3/share — ahead of the Auto-leg cash-conversion question that would otherwise be the crux (FY25 revenue grew 49% but working capital swallowed EGP 8.1bn and Auto net debt rose to EGP 15.2bn; the DCF still depends on working-capital intensity gliding from 28.5% of revenue back toward its FY23–24 range and on the pace of Egyptian nominal-rate cuts). Technically the stock is the mirror image of a cheap chart: above all four moving averages, RSI in the low-60s, five months into a new all-time-high zone. Over three months the Monte Carlo — whose secular drift is the configuration that passed the Step 0 calibration gate — places the 5th–95th percentile band at roughly EGP 24–51 with a median near 35; that engine is completely unaffected by the stake correction, since it prices the stock's own path, not the SOTP.</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Split-legs SOTP (primary)</w:t>
            </w:r>
          </w:p>
        </w:tc>
        <w:tc>
          <w:tcPr>
            <w:tcW w:type="dxa" w:w="3384"/>
          </w:tcPr>
          <w:p>
            <w:pPr>
              <w:spacing w:after="20"/>
              <w:jc w:val="right"/>
            </w:pPr>
            <w:r>
              <w:rPr>
                <w:color w:val="1C3A36"/>
                <w:sz w:val="17"/>
              </w:rPr>
              <w:t>Auto DCF + lender book + associate marks, less discount</w:t>
            </w:r>
          </w:p>
        </w:tc>
        <w:tc>
          <w:tcPr>
            <w:tcW w:type="dxa" w:w="2088"/>
          </w:tcPr>
          <w:p>
            <w:pPr>
              <w:spacing w:after="20"/>
              <w:jc w:val="right"/>
            </w:pPr>
            <w:r>
              <w:rPr>
                <w:color w:val="1C3A36"/>
                <w:sz w:val="17"/>
              </w:rPr>
              <w:t>EGP 40.6</w:t>
            </w:r>
          </w:p>
        </w:tc>
        <w:tc>
          <w:tcPr>
            <w:tcW w:type="dxa" w:w="1656"/>
          </w:tcPr>
          <w:p>
            <w:pPr>
              <w:spacing w:after="20"/>
              <w:jc w:val="right"/>
            </w:pPr>
            <w:r>
              <w:rPr>
                <w:color w:val="1C3A36"/>
                <w:sz w:val="17"/>
              </w:rPr>
              <w:t>+30% vs spot</w:t>
            </w:r>
          </w:p>
        </w:tc>
      </w:tr>
      <w:tr>
        <w:tc>
          <w:tcPr>
            <w:tcW w:type="dxa" w:w="3096"/>
          </w:tcPr>
          <w:p>
            <w:pPr>
              <w:spacing w:after="20"/>
            </w:pPr>
            <w:r>
              <w:rPr>
                <w:color w:val="1C3A36"/>
                <w:sz w:val="17"/>
              </w:rPr>
              <w:t>Pre-discount NAV</w:t>
            </w:r>
          </w:p>
        </w:tc>
        <w:tc>
          <w:tcPr>
            <w:tcW w:type="dxa" w:w="3384"/>
          </w:tcPr>
          <w:p>
            <w:pPr>
              <w:spacing w:after="20"/>
              <w:jc w:val="right"/>
            </w:pPr>
            <w:r>
              <w:rPr>
                <w:color w:val="1C3A36"/>
                <w:sz w:val="17"/>
              </w:rPr>
              <w:t>The same legs, no complexity discount</w:t>
            </w:r>
          </w:p>
        </w:tc>
        <w:tc>
          <w:tcPr>
            <w:tcW w:type="dxa" w:w="2088"/>
          </w:tcPr>
          <w:p>
            <w:pPr>
              <w:spacing w:after="20"/>
              <w:jc w:val="right"/>
            </w:pPr>
            <w:r>
              <w:rPr>
                <w:color w:val="1C3A36"/>
                <w:sz w:val="17"/>
              </w:rPr>
              <w:t>EGP 45.1</w:t>
            </w:r>
          </w:p>
        </w:tc>
        <w:tc>
          <w:tcPr>
            <w:tcW w:type="dxa" w:w="1656"/>
          </w:tcPr>
          <w:p>
            <w:pPr>
              <w:spacing w:after="20"/>
              <w:jc w:val="right"/>
            </w:pPr>
            <w:r>
              <w:rPr>
                <w:color w:val="1C3A36"/>
                <w:sz w:val="17"/>
              </w:rPr>
              <w:t>+44%</w:t>
            </w:r>
          </w:p>
        </w:tc>
      </w:tr>
      <w:tr>
        <w:tc>
          <w:tcPr>
            <w:tcW w:type="dxa" w:w="3096"/>
          </w:tcPr>
          <w:p>
            <w:pPr>
              <w:spacing w:after="20"/>
            </w:pPr>
            <w:r>
              <w:rPr>
                <w:color w:val="1C3A36"/>
                <w:sz w:val="17"/>
              </w:rPr>
              <w:t>Relative multiples</w:t>
            </w:r>
          </w:p>
        </w:tc>
        <w:tc>
          <w:tcPr>
            <w:tcW w:type="dxa" w:w="3384"/>
          </w:tcPr>
          <w:p>
            <w:pPr>
              <w:spacing w:after="20"/>
              <w:jc w:val="right"/>
            </w:pPr>
            <w:r>
              <w:rPr>
                <w:color w:val="1C3A36"/>
                <w:sz w:val="17"/>
              </w:rPr>
              <w:t>FY26E EPS × justified P/E</w:t>
            </w:r>
          </w:p>
        </w:tc>
        <w:tc>
          <w:tcPr>
            <w:tcW w:type="dxa" w:w="2088"/>
          </w:tcPr>
          <w:p>
            <w:pPr>
              <w:spacing w:after="20"/>
              <w:jc w:val="right"/>
            </w:pPr>
            <w:r>
              <w:rPr>
                <w:color w:val="1C3A36"/>
                <w:sz w:val="17"/>
              </w:rPr>
              <w:t>EGP 28.9</w:t>
            </w:r>
          </w:p>
        </w:tc>
        <w:tc>
          <w:tcPr>
            <w:tcW w:type="dxa" w:w="1656"/>
          </w:tcPr>
          <w:p>
            <w:pPr>
              <w:spacing w:after="20"/>
              <w:jc w:val="right"/>
            </w:pPr>
            <w:r>
              <w:rPr>
                <w:color w:val="1C3A36"/>
                <w:sz w:val="17"/>
              </w:rPr>
              <w:t>-8% · the floor</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Mid-cycle PAT × through-cycle P/E</w:t>
            </w:r>
          </w:p>
        </w:tc>
        <w:tc>
          <w:tcPr>
            <w:tcW w:type="dxa" w:w="2088"/>
          </w:tcPr>
          <w:p>
            <w:pPr>
              <w:spacing w:after="20"/>
              <w:jc w:val="right"/>
            </w:pPr>
            <w:r>
              <w:rPr>
                <w:color w:val="1C3A36"/>
                <w:sz w:val="17"/>
              </w:rPr>
              <w:t>EGP 32.9</w:t>
            </w:r>
          </w:p>
        </w:tc>
        <w:tc>
          <w:tcPr>
            <w:tcW w:type="dxa" w:w="1656"/>
          </w:tcPr>
          <w:p>
            <w:pPr>
              <w:spacing w:after="20"/>
              <w:jc w:val="right"/>
            </w:pPr>
            <w:r>
              <w:rPr>
                <w:color w:val="1C3A36"/>
                <w:sz w:val="17"/>
              </w:rPr>
              <w:t>+5%</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15 / 20 / 25</w:t>
            </w:r>
          </w:p>
        </w:tc>
        <w:tc>
          <w:tcPr>
            <w:tcW w:type="dxa" w:w="2088"/>
          </w:tcPr>
          <w:p>
            <w:pPr>
              <w:spacing w:after="20"/>
              <w:jc w:val="right"/>
            </w:pPr>
            <w:r>
              <w:rPr>
                <w:color w:val="1C3A36"/>
                <w:sz w:val="17"/>
              </w:rPr>
              <w:t>EGP 37.0</w:t>
            </w:r>
          </w:p>
        </w:tc>
        <w:tc>
          <w:tcPr>
            <w:tcW w:type="dxa" w:w="1656"/>
          </w:tcPr>
          <w:p>
            <w:pPr>
              <w:spacing w:after="20"/>
              <w:jc w:val="right"/>
            </w:pPr>
            <w:r>
              <w:rPr>
                <w:color w:val="1C3A36"/>
                <w:sz w:val="17"/>
              </w:rPr>
              <w:t>+18% vs EGP 31.25</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w:t>
            </w:r>
          </w:p>
        </w:tc>
        <w:tc>
          <w:tcPr>
            <w:tcW w:type="dxa" w:w="1656"/>
          </w:tcPr>
          <w:p>
            <w:pPr>
              <w:spacing w:after="20"/>
              <w:jc w:val="right"/>
            </w:pPr>
            <w:r>
              <w:rPr>
                <w:color w:val="1C3A36"/>
                <w:sz w:val="17"/>
              </w:rPr>
              <w:t>Strong uptrend</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RSI · MACD · 52-week range</w:t>
            </w:r>
          </w:p>
        </w:tc>
        <w:tc>
          <w:tcPr>
            <w:tcW w:type="dxa" w:w="2088"/>
          </w:tcPr>
          <w:p>
            <w:pPr>
              <w:spacing w:after="20"/>
              <w:jc w:val="right"/>
            </w:pPr>
            <w:r>
              <w:rPr>
                <w:color w:val="1C3A36"/>
                <w:sz w:val="17"/>
              </w:rPr>
              <w:t>RSI 63 · MACD +0.04 · 19.1–33.4</w:t>
            </w:r>
          </w:p>
        </w:tc>
        <w:tc>
          <w:tcPr>
            <w:tcW w:type="dxa" w:w="1656"/>
          </w:tcPr>
          <w:p>
            <w:pPr>
              <w:spacing w:after="20"/>
              <w:jc w:val="right"/>
            </w:pPr>
            <w:r>
              <w:rPr>
                <w:color w:val="1C3A36"/>
                <w:sz w:val="17"/>
              </w:rPr>
              <w:t>Extended, not euphoric</w:t>
            </w:r>
          </w:p>
        </w:tc>
      </w:tr>
      <w:tr>
        <w:tc>
          <w:tcPr>
            <w:tcW w:type="dxa" w:w="3096"/>
            <w:shd w:val="clear" w:color="auto" w:fill="F6F1E6"/>
          </w:tcPr>
          <w:p>
            <w:pPr>
              <w:spacing w:after="20"/>
            </w:pPr>
            <w:r>
              <w:rPr>
                <w:b/>
                <w:color w:val="1C3A36"/>
                <w:sz w:val="17"/>
              </w:rPr>
              <w:t>MONTE CARLO — where price could go in 3 months (paths from spot)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T+20 sessions</w:t>
            </w:r>
          </w:p>
        </w:tc>
        <w:tc>
          <w:tcPr>
            <w:tcW w:type="dxa" w:w="3384"/>
          </w:tcPr>
          <w:p>
            <w:pPr>
              <w:spacing w:after="20"/>
              <w:jc w:val="right"/>
            </w:pPr>
            <w:r>
              <w:rPr>
                <w:color w:val="1C3A36"/>
                <w:sz w:val="17"/>
              </w:rPr>
              <w:t>50,000 paths · 16 factors</w:t>
            </w:r>
          </w:p>
        </w:tc>
        <w:tc>
          <w:tcPr>
            <w:tcW w:type="dxa" w:w="2088"/>
          </w:tcPr>
          <w:p>
            <w:pPr>
              <w:spacing w:after="20"/>
              <w:jc w:val="right"/>
            </w:pPr>
            <w:r>
              <w:rPr>
                <w:color w:val="1C3A36"/>
                <w:sz w:val="17"/>
              </w:rPr>
              <w:t>p5 26 · p50 32.5 · p95 40</w:t>
            </w:r>
          </w:p>
        </w:tc>
        <w:tc>
          <w:tcPr>
            <w:tcW w:type="dxa" w:w="1656"/>
          </w:tcPr>
          <w:p>
            <w:pPr>
              <w:spacing w:after="20"/>
              <w:jc w:val="right"/>
            </w:pPr>
            <w:r>
              <w:rPr>
                <w:color w:val="1C3A36"/>
                <w:sz w:val="17"/>
              </w:rPr>
              <w:t>Median above spot</w:t>
            </w:r>
          </w:p>
        </w:tc>
      </w:tr>
      <w:tr>
        <w:tc>
          <w:tcPr>
            <w:tcW w:type="dxa" w:w="3096"/>
          </w:tcPr>
          <w:p>
            <w:pPr>
              <w:spacing w:after="20"/>
            </w:pPr>
            <w:r>
              <w:rPr>
                <w:color w:val="1C3A36"/>
                <w:sz w:val="17"/>
              </w:rPr>
              <w:t>T+60 sessions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24 · p50 35 · p95 51</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D)</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NAV</w:t>
            </w:r>
          </w:p>
        </w:tc>
        <w:tc>
          <w:tcPr>
            <w:tcW w:type="dxa" w:w="3384"/>
          </w:tcPr>
          <w:p>
            <w:pPr>
              <w:spacing w:after="20"/>
              <w:jc w:val="right"/>
            </w:pPr>
            <w:r>
              <w:rPr>
                <w:color w:val="1C3A36"/>
                <w:sz w:val="17"/>
              </w:rPr>
              <w:t>Marks each leg; fair discount</w:t>
            </w:r>
          </w:p>
        </w:tc>
        <w:tc>
          <w:tcPr>
            <w:tcW w:type="dxa" w:w="2088"/>
          </w:tcPr>
          <w:p>
            <w:pPr>
              <w:spacing w:after="20"/>
              <w:jc w:val="right"/>
            </w:pPr>
            <w:r>
              <w:rPr>
                <w:color w:val="1C3A36"/>
                <w:sz w:val="17"/>
              </w:rPr>
              <w:t>EGP 41.5</w:t>
            </w:r>
          </w:p>
        </w:tc>
        <w:tc>
          <w:tcPr>
            <w:tcW w:type="dxa" w:w="1656"/>
          </w:tcPr>
          <w:p>
            <w:pPr>
              <w:spacing w:after="20"/>
              <w:jc w:val="right"/>
            </w:pPr>
            <w:r>
              <w:rPr>
                <w:color w:val="1C3A36"/>
                <w:sz w:val="17"/>
              </w:rPr>
              <w:t>The anchor</w:t>
            </w:r>
          </w:p>
        </w:tc>
      </w:tr>
      <w:tr>
        <w:tc>
          <w:tcPr>
            <w:tcW w:type="dxa" w:w="3096"/>
          </w:tcPr>
          <w:p>
            <w:pPr>
              <w:spacing w:after="20"/>
            </w:pPr>
            <w:r>
              <w:rPr>
                <w:color w:val="1C3A36"/>
                <w:sz w:val="17"/>
              </w:rPr>
              <w:t>Expert 1 — split-legs NAV</w:t>
            </w:r>
          </w:p>
        </w:tc>
        <w:tc>
          <w:tcPr>
            <w:tcW w:type="dxa" w:w="3384"/>
          </w:tcPr>
          <w:p>
            <w:pPr>
              <w:spacing w:after="20"/>
              <w:jc w:val="right"/>
            </w:pPr>
            <w:r>
              <w:rPr>
                <w:color w:val="1C3A36"/>
                <w:sz w:val="17"/>
              </w:rPr>
              <w:t>Marks each leg; fair discount</w:t>
            </w:r>
          </w:p>
        </w:tc>
        <w:tc>
          <w:tcPr>
            <w:tcW w:type="dxa" w:w="2088"/>
          </w:tcPr>
          <w:p>
            <w:pPr>
              <w:spacing w:after="20"/>
              <w:jc w:val="right"/>
            </w:pPr>
            <w:r>
              <w:rPr>
                <w:color w:val="1C3A36"/>
                <w:sz w:val="17"/>
              </w:rPr>
              <w:t>EGP 41.5</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PAT × multiple</w:t>
            </w:r>
          </w:p>
        </w:tc>
        <w:tc>
          <w:tcPr>
            <w:tcW w:type="dxa" w:w="2088"/>
          </w:tcPr>
          <w:p>
            <w:pPr>
              <w:spacing w:after="20"/>
              <w:jc w:val="right"/>
            </w:pPr>
            <w:r>
              <w:rPr>
                <w:color w:val="1C3A36"/>
                <w:sz w:val="17"/>
              </w:rPr>
              <w:t>EGP 32.9</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(ROCE vs WACC)</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38.7</w:t>
            </w:r>
          </w:p>
        </w:tc>
        <w:tc>
          <w:tcPr>
            <w:tcW w:type="dxa" w:w="1656"/>
          </w:tcPr>
          <w:p>
            <w:pPr>
              <w:spacing w:after="20"/>
              <w:jc w:val="right"/>
            </w:pPr>
            <w:r>
              <w:rPr>
                <w:color w:val="1C3A36"/>
                <w:sz w:val="17"/>
              </w:rPr>
              <w: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MNT-Halan stake question</w:t>
            </w:r>
          </w:p>
        </w:tc>
        <w:tc>
          <w:tcPr>
            <w:tcW w:type="dxa" w:w="2088"/>
          </w:tcPr>
          <w:p>
            <w:pPr>
              <w:spacing w:after="20"/>
              <w:jc w:val="right"/>
            </w:pPr>
            <w:r>
              <w:rPr>
                <w:color w:val="1C3A36"/>
                <w:sz w:val="17"/>
              </w:rPr>
              <w:t>EGP 32.9–41.5</w:t>
            </w:r>
          </w:p>
        </w:tc>
        <w:tc>
          <w:tcPr>
            <w:tcW w:type="dxa" w:w="1656"/>
          </w:tcPr>
          <w:p>
            <w:pPr>
              <w:spacing w:after="20"/>
              <w:jc w:val="right"/>
            </w:pPr>
            <w:r>
              <w:rPr>
                <w:color w:val="1C3A36"/>
                <w:sz w:val="17"/>
              </w:rPr>
              <w:t>Centres ~EGP 39</w:t>
            </w:r>
          </w:p>
        </w:tc>
      </w:tr>
    </w:tbl>
    <w:p>
      <w:pPr>
        <w:spacing w:after="40"/>
      </w:pPr>
    </w:p>
    <w:p>
      <w:pPr>
        <w:spacing w:after="160" w:before="0"/>
      </w:pPr>
      <w:r>
        <w:rPr>
          <w:b/>
          <w:i w:val="0"/>
          <w:color w:val="1C3A36"/>
          <w:sz w:val="19"/>
        </w:rPr>
        <w:t xml:space="preserve">Bottom line. </w:t>
      </w:r>
      <w:r>
        <w:rPr>
          <w:b w:val="0"/>
          <w:i w:val="0"/>
          <w:color w:val="1C3A36"/>
          <w:sz w:val="19"/>
        </w:rPr>
        <w:t>The reads spread wider than usual, and every disagreement now traces to the same open question: not what GB Corp's MNT-Halan stake is (confirmed: 41.61%, 9-Jun-2026), but what that stake is actually worth and why the market doesn't price it at face value. The fundamental central sits near EGP 37 — 18% below the EGP 31.25 spot — the three experts span 33–41, and the tape (unusually) sits closer to spot than the fundamental work — either the market is applying a much steeper discount to the private MNT-Halan mark than this study's 10%, or it doesn't fully trust the round's valuation, or GB Corp really is mispriced. The three-month Monte Carlo distribution is unaffected either way: it prices the stock's own historical path, and its median sits above spot only because the engine's secular drift survived the calibration gate; Appendix B shows exactly how thin that margin is.</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GB Corp S.A.E. (EGX: GBCO; formerly GB Auto / Ghabbour Auto, AUTO)</w:t>
            </w:r>
          </w:p>
        </w:tc>
      </w:tr>
      <w:tr>
        <w:tc>
          <w:tcPr>
            <w:tcW w:type="dxa" w:w="2448"/>
          </w:tcPr>
          <w:p>
            <w:pPr>
              <w:spacing w:after="20"/>
            </w:pPr>
            <w:r>
              <w:rPr>
                <w:b/>
                <w:color w:val="1C3A36"/>
                <w:sz w:val="18"/>
              </w:rPr>
              <w:t>What it owns</w:t>
            </w:r>
          </w:p>
        </w:tc>
        <w:tc>
          <w:tcPr>
            <w:tcW w:type="dxa" w:w="7776"/>
          </w:tcPr>
          <w:p>
            <w:pPr>
              <w:spacing w:after="20"/>
              <w:jc w:val="right"/>
            </w:pPr>
            <w:r>
              <w:rPr>
                <w:color w:val="1C3A36"/>
                <w:sz w:val="18"/>
              </w:rPr>
              <w:t>GB Auto (PC assembly &amp; distribution, CV&amp;CE, tires &amp; trading, light mobility) · GB Capital (Drive Finance, GB Lease &amp; Factoring, rentals, Kredit) · associates: MNT-Halan, Bedaya, Kaf</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EGP 31.25 · 7 Jul 2026 close</w:t>
            </w:r>
          </w:p>
        </w:tc>
      </w:tr>
      <w:tr>
        <w:tc>
          <w:tcPr>
            <w:tcW w:type="dxa" w:w="2448"/>
          </w:tcPr>
          <w:p>
            <w:pPr>
              <w:spacing w:after="20"/>
            </w:pPr>
            <w:r>
              <w:rPr>
                <w:b/>
                <w:color w:val="1C3A36"/>
                <w:sz w:val="18"/>
              </w:rPr>
              <w:t>Shares · market cap</w:t>
            </w:r>
          </w:p>
        </w:tc>
        <w:tc>
          <w:tcPr>
            <w:tcW w:type="dxa" w:w="7776"/>
          </w:tcPr>
          <w:p>
            <w:pPr>
              <w:spacing w:after="20"/>
              <w:jc w:val="right"/>
            </w:pPr>
            <w:r>
              <w:rPr>
                <w:color w:val="1C3A36"/>
                <w:sz w:val="18"/>
              </w:rPr>
              <w:t>1,085.5 mn · ~EGP 33.9 bn</w:t>
            </w:r>
          </w:p>
        </w:tc>
      </w:tr>
      <w:tr>
        <w:tc>
          <w:tcPr>
            <w:tcW w:type="dxa" w:w="2448"/>
          </w:tcPr>
          <w:p>
            <w:pPr>
              <w:spacing w:after="20"/>
            </w:pPr>
            <w:r>
              <w:rPr>
                <w:b/>
                <w:color w:val="1C3A36"/>
                <w:sz w:val="18"/>
              </w:rPr>
              <w:t>FY25 revenue / net profit</w:t>
            </w:r>
          </w:p>
        </w:tc>
        <w:tc>
          <w:tcPr>
            <w:tcW w:type="dxa" w:w="7776"/>
          </w:tcPr>
          <w:p>
            <w:pPr>
              <w:spacing w:after="20"/>
              <w:jc w:val="right"/>
            </w:pPr>
            <w:r>
              <w:rPr>
                <w:color w:val="1C3A36"/>
                <w:sz w:val="18"/>
              </w:rPr>
              <w:t>EGP 80,229.8 mn (+48.7% YoY) · EGP 2,880.0 mn (3.6% margin)</w:t>
            </w:r>
          </w:p>
        </w:tc>
      </w:tr>
      <w:tr>
        <w:tc>
          <w:tcPr>
            <w:tcW w:type="dxa" w:w="2448"/>
          </w:tcPr>
          <w:p>
            <w:pPr>
              <w:spacing w:after="20"/>
            </w:pPr>
            <w:r>
              <w:rPr>
                <w:b/>
                <w:color w:val="1C3A36"/>
                <w:sz w:val="18"/>
              </w:rPr>
              <w:t>1Q26 revenue / net profit</w:t>
            </w:r>
          </w:p>
        </w:tc>
        <w:tc>
          <w:tcPr>
            <w:tcW w:type="dxa" w:w="7776"/>
          </w:tcPr>
          <w:p>
            <w:pPr>
              <w:spacing w:after="20"/>
              <w:jc w:val="right"/>
            </w:pPr>
            <w:r>
              <w:rPr>
                <w:color w:val="1C3A36"/>
                <w:sz w:val="18"/>
              </w:rPr>
              <w:t>EGP 21,570.8 mn (+28.7%) · EGP 435.8 mn (−30.4%, regional drag + finance cost)</w:t>
            </w:r>
          </w:p>
        </w:tc>
      </w:tr>
      <w:tr>
        <w:tc>
          <w:tcPr>
            <w:tcW w:type="dxa" w:w="2448"/>
          </w:tcPr>
          <w:p>
            <w:pPr>
              <w:spacing w:after="20"/>
            </w:pPr>
            <w:r>
              <w:rPr>
                <w:b/>
                <w:color w:val="1C3A36"/>
                <w:sz w:val="18"/>
              </w:rPr>
              <w:t>Segment split (FY25, pre-elim.)</w:t>
            </w:r>
          </w:p>
        </w:tc>
        <w:tc>
          <w:tcPr>
            <w:tcW w:type="dxa" w:w="7776"/>
          </w:tcPr>
          <w:p>
            <w:pPr>
              <w:spacing w:after="20"/>
              <w:jc w:val="right"/>
            </w:pPr>
            <w:r>
              <w:rPr>
                <w:color w:val="1C3A36"/>
                <w:sz w:val="18"/>
              </w:rPr>
              <w:t>GB Auto EGP 66.4 bn (83%) · GB Capital EGP 14.7 bn (17%); Capital = ~47% of segment net profit</w:t>
            </w:r>
          </w:p>
        </w:tc>
      </w:tr>
      <w:tr>
        <w:tc>
          <w:tcPr>
            <w:tcW w:type="dxa" w:w="2448"/>
          </w:tcPr>
          <w:p>
            <w:pPr>
              <w:spacing w:after="20"/>
            </w:pPr>
            <w:r>
              <w:rPr>
                <w:b/>
                <w:color w:val="1C3A36"/>
                <w:sz w:val="18"/>
              </w:rPr>
              <w:t>Auto net debt / group equity</w:t>
            </w:r>
          </w:p>
        </w:tc>
        <w:tc>
          <w:tcPr>
            <w:tcW w:type="dxa" w:w="7776"/>
          </w:tcPr>
          <w:p>
            <w:pPr>
              <w:spacing w:after="20"/>
              <w:jc w:val="right"/>
            </w:pPr>
            <w:r>
              <w:rPr>
                <w:color w:val="1C3A36"/>
                <w:sz w:val="18"/>
              </w:rPr>
              <w:t>EGP 15.2 bn (2.39× Auto EBITDA; 2.14× at 1Q26) · attributable equity EGP 28.8 bn (BVPS 26.5)</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EGP 19.10 – 33.40 (all-time high 3 Feb 2026)</w:t>
            </w:r>
          </w:p>
        </w:tc>
      </w:tr>
      <w:tr>
        <w:tc>
          <w:tcPr>
            <w:tcW w:type="dxa" w:w="2448"/>
          </w:tcPr>
          <w:p>
            <w:pPr>
              <w:spacing w:after="20"/>
            </w:pPr>
            <w:r>
              <w:rPr>
                <w:b/>
                <w:color w:val="1C3A36"/>
                <w:sz w:val="18"/>
              </w:rPr>
              <w:t>Ownership · leadership</w:t>
            </w:r>
          </w:p>
        </w:tc>
        <w:tc>
          <w:tcPr>
            <w:tcW w:type="dxa" w:w="7776"/>
          </w:tcPr>
          <w:p>
            <w:pPr>
              <w:spacing w:after="20"/>
              <w:jc w:val="right"/>
            </w:pPr>
            <w:r>
              <w:rPr>
                <w:color w:val="1C3A36"/>
                <w:sz w:val="18"/>
              </w:rPr>
              <w:t>Ghabbour family ~63.4% · free float ~36.6% · Group CEO Nader Ghabbour</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MNT-Halan first-close capital increase at USD 1.4 bn valuation (Jun 2026) · Sadat CKD facility inaugurated Jun 2026 · 2Q26 results due 11 Aug 2026</w:t>
            </w:r>
          </w:p>
        </w:tc>
      </w:tr>
    </w:tbl>
    <w:p>
      <w:pPr>
        <w:spacing w:after="40"/>
      </w:pPr>
    </w:p>
    <w:p>
      <w:pPr>
        <w:spacing w:after="200" w:before="0"/>
      </w:pPr>
      <w:r>
        <w:rPr>
          <w:b w:val="0"/>
          <w:i/>
          <w:color w:val="6E7B77"/>
          <w:sz w:val="17"/>
        </w:rPr>
        <w:t>Source: company 4Q23/4Q24/4Q25 and 1Q26 earnings releases, EGX data, MNT-Halan transaction press release (Jun 2026). Values rounded.</w:t>
      </w:r>
    </w:p>
    <w:p>
      <w:pPr>
        <w:spacing w:after="120" w:before="280"/>
      </w:pPr>
      <w:r>
        <w:rPr>
          <w:b/>
          <w:i w:val="0"/>
          <w:color w:val="1C3A36"/>
          <w:sz w:val="30"/>
        </w:rPr>
        <w:t>1  Fundamental valuation</w:t>
      </w:r>
    </w:p>
    <w:p>
      <w:pPr>
        <w:spacing w:after="120" w:before="0"/>
      </w:pPr>
      <w:r>
        <w:rPr>
          <w:b w:val="0"/>
          <w:i w:val="0"/>
          <w:color w:val="1C3A36"/>
          <w:sz w:val="21"/>
        </w:rPr>
        <w:t>We value GB Corp as an operating company with a captive finance arm and split the legs (§3.5-F5): blending an auto assembler-distributor, a leveraged lender and an unlisted fintech associate into one multiple would blur three different economics. The primary lens is therefore a split-legs sum-of-the-parts: the Auto operating leg on a free-cash-flow DCF; GB Capital on its adjusted operating book times a return-justified multiple; the MNT-Halan-led associate stakes at GB Corp’s own last-confirmed disclosed ownership, cross-checked against the June-2026 funding round. A relative-multiple read and a normalized mid-cycle read complete the set. The weights and the football field are in §1.5; the dominant swing factor is now the MNT-Halan stake itself (box below §1.1), ahead of Auto cash conversion — dissected in §1.7 — and the sensitivity grids in §1.9.</w:t>
      </w:r>
    </w:p>
    <w:p>
      <w:pPr>
        <w:spacing w:after="80" w:before="200"/>
      </w:pPr>
      <w:r>
        <w:rPr>
          <w:b/>
          <w:i w:val="0"/>
          <w:color w:val="1C3A36"/>
          <w:sz w:val="24"/>
        </w:rPr>
        <w:t>1.1  Split-the-legs sum-of-the-parts — the primary lens</w:t>
      </w:r>
    </w:p>
    <w:p>
      <w:pPr>
        <w:spacing w:after="120" w:before="0"/>
      </w:pPr>
      <w:r>
        <w:rPr>
          <w:b w:val="0"/>
          <w:i w:val="0"/>
          <w:color w:val="1C3A36"/>
          <w:sz w:val="21"/>
        </w:rPr>
        <w:t>Each leg is marked on the basis that fits it. The Auto leg takes the §1.2 DCF value; GB Capital is marked on the company’s own adjusted-ROAE equity base (the disclosure that strips the MNT-Halan revaluation out of the equity denominator: NP EGP 1,366 mn / 15.1% adjusted ROAE ⇒ ~EGP 9.5 bn of operating book) at 1.0× — the return-justified multiple for a mid-teens-ROE lender whose margin is a beneficiary of the easing cycle; and the associates are marked by applying GB Corp’s own current, confirmed stake to the June-2026 funding round (USD 1.4 bn × 41.61% × EGP/USD ≈ 47.5 ⇒ ≈EGP 27.7 bn). UPDATE (09-07-2026): an earlier draft of this study used an unsourced ~20% stake estimate, later corrected to 42.58% (GB Corp’s last-disclosed figure at the time, from a 28-Jul-2024 press release). GB Corp has since confirmed the current figure directly: its 9-June-2026 press release on MNT-Halan’s Al Ahly Capital-led capital increase states "GB Corp’s ownership stake in MNT-Halan will be adjusted to 41.61%, compared to 42.58% prior to the transaction" — a dated, current, company-confirmed number, now used as the base case without a staleness caveat. Within the associates line, MNT-Halan is the overwhelming majority of the value (≈99%), with Bedaya and Kaf the ≈EGP 0.4 bn residual. From the sum we deduct a 10% complexity discount for the wrapper: an auto operator, an NBFI and an unlisted fintech in one listing will not trade at the clean sum of its parts.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600"/>
            <w:shd w:val="clear" w:color="auto" w:fill="EAF0EE"/>
          </w:tcPr>
          <w:p>
            <w:pPr>
              <w:spacing w:after="20"/>
            </w:pPr>
            <w:r>
              <w:rPr>
                <w:b/>
                <w:color w:val="1C3A36"/>
                <w:sz w:val="18"/>
              </w:rPr>
              <w:t>Leg (base case)</w:t>
            </w:r>
          </w:p>
        </w:tc>
        <w:tc>
          <w:tcPr>
            <w:tcW w:type="dxa" w:w="4464"/>
            <w:shd w:val="clear" w:color="auto" w:fill="EAF0EE"/>
          </w:tcPr>
          <w:p>
            <w:pPr>
              <w:spacing w:after="20"/>
            </w:pPr>
            <w:r>
              <w:rPr>
                <w:b/>
                <w:color w:val="1C3A36"/>
                <w:sz w:val="18"/>
              </w:rPr>
              <w:t>Basis</w:t>
            </w:r>
          </w:p>
        </w:tc>
        <w:tc>
          <w:tcPr>
            <w:tcW w:type="dxa" w:w="2160"/>
            <w:shd w:val="clear" w:color="auto" w:fill="EAF0EE"/>
          </w:tcPr>
          <w:p>
            <w:pPr>
              <w:spacing w:after="20"/>
            </w:pPr>
            <w:r>
              <w:rPr>
                <w:b/>
                <w:color w:val="1C3A36"/>
                <w:sz w:val="18"/>
              </w:rPr>
              <w:t>Value (EGP mn)</w:t>
            </w:r>
          </w:p>
        </w:tc>
      </w:tr>
      <w:tr>
        <w:tc>
          <w:tcPr>
            <w:tcW w:type="dxa" w:w="3600"/>
          </w:tcPr>
          <w:p>
            <w:pPr>
              <w:spacing w:after="20"/>
            </w:pPr>
            <w:r>
              <w:rPr>
                <w:b/>
                <w:color w:val="1C3A36"/>
                <w:sz w:val="18"/>
              </w:rPr>
              <w:t>GB Auto operating leg</w:t>
            </w:r>
          </w:p>
        </w:tc>
        <w:tc>
          <w:tcPr>
            <w:tcW w:type="dxa" w:w="4464"/>
          </w:tcPr>
          <w:p>
            <w:pPr>
              <w:spacing w:after="20"/>
              <w:jc w:val="right"/>
            </w:pPr>
            <w:r>
              <w:rPr>
                <w:color w:val="1C3A36"/>
                <w:sz w:val="18"/>
              </w:rPr>
              <w:t>FCFF DCF (§1.2): EV 27,398 − net debt 15,210 − NCI 800</w:t>
            </w:r>
          </w:p>
        </w:tc>
        <w:tc>
          <w:tcPr>
            <w:tcW w:type="dxa" w:w="2160"/>
          </w:tcPr>
          <w:p>
            <w:pPr>
              <w:spacing w:after="20"/>
              <w:jc w:val="right"/>
            </w:pPr>
            <w:r>
              <w:rPr>
                <w:color w:val="1C3A36"/>
                <w:sz w:val="18"/>
              </w:rPr>
              <w:t>11,388</w:t>
            </w:r>
          </w:p>
        </w:tc>
      </w:tr>
      <w:tr>
        <w:tc>
          <w:tcPr>
            <w:tcW w:type="dxa" w:w="3600"/>
          </w:tcPr>
          <w:p>
            <w:pPr>
              <w:spacing w:after="20"/>
            </w:pPr>
            <w:r>
              <w:rPr>
                <w:b/>
                <w:color w:val="1C3A36"/>
                <w:sz w:val="18"/>
              </w:rPr>
              <w:t>GB Capital lending leg</w:t>
            </w:r>
          </w:p>
        </w:tc>
        <w:tc>
          <w:tcPr>
            <w:tcW w:type="dxa" w:w="4464"/>
          </w:tcPr>
          <w:p>
            <w:pPr>
              <w:spacing w:after="20"/>
              <w:jc w:val="right"/>
            </w:pPr>
            <w:r>
              <w:rPr>
                <w:color w:val="1C3A36"/>
                <w:sz w:val="18"/>
              </w:rPr>
              <w:t>Adjusted operating book 9,500 × 1.0×</w:t>
            </w:r>
          </w:p>
        </w:tc>
        <w:tc>
          <w:tcPr>
            <w:tcW w:type="dxa" w:w="2160"/>
          </w:tcPr>
          <w:p>
            <w:pPr>
              <w:spacing w:after="20"/>
              <w:jc w:val="right"/>
            </w:pPr>
            <w:r>
              <w:rPr>
                <w:color w:val="1C3A36"/>
                <w:sz w:val="18"/>
              </w:rPr>
              <w:t>9,500</w:t>
            </w:r>
          </w:p>
        </w:tc>
      </w:tr>
      <w:tr>
        <w:tc>
          <w:tcPr>
            <w:tcW w:type="dxa" w:w="3600"/>
          </w:tcPr>
          <w:p>
            <w:pPr>
              <w:spacing w:after="20"/>
            </w:pPr>
            <w:r>
              <w:rPr>
                <w:b/>
                <w:color w:val="1C3A36"/>
                <w:sz w:val="18"/>
              </w:rPr>
              <w:t>Associate — MNT-Halan (41.61%, confirmed 9-Jun-2026)</w:t>
            </w:r>
          </w:p>
        </w:tc>
        <w:tc>
          <w:tcPr>
            <w:tcW w:type="dxa" w:w="4464"/>
          </w:tcPr>
          <w:p>
            <w:pPr>
              <w:spacing w:after="20"/>
              <w:jc w:val="right"/>
            </w:pPr>
            <w:r>
              <w:rPr>
                <w:color w:val="1C3A36"/>
                <w:sz w:val="18"/>
              </w:rPr>
              <w:t>USD 1.4 bn Jun-26 round × 41.61% stake × 47.5 EGP/USD</w:t>
            </w:r>
          </w:p>
        </w:tc>
        <w:tc>
          <w:tcPr>
            <w:tcW w:type="dxa" w:w="2160"/>
          </w:tcPr>
          <w:p>
            <w:pPr>
              <w:spacing w:after="20"/>
              <w:jc w:val="right"/>
            </w:pPr>
            <w:r>
              <w:rPr>
                <w:color w:val="1C3A36"/>
                <w:sz w:val="18"/>
              </w:rPr>
              <w:t>27,671</w:t>
            </w:r>
          </w:p>
        </w:tc>
      </w:tr>
      <w:tr>
        <w:tc>
          <w:tcPr>
            <w:tcW w:type="dxa" w:w="3600"/>
          </w:tcPr>
          <w:p>
            <w:pPr>
              <w:spacing w:after="20"/>
            </w:pPr>
            <w:r>
              <w:rPr>
                <w:b/>
                <w:color w:val="1C3A36"/>
                <w:sz w:val="18"/>
              </w:rPr>
              <w:t>Other associates (Bedaya, Kaf)</w:t>
            </w:r>
          </w:p>
        </w:tc>
        <w:tc>
          <w:tcPr>
            <w:tcW w:type="dxa" w:w="4464"/>
          </w:tcPr>
          <w:p>
            <w:pPr>
              <w:spacing w:after="20"/>
              <w:jc w:val="right"/>
            </w:pPr>
            <w:r>
              <w:rPr>
                <w:color w:val="1C3A36"/>
                <w:sz w:val="18"/>
              </w:rPr>
              <w:t>Residual carrying value</w:t>
            </w:r>
          </w:p>
        </w:tc>
        <w:tc>
          <w:tcPr>
            <w:tcW w:type="dxa" w:w="2160"/>
          </w:tcPr>
          <w:p>
            <w:pPr>
              <w:spacing w:after="20"/>
              <w:jc w:val="right"/>
            </w:pPr>
            <w:r>
              <w:rPr>
                <w:color w:val="1C3A36"/>
                <w:sz w:val="18"/>
              </w:rPr>
              <w:t>390</w:t>
            </w:r>
          </w:p>
        </w:tc>
      </w:tr>
      <w:tr>
        <w:tc>
          <w:tcPr>
            <w:tcW w:type="dxa" w:w="3600"/>
          </w:tcPr>
          <w:p>
            <w:pPr>
              <w:spacing w:after="20"/>
            </w:pPr>
            <w:r>
              <w:rPr>
                <w:b/>
                <w:color w:val="1C3A36"/>
                <w:sz w:val="18"/>
              </w:rPr>
              <w:t>Σ Equity value (pre-discount)</w:t>
            </w:r>
          </w:p>
        </w:tc>
        <w:tc>
          <w:tcPr>
            <w:tcW w:type="dxa" w:w="4464"/>
          </w:tcPr>
          <w:p>
            <w:pPr>
              <w:spacing w:after="20"/>
              <w:jc w:val="right"/>
            </w:pPr>
            <w:r>
              <w:rPr>
                <w:color w:val="1C3A36"/>
                <w:sz w:val="18"/>
              </w:rPr>
              <w:t>= EGP 45.1 / share</w:t>
            </w:r>
          </w:p>
        </w:tc>
        <w:tc>
          <w:tcPr>
            <w:tcW w:type="dxa" w:w="2160"/>
          </w:tcPr>
          <w:p>
            <w:pPr>
              <w:spacing w:after="20"/>
              <w:jc w:val="right"/>
            </w:pPr>
            <w:r>
              <w:rPr>
                <w:color w:val="1C3A36"/>
                <w:sz w:val="18"/>
              </w:rPr>
              <w:t>48,949</w:t>
            </w:r>
          </w:p>
        </w:tc>
      </w:tr>
      <w:tr>
        <w:tc>
          <w:tcPr>
            <w:tcW w:type="dxa" w:w="3600"/>
          </w:tcPr>
          <w:p>
            <w:pPr>
              <w:spacing w:after="20"/>
            </w:pPr>
            <w:r>
              <w:rPr>
                <w:b/>
                <w:color w:val="1C3A36"/>
                <w:sz w:val="18"/>
              </w:rPr>
              <w:t>less: complexity / conglomerate discount</w:t>
            </w:r>
          </w:p>
        </w:tc>
        <w:tc>
          <w:tcPr>
            <w:tcW w:type="dxa" w:w="4464"/>
          </w:tcPr>
          <w:p>
            <w:pPr>
              <w:spacing w:after="20"/>
              <w:jc w:val="right"/>
            </w:pPr>
            <w:r>
              <w:rPr>
                <w:color w:val="1C3A36"/>
                <w:sz w:val="18"/>
              </w:rPr>
              <w:t>10%</w:t>
            </w:r>
          </w:p>
        </w:tc>
        <w:tc>
          <w:tcPr>
            <w:tcW w:type="dxa" w:w="2160"/>
          </w:tcPr>
          <w:p>
            <w:pPr>
              <w:spacing w:after="20"/>
              <w:jc w:val="right"/>
            </w:pPr>
            <w:r>
              <w:rPr>
                <w:color w:val="1C3A36"/>
                <w:sz w:val="18"/>
              </w:rPr>
              <w:t>(4,895)</w:t>
            </w:r>
          </w:p>
        </w:tc>
      </w:tr>
      <w:tr>
        <w:tc>
          <w:tcPr>
            <w:tcW w:type="dxa" w:w="3600"/>
          </w:tcPr>
          <w:p>
            <w:pPr>
              <w:spacing w:after="20"/>
            </w:pPr>
            <w:r>
              <w:rPr>
                <w:b/>
                <w:color w:val="1C3A36"/>
                <w:sz w:val="18"/>
              </w:rPr>
              <w:t>SOTP equity value</w:t>
            </w:r>
          </w:p>
        </w:tc>
        <w:tc>
          <w:tcPr>
            <w:tcW w:type="dxa" w:w="4464"/>
          </w:tcPr>
          <w:p>
            <w:pPr>
              <w:spacing w:after="20"/>
              <w:jc w:val="right"/>
            </w:pPr>
            <w:r>
              <w:rPr>
                <w:color w:val="1C3A36"/>
                <w:sz w:val="18"/>
              </w:rPr>
              <w:t>= EGP 40.6 / share</w:t>
            </w:r>
          </w:p>
        </w:tc>
        <w:tc>
          <w:tcPr>
            <w:tcW w:type="dxa" w:w="2160"/>
          </w:tcPr>
          <w:p>
            <w:pPr>
              <w:spacing w:after="20"/>
              <w:jc w:val="right"/>
            </w:pPr>
            <w:r>
              <w:rPr>
                <w:color w:val="1C3A36"/>
                <w:sz w:val="18"/>
              </w:rPr>
              <w:t>44,054</w:t>
            </w:r>
          </w:p>
        </w:tc>
      </w:tr>
    </w:tbl>
    <w:p>
      <w:pPr>
        <w:spacing w:after="40"/>
      </w:pPr>
    </w:p>
    <w:p>
      <w:pPr>
        <w:spacing w:after="120" w:before="0"/>
      </w:pPr>
      <w:r>
        <w:rPr>
          <w:b/>
          <w:i w:val="0"/>
          <w:color w:val="1C3A36"/>
          <w:sz w:val="21"/>
        </w:rPr>
        <w:t>SOTP base ≈ EGP 40.6/share</w:t>
      </w:r>
      <w:r>
        <w:rPr>
          <w:b w:val="0"/>
          <w:i w:val="0"/>
          <w:color w:val="1C3A36"/>
          <w:sz w:val="21"/>
        </w:rPr>
        <w:t>, with a wide bear–bull span of 22–65 — driven mainly by the discount applied to the MNT-Halan mark and the Auto margin/working-capital path (§1.9). The market-implied read is now a confirmed puzzle rather than a sourcing question: market cap less the lender and the associates at the confirmed 41.61% stake implies a deeply negative value for the Auto leg — impossible for a profitable, EGP 66bn-revenue business. Since the stake itself is no longer in question, the honest reads are that the market applies a much steeper discount to this private mark than this study’s 10%, doesn’t fully trust the USD 1.4bn valuation’s read-through to GB Corp’s economic interest, or GB Corp is genuinely mispriced. §7 discusses which is most plausible.</w:t>
      </w:r>
    </w:p>
    <w:p>
      <w:pPr>
        <w:spacing w:after="80" w:before="200"/>
      </w:pPr>
      <w:r>
        <w:rPr>
          <w:b/>
          <w:i w:val="0"/>
          <w:color w:val="1C3A36"/>
          <w:sz w:val="24"/>
        </w:rPr>
        <w:t>What the MNT-Halan stake is worth inside this valuation — now a confirmed number, and a real puzzle</w:t>
      </w:r>
    </w:p>
    <w:p>
      <w:pPr>
        <w:spacing w:after="80" w:before="0"/>
      </w:pPr>
      <w:r>
        <w:rPr>
          <w:b w:val="0"/>
          <w:i w:val="0"/>
          <w:color w:val="1C3A36"/>
          <w:sz w:val="19"/>
        </w:rPr>
        <w:t>Because this single line dominates the whole valuation, here is its exact footprint, using GB Corp’s own 9-June-2026 confirmed figure: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3888"/>
            <w:shd w:val="clear" w:color="auto" w:fill="EAF0EE"/>
          </w:tcPr>
          <w:p>
            <w:pPr>
              <w:spacing w:after="20"/>
            </w:pPr>
            <w:r>
              <w:rPr>
                <w:b/>
                <w:color w:val="1C3A36"/>
                <w:sz w:val="18"/>
              </w:rPr>
              <w:t>MNT-Halan in the GBCO valuation</w:t>
            </w:r>
          </w:p>
        </w:tc>
        <w:tc>
          <w:tcPr>
            <w:tcW w:type="dxa" w:w="6336"/>
            <w:shd w:val="clear" w:color="auto" w:fill="EAF0EE"/>
          </w:tcPr>
          <w:p>
            <w:pPr>
              <w:spacing w:after="20"/>
            </w:pPr>
            <w:r>
              <w:rPr>
                <w:b/>
                <w:color w:val="1C3A36"/>
                <w:sz w:val="18"/>
              </w:rPr>
              <w:t>Value</w:t>
            </w:r>
          </w:p>
        </w:tc>
      </w:tr>
      <w:tr>
        <w:tc>
          <w:tcPr>
            <w:tcW w:type="dxa" w:w="3888"/>
          </w:tcPr>
          <w:p>
            <w:pPr>
              <w:spacing w:after="20"/>
            </w:pPr>
            <w:r>
              <w:rPr>
                <w:b/>
                <w:color w:val="1C3A36"/>
                <w:sz w:val="18"/>
              </w:rPr>
              <w:t>Confirmed value at the June-2026 round (41.61% stake)</w:t>
            </w:r>
          </w:p>
        </w:tc>
        <w:tc>
          <w:tcPr>
            <w:tcW w:type="dxa" w:w="6336"/>
          </w:tcPr>
          <w:p>
            <w:pPr>
              <w:spacing w:after="20"/>
              <w:jc w:val="right"/>
            </w:pPr>
            <w:r>
              <w:rPr>
                <w:color w:val="1C3A36"/>
                <w:sz w:val="18"/>
              </w:rPr>
              <w:t>USD 1.4 bn × 41.61% × 47.5 = EGP 27,671 mn</w:t>
            </w:r>
          </w:p>
        </w:tc>
      </w:tr>
      <w:tr>
        <w:tc>
          <w:tcPr>
            <w:tcW w:type="dxa" w:w="3888"/>
          </w:tcPr>
          <w:p>
            <w:pPr>
              <w:spacing w:after="20"/>
            </w:pPr>
            <w:r>
              <w:rPr>
                <w:b/>
                <w:color w:val="1C3A36"/>
                <w:sz w:val="18"/>
              </w:rPr>
              <w:t>Per share, pre-discount</w:t>
            </w:r>
          </w:p>
        </w:tc>
        <w:tc>
          <w:tcPr>
            <w:tcW w:type="dxa" w:w="6336"/>
          </w:tcPr>
          <w:p>
            <w:pPr>
              <w:spacing w:after="20"/>
              <w:jc w:val="right"/>
            </w:pPr>
            <w:r>
              <w:rPr>
                <w:color w:val="1C3A36"/>
                <w:sz w:val="18"/>
              </w:rPr>
              <w:t>EGP 25.49 — 57% of the EGP 45.1 pre-discount NAV</w:t>
            </w:r>
          </w:p>
        </w:tc>
      </w:tr>
      <w:tr>
        <w:tc>
          <w:tcPr>
            <w:tcW w:type="dxa" w:w="3888"/>
          </w:tcPr>
          <w:p>
            <w:pPr>
              <w:spacing w:after="20"/>
            </w:pPr>
            <w:r>
              <w:rPr>
                <w:b/>
                <w:color w:val="1C3A36"/>
                <w:sz w:val="18"/>
              </w:rPr>
              <w:t>Per share, after the 10% discount</w:t>
            </w:r>
          </w:p>
        </w:tc>
        <w:tc>
          <w:tcPr>
            <w:tcW w:type="dxa" w:w="6336"/>
          </w:tcPr>
          <w:p>
            <w:pPr>
              <w:spacing w:after="20"/>
              <w:jc w:val="right"/>
            </w:pPr>
            <w:r>
              <w:rPr>
                <w:color w:val="1C3A36"/>
                <w:sz w:val="18"/>
              </w:rPr>
              <w:t>EGP 22.94 — same 57% share of the EGP 40.6 SOTP</w:t>
            </w:r>
          </w:p>
        </w:tc>
      </w:tr>
      <w:tr>
        <w:tc>
          <w:tcPr>
            <w:tcW w:type="dxa" w:w="3888"/>
          </w:tcPr>
          <w:p>
            <w:pPr>
              <w:spacing w:after="20"/>
            </w:pPr>
            <w:r>
              <w:rPr>
                <w:b/>
                <w:color w:val="1C3A36"/>
                <w:sz w:val="18"/>
              </w:rPr>
              <w:t>As a share of the market price (EGP 31.25)</w:t>
            </w:r>
          </w:p>
        </w:tc>
        <w:tc>
          <w:tcPr>
            <w:tcW w:type="dxa" w:w="6336"/>
          </w:tcPr>
          <w:p>
            <w:pPr>
              <w:spacing w:after="20"/>
              <w:jc w:val="right"/>
            </w:pPr>
            <w:r>
              <w:rPr>
                <w:color w:val="1C3A36"/>
                <w:sz w:val="18"/>
              </w:rPr>
              <w:t>≈73% — confirmed, and the puzzle (see below)</w:t>
            </w:r>
          </w:p>
        </w:tc>
      </w:tr>
      <w:tr>
        <w:tc>
          <w:tcPr>
            <w:tcW w:type="dxa" w:w="3888"/>
          </w:tcPr>
          <w:p>
            <w:pPr>
              <w:spacing w:after="20"/>
            </w:pPr>
            <w:r>
              <w:rPr>
                <w:b/>
                <w:color w:val="1C3A36"/>
                <w:sz w:val="18"/>
              </w:rPr>
              <w:t>Every 5 percentage points of stake (for context)</w:t>
            </w:r>
          </w:p>
        </w:tc>
        <w:tc>
          <w:tcPr>
            <w:tcW w:type="dxa" w:w="6336"/>
          </w:tcPr>
          <w:p>
            <w:pPr>
              <w:spacing w:after="20"/>
              <w:jc w:val="right"/>
            </w:pPr>
            <w:r>
              <w:rPr>
                <w:color w:val="1C3A36"/>
                <w:sz w:val="18"/>
              </w:rPr>
              <w:t>≈EGP 3.3/share of SOTP fair value — no longer the open question it was</w:t>
            </w:r>
          </w:p>
        </w:tc>
      </w:tr>
    </w:tbl>
    <w:p>
      <w:pPr>
        <w:spacing w:after="40"/>
      </w:pPr>
    </w:p>
    <w:p>
      <w:pPr>
        <w:spacing w:after="80" w:before="200"/>
      </w:pPr>
      <w:r>
        <w:rPr>
          <w:b/>
          <w:i w:val="0"/>
          <w:color w:val="1C3A36"/>
          <w:sz w:val="24"/>
        </w:rPr>
        <w:t>The market-cap puzzle — what a confirmed 41.61% stake actually implies</w:t>
      </w:r>
    </w:p>
    <w:p>
      <w:pPr>
        <w:spacing w:after="120" w:before="0"/>
      </w:pPr>
      <w:r>
        <w:rPr>
          <w:b w:val="0"/>
          <w:i w:val="0"/>
          <w:color w:val="1C3A36"/>
          <w:sz w:val="19"/>
        </w:rPr>
        <w:t>With the stake now confirmed rather than estimated, the residual uncertainty shifts entirely to the mark and the discount, not the ownership percentage. The table below shows how sensitive the SOTP would have been to the stake question that is now closed, followed by what actually needs explaining: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GB stake in MNT-Halan</w:t>
            </w:r>
          </w:p>
        </w:tc>
        <w:tc>
          <w:tcPr>
            <w:tcW w:type="dxa" w:w="2448"/>
            <w:shd w:val="clear" w:color="auto" w:fill="EAF0EE"/>
          </w:tcPr>
          <w:p>
            <w:pPr>
              <w:spacing w:after="20"/>
            </w:pPr>
            <w:r>
              <w:rPr>
                <w:b/>
                <w:color w:val="1C3A36"/>
                <w:sz w:val="17"/>
              </w:rPr>
              <w:t>MNT-Halan value (EGP mn)</w:t>
            </w:r>
          </w:p>
        </w:tc>
        <w:tc>
          <w:tcPr>
            <w:tcW w:type="dxa" w:w="1872"/>
            <w:shd w:val="clear" w:color="auto" w:fill="EAF0EE"/>
          </w:tcPr>
          <w:p>
            <w:pPr>
              <w:spacing w:after="20"/>
            </w:pPr>
            <w:r>
              <w:rPr>
                <w:b/>
                <w:color w:val="1C3A36"/>
                <w:sz w:val="17"/>
              </w:rPr>
              <w:t>SOTP fair value/sh</w:t>
            </w:r>
          </w:p>
        </w:tc>
        <w:tc>
          <w:tcPr>
            <w:tcW w:type="dxa" w:w="3744"/>
            <w:shd w:val="clear" w:color="auto" w:fill="EAF0EE"/>
          </w:tcPr>
          <w:p>
            <w:pPr>
              <w:spacing w:after="20"/>
            </w:pPr>
            <w:r>
              <w:rPr>
                <w:b/>
                <w:color w:val="1C3A36"/>
                <w:sz w:val="17"/>
              </w:rPr>
              <w:t>Note</w:t>
            </w:r>
          </w:p>
        </w:tc>
      </w:tr>
      <w:tr>
        <w:tc>
          <w:tcPr>
            <w:tcW w:type="dxa" w:w="2160"/>
          </w:tcPr>
          <w:p>
            <w:pPr>
              <w:spacing w:after="20"/>
            </w:pPr>
            <w:r>
              <w:rPr>
                <w:b/>
                <w:color w:val="1C3A36"/>
                <w:sz w:val="17"/>
              </w:rPr>
              <w:t>20.00%</w:t>
            </w:r>
          </w:p>
        </w:tc>
        <w:tc>
          <w:tcPr>
            <w:tcW w:type="dxa" w:w="2448"/>
          </w:tcPr>
          <w:p>
            <w:pPr>
              <w:spacing w:after="20"/>
              <w:jc w:val="right"/>
            </w:pPr>
            <w:r>
              <w:rPr>
                <w:color w:val="1C3A36"/>
                <w:sz w:val="17"/>
              </w:rPr>
              <w:t>13,300</w:t>
            </w:r>
          </w:p>
        </w:tc>
        <w:tc>
          <w:tcPr>
            <w:tcW w:type="dxa" w:w="1872"/>
          </w:tcPr>
          <w:p>
            <w:pPr>
              <w:spacing w:after="20"/>
              <w:jc w:val="right"/>
            </w:pPr>
            <w:r>
              <w:rPr>
                <w:color w:val="1C3A36"/>
                <w:sz w:val="17"/>
              </w:rPr>
              <w:t>28.7</w:t>
            </w:r>
          </w:p>
        </w:tc>
        <w:tc>
          <w:tcPr>
            <w:tcW w:type="dxa" w:w="3744"/>
          </w:tcPr>
          <w:p>
            <w:pPr>
              <w:spacing w:after="20"/>
              <w:jc w:val="right"/>
            </w:pPr>
            <w:r>
              <w:rPr>
                <w:color w:val="1C3A36"/>
                <w:sz w:val="17"/>
              </w:rPr>
              <w:t>prior placeholder — wrong, superseded</w:t>
            </w:r>
          </w:p>
        </w:tc>
      </w:tr>
      <w:tr>
        <w:tc>
          <w:tcPr>
            <w:tcW w:type="dxa" w:w="2160"/>
          </w:tcPr>
          <w:p>
            <w:pPr>
              <w:spacing w:after="20"/>
            </w:pPr>
            <w:r>
              <w:rPr>
                <w:b/>
                <w:color w:val="1C3A36"/>
                <w:sz w:val="17"/>
              </w:rPr>
              <w:t>25.00%</w:t>
            </w:r>
          </w:p>
        </w:tc>
        <w:tc>
          <w:tcPr>
            <w:tcW w:type="dxa" w:w="2448"/>
          </w:tcPr>
          <w:p>
            <w:pPr>
              <w:spacing w:after="20"/>
              <w:jc w:val="right"/>
            </w:pPr>
            <w:r>
              <w:rPr>
                <w:color w:val="1C3A36"/>
                <w:sz w:val="17"/>
              </w:rPr>
              <w:t>16,625</w:t>
            </w:r>
          </w:p>
        </w:tc>
        <w:tc>
          <w:tcPr>
            <w:tcW w:type="dxa" w:w="1872"/>
          </w:tcPr>
          <w:p>
            <w:pPr>
              <w:spacing w:after="20"/>
              <w:jc w:val="right"/>
            </w:pPr>
            <w:r>
              <w:rPr>
                <w:color w:val="1C3A36"/>
                <w:sz w:val="17"/>
              </w:rPr>
              <w:t>31.4</w:t>
            </w:r>
          </w:p>
        </w:tc>
        <w:tc>
          <w:tcPr>
            <w:tcW w:type="dxa" w:w="3744"/>
          </w:tcPr>
          <w:p>
            <w:pPr>
              <w:spacing w:after="20"/>
              <w:jc w:val="right"/>
            </w:pPr>
            <w:r>
              <w:rPr>
                <w:color w:val="1C3A36"/>
                <w:sz w:val="17"/>
              </w:rPr>
            </w:r>
          </w:p>
        </w:tc>
      </w:tr>
      <w:tr>
        <w:tc>
          <w:tcPr>
            <w:tcW w:type="dxa" w:w="2160"/>
          </w:tcPr>
          <w:p>
            <w:pPr>
              <w:spacing w:after="20"/>
            </w:pPr>
            <w:r>
              <w:rPr>
                <w:b/>
                <w:color w:val="1C3A36"/>
                <w:sz w:val="17"/>
              </w:rPr>
              <w:t>30.00%</w:t>
            </w:r>
          </w:p>
        </w:tc>
        <w:tc>
          <w:tcPr>
            <w:tcW w:type="dxa" w:w="2448"/>
          </w:tcPr>
          <w:p>
            <w:pPr>
              <w:spacing w:after="20"/>
              <w:jc w:val="right"/>
            </w:pPr>
            <w:r>
              <w:rPr>
                <w:color w:val="1C3A36"/>
                <w:sz w:val="17"/>
              </w:rPr>
              <w:t>19,950</w:t>
            </w:r>
          </w:p>
        </w:tc>
        <w:tc>
          <w:tcPr>
            <w:tcW w:type="dxa" w:w="1872"/>
          </w:tcPr>
          <w:p>
            <w:pPr>
              <w:spacing w:after="20"/>
              <w:jc w:val="right"/>
            </w:pPr>
            <w:r>
              <w:rPr>
                <w:color w:val="1C3A36"/>
                <w:sz w:val="17"/>
              </w:rPr>
              <w:t>34.2</w:t>
            </w:r>
          </w:p>
        </w:tc>
        <w:tc>
          <w:tcPr>
            <w:tcW w:type="dxa" w:w="3744"/>
          </w:tcPr>
          <w:p>
            <w:pPr>
              <w:spacing w:after="20"/>
              <w:jc w:val="right"/>
            </w:pPr>
            <w:r>
              <w:rPr>
                <w:color w:val="1C3A36"/>
                <w:sz w:val="17"/>
              </w:rPr>
            </w:r>
          </w:p>
        </w:tc>
      </w:tr>
      <w:tr>
        <w:tc>
          <w:tcPr>
            <w:tcW w:type="dxa" w:w="2160"/>
          </w:tcPr>
          <w:p>
            <w:pPr>
              <w:spacing w:after="20"/>
            </w:pPr>
            <w:r>
              <w:rPr>
                <w:b/>
                <w:color w:val="1C3A36"/>
                <w:sz w:val="17"/>
              </w:rPr>
              <w:t>35.45%</w:t>
            </w:r>
          </w:p>
        </w:tc>
        <w:tc>
          <w:tcPr>
            <w:tcW w:type="dxa" w:w="2448"/>
          </w:tcPr>
          <w:p>
            <w:pPr>
              <w:spacing w:after="20"/>
              <w:jc w:val="right"/>
            </w:pPr>
            <w:r>
              <w:rPr>
                <w:color w:val="1C3A36"/>
                <w:sz w:val="17"/>
              </w:rPr>
              <w:t>23,574</w:t>
            </w:r>
          </w:p>
        </w:tc>
        <w:tc>
          <w:tcPr>
            <w:tcW w:type="dxa" w:w="1872"/>
          </w:tcPr>
          <w:p>
            <w:pPr>
              <w:spacing w:after="20"/>
              <w:jc w:val="right"/>
            </w:pPr>
            <w:r>
              <w:rPr>
                <w:color w:val="1C3A36"/>
                <w:sz w:val="17"/>
              </w:rPr>
              <w:t>37.2</w:t>
            </w:r>
          </w:p>
        </w:tc>
        <w:tc>
          <w:tcPr>
            <w:tcW w:type="dxa" w:w="3744"/>
          </w:tcPr>
          <w:p>
            <w:pPr>
              <w:spacing w:after="20"/>
              <w:jc w:val="right"/>
            </w:pPr>
            <w:r>
              <w:rPr>
                <w:color w:val="1C3A36"/>
                <w:sz w:val="17"/>
              </w:rPr>
            </w:r>
          </w:p>
        </w:tc>
      </w:tr>
      <w:tr>
        <w:tc>
          <w:tcPr>
            <w:tcW w:type="dxa" w:w="2160"/>
          </w:tcPr>
          <w:p>
            <w:pPr>
              <w:spacing w:after="20"/>
            </w:pPr>
            <w:r>
              <w:rPr>
                <w:b/>
                <w:color w:val="1C3A36"/>
                <w:sz w:val="17"/>
              </w:rPr>
              <w:t>40.00%</w:t>
            </w:r>
          </w:p>
        </w:tc>
        <w:tc>
          <w:tcPr>
            <w:tcW w:type="dxa" w:w="2448"/>
          </w:tcPr>
          <w:p>
            <w:pPr>
              <w:spacing w:after="20"/>
              <w:jc w:val="right"/>
            </w:pPr>
            <w:r>
              <w:rPr>
                <w:color w:val="1C3A36"/>
                <w:sz w:val="17"/>
              </w:rPr>
              <w:t>26,600</w:t>
            </w:r>
          </w:p>
        </w:tc>
        <w:tc>
          <w:tcPr>
            <w:tcW w:type="dxa" w:w="1872"/>
          </w:tcPr>
          <w:p>
            <w:pPr>
              <w:spacing w:after="20"/>
              <w:jc w:val="right"/>
            </w:pPr>
            <w:r>
              <w:rPr>
                <w:color w:val="1C3A36"/>
                <w:sz w:val="17"/>
              </w:rPr>
              <w:t>39.7</w:t>
            </w:r>
          </w:p>
        </w:tc>
        <w:tc>
          <w:tcPr>
            <w:tcW w:type="dxa" w:w="3744"/>
          </w:tcPr>
          <w:p>
            <w:pPr>
              <w:spacing w:after="20"/>
              <w:jc w:val="right"/>
            </w:pPr>
            <w:r>
              <w:rPr>
                <w:color w:val="1C3A36"/>
                <w:sz w:val="17"/>
              </w:rPr>
            </w:r>
          </w:p>
        </w:tc>
      </w:tr>
      <w:tr>
        <w:tc>
          <w:tcPr>
            <w:tcW w:type="dxa" w:w="2160"/>
          </w:tcPr>
          <w:p>
            <w:pPr>
              <w:spacing w:after="20"/>
            </w:pPr>
            <w:r>
              <w:rPr>
                <w:b/>
                <w:color w:val="1C3A36"/>
                <w:sz w:val="17"/>
              </w:rPr>
              <w:t>42.58%</w:t>
            </w:r>
          </w:p>
        </w:tc>
        <w:tc>
          <w:tcPr>
            <w:tcW w:type="dxa" w:w="2448"/>
          </w:tcPr>
          <w:p>
            <w:pPr>
              <w:spacing w:after="20"/>
              <w:jc w:val="right"/>
            </w:pPr>
            <w:r>
              <w:rPr>
                <w:color w:val="1C3A36"/>
                <w:sz w:val="17"/>
              </w:rPr>
              <w:t>28,316</w:t>
            </w:r>
          </w:p>
        </w:tc>
        <w:tc>
          <w:tcPr>
            <w:tcW w:type="dxa" w:w="1872"/>
          </w:tcPr>
          <w:p>
            <w:pPr>
              <w:spacing w:after="20"/>
              <w:jc w:val="right"/>
            </w:pPr>
            <w:r>
              <w:rPr>
                <w:color w:val="1C3A36"/>
                <w:sz w:val="17"/>
              </w:rPr>
              <w:t>41.1</w:t>
            </w:r>
          </w:p>
        </w:tc>
        <w:tc>
          <w:tcPr>
            <w:tcW w:type="dxa" w:w="3744"/>
          </w:tcPr>
          <w:p>
            <w:pPr>
              <w:spacing w:after="20"/>
              <w:jc w:val="right"/>
            </w:pPr>
            <w:r>
              <w:rPr>
                <w:color w:val="1C3A36"/>
                <w:sz w:val="17"/>
              </w:rPr>
              <w:t>the interim correction — pre-transaction figure, now superseded</w:t>
            </w:r>
          </w:p>
        </w:tc>
      </w:tr>
      <w:tr>
        <w:tc>
          <w:tcPr>
            <w:tcW w:type="dxa" w:w="2160"/>
          </w:tcPr>
          <w:p>
            <w:pPr>
              <w:spacing w:after="20"/>
            </w:pPr>
            <w:r>
              <w:rPr>
                <w:b/>
                <w:color w:val="1C3A36"/>
                <w:sz w:val="17"/>
              </w:rPr>
              <w:t>41.61%</w:t>
            </w:r>
          </w:p>
        </w:tc>
        <w:tc>
          <w:tcPr>
            <w:tcW w:type="dxa" w:w="2448"/>
          </w:tcPr>
          <w:p>
            <w:pPr>
              <w:spacing w:after="20"/>
              <w:jc w:val="right"/>
            </w:pPr>
            <w:r>
              <w:rPr>
                <w:color w:val="1C3A36"/>
                <w:sz w:val="17"/>
              </w:rPr>
              <w:t>27,671</w:t>
            </w:r>
          </w:p>
        </w:tc>
        <w:tc>
          <w:tcPr>
            <w:tcW w:type="dxa" w:w="1872"/>
          </w:tcPr>
          <w:p>
            <w:pPr>
              <w:spacing w:after="20"/>
              <w:jc w:val="right"/>
            </w:pPr>
            <w:r>
              <w:rPr>
                <w:color w:val="1C3A36"/>
                <w:sz w:val="17"/>
              </w:rPr>
              <w:t>40.6</w:t>
            </w:r>
          </w:p>
        </w:tc>
        <w:tc>
          <w:tcPr>
            <w:tcW w:type="dxa" w:w="3744"/>
          </w:tcPr>
          <w:p>
            <w:pPr>
              <w:spacing w:after="20"/>
              <w:jc w:val="right"/>
            </w:pPr>
            <w:r>
              <w:rPr>
                <w:color w:val="1C3A36"/>
                <w:sz w:val="17"/>
              </w:rPr>
              <w:t>CONFIRMED current (GB Corp PR, 9-Jun-2026) — base case</w:t>
            </w:r>
          </w:p>
        </w:tc>
      </w:tr>
    </w:tbl>
    <w:p>
      <w:pPr>
        <w:spacing w:after="40"/>
      </w:pPr>
    </w:p>
    <w:p>
      <w:pPr>
        <w:spacing w:after="120" w:before="0"/>
      </w:pPr>
      <w:r>
        <w:rPr>
          <w:b/>
          <w:i w:val="0"/>
          <w:color w:val="1C3A36"/>
          <w:sz w:val="19"/>
        </w:rPr>
        <w:t xml:space="preserve">In plain terms: </w:t>
      </w:r>
      <w:r>
        <w:rPr>
          <w:b w:val="0"/>
          <w:i w:val="0"/>
          <w:color w:val="1C3A36"/>
          <w:sz w:val="19"/>
        </w:rPr>
        <w:t>the stake question this study originally flagged as its biggest uncertainty is now closed — GB Corp confirmed 41.61% in writing on 9 June 2026. What remains open is not “what does GB Corp own” but “what is that ownership worth, and why doesn’t the market price it at face value.” A confirmed 41.61% stake in a company marked at USD 1.4bn is worth more than 73% of GB Corp’s entire market cap — either the market is applying a steep private-mark discount this study’s 10% doesn’t capture, or GB Corp is genuinely mispriced. The bear case in this study’s football field (§1.5) reflects the former via a much heavier discount on the stake; the base case takes the confirmed number at the round’s valuation. §7 returns to this as the study’s central open question.</w:t>
      </w:r>
    </w:p>
    <w:p>
      <w:pPr>
        <w:spacing w:after="80" w:before="200"/>
      </w:pPr>
      <w:r>
        <w:rPr>
          <w:b/>
          <w:i w:val="0"/>
          <w:color w:val="1C3A36"/>
          <w:sz w:val="24"/>
        </w:rPr>
        <w:t>1.2  The Auto-leg DCF — the cash-flow engine of the SOTP</w:t>
      </w:r>
    </w:p>
    <w:p>
      <w:pPr>
        <w:spacing w:after="120" w:before="0"/>
      </w:pPr>
      <w:r>
        <w:rPr>
          <w:b w:val="0"/>
          <w:i w:val="0"/>
          <w:color w:val="1C3A36"/>
          <w:sz w:val="21"/>
        </w:rPr>
        <w:t>The Auto leg is built bottom-up on disclosed units × ASP per line of business (the data-discipline gate is cleared: volumes and revenue are published per LoB, so ASP is arithmetic, not guesswork — the driver table is in §1.6 and Appendix A). Gross margin glides from 13.8% (FY26E, absorbing the regional drag visible in 1Q26’s 12.4%) back to 14.5% — below FY24’s FX-windfall 19.2% by design; GS&amp;A holds ~7%; capex follows the EGP 3 bn 2026 guidance then normalizes; and the crux — net working capital — glides from 28.5% of revenue (FY25) to 21.5% by FY30E as the payables re-extension completes and the Sadat stock-build unwinds. WACC is built per the house rule (§1.8 table): Ke = 19% rf + 0.95 β × 7% ERP = 25.7%, blended with after-tax debt to 22.0%; terminal growth 11.5% nominal EGP.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95,736</w:t>
            </w:r>
          </w:p>
        </w:tc>
        <w:tc>
          <w:tcPr>
            <w:tcW w:type="dxa" w:w="1440"/>
          </w:tcPr>
          <w:p>
            <w:pPr>
              <w:spacing w:after="20"/>
              <w:jc w:val="right"/>
            </w:pPr>
            <w:r>
              <w:rPr>
                <w:color w:val="1C3A36"/>
                <w:sz w:val="17"/>
              </w:rPr>
              <w:t>112,459</w:t>
            </w:r>
          </w:p>
        </w:tc>
        <w:tc>
          <w:tcPr>
            <w:tcW w:type="dxa" w:w="1440"/>
          </w:tcPr>
          <w:p>
            <w:pPr>
              <w:spacing w:after="20"/>
              <w:jc w:val="right"/>
            </w:pPr>
            <w:r>
              <w:rPr>
                <w:color w:val="1C3A36"/>
                <w:sz w:val="17"/>
              </w:rPr>
              <w:t>128,714</w:t>
            </w:r>
          </w:p>
        </w:tc>
        <w:tc>
          <w:tcPr>
            <w:tcW w:type="dxa" w:w="1440"/>
          </w:tcPr>
          <w:p>
            <w:pPr>
              <w:spacing w:after="20"/>
              <w:jc w:val="right"/>
            </w:pPr>
            <w:r>
              <w:rPr>
                <w:color w:val="1C3A36"/>
                <w:sz w:val="17"/>
              </w:rPr>
              <w:t>144,761</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6,677</w:t>
            </w:r>
          </w:p>
        </w:tc>
        <w:tc>
          <w:tcPr>
            <w:tcW w:type="dxa" w:w="1440"/>
          </w:tcPr>
          <w:p>
            <w:pPr>
              <w:spacing w:after="20"/>
              <w:jc w:val="right"/>
            </w:pPr>
            <w:r>
              <w:rPr>
                <w:color w:val="1C3A36"/>
                <w:sz w:val="17"/>
              </w:rPr>
              <w:t>8,616</w:t>
            </w:r>
          </w:p>
        </w:tc>
        <w:tc>
          <w:tcPr>
            <w:tcW w:type="dxa" w:w="1440"/>
          </w:tcPr>
          <w:p>
            <w:pPr>
              <w:spacing w:after="20"/>
              <w:jc w:val="right"/>
            </w:pPr>
            <w:r>
              <w:rPr>
                <w:color w:val="1C3A36"/>
                <w:sz w:val="17"/>
              </w:rPr>
              <w:t>10,571</w:t>
            </w:r>
          </w:p>
        </w:tc>
        <w:tc>
          <w:tcPr>
            <w:tcW w:type="dxa" w:w="1440"/>
          </w:tcPr>
          <w:p>
            <w:pPr>
              <w:spacing w:after="20"/>
              <w:jc w:val="right"/>
            </w:pPr>
            <w:r>
              <w:rPr>
                <w:color w:val="1C3A36"/>
                <w:sz w:val="17"/>
              </w:rPr>
              <w:t>12,228</w:t>
            </w:r>
          </w:p>
        </w:tc>
        <w:tc>
          <w:tcPr>
            <w:tcW w:type="dxa" w:w="1440"/>
          </w:tcPr>
          <w:p>
            <w:pPr>
              <w:spacing w:after="20"/>
              <w:jc w:val="right"/>
            </w:pPr>
            <w:r>
              <w:rPr>
                <w:color w:val="1C3A36"/>
                <w:sz w:val="17"/>
              </w:rPr>
              <w:t>13,752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EBIT</w:t>
            </w:r>
          </w:p>
        </w:tc>
        <w:tc>
          <w:tcPr>
            <w:tcW w:type="dxa" w:w="1440"/>
          </w:tcPr>
          <w:p>
            <w:pPr>
              <w:spacing w:after="20"/>
              <w:jc w:val="right"/>
            </w:pPr>
            <w:r>
              <w:rPr>
                <w:color w:val="1C3A36"/>
                <w:sz w:val="17"/>
              </w:rPr>
              <w:t>5,813</w:t>
            </w:r>
          </w:p>
        </w:tc>
        <w:tc>
          <w:tcPr>
            <w:tcW w:type="dxa" w:w="1440"/>
          </w:tcPr>
          <w:p>
            <w:pPr>
              <w:spacing w:after="20"/>
              <w:jc w:val="right"/>
            </w:pPr>
            <w:r>
              <w:rPr>
                <w:color w:val="1C3A36"/>
                <w:sz w:val="17"/>
              </w:rPr>
              <w:t>7,563</w:t>
            </w:r>
          </w:p>
        </w:tc>
        <w:tc>
          <w:tcPr>
            <w:tcW w:type="dxa" w:w="1440"/>
          </w:tcPr>
          <w:p>
            <w:pPr>
              <w:spacing w:after="20"/>
              <w:jc w:val="right"/>
            </w:pPr>
            <w:r>
              <w:rPr>
                <w:color w:val="1C3A36"/>
                <w:sz w:val="17"/>
              </w:rPr>
              <w:t>9,334</w:t>
            </w:r>
          </w:p>
        </w:tc>
        <w:tc>
          <w:tcPr>
            <w:tcW w:type="dxa" w:w="1440"/>
          </w:tcPr>
          <w:p>
            <w:pPr>
              <w:spacing w:after="20"/>
              <w:jc w:val="right"/>
            </w:pPr>
            <w:r>
              <w:rPr>
                <w:color w:val="1C3A36"/>
                <w:sz w:val="17"/>
              </w:rPr>
              <w:t>10,812</w:t>
            </w:r>
          </w:p>
        </w:tc>
        <w:tc>
          <w:tcPr>
            <w:tcW w:type="dxa" w:w="1440"/>
          </w:tcPr>
          <w:p>
            <w:pPr>
              <w:spacing w:after="20"/>
              <w:jc w:val="right"/>
            </w:pPr>
            <w:r>
              <w:rPr>
                <w:color w:val="1C3A36"/>
                <w:sz w:val="17"/>
              </w:rPr>
              <w:t>12,160</w:t>
            </w:r>
          </w:p>
        </w:tc>
      </w:tr>
      <w:tr>
        <w:tc>
          <w:tcPr>
            <w:tcW w:type="dxa" w:w="3024"/>
          </w:tcPr>
          <w:p>
            <w:pPr>
              <w:spacing w:after="20"/>
            </w:pPr>
            <w:r>
              <w:rPr>
                <w:b/>
                <w:color w:val="1C3A36"/>
                <w:sz w:val="17"/>
              </w:rPr>
              <w:t>NOPAT = EBIT × (1 − 28%)</w:t>
            </w:r>
          </w:p>
        </w:tc>
        <w:tc>
          <w:tcPr>
            <w:tcW w:type="dxa" w:w="1440"/>
          </w:tcPr>
          <w:p>
            <w:pPr>
              <w:spacing w:after="20"/>
              <w:jc w:val="right"/>
            </w:pPr>
            <w:r>
              <w:rPr>
                <w:color w:val="1C3A36"/>
                <w:sz w:val="17"/>
              </w:rPr>
              <w:t>4,185</w:t>
            </w:r>
          </w:p>
        </w:tc>
        <w:tc>
          <w:tcPr>
            <w:tcW w:type="dxa" w:w="1440"/>
          </w:tcPr>
          <w:p>
            <w:pPr>
              <w:spacing w:after="20"/>
              <w:jc w:val="right"/>
            </w:pPr>
            <w:r>
              <w:rPr>
                <w:color w:val="1C3A36"/>
                <w:sz w:val="17"/>
              </w:rPr>
              <w:t>5,445</w:t>
            </w:r>
          </w:p>
        </w:tc>
        <w:tc>
          <w:tcPr>
            <w:tcW w:type="dxa" w:w="1440"/>
          </w:tcPr>
          <w:p>
            <w:pPr>
              <w:spacing w:after="20"/>
              <w:jc w:val="right"/>
            </w:pPr>
            <w:r>
              <w:rPr>
                <w:color w:val="1C3A36"/>
                <w:sz w:val="17"/>
              </w:rPr>
              <w:t>6,721</w:t>
            </w:r>
          </w:p>
        </w:tc>
        <w:tc>
          <w:tcPr>
            <w:tcW w:type="dxa" w:w="1440"/>
          </w:tcPr>
          <w:p>
            <w:pPr>
              <w:spacing w:after="20"/>
              <w:jc w:val="right"/>
            </w:pPr>
            <w:r>
              <w:rPr>
                <w:color w:val="1C3A36"/>
                <w:sz w:val="17"/>
              </w:rPr>
              <w:t>7,785</w:t>
            </w:r>
          </w:p>
        </w:tc>
        <w:tc>
          <w:tcPr>
            <w:tcW w:type="dxa" w:w="1440"/>
          </w:tcPr>
          <w:p>
            <w:pPr>
              <w:spacing w:after="20"/>
              <w:jc w:val="right"/>
            </w:pPr>
            <w:r>
              <w:rPr>
                <w:color w:val="1C3A36"/>
                <w:sz w:val="17"/>
              </w:rPr>
              <w:t>8,755</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(1,899)</w:t>
            </w:r>
          </w:p>
        </w:tc>
        <w:tc>
          <w:tcPr>
            <w:tcW w:type="dxa" w:w="1440"/>
          </w:tcPr>
          <w:p>
            <w:pPr>
              <w:spacing w:after="20"/>
              <w:jc w:val="right"/>
            </w:pPr>
            <w:r>
              <w:rPr>
                <w:color w:val="1C3A36"/>
                <w:sz w:val="17"/>
              </w:rPr>
              <w:t>(3,118)</w:t>
            </w:r>
          </w:p>
        </w:tc>
        <w:tc>
          <w:tcPr>
            <w:tcW w:type="dxa" w:w="1440"/>
          </w:tcPr>
          <w:p>
            <w:pPr>
              <w:spacing w:after="20"/>
              <w:jc w:val="right"/>
            </w:pPr>
            <w:r>
              <w:rPr>
                <w:color w:val="1C3A36"/>
                <w:sz w:val="17"/>
              </w:rPr>
              <w:t>(2,494)</w:t>
            </w:r>
          </w:p>
        </w:tc>
        <w:tc>
          <w:tcPr>
            <w:tcW w:type="dxa" w:w="1440"/>
          </w:tcPr>
          <w:p>
            <w:pPr>
              <w:spacing w:after="20"/>
              <w:jc w:val="right"/>
            </w:pPr>
            <w:r>
              <w:rPr>
                <w:color w:val="1C3A36"/>
                <w:sz w:val="17"/>
              </w:rPr>
              <w:t>(2,533)</w:t>
            </w:r>
          </w:p>
        </w:tc>
        <w:tc>
          <w:tcPr>
            <w:tcW w:type="dxa" w:w="1440"/>
          </w:tcPr>
          <w:p>
            <w:pPr>
              <w:spacing w:after="20"/>
              <w:jc w:val="right"/>
            </w:pPr>
            <w:r>
              <w:rPr>
                <w:color w:val="1C3A36"/>
                <w:sz w:val="17"/>
              </w:rPr>
              <w:t>(2,163)</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151</w:t>
            </w:r>
          </w:p>
        </w:tc>
        <w:tc>
          <w:tcPr>
            <w:tcW w:type="dxa" w:w="1440"/>
          </w:tcPr>
          <w:p>
            <w:pPr>
              <w:spacing w:after="20"/>
              <w:jc w:val="right"/>
            </w:pPr>
            <w:r>
              <w:rPr>
                <w:color w:val="1C3A36"/>
                <w:sz w:val="17"/>
              </w:rPr>
              <w:t>980</w:t>
            </w:r>
          </w:p>
        </w:tc>
        <w:tc>
          <w:tcPr>
            <w:tcW w:type="dxa" w:w="1440"/>
          </w:tcPr>
          <w:p>
            <w:pPr>
              <w:spacing w:after="20"/>
              <w:jc w:val="right"/>
            </w:pPr>
            <w:r>
              <w:rPr>
                <w:color w:val="1C3A36"/>
                <w:sz w:val="17"/>
              </w:rPr>
              <w:t>2,964</w:t>
            </w:r>
          </w:p>
        </w:tc>
        <w:tc>
          <w:tcPr>
            <w:tcW w:type="dxa" w:w="1440"/>
          </w:tcPr>
          <w:p>
            <w:pPr>
              <w:spacing w:after="20"/>
              <w:jc w:val="right"/>
            </w:pPr>
            <w:r>
              <w:rPr>
                <w:color w:val="1C3A36"/>
                <w:sz w:val="17"/>
              </w:rPr>
              <w:t>4,068</w:t>
            </w:r>
          </w:p>
        </w:tc>
        <w:tc>
          <w:tcPr>
            <w:tcW w:type="dxa" w:w="1440"/>
          </w:tcPr>
          <w:p>
            <w:pPr>
              <w:spacing w:after="20"/>
              <w:jc w:val="right"/>
            </w:pPr>
            <w:r>
              <w:rPr>
                <w:color w:val="1C3A36"/>
                <w:sz w:val="17"/>
              </w:rPr>
              <w:t>5,384</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0.820</w:t>
            </w:r>
          </w:p>
        </w:tc>
        <w:tc>
          <w:tcPr>
            <w:tcW w:type="dxa" w:w="1440"/>
          </w:tcPr>
          <w:p>
            <w:pPr>
              <w:spacing w:after="20"/>
              <w:jc w:val="right"/>
            </w:pPr>
            <w:r>
              <w:rPr>
                <w:color w:val="1C3A36"/>
                <w:sz w:val="17"/>
              </w:rPr>
              <w:t>0.672</w:t>
            </w:r>
          </w:p>
        </w:tc>
        <w:tc>
          <w:tcPr>
            <w:tcW w:type="dxa" w:w="1440"/>
          </w:tcPr>
          <w:p>
            <w:pPr>
              <w:spacing w:after="20"/>
              <w:jc w:val="right"/>
            </w:pPr>
            <w:r>
              <w:rPr>
                <w:color w:val="1C3A36"/>
                <w:sz w:val="17"/>
              </w:rPr>
              <w:t>0.551</w:t>
            </w:r>
          </w:p>
        </w:tc>
        <w:tc>
          <w:tcPr>
            <w:tcW w:type="dxa" w:w="1440"/>
          </w:tcPr>
          <w:p>
            <w:pPr>
              <w:spacing w:after="20"/>
              <w:jc w:val="right"/>
            </w:pPr>
            <w:r>
              <w:rPr>
                <w:color w:val="1C3A36"/>
                <w:sz w:val="17"/>
              </w:rPr>
              <w:t>0.451</w:t>
            </w:r>
          </w:p>
        </w:tc>
        <w:tc>
          <w:tcPr>
            <w:tcW w:type="dxa" w:w="1440"/>
          </w:tcPr>
          <w:p>
            <w:pPr>
              <w:spacing w:after="20"/>
              <w:jc w:val="right"/>
            </w:pPr>
            <w:r>
              <w:rPr>
                <w:color w:val="1C3A36"/>
                <w:sz w:val="17"/>
              </w:rPr>
              <w:t>0.370</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123</w:t>
            </w:r>
          </w:p>
        </w:tc>
        <w:tc>
          <w:tcPr>
            <w:tcW w:type="dxa" w:w="1440"/>
          </w:tcPr>
          <w:p>
            <w:pPr>
              <w:spacing w:after="20"/>
              <w:jc w:val="right"/>
            </w:pPr>
            <w:r>
              <w:rPr>
                <w:color w:val="1C3A36"/>
                <w:sz w:val="17"/>
              </w:rPr>
              <w:t>659</w:t>
            </w:r>
          </w:p>
        </w:tc>
        <w:tc>
          <w:tcPr>
            <w:tcW w:type="dxa" w:w="1440"/>
          </w:tcPr>
          <w:p>
            <w:pPr>
              <w:spacing w:after="20"/>
              <w:jc w:val="right"/>
            </w:pPr>
            <w:r>
              <w:rPr>
                <w:color w:val="1C3A36"/>
                <w:sz w:val="17"/>
              </w:rPr>
              <w:t>1,632</w:t>
            </w:r>
          </w:p>
        </w:tc>
        <w:tc>
          <w:tcPr>
            <w:tcW w:type="dxa" w:w="1440"/>
          </w:tcPr>
          <w:p>
            <w:pPr>
              <w:spacing w:after="20"/>
              <w:jc w:val="right"/>
            </w:pPr>
            <w:r>
              <w:rPr>
                <w:color w:val="1C3A36"/>
                <w:sz w:val="17"/>
              </w:rPr>
              <w:t>1,836</w:t>
            </w:r>
          </w:p>
        </w:tc>
        <w:tc>
          <w:tcPr>
            <w:tcW w:type="dxa" w:w="1440"/>
          </w:tcPr>
          <w:p>
            <w:pPr>
              <w:spacing w:after="20"/>
              <w:jc w:val="right"/>
            </w:pPr>
            <w:r>
              <w:rPr>
                <w:color w:val="1C3A36"/>
                <w:sz w:val="17"/>
              </w:rPr>
              <w:t>1,992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6,243</w:t>
            </w:r>
          </w:p>
        </w:tc>
      </w:tr>
      <w:tr>
        <w:tc>
          <w:tcPr>
            <w:tcW w:type="dxa" w:w="5760"/>
          </w:tcPr>
          <w:p>
            <w:pPr>
              <w:spacing w:after="20"/>
            </w:pPr>
            <w:r>
              <w:rPr>
                <w:b/>
                <w:color w:val="1C3A36"/>
                <w:sz w:val="18"/>
              </w:rPr>
              <w:t>Terminal value (Gordon, g = 11.5%)</w:t>
            </w:r>
          </w:p>
        </w:tc>
        <w:tc>
          <w:tcPr>
            <w:tcW w:type="dxa" w:w="2304"/>
          </w:tcPr>
          <w:p>
            <w:pPr>
              <w:spacing w:after="20"/>
              <w:jc w:val="right"/>
            </w:pPr>
            <w:r>
              <w:rPr>
                <w:color w:val="1C3A36"/>
                <w:sz w:val="18"/>
              </w:rPr>
              <w:t>57,178</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21,156</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27,398</w:t>
            </w:r>
          </w:p>
        </w:tc>
      </w:tr>
      <w:tr>
        <w:tc>
          <w:tcPr>
            <w:tcW w:type="dxa" w:w="5760"/>
          </w:tcPr>
          <w:p>
            <w:pPr>
              <w:spacing w:after="20"/>
            </w:pPr>
            <w:r>
              <w:rPr>
                <w:b/>
                <w:color w:val="1C3A36"/>
                <w:sz w:val="18"/>
              </w:rPr>
              <w:t>Terminal value as % of EV (device A-7)</w:t>
            </w:r>
          </w:p>
        </w:tc>
        <w:tc>
          <w:tcPr>
            <w:tcW w:type="dxa" w:w="2304"/>
          </w:tcPr>
          <w:p>
            <w:pPr>
              <w:spacing w:after="20"/>
              <w:jc w:val="right"/>
            </w:pPr>
            <w:r>
              <w:rPr>
                <w:color w:val="1C3A36"/>
                <w:sz w:val="18"/>
              </w:rPr>
              <w:t>77%</w:t>
            </w:r>
          </w:p>
        </w:tc>
      </w:tr>
      <w:tr>
        <w:tc>
          <w:tcPr>
            <w:tcW w:type="dxa" w:w="5760"/>
          </w:tcPr>
          <w:p>
            <w:pPr>
              <w:spacing w:after="20"/>
            </w:pPr>
            <w:r>
              <w:rPr>
                <w:b/>
                <w:color w:val="1C3A36"/>
                <w:sz w:val="18"/>
              </w:rPr>
              <w:t>less: Auto net debt · Auto NCI</w:t>
            </w:r>
          </w:p>
        </w:tc>
        <w:tc>
          <w:tcPr>
            <w:tcW w:type="dxa" w:w="2304"/>
          </w:tcPr>
          <w:p>
            <w:pPr>
              <w:spacing w:after="20"/>
              <w:jc w:val="right"/>
            </w:pPr>
            <w:r>
              <w:rPr>
                <w:color w:val="1C3A36"/>
                <w:sz w:val="18"/>
              </w:rPr>
              <w:t>(15,210) · (800)</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11,388</w:t>
            </w:r>
          </w:p>
        </w:tc>
      </w:tr>
    </w:tbl>
    <w:p>
      <w:pPr>
        <w:spacing w:after="40"/>
      </w:pPr>
    </w:p>
    <w:p>
      <w:pPr>
        <w:spacing w:after="120" w:before="0"/>
      </w:pPr>
      <w:r>
        <w:rPr>
          <w:b w:val="0"/>
          <w:i w:val="0"/>
          <w:color w:val="1C3A36"/>
          <w:sz w:val="21"/>
        </w:rPr>
        <w:t>Two honesty notes. First, 77% of the EV sits in the terminal value — this is a growth-and-rates bet dressed as a five-year model, which is why §1.9 sensitizes the WACC × terminal-g grid rather than hiding it. Second, the explicit-period FCFF is thin (EGP 0.2 bn in FY26E) precisely because growth consumes working capital; the value is in the steady state, not the ramp. Both are disclosed rather than blended away (device A-8).</w:t>
      </w:r>
    </w:p>
    <w:p>
      <w:pPr>
        <w:spacing w:after="80" w:before="200"/>
      </w:pPr>
      <w:r>
        <w:rPr>
          <w:b/>
          <w:i w:val="0"/>
          <w:color w:val="1C3A36"/>
          <w:sz w:val="24"/>
        </w:rPr>
        <w:t>1.3  Relative multiples</w:t>
      </w:r>
    </w:p>
    <w:p>
      <w:pPr>
        <w:spacing w:after="120" w:before="0"/>
      </w:pPr>
      <w:r>
        <w:rPr>
          <w:b w:val="0"/>
          <w:i w:val="0"/>
          <w:color w:val="1C3A36"/>
          <w:sz w:val="21"/>
        </w:rPr>
        <w:t>On FY25 earnings GB Corp trades at ~11.8× P/E and ~1.18× book. On the FY26E build (~EGP 3.3 bn attributable, EPS ~3.04) the forward P/E is ~10.3×. A justified multiple for the blend — an EM auto distributor (typically 8–12×) plus a mid-teens-ROE NBFI (6–10×) with an unlisted fintech kicker — sits around 8–11×. We mark the lens on the FY26E EPS.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net profit (EGP mn)</w:t>
            </w:r>
          </w:p>
        </w:tc>
        <w:tc>
          <w:tcPr>
            <w:tcW w:type="dxa" w:w="1872"/>
          </w:tcPr>
          <w:p>
            <w:pPr>
              <w:spacing w:after="20"/>
              <w:jc w:val="right"/>
            </w:pPr>
            <w:r>
              <w:rPr>
                <w:color w:val="1C3A36"/>
                <w:sz w:val="18"/>
              </w:rPr>
              <w:t>3,300</w:t>
            </w:r>
          </w:p>
        </w:tc>
        <w:tc>
          <w:tcPr>
            <w:tcW w:type="dxa" w:w="1872"/>
          </w:tcPr>
          <w:p>
            <w:pPr>
              <w:spacing w:after="20"/>
              <w:jc w:val="right"/>
            </w:pPr>
            <w:r>
              <w:rPr>
                <w:color w:val="1C3A36"/>
                <w:sz w:val="18"/>
              </w:rPr>
              <w:t>3,300</w:t>
            </w:r>
          </w:p>
        </w:tc>
        <w:tc>
          <w:tcPr>
            <w:tcW w:type="dxa" w:w="1872"/>
          </w:tcPr>
          <w:p>
            <w:pPr>
              <w:spacing w:after="20"/>
              <w:jc w:val="right"/>
            </w:pPr>
            <w:r>
              <w:rPr>
                <w:color w:val="1C3A36"/>
                <w:sz w:val="18"/>
              </w:rPr>
              <w:t>3,300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9.5×</w:t>
            </w:r>
          </w:p>
        </w:tc>
        <w:tc>
          <w:tcPr>
            <w:tcW w:type="dxa" w:w="1872"/>
          </w:tcPr>
          <w:p>
            <w:pPr>
              <w:spacing w:after="20"/>
              <w:jc w:val="right"/>
            </w:pPr>
            <w:r>
              <w:rPr>
                <w:color w:val="1C3A36"/>
                <w:sz w:val="18"/>
              </w:rPr>
              <w:t>11.0×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24.3</w:t>
            </w:r>
          </w:p>
        </w:tc>
        <w:tc>
          <w:tcPr>
            <w:tcW w:type="dxa" w:w="1872"/>
          </w:tcPr>
          <w:p>
            <w:pPr>
              <w:spacing w:after="20"/>
              <w:jc w:val="right"/>
            </w:pPr>
            <w:r>
              <w:rPr>
                <w:color w:val="1C3A36"/>
                <w:sz w:val="18"/>
              </w:rPr>
              <w:t>28.9</w:t>
            </w:r>
          </w:p>
        </w:tc>
        <w:tc>
          <w:tcPr>
            <w:tcW w:type="dxa" w:w="1872"/>
          </w:tcPr>
          <w:p>
            <w:pPr>
              <w:spacing w:after="20"/>
              <w:jc w:val="right"/>
            </w:pPr>
            <w:r>
              <w:rPr>
                <w:color w:val="1C3A36"/>
                <w:sz w:val="18"/>
              </w:rPr>
              <w:t>33.4</w:t>
            </w:r>
          </w:p>
        </w:tc>
      </w:tr>
    </w:tbl>
    <w:p>
      <w:pPr>
        <w:spacing w:after="40"/>
      </w:pPr>
    </w:p>
    <w:p>
      <w:pPr>
        <w:spacing w:after="120" w:before="0"/>
      </w:pPr>
      <w:r>
        <w:rPr>
          <w:b/>
          <w:i w:val="0"/>
          <w:color w:val="1C3A36"/>
          <w:sz w:val="21"/>
        </w:rPr>
        <w:t>Relative base ≈ EGP 28.9</w:t>
      </w:r>
      <w:r>
        <w:rPr>
          <w:b w:val="0"/>
          <w:i w:val="0"/>
          <w:color w:val="1C3A36"/>
          <w:sz w:val="21"/>
        </w:rPr>
        <w:t xml:space="preserve"> — the most conservative lens and probably where a sceptic anchors: it pays for this year’s earnings and gives nothing for the working-capital release or the associate optionality.</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(device A-6): GB’s FY25 passenger-car volume of 56.5k units is roughly double the 2023 trough (27.0k) but still well short of the company’s mid-2010s run-rate, and the Egyptian market’s 210k registrations in 2025 — +40% y/y — remain below the pre-2016-devaluation peak; the recovery is mid-cycle, not late-cycle. Margins are past their peak, though: FY24’s 19.2% Auto gross margin carried an FX-scarcity windfall that is normalizing (14.8% FY25, 12.4% in 1Q26). Mid-cycle earnings power therefore blends recovering volumes with normalized margins: ~EGP 4.2 bn of group PAT (Auto ~2.2 bn at 14.5% GPM on FY27-scale revenue + Capital ~1.7 bn + associates), against FY25’s reported 2.9 bn.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PAT (EGP mn)</w:t>
            </w:r>
          </w:p>
        </w:tc>
        <w:tc>
          <w:tcPr>
            <w:tcW w:type="dxa" w:w="1872"/>
          </w:tcPr>
          <w:p>
            <w:pPr>
              <w:spacing w:after="20"/>
              <w:jc w:val="right"/>
            </w:pPr>
            <w:r>
              <w:rPr>
                <w:color w:val="1C3A36"/>
                <w:sz w:val="18"/>
              </w:rPr>
              <w:t>3,600</w:t>
            </w:r>
          </w:p>
        </w:tc>
        <w:tc>
          <w:tcPr>
            <w:tcW w:type="dxa" w:w="1872"/>
          </w:tcPr>
          <w:p>
            <w:pPr>
              <w:spacing w:after="20"/>
              <w:jc w:val="right"/>
            </w:pPr>
            <w:r>
              <w:rPr>
                <w:color w:val="1C3A36"/>
                <w:sz w:val="18"/>
              </w:rPr>
              <w:t>4,200</w:t>
            </w:r>
          </w:p>
        </w:tc>
        <w:tc>
          <w:tcPr>
            <w:tcW w:type="dxa" w:w="1872"/>
          </w:tcPr>
          <w:p>
            <w:pPr>
              <w:spacing w:after="20"/>
              <w:jc w:val="right"/>
            </w:pPr>
            <w:r>
              <w:rPr>
                <w:color w:val="1C3A36"/>
                <w:sz w:val="18"/>
              </w:rPr>
              <w:t>4,800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7.5×</w:t>
            </w:r>
          </w:p>
        </w:tc>
        <w:tc>
          <w:tcPr>
            <w:tcW w:type="dxa" w:w="1872"/>
          </w:tcPr>
          <w:p>
            <w:pPr>
              <w:spacing w:after="20"/>
              <w:jc w:val="right"/>
            </w:pPr>
            <w:r>
              <w:rPr>
                <w:color w:val="1C3A36"/>
                <w:sz w:val="18"/>
              </w:rPr>
              <w:t>8.5×</w:t>
            </w:r>
          </w:p>
        </w:tc>
        <w:tc>
          <w:tcPr>
            <w:tcW w:type="dxa" w:w="1872"/>
          </w:tcPr>
          <w:p>
            <w:pPr>
              <w:spacing w:after="20"/>
              <w:jc w:val="right"/>
            </w:pPr>
            <w:r>
              <w:rPr>
                <w:color w:val="1C3A36"/>
                <w:sz w:val="18"/>
              </w:rPr>
              <w:t>9.5×</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24.9</w:t>
            </w:r>
          </w:p>
        </w:tc>
        <w:tc>
          <w:tcPr>
            <w:tcW w:type="dxa" w:w="1872"/>
          </w:tcPr>
          <w:p>
            <w:pPr>
              <w:spacing w:after="20"/>
              <w:jc w:val="right"/>
            </w:pPr>
            <w:r>
              <w:rPr>
                <w:color w:val="1C3A36"/>
                <w:sz w:val="18"/>
              </w:rPr>
              <w:t>32.9</w:t>
            </w:r>
          </w:p>
        </w:tc>
        <w:tc>
          <w:tcPr>
            <w:tcW w:type="dxa" w:w="1872"/>
          </w:tcPr>
          <w:p>
            <w:pPr>
              <w:spacing w:after="20"/>
              <w:jc w:val="right"/>
            </w:pPr>
            <w:r>
              <w:rPr>
                <w:color w:val="1C3A36"/>
                <w:sz w:val="18"/>
              </w:rPr>
              <w:t>42.0</w:t>
            </w:r>
          </w:p>
        </w:tc>
      </w:tr>
    </w:tbl>
    <w:p>
      <w:pPr>
        <w:spacing w:after="40"/>
      </w:pPr>
    </w:p>
    <w:p>
      <w:pPr>
        <w:spacing w:after="120" w:before="0"/>
      </w:pPr>
      <w:r>
        <w:rPr>
          <w:b/>
          <w:i w:val="0"/>
          <w:color w:val="1C3A36"/>
          <w:sz w:val="21"/>
        </w:rPr>
        <w:t>Normalized base ≈ EGP 32.9</w:t>
      </w:r>
      <w:r>
        <w:rPr>
          <w:b w:val="0"/>
          <w:i w:val="0"/>
          <w:color w:val="1C3A36"/>
          <w:sz w:val="21"/>
        </w:rPr>
        <w:t xml:space="preserve"> — the ceiling of the central case: in effect the bet that the volume recovery completes while margins hold the post-windfall floor.</w:t>
      </w:r>
    </w:p>
    <w:p>
      <w:pPr>
        <w:spacing w:after="80" w:before="200"/>
      </w:pPr>
      <w:r>
        <w:rPr>
          <w:b/>
          <w:i w:val="0"/>
          <w:color w:val="1C3A36"/>
          <w:sz w:val="24"/>
        </w:rPr>
        <w:t>1.5  Synthesis — four lenses</w:t>
      </w:r>
    </w:p>
    <w:p>
      <w:pPr>
        <w:spacing w:after="120" w:before="0"/>
      </w:pPr>
      <w:r>
        <w:rPr>
          <w:b w:val="0"/>
          <w:i w:val="0"/>
          <w:color w:val="1C3A36"/>
          <w:sz w:val="21"/>
        </w:rPr>
        <w:t>We weight the SOTP most heavily because it respects the differing economics of the legs; the pre-discount NAV carries the discount-narrowing case; the relative lens anchors the floor; normalized earnings carries the recovery thesis.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Split-legs SOTP</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22</w:t>
            </w:r>
          </w:p>
        </w:tc>
        <w:tc>
          <w:tcPr>
            <w:tcW w:type="dxa" w:w="1584"/>
          </w:tcPr>
          <w:p>
            <w:pPr>
              <w:spacing w:after="20"/>
              <w:jc w:val="right"/>
            </w:pPr>
            <w:r>
              <w:rPr>
                <w:color w:val="1C3A36"/>
                <w:sz w:val="18"/>
              </w:rPr>
              <w:t>40.6</w:t>
            </w:r>
          </w:p>
        </w:tc>
        <w:tc>
          <w:tcPr>
            <w:tcW w:type="dxa" w:w="1584"/>
          </w:tcPr>
          <w:p>
            <w:pPr>
              <w:spacing w:after="20"/>
              <w:jc w:val="right"/>
            </w:pPr>
            <w:r>
              <w:rPr>
                <w:color w:val="1C3A36"/>
                <w:sz w:val="18"/>
              </w:rPr>
              <w:t>65</w:t>
            </w:r>
          </w:p>
        </w:tc>
      </w:tr>
      <w:tr>
        <w:tc>
          <w:tcPr>
            <w:tcW w:type="dxa" w:w="3456"/>
          </w:tcPr>
          <w:p>
            <w:pPr>
              <w:spacing w:after="20"/>
            </w:pPr>
            <w:r>
              <w:rPr>
                <w:b/>
                <w:color w:val="1C3A36"/>
                <w:sz w:val="18"/>
              </w:rPr>
              <w:t>Pre-discount NAV</w:t>
            </w:r>
          </w:p>
        </w:tc>
        <w:tc>
          <w:tcPr>
            <w:tcW w:type="dxa" w:w="1296"/>
          </w:tcPr>
          <w:p>
            <w:pPr>
              <w:spacing w:after="20"/>
              <w:jc w:val="right"/>
            </w:pPr>
            <w:r>
              <w:rPr>
                <w:color w:val="1C3A36"/>
                <w:sz w:val="18"/>
              </w:rPr>
              <w:t>15%</w:t>
            </w:r>
          </w:p>
        </w:tc>
        <w:tc>
          <w:tcPr>
            <w:tcW w:type="dxa" w:w="1584"/>
          </w:tcPr>
          <w:p>
            <w:pPr>
              <w:spacing w:after="20"/>
              <w:jc w:val="right"/>
            </w:pPr>
            <w:r>
              <w:rPr>
                <w:color w:val="1C3A36"/>
                <w:sz w:val="18"/>
              </w:rPr>
              <w:t>27</w:t>
            </w:r>
          </w:p>
        </w:tc>
        <w:tc>
          <w:tcPr>
            <w:tcW w:type="dxa" w:w="1584"/>
          </w:tcPr>
          <w:p>
            <w:pPr>
              <w:spacing w:after="20"/>
              <w:jc w:val="right"/>
            </w:pPr>
            <w:r>
              <w:rPr>
                <w:color w:val="1C3A36"/>
                <w:sz w:val="18"/>
              </w:rPr>
              <w:t>45.1</w:t>
            </w:r>
          </w:p>
        </w:tc>
        <w:tc>
          <w:tcPr>
            <w:tcW w:type="dxa" w:w="1584"/>
          </w:tcPr>
          <w:p>
            <w:pPr>
              <w:spacing w:after="20"/>
              <w:jc w:val="right"/>
            </w:pPr>
            <w:r>
              <w:rPr>
                <w:color w:val="1C3A36"/>
                <w:sz w:val="18"/>
              </w:rPr>
              <w:t>68</w:t>
            </w:r>
          </w:p>
        </w:tc>
      </w:tr>
      <w:tr>
        <w:tc>
          <w:tcPr>
            <w:tcW w:type="dxa" w:w="3456"/>
          </w:tcPr>
          <w:p>
            <w:pPr>
              <w:spacing w:after="20"/>
            </w:pPr>
            <w:r>
              <w:rPr>
                <w:b/>
                <w:color w:val="1C3A36"/>
                <w:sz w:val="18"/>
              </w:rPr>
              <w:t>Relative multiples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24</w:t>
            </w:r>
          </w:p>
        </w:tc>
        <w:tc>
          <w:tcPr>
            <w:tcW w:type="dxa" w:w="1584"/>
          </w:tcPr>
          <w:p>
            <w:pPr>
              <w:spacing w:after="20"/>
              <w:jc w:val="right"/>
            </w:pPr>
            <w:r>
              <w:rPr>
                <w:color w:val="1C3A36"/>
                <w:sz w:val="18"/>
              </w:rPr>
              <w:t>28.9</w:t>
            </w:r>
          </w:p>
        </w:tc>
        <w:tc>
          <w:tcPr>
            <w:tcW w:type="dxa" w:w="1584"/>
          </w:tcPr>
          <w:p>
            <w:pPr>
              <w:spacing w:after="20"/>
              <w:jc w:val="right"/>
            </w:pPr>
            <w:r>
              <w:rPr>
                <w:color w:val="1C3A36"/>
                <w:sz w:val="18"/>
              </w:rPr>
              <w:t>33</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25</w:t>
            </w:r>
          </w:p>
        </w:tc>
        <w:tc>
          <w:tcPr>
            <w:tcW w:type="dxa" w:w="1584"/>
          </w:tcPr>
          <w:p>
            <w:pPr>
              <w:spacing w:after="20"/>
              <w:jc w:val="right"/>
            </w:pPr>
            <w:r>
              <w:rPr>
                <w:color w:val="1C3A36"/>
                <w:sz w:val="18"/>
              </w:rPr>
              <w:t>32.9</w:t>
            </w:r>
          </w:p>
        </w:tc>
        <w:tc>
          <w:tcPr>
            <w:tcW w:type="dxa" w:w="1584"/>
          </w:tcPr>
          <w:p>
            <w:pPr>
              <w:spacing w:after="20"/>
              <w:jc w:val="right"/>
            </w:pPr>
            <w:r>
              <w:rPr>
                <w:color w:val="1C3A36"/>
                <w:sz w:val="18"/>
              </w:rPr>
              <w:t>42</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23.8</w:t>
            </w:r>
          </w:p>
        </w:tc>
        <w:tc>
          <w:tcPr>
            <w:tcW w:type="dxa" w:w="1584"/>
            <w:shd w:val="clear" w:color="auto" w:fill="F6F1E6"/>
          </w:tcPr>
          <w:p>
            <w:pPr>
              <w:spacing w:after="20"/>
              <w:jc w:val="right"/>
            </w:pPr>
            <w:r>
              <w:rPr>
                <w:b/>
                <w:color w:val="1C3A36"/>
                <w:sz w:val="18"/>
              </w:rPr>
              <w:t>37.0</w:t>
            </w:r>
          </w:p>
        </w:tc>
        <w:tc>
          <w:tcPr>
            <w:tcW w:type="dxa" w:w="1584"/>
            <w:shd w:val="clear" w:color="auto" w:fill="F6F1E6"/>
          </w:tcPr>
          <w:p>
            <w:pPr>
              <w:spacing w:after="20"/>
              <w:jc w:val="right"/>
            </w:pPr>
            <w:r>
              <w:rPr>
                <w:b/>
                <w:color w:val="1C3A36"/>
                <w:sz w:val="18"/>
              </w:rPr>
              <w:t>53.5</w:t>
            </w:r>
          </w:p>
        </w:tc>
      </w:tr>
    </w:tbl>
    <w:p>
      <w:pPr>
        <w:spacing w:after="40"/>
      </w:pPr>
    </w:p>
    <w:p>
      <w:pPr>
        <w:spacing w:after="40"/>
        <w:jc w:val="center"/>
      </w:pPr>
      <w:r>
        <w:drawing>
          <wp:inline xmlns:a="http://schemas.openxmlformats.org/drawingml/2006/main" xmlns:pic="http://schemas.openxmlformats.org/drawingml/2006/picture">
            <wp:extent cx="5760720" cy="242954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29544"/>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blended central range; the light line is spot.</w:t>
      </w:r>
    </w:p>
    <w:p>
      <w:pPr>
        <w:spacing w:after="120" w:before="0"/>
      </w:pPr>
      <w:r>
        <w:rPr>
          <w:b/>
          <w:i w:val="0"/>
          <w:color w:val="1C3A36"/>
          <w:sz w:val="21"/>
        </w:rPr>
        <w:t>Central fair value ≈ EGP 37.0/share</w:t>
      </w:r>
      <w:r>
        <w:rPr>
          <w:b w:val="0"/>
          <w:i w:val="0"/>
          <w:color w:val="1C3A36"/>
          <w:sz w:val="21"/>
        </w:rPr>
        <w:t>, 18% below spot. Unlike a typical Testahil football field, the width here is not really four independent views converging — the SOTP and pre-discount NAV lenses (40.6 and 45.1) both carry the same MNT-Halan stake assumption, so they move together with it, while the relative (28.9) and normalized (32.9) lenses don’t touch the stake at all and sit much closer to spot. That split is itself informative: strip out the MNT-Halan question and this is a fairly-priced operator; include it at the last disclosed stake and it looks meaningfully cheap. Which is right depends entirely on a number this study cannot currently confirm to the decimal (§1.1 box).</w:t>
      </w:r>
    </w:p>
    <w:p>
      <w:pPr>
        <w:spacing w:after="80" w:before="200"/>
      </w:pPr>
      <w:r>
        <w:rPr>
          <w:b/>
          <w:i w:val="0"/>
          <w:color w:val="1C3A36"/>
          <w:sz w:val="24"/>
        </w:rPr>
        <w:t>1.6  The legs — a deeper look, and the units × ASP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PC (80% of Auto rev)</w:t>
            </w:r>
          </w:p>
        </w:tc>
        <w:tc>
          <w:tcPr>
            <w:tcW w:type="dxa" w:w="1728"/>
          </w:tcPr>
          <w:p>
            <w:pPr>
              <w:spacing w:after="20"/>
              <w:jc w:val="right"/>
            </w:pPr>
            <w:r>
              <w:rPr>
                <w:color w:val="1C3A36"/>
                <w:sz w:val="17"/>
              </w:rPr>
              <w:t>High (rates, FX, imports)</w:t>
            </w:r>
          </w:p>
        </w:tc>
        <w:tc>
          <w:tcPr>
            <w:tcW w:type="dxa" w:w="2736"/>
          </w:tcPr>
          <w:p>
            <w:pPr>
              <w:spacing w:after="20"/>
              <w:jc w:val="right"/>
            </w:pPr>
            <w:r>
              <w:rPr>
                <w:color w:val="1C3A36"/>
                <w:sz w:val="17"/>
              </w:rPr>
              <w:t>GPM normalizing 14.8% → ~14%</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CV&amp;CE,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Credit-cycle</w:t>
            </w:r>
          </w:p>
        </w:tc>
        <w:tc>
          <w:tcPr>
            <w:tcW w:type="dxa" w:w="2736"/>
          </w:tcPr>
          <w:p>
            <w:pPr>
              <w:spacing w:after="20"/>
              <w:jc w:val="right"/>
            </w:pPr>
            <w:r>
              <w:rPr>
                <w:color w:val="1C3A36"/>
                <w:sz w:val="17"/>
              </w:rPr>
              <w:t>Adj. ROAE 15.1%; NIM 5.0%; NPL 2.1–2.5%</w:t>
            </w:r>
          </w:p>
        </w:tc>
        <w:tc>
          <w:tcPr>
            <w:tcW w:type="dxa" w:w="1944"/>
          </w:tcPr>
          <w:p>
            <w:pPr>
              <w:spacing w:after="20"/>
              <w:jc w:val="right"/>
            </w:pPr>
            <w:r>
              <w:rPr>
                <w:color w:val="1C3A36"/>
                <w:sz w:val="17"/>
              </w:rPr>
              <w:t>Leverage 0.86× D/E</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et al.)</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Revenue +50% (1Q26); loan book &gt; USD 1.7 bn</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Optionality</w:t>
            </w:r>
          </w:p>
        </w:tc>
      </w:tr>
    </w:tbl>
    <w:p>
      <w:pPr>
        <w:spacing w:after="40"/>
      </w:pPr>
    </w:p>
    <w:p>
      <w:pPr>
        <w:spacing w:after="120" w:before="0"/>
      </w:pPr>
      <w:r>
        <w:rPr>
          <w:b w:val="0"/>
          <w:i w:val="0"/>
          <w:color w:val="1C3A36"/>
          <w:sz w:val="19"/>
        </w:rPr>
        <w:t>The bottom-up build (§3.5-B/C — gate cleared: every driver below is disclosed or arithmetic on disclosed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 (disclosed)</w:t>
            </w:r>
          </w:p>
        </w:tc>
        <w:tc>
          <w:tcPr>
            <w:tcW w:type="dxa" w:w="1368"/>
            <w:shd w:val="clear" w:color="auto" w:fill="EAF0EE"/>
          </w:tcPr>
          <w:p>
            <w:pPr>
              <w:spacing w:after="20"/>
            </w:pPr>
            <w:r>
              <w:rPr>
                <w:b/>
                <w:color w:val="1C3A36"/>
                <w:sz w:val="17"/>
              </w:rPr>
              <w:t>FY23</w:t>
            </w:r>
          </w:p>
        </w:tc>
        <w:tc>
          <w:tcPr>
            <w:tcW w:type="dxa" w:w="1368"/>
            <w:shd w:val="clear" w:color="auto" w:fill="EAF0EE"/>
          </w:tcPr>
          <w:p>
            <w:pPr>
              <w:spacing w:after="20"/>
            </w:pPr>
            <w:r>
              <w:rPr>
                <w:b/>
                <w:color w:val="1C3A36"/>
                <w:sz w:val="17"/>
              </w:rPr>
              <w:t>FY24</w:t>
            </w:r>
          </w:p>
        </w:tc>
        <w:tc>
          <w:tcPr>
            <w:tcW w:type="dxa" w:w="1368"/>
            <w:shd w:val="clear" w:color="auto" w:fill="EAF0EE"/>
          </w:tcPr>
          <w:p>
            <w:pPr>
              <w:spacing w:after="20"/>
            </w:pPr>
            <w:r>
              <w:rPr>
                <w:b/>
                <w:color w:val="1C3A36"/>
                <w:sz w:val="17"/>
              </w:rPr>
              <w:t>FY25</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FY30E</w:t>
            </w:r>
          </w:p>
        </w:tc>
      </w:tr>
      <w:tr>
        <w:tc>
          <w:tcPr>
            <w:tcW w:type="dxa" w:w="3168"/>
          </w:tcPr>
          <w:p>
            <w:pPr>
              <w:spacing w:after="20"/>
            </w:pPr>
            <w:r>
              <w:rPr>
                <w:b/>
                <w:color w:val="1C3A36"/>
                <w:sz w:val="17"/>
              </w:rPr>
              <w:t>PC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PC ASP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PC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CV&amp;CE revenue</w:t>
            </w:r>
          </w:p>
        </w:tc>
        <w:tc>
          <w:tcPr>
            <w:tcW w:type="dxa" w:w="1368"/>
          </w:tcPr>
          <w:p>
            <w:pPr>
              <w:spacing w:after="20"/>
              <w:jc w:val="right"/>
            </w:pPr>
            <w:r>
              <w:rPr>
                <w:color w:val="1C3A36"/>
                <w:sz w:val="17"/>
              </w:rPr>
              <w:t>2,323</w:t>
            </w:r>
          </w:p>
        </w:tc>
        <w:tc>
          <w:tcPr>
            <w:tcW w:type="dxa" w:w="1368"/>
          </w:tcPr>
          <w:p>
            <w:pPr>
              <w:spacing w:after="20"/>
              <w:jc w:val="right"/>
            </w:pPr>
            <w:r>
              <w:rPr>
                <w:color w:val="1C3A36"/>
                <w:sz w:val="17"/>
              </w:rPr>
              <w:t>3,985</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Light-Mobility revenue</w:t>
            </w:r>
          </w:p>
        </w:tc>
        <w:tc>
          <w:tcPr>
            <w:tcW w:type="dxa" w:w="1368"/>
          </w:tcPr>
          <w:p>
            <w:pPr>
              <w:spacing w:after="20"/>
              <w:jc w:val="right"/>
            </w:pPr>
            <w:r>
              <w:rPr>
                <w:color w:val="1C3A36"/>
                <w:sz w:val="17"/>
              </w:rPr>
              <w:t>854</w:t>
            </w:r>
          </w:p>
        </w:tc>
        <w:tc>
          <w:tcPr>
            <w:tcW w:type="dxa" w:w="1368"/>
          </w:tcPr>
          <w:p>
            <w:pPr>
              <w:spacing w:after="20"/>
              <w:jc w:val="right"/>
            </w:pPr>
            <w:r>
              <w:rPr>
                <w:color w:val="1C3A36"/>
                <w:sz w:val="17"/>
              </w:rPr>
              <w:t>1,378</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 parts)</w:t>
            </w:r>
          </w:p>
        </w:tc>
        <w:tc>
          <w:tcPr>
            <w:tcW w:type="dxa" w:w="1368"/>
          </w:tcPr>
          <w:p>
            <w:pPr>
              <w:spacing w:after="20"/>
              <w:jc w:val="right"/>
            </w:pPr>
            <w:r>
              <w:rPr>
                <w:color w:val="1C3A36"/>
                <w:sz w:val="17"/>
              </w:rPr>
              <w:t>2,507</w:t>
            </w:r>
          </w:p>
        </w:tc>
        <w:tc>
          <w:tcPr>
            <w:tcW w:type="dxa" w:w="1368"/>
          </w:tcPr>
          <w:p>
            <w:pPr>
              <w:spacing w:after="20"/>
              <w:jc w:val="right"/>
            </w:pPr>
            <w:r>
              <w:rPr>
                <w:color w:val="1C3A36"/>
                <w:sz w:val="17"/>
              </w:rPr>
              <w:t>3,816</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23,854</w:t>
            </w:r>
          </w:p>
        </w:tc>
        <w:tc>
          <w:tcPr>
            <w:tcW w:type="dxa" w:w="1368"/>
          </w:tcPr>
          <w:p>
            <w:pPr>
              <w:spacing w:after="20"/>
              <w:jc w:val="right"/>
            </w:pPr>
            <w:r>
              <w:rPr>
                <w:color w:val="1C3A36"/>
                <w:sz w:val="17"/>
              </w:rPr>
              <w:t>47,065</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144,761</w:t>
            </w:r>
          </w:p>
        </w:tc>
      </w:tr>
    </w:tbl>
    <w:p>
      <w:pPr>
        <w:spacing w:after="40"/>
      </w:pPr>
    </w:p>
    <w:p>
      <w:pPr>
        <w:spacing w:after="200" w:before="0"/>
      </w:pPr>
      <w:r>
        <w:rPr>
          <w:b w:val="0"/>
          <w:i/>
          <w:color w:val="6E7B77"/>
          <w:sz w:val="17"/>
        </w:rPr>
        <w:t>FY25 PC mix: 31,349 CKD / 25,199 CBU; Egypt 80.5% of PC revenue, Iraq/Jordan 19.5%. Sources: 4Q23/4Q24/4Q25 releases, Tables 2–7. Forecast drivers are the house’s own flagged view.</w:t>
      </w:r>
    </w:p>
    <w:p>
      <w:pPr>
        <w:spacing w:after="80" w:before="200"/>
      </w:pPr>
      <w:r>
        <w:rPr>
          <w:b/>
          <w:i w:val="0"/>
          <w:color w:val="1C3A36"/>
          <w:sz w:val="24"/>
        </w:rPr>
        <w:t>1.7  The crux: the MNT-Halan mark and discount, then cash conversion and the rate path</w:t>
      </w:r>
    </w:p>
    <w:p>
      <w:pPr>
        <w:spacing w:after="120" w:before="0"/>
      </w:pPr>
      <w:r>
        <w:rPr>
          <w:b w:val="0"/>
          <w:i w:val="0"/>
          <w:color w:val="1C3A36"/>
          <w:sz w:val="21"/>
        </w:rPr>
        <w:t>Three judgments drive the valuation, in order of size. First and now by far the largest: not what GB Corp’s MNT-Halan stake is — that is confirmed (41.61%, 9-Jun-2026 press release, §1.1 box) — but what a private mark this large should be discounted by, given that taking it at face value implies the stake alone is worth roughly three quarters of GB Corp’s entire market cap. This study applies a 10% complexity discount uniformly across all three legs; a reader who believes the market is applying a much steeper illiquidity/minority discount specifically to the MNT-Halan mark should treat the SOTP bear case, not the base case, as the more realistic anchor. Second, where Auto working-capital intensity settles (the observable, disclosed unit: net Auto working capital as % of Auto revenue — device A-1). It ran 18.7% in FY23, 22.9% in FY24 and 28.5% in FY25 as import-restriction payables normalized and inventory was pre-built for Sadat; we glide it to 21.5% by FY30E. Each percentage point of steady-state intensity is worth roughly EGP 4–5/share of SOTP value. Third, the Egyptian nominal-rate path: the 22.0% WACC against 11.5% terminal growth is a 10.5-pt real spread struck off a 19% blended risk-free; every 100 bp the CBE easing cycle takes out of that spread adds ~EGP 3/share (§1.9 grid). A fourth, binary-style exposure (§3.5-E device 6, applied cross-class): roughly a fifth of PC revenue is Iraq/Jordan, where the regional conflict cut 1Q26 volumes — a full-year regional freeze would take ~EGP 1.5–2 bn off Auto gross profit, worth ~EGP 2–3/share.</w:t>
      </w:r>
    </w:p>
    <w:p>
      <w:pPr>
        <w:spacing w:after="80" w:before="200"/>
      </w:pPr>
      <w:r>
        <w:rPr>
          <w:b/>
          <w:i w:val="0"/>
          <w:color w:val="1C3A36"/>
          <w:sz w:val="24"/>
        </w:rPr>
        <w:t>1.8  Macro and country — rates, the pound, imports and the region</w:t>
      </w:r>
    </w:p>
    <w:p>
      <w:pPr>
        <w:spacing w:after="120" w:before="0"/>
      </w:pPr>
      <w:r>
        <w:rPr>
          <w:b w:val="0"/>
          <w:i w:val="0"/>
          <w:color w:val="1C3A36"/>
          <w:sz w:val="21"/>
        </w:rPr>
        <w:t>GB Corp is a leveraged play on Egyptian nominal normalization. The CBE has cut 825 bp since April 2025 and held its deposit rate at 19.00% through the April and May 2026 meetings with inflation ~14.6%; every cut lowers GB Capital’s funding cost on a fixed-rate-lending book, lowers the Auto customer’s instalment, and compresses the discount rate this study applies. The EGP (~47–48/USD, firmer y/y) sets CKD input costs and the EGP value of the MNT-Halan mark — a step-devaluation is the single nastiest macro scenario for both margin and multiple. Import policy and Chinese entrants (BYD’s Egypt entry; grey imports into Iraq) set the competitive ceiling on ASPs; localization (Sadat, 46%+ local content on core CKD lines) is the structural answer. The cost-of-equity build these translate into (house rule §3.5-G):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048"/>
            <w:shd w:val="clear" w:color="auto" w:fill="EAF0EE"/>
          </w:tcPr>
          <w:p>
            <w:pPr>
              <w:spacing w:after="20"/>
            </w:pPr>
            <w:r>
              <w:rPr>
                <w:b/>
                <w:color w:val="1C3A36"/>
                <w:sz w:val="18"/>
              </w:rPr>
              <w:t>Cost-of-capital build</w:t>
            </w:r>
          </w:p>
        </w:tc>
        <w:tc>
          <w:tcPr>
            <w:tcW w:type="dxa" w:w="2016"/>
            <w:shd w:val="clear" w:color="auto" w:fill="EAF0EE"/>
          </w:tcPr>
          <w:p>
            <w:pPr>
              <w:spacing w:after="20"/>
            </w:pPr>
            <w:r>
              <w:rPr>
                <w:b/>
                <w:color w:val="1C3A36"/>
                <w:sz w:val="18"/>
              </w:rPr>
              <w:t>Value</w:t>
            </w:r>
          </w:p>
        </w:tc>
      </w:tr>
      <w:tr>
        <w:tc>
          <w:tcPr>
            <w:tcW w:type="dxa" w:w="6048"/>
          </w:tcPr>
          <w:p>
            <w:pPr>
              <w:spacing w:after="20"/>
            </w:pPr>
            <w:r>
              <w:rPr>
                <w:b/>
                <w:color w:val="1C3A36"/>
                <w:sz w:val="18"/>
              </w:rPr>
              <w:t>Risk-free rate (blended 5-yr EGP view)</w:t>
            </w:r>
          </w:p>
        </w:tc>
        <w:tc>
          <w:tcPr>
            <w:tcW w:type="dxa" w:w="2016"/>
          </w:tcPr>
          <w:p>
            <w:pPr>
              <w:spacing w:after="20"/>
              <w:jc w:val="right"/>
            </w:pPr>
            <w:r>
              <w:rPr>
                <w:color w:val="1C3A36"/>
                <w:sz w:val="18"/>
              </w:rPr>
              <w:t>19.0%</w:t>
            </w:r>
          </w:p>
        </w:tc>
      </w:tr>
      <w:tr>
        <w:tc>
          <w:tcPr>
            <w:tcW w:type="dxa" w:w="6048"/>
          </w:tcPr>
          <w:p>
            <w:pPr>
              <w:spacing w:after="20"/>
            </w:pPr>
            <w:r>
              <w:rPr>
                <w:b/>
                <w:color w:val="1C3A36"/>
                <w:sz w:val="18"/>
              </w:rPr>
              <w:t>Equity beta (band 0.8–1.3)</w:t>
            </w:r>
          </w:p>
        </w:tc>
        <w:tc>
          <w:tcPr>
            <w:tcW w:type="dxa" w:w="2016"/>
          </w:tcPr>
          <w:p>
            <w:pPr>
              <w:spacing w:after="20"/>
              <w:jc w:val="right"/>
            </w:pPr>
            <w:r>
              <w:rPr>
                <w:color w:val="1C3A36"/>
                <w:sz w:val="18"/>
              </w:rPr>
              <w:t>0.95</w:t>
            </w:r>
          </w:p>
        </w:tc>
      </w:tr>
      <w:tr>
        <w:tc>
          <w:tcPr>
            <w:tcW w:type="dxa" w:w="6048"/>
          </w:tcPr>
          <w:p>
            <w:pPr>
              <w:spacing w:after="20"/>
            </w:pPr>
            <w:r>
              <w:rPr>
                <w:b/>
                <w:color w:val="1C3A36"/>
                <w:sz w:val="18"/>
              </w:rPr>
              <w:t>Equity risk premium (Egypt)</w:t>
            </w:r>
          </w:p>
        </w:tc>
        <w:tc>
          <w:tcPr>
            <w:tcW w:type="dxa" w:w="2016"/>
          </w:tcPr>
          <w:p>
            <w:pPr>
              <w:spacing w:after="20"/>
              <w:jc w:val="right"/>
            </w:pPr>
            <w:r>
              <w:rPr>
                <w:color w:val="1C3A36"/>
                <w:sz w:val="18"/>
              </w:rPr>
              <w:t>7.0%</w:t>
            </w:r>
          </w:p>
        </w:tc>
      </w:tr>
      <w:tr>
        <w:tc>
          <w:tcPr>
            <w:tcW w:type="dxa" w:w="6048"/>
          </w:tcPr>
          <w:p>
            <w:pPr>
              <w:spacing w:after="20"/>
            </w:pPr>
            <w:r>
              <w:rPr>
                <w:b/>
                <w:color w:val="1C3A36"/>
                <w:sz w:val="18"/>
              </w:rPr>
              <w:t>Cost of equity Ke = rf + β × ERP</w:t>
            </w:r>
          </w:p>
        </w:tc>
        <w:tc>
          <w:tcPr>
            <w:tcW w:type="dxa" w:w="2016"/>
          </w:tcPr>
          <w:p>
            <w:pPr>
              <w:spacing w:after="20"/>
              <w:jc w:val="right"/>
            </w:pPr>
            <w:r>
              <w:rPr>
                <w:color w:val="1C3A36"/>
                <w:sz w:val="18"/>
              </w:rPr>
              <w:t>25.7%</w:t>
            </w:r>
          </w:p>
        </w:tc>
      </w:tr>
      <w:tr>
        <w:tc>
          <w:tcPr>
            <w:tcW w:type="dxa" w:w="6048"/>
          </w:tcPr>
          <w:p>
            <w:pPr>
              <w:spacing w:after="20"/>
            </w:pPr>
            <w:r>
              <w:rPr>
                <w:b/>
                <w:color w:val="1C3A36"/>
                <w:sz w:val="18"/>
              </w:rPr>
              <w:t>After-tax cost of debt (21% pre-tax, 28% tax)</w:t>
            </w:r>
          </w:p>
        </w:tc>
        <w:tc>
          <w:tcPr>
            <w:tcW w:type="dxa" w:w="2016"/>
          </w:tcPr>
          <w:p>
            <w:pPr>
              <w:spacing w:after="20"/>
              <w:jc w:val="right"/>
            </w:pPr>
            <w:r>
              <w:rPr>
                <w:color w:val="1C3A36"/>
                <w:sz w:val="18"/>
              </w:rPr>
              <w:t>15.1%</w:t>
            </w:r>
          </w:p>
        </w:tc>
      </w:tr>
      <w:tr>
        <w:tc>
          <w:tcPr>
            <w:tcW w:type="dxa" w:w="6048"/>
          </w:tcPr>
          <w:p>
            <w:pPr>
              <w:spacing w:after="20"/>
            </w:pPr>
            <w:r>
              <w:rPr>
                <w:b/>
                <w:color w:val="1C3A36"/>
                <w:sz w:val="18"/>
              </w:rPr>
              <w:t>WACC (65% equity / 35% debt)</w:t>
            </w:r>
          </w:p>
        </w:tc>
        <w:tc>
          <w:tcPr>
            <w:tcW w:type="dxa" w:w="2016"/>
          </w:tcPr>
          <w:p>
            <w:pPr>
              <w:spacing w:after="20"/>
              <w:jc w:val="right"/>
            </w:pPr>
            <w:r>
              <w:rPr>
                <w:color w:val="1C3A36"/>
                <w:sz w:val="18"/>
              </w:rPr>
              <w:t>22.0%</w:t>
            </w:r>
          </w:p>
        </w:tc>
      </w:tr>
      <w:tr>
        <w:tc>
          <w:tcPr>
            <w:tcW w:type="dxa" w:w="6048"/>
          </w:tcPr>
          <w:p>
            <w:pPr>
              <w:spacing w:after="20"/>
            </w:pPr>
            <w:r>
              <w:rPr>
                <w:b/>
                <w:color w:val="1C3A36"/>
                <w:sz w:val="18"/>
              </w:rPr>
              <w:t>Terminal growth (nominal EGP)</w:t>
            </w:r>
          </w:p>
        </w:tc>
        <w:tc>
          <w:tcPr>
            <w:tcW w:type="dxa" w:w="2016"/>
          </w:tcPr>
          <w:p>
            <w:pPr>
              <w:spacing w:after="20"/>
              <w:jc w:val="right"/>
            </w:pPr>
            <w:r>
              <w:rPr>
                <w:color w:val="1C3A36"/>
                <w:sz w:val="18"/>
              </w:rPr>
              <w:t>11.5%</w:t>
            </w:r>
          </w:p>
        </w:tc>
      </w:tr>
    </w:tbl>
    <w:p>
      <w:pPr>
        <w:spacing w:after="40"/>
      </w:pPr>
    </w:p>
    <w:p>
      <w:pPr>
        <w:spacing w:after="80" w:before="200"/>
      </w:pPr>
      <w:r>
        <w:rPr>
          <w:b/>
          <w:i w:val="0"/>
          <w:color w:val="1C3A36"/>
          <w:sz w:val="24"/>
        </w:rPr>
        <w:t>1.9  Sensitivity — the margin, the discount, and the rate spread</w:t>
      </w:r>
    </w:p>
    <w:p>
      <w:pPr>
        <w:spacing w:after="120" w:before="0"/>
      </w:pPr>
      <w:r>
        <w:rPr>
          <w:b w:val="0"/>
          <w:i w:val="0"/>
          <w:color w:val="1C3A36"/>
          <w:sz w:val="21"/>
        </w:rPr>
        <w:t>Holding the lender and associate marks (and the MNT-Halan stake, at the confirmed 41.61%) fixed, the first grid re-prices the SOTP across the Auto gross-margin path and the complexity discount; the second across the WACC × terminal-growth spread (the rate-cycle bet made explicit, device A-7). The stake is no longer the open question — what matters now is the discount applied to its mark, sensitized in the §1.1 box, since it dominates both of these grids combined.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SOTP fair value (EGP/share) across the Auto GPM shift and the complexity discount. Bold cells sit nearest spot (EGP 31.25).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9.5%</w:t>
            </w:r>
          </w:p>
        </w:tc>
        <w:tc>
          <w:tcPr>
            <w:tcW w:type="dxa" w:w="1440"/>
            <w:shd w:val="clear" w:color="auto" w:fill="EAF0EE"/>
          </w:tcPr>
          <w:p>
            <w:pPr>
              <w:spacing w:after="20"/>
            </w:pPr>
            <w:r>
              <w:rPr>
                <w:b/>
                <w:color w:val="1C3A36"/>
                <w:sz w:val="18"/>
              </w:rPr>
              <w:t>10.5%</w:t>
            </w:r>
          </w:p>
        </w:tc>
        <w:tc>
          <w:tcPr>
            <w:tcW w:type="dxa" w:w="1440"/>
            <w:shd w:val="clear" w:color="auto" w:fill="EAF0EE"/>
          </w:tcPr>
          <w:p>
            <w:pPr>
              <w:spacing w:after="20"/>
            </w:pPr>
            <w:r>
              <w:rPr>
                <w:b/>
                <w:color w:val="1C3A36"/>
                <w:sz w:val="18"/>
              </w:rPr>
              <w:t>11.5%</w:t>
            </w:r>
          </w:p>
        </w:tc>
        <w:tc>
          <w:tcPr>
            <w:tcW w:type="dxa" w:w="1440"/>
            <w:shd w:val="clear" w:color="auto" w:fill="EAF0EE"/>
          </w:tcPr>
          <w:p>
            <w:pPr>
              <w:spacing w:after="20"/>
            </w:pPr>
            <w:r>
              <w:rPr>
                <w:b/>
                <w:color w:val="1C3A36"/>
                <w:sz w:val="18"/>
              </w:rPr>
              <w:t>12.5%</w:t>
            </w:r>
          </w:p>
        </w:tc>
        <w:tc>
          <w:tcPr>
            <w:tcW w:type="dxa" w:w="1440"/>
            <w:shd w:val="clear" w:color="auto" w:fill="EAF0EE"/>
          </w:tcPr>
          <w:p>
            <w:pPr>
              <w:spacing w:after="20"/>
            </w:pPr>
            <w:r>
              <w:rPr>
                <w:b/>
                <w:color w:val="1C3A36"/>
                <w:sz w:val="18"/>
              </w:rPr>
              <w:t>13.5%</w:t>
            </w:r>
          </w:p>
        </w:tc>
      </w:tr>
      <w:tr>
        <w:tc>
          <w:tcPr>
            <w:tcW w:type="dxa" w:w="2160"/>
          </w:tcPr>
          <w:p>
            <w:pPr>
              <w:spacing w:after="20"/>
            </w:pPr>
            <w:r>
              <w:rPr>
                <w:b/>
                <w:color w:val="1C3A36"/>
                <w:sz w:val="18"/>
              </w:rPr>
              <w:t>20%</w:t>
            </w:r>
          </w:p>
        </w:tc>
        <w:tc>
          <w:tcPr>
            <w:tcW w:type="dxa" w:w="1440"/>
          </w:tcPr>
          <w:p>
            <w:pPr>
              <w:spacing w:after="20"/>
              <w:jc w:val="right"/>
            </w:pPr>
            <w:r>
              <w:rPr>
                <w:color w:val="1C3A36"/>
                <w:sz w:val="18"/>
              </w:rPr>
              <w:t>42.1</w:t>
            </w:r>
          </w:p>
        </w:tc>
        <w:tc>
          <w:tcPr>
            <w:tcW w:type="dxa" w:w="1440"/>
          </w:tcPr>
          <w:p>
            <w:pPr>
              <w:spacing w:after="20"/>
              <w:jc w:val="right"/>
            </w:pPr>
            <w:r>
              <w:rPr>
                <w:color w:val="1C3A36"/>
                <w:sz w:val="18"/>
              </w:rPr>
              <w:t>44.2</w:t>
            </w:r>
          </w:p>
        </w:tc>
        <w:tc>
          <w:tcPr>
            <w:tcW w:type="dxa" w:w="1440"/>
          </w:tcPr>
          <w:p>
            <w:pPr>
              <w:spacing w:after="20"/>
              <w:jc w:val="right"/>
            </w:pPr>
            <w:r>
              <w:rPr>
                <w:color w:val="1C3A36"/>
                <w:sz w:val="18"/>
              </w:rPr>
              <w:t>46.9</w:t>
            </w:r>
          </w:p>
        </w:tc>
        <w:tc>
          <w:tcPr>
            <w:tcW w:type="dxa" w:w="1440"/>
          </w:tcPr>
          <w:p>
            <w:pPr>
              <w:spacing w:after="20"/>
              <w:jc w:val="right"/>
            </w:pPr>
            <w:r>
              <w:rPr>
                <w:color w:val="1C3A36"/>
                <w:sz w:val="18"/>
              </w:rPr>
              <w:t>50.3</w:t>
            </w:r>
          </w:p>
        </w:tc>
        <w:tc>
          <w:tcPr>
            <w:tcW w:type="dxa" w:w="1440"/>
          </w:tcPr>
          <w:p>
            <w:pPr>
              <w:spacing w:after="20"/>
              <w:jc w:val="right"/>
            </w:pPr>
            <w:r>
              <w:rPr>
                <w:color w:val="1C3A36"/>
                <w:sz w:val="18"/>
              </w:rPr>
              <w:t>54.7</w:t>
            </w:r>
          </w:p>
        </w:tc>
      </w:tr>
      <w:tr>
        <w:tc>
          <w:tcPr>
            <w:tcW w:type="dxa" w:w="2160"/>
          </w:tcPr>
          <w:p>
            <w:pPr>
              <w:spacing w:after="20"/>
            </w:pPr>
            <w:r>
              <w:rPr>
                <w:b/>
                <w:color w:val="1C3A36"/>
                <w:sz w:val="18"/>
              </w:rPr>
              <w:t>21%</w:t>
            </w:r>
          </w:p>
        </w:tc>
        <w:tc>
          <w:tcPr>
            <w:tcW w:type="dxa" w:w="1440"/>
          </w:tcPr>
          <w:p>
            <w:pPr>
              <w:spacing w:after="20"/>
              <w:jc w:val="right"/>
            </w:pPr>
            <w:r>
              <w:rPr>
                <w:color w:val="1C3A36"/>
                <w:sz w:val="18"/>
              </w:rPr>
              <w:t>39.6</w:t>
            </w:r>
          </w:p>
        </w:tc>
        <w:tc>
          <w:tcPr>
            <w:tcW w:type="dxa" w:w="1440"/>
          </w:tcPr>
          <w:p>
            <w:pPr>
              <w:spacing w:after="20"/>
              <w:jc w:val="right"/>
            </w:pPr>
            <w:r>
              <w:rPr>
                <w:color w:val="1C3A36"/>
                <w:sz w:val="18"/>
              </w:rPr>
              <w:t>41.3</w:t>
            </w:r>
          </w:p>
        </w:tc>
        <w:tc>
          <w:tcPr>
            <w:tcW w:type="dxa" w:w="1440"/>
          </w:tcPr>
          <w:p>
            <w:pPr>
              <w:spacing w:after="20"/>
              <w:jc w:val="right"/>
            </w:pPr>
            <w:r>
              <w:rPr>
                <w:color w:val="1C3A36"/>
                <w:sz w:val="18"/>
              </w:rPr>
              <w:t>43.4</w:t>
            </w:r>
          </w:p>
        </w:tc>
        <w:tc>
          <w:tcPr>
            <w:tcW w:type="dxa" w:w="1440"/>
          </w:tcPr>
          <w:p>
            <w:pPr>
              <w:spacing w:after="20"/>
              <w:jc w:val="right"/>
            </w:pPr>
            <w:r>
              <w:rPr>
                <w:color w:val="1C3A36"/>
                <w:sz w:val="18"/>
              </w:rPr>
              <w:t>46.0</w:t>
            </w:r>
          </w:p>
        </w:tc>
        <w:tc>
          <w:tcPr>
            <w:tcW w:type="dxa" w:w="1440"/>
          </w:tcPr>
          <w:p>
            <w:pPr>
              <w:spacing w:after="20"/>
              <w:jc w:val="right"/>
            </w:pPr>
            <w:r>
              <w:rPr>
                <w:color w:val="1C3A36"/>
                <w:sz w:val="18"/>
              </w:rPr>
              <w:t>49.3</w:t>
            </w:r>
          </w:p>
        </w:tc>
      </w:tr>
      <w:tr>
        <w:tc>
          <w:tcPr>
            <w:tcW w:type="dxa" w:w="2160"/>
          </w:tcPr>
          <w:p>
            <w:pPr>
              <w:spacing w:after="20"/>
            </w:pPr>
            <w:r>
              <w:rPr>
                <w:b/>
                <w:color w:val="1C3A36"/>
                <w:sz w:val="18"/>
              </w:rPr>
              <w:t>22%</w:t>
            </w:r>
          </w:p>
        </w:tc>
        <w:tc>
          <w:tcPr>
            <w:tcW w:type="dxa" w:w="1440"/>
          </w:tcPr>
          <w:p>
            <w:pPr>
              <w:spacing w:after="20"/>
              <w:jc w:val="right"/>
            </w:pPr>
            <w:r>
              <w:rPr>
                <w:color w:val="1C3A36"/>
                <w:sz w:val="18"/>
              </w:rPr>
              <w:t>37.5</w:t>
            </w:r>
          </w:p>
        </w:tc>
        <w:tc>
          <w:tcPr>
            <w:tcW w:type="dxa" w:w="1440"/>
          </w:tcPr>
          <w:p>
            <w:pPr>
              <w:spacing w:after="20"/>
              <w:jc w:val="right"/>
            </w:pPr>
            <w:r>
              <w:rPr>
                <w:color w:val="1C3A36"/>
                <w:sz w:val="18"/>
              </w:rPr>
              <w:t>38.9</w:t>
            </w:r>
          </w:p>
        </w:tc>
        <w:tc>
          <w:tcPr>
            <w:tcW w:type="dxa" w:w="1440"/>
          </w:tcPr>
          <w:p>
            <w:pPr>
              <w:spacing w:after="20"/>
              <w:jc w:val="right"/>
            </w:pPr>
            <w:r>
              <w:rPr>
                <w:color w:val="1C3A36"/>
                <w:sz w:val="18"/>
              </w:rPr>
              <w:t>40.6</w:t>
            </w:r>
          </w:p>
        </w:tc>
        <w:tc>
          <w:tcPr>
            <w:tcW w:type="dxa" w:w="1440"/>
          </w:tcPr>
          <w:p>
            <w:pPr>
              <w:spacing w:after="20"/>
              <w:jc w:val="right"/>
            </w:pPr>
            <w:r>
              <w:rPr>
                <w:color w:val="1C3A36"/>
                <w:sz w:val="18"/>
              </w:rPr>
              <w:t>42.6</w:t>
            </w:r>
          </w:p>
        </w:tc>
        <w:tc>
          <w:tcPr>
            <w:tcW w:type="dxa" w:w="1440"/>
          </w:tcPr>
          <w:p>
            <w:pPr>
              <w:spacing w:after="20"/>
              <w:jc w:val="right"/>
            </w:pPr>
            <w:r>
              <w:rPr>
                <w:color w:val="1C3A36"/>
                <w:sz w:val="18"/>
              </w:rPr>
              <w:t>45.1</w:t>
            </w:r>
          </w:p>
        </w:tc>
      </w:tr>
      <w:tr>
        <w:tc>
          <w:tcPr>
            <w:tcW w:type="dxa" w:w="2160"/>
          </w:tcPr>
          <w:p>
            <w:pPr>
              <w:spacing w:after="20"/>
            </w:pPr>
            <w:r>
              <w:rPr>
                <w:b/>
                <w:color w:val="1C3A36"/>
                <w:sz w:val="18"/>
              </w:rPr>
              <w:t>23%</w:t>
            </w:r>
          </w:p>
        </w:tc>
        <w:tc>
          <w:tcPr>
            <w:tcW w:type="dxa" w:w="1440"/>
          </w:tcPr>
          <w:p>
            <w:pPr>
              <w:spacing w:after="20"/>
              <w:jc w:val="right"/>
            </w:pPr>
            <w:r>
              <w:rPr>
                <w:color w:val="1C3A36"/>
                <w:sz w:val="18"/>
              </w:rPr>
              <w:t>35.7</w:t>
            </w:r>
          </w:p>
        </w:tc>
        <w:tc>
          <w:tcPr>
            <w:tcW w:type="dxa" w:w="1440"/>
          </w:tcPr>
          <w:p>
            <w:pPr>
              <w:spacing w:after="20"/>
              <w:jc w:val="right"/>
            </w:pPr>
            <w:r>
              <w:rPr>
                <w:color w:val="1C3A36"/>
                <w:sz w:val="18"/>
              </w:rPr>
              <w:t>36.9</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39.9</w:t>
            </w:r>
          </w:p>
        </w:tc>
        <w:tc>
          <w:tcPr>
            <w:tcW w:type="dxa" w:w="1440"/>
          </w:tcPr>
          <w:p>
            <w:pPr>
              <w:spacing w:after="20"/>
              <w:jc w:val="right"/>
            </w:pPr>
            <w:r>
              <w:rPr>
                <w:color w:val="1C3A36"/>
                <w:sz w:val="18"/>
              </w:rPr>
              <w:t>41.8</w:t>
            </w:r>
          </w:p>
        </w:tc>
      </w:tr>
      <w:tr>
        <w:tc>
          <w:tcPr>
            <w:tcW w:type="dxa" w:w="2160"/>
          </w:tcPr>
          <w:p>
            <w:pPr>
              <w:spacing w:after="20"/>
            </w:pPr>
            <w:r>
              <w:rPr>
                <w:b/>
                <w:color w:val="1C3A36"/>
                <w:sz w:val="18"/>
              </w:rPr>
              <w:t>24%</w:t>
            </w:r>
          </w:p>
        </w:tc>
        <w:tc>
          <w:tcPr>
            <w:tcW w:type="dxa" w:w="1440"/>
          </w:tcPr>
          <w:p>
            <w:pPr>
              <w:spacing w:after="20"/>
              <w:jc w:val="right"/>
            </w:pPr>
            <w:r>
              <w:rPr>
                <w:color w:val="1C3A36"/>
                <w:sz w:val="18"/>
              </w:rPr>
              <w:t>34.2</w:t>
            </w:r>
          </w:p>
        </w:tc>
        <w:tc>
          <w:tcPr>
            <w:tcW w:type="dxa" w:w="1440"/>
          </w:tcPr>
          <w:p>
            <w:pPr>
              <w:spacing w:after="20"/>
              <w:jc w:val="right"/>
            </w:pPr>
            <w:r>
              <w:rPr>
                <w:color w:val="1C3A36"/>
                <w:sz w:val="18"/>
              </w:rPr>
              <w:t>35.2</w:t>
            </w:r>
          </w:p>
        </w:tc>
        <w:tc>
          <w:tcPr>
            <w:tcW w:type="dxa" w:w="1440"/>
          </w:tcPr>
          <w:p>
            <w:pPr>
              <w:spacing w:after="20"/>
              <w:jc w:val="right"/>
            </w:pPr>
            <w:r>
              <w:rPr>
                <w:color w:val="1C3A36"/>
                <w:sz w:val="18"/>
              </w:rPr>
              <w:t>36.3</w:t>
            </w:r>
          </w:p>
        </w:tc>
        <w:tc>
          <w:tcPr>
            <w:tcW w:type="dxa" w:w="1440"/>
          </w:tcPr>
          <w:p>
            <w:pPr>
              <w:spacing w:after="20"/>
              <w:jc w:val="right"/>
            </w:pPr>
            <w:r>
              <w:rPr>
                <w:color w:val="1C3A36"/>
                <w:sz w:val="18"/>
              </w:rPr>
              <w:t>37.6</w:t>
            </w:r>
          </w:p>
        </w:tc>
        <w:tc>
          <w:tcPr>
            <w:tcW w:type="dxa" w:w="1440"/>
          </w:tcPr>
          <w:p>
            <w:pPr>
              <w:spacing w:after="20"/>
              <w:jc w:val="right"/>
            </w:pPr>
            <w:r>
              <w:rPr>
                <w:color w:val="1C3A36"/>
                <w:sz w:val="18"/>
              </w:rPr>
              <w:t>39.2</w:t>
            </w:r>
          </w:p>
        </w:tc>
      </w:tr>
    </w:tbl>
    <w:p>
      <w:pPr>
        <w:spacing w:after="40"/>
      </w:pPr>
    </w:p>
    <w:p>
      <w:pPr>
        <w:spacing w:after="200" w:before="0"/>
      </w:pPr>
      <w:r>
        <w:rPr>
          <w:b w:val="0"/>
          <w:i/>
          <w:color w:val="6E7B77"/>
          <w:sz w:val="17"/>
        </w:rPr>
        <w:t>SOTP fair value (EGP/share, post-discount) across WACC × terminal growth. Base cell 22% × 11.5% = 40.6. Read the rate axis as the bet you are taking on Egyptian nominal normalization — this grid holds the confirmed 41.61% MNT-Halan stake fixed; it is not the dominant sensitivity in this study (see §1.1).</w:t>
      </w:r>
    </w:p>
    <w:p>
      <w:pPr>
        <w:spacing w:after="120" w:before="280"/>
      </w:pPr>
      <w:r>
        <w:rPr>
          <w:b/>
          <w:i w:val="0"/>
          <w:color w:val="1C3A36"/>
          <w:sz w:val="30"/>
        </w:rPr>
        <w:t>2  Technical and price structure</w:t>
      </w:r>
    </w:p>
    <w:p>
      <w:pPr>
        <w:spacing w:after="120" w:before="0"/>
      </w:pPr>
      <w:r>
        <w:rPr>
          <w:b w:val="0"/>
          <w:i w:val="0"/>
          <w:color w:val="1C3A36"/>
          <w:sz w:val="21"/>
        </w:rPr>
        <w:t>The tape is strong and extended. GBCO trades above all four major moving averages, the MACD histogram has just re-crossed positive, and RSI sits in the low-60s — firm, not yet euphoric. The structure is a stair-step advance: a February spike to the EGP 33.40 all-time high, a two-month consolidation into the April low near 24, and a renewed leg that has carried price back within ~6% of the high. The 52-week low at 19.10 is the deep floor; the 20-day average near 30 is the trend’s first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592"/>
          </w:tcPr>
          <w:p>
            <w:pPr>
              <w:spacing w:after="20"/>
            </w:pPr>
            <w:r>
              <w:rPr>
                <w:b/>
                <w:color w:val="1C3A36"/>
                <w:sz w:val="18"/>
              </w:rPr>
              <w:t>Spot</w:t>
            </w:r>
          </w:p>
        </w:tc>
        <w:tc>
          <w:tcPr>
            <w:tcW w:type="dxa" w:w="3744"/>
          </w:tcPr>
          <w:p>
            <w:pPr>
              <w:spacing w:after="20"/>
              <w:jc w:val="right"/>
            </w:pPr>
            <w:r>
              <w:rPr>
                <w:color w:val="1C3A36"/>
                <w:sz w:val="18"/>
              </w:rPr>
              <w:t>EGP 31.25</w:t>
            </w:r>
          </w:p>
        </w:tc>
        <w:tc>
          <w:tcPr>
            <w:tcW w:type="dxa" w:w="3600"/>
          </w:tcPr>
          <w:p>
            <w:pPr>
              <w:spacing w:after="20"/>
              <w:jc w:val="right"/>
            </w:pPr>
            <w:r>
              <w:rPr>
                <w:color w:val="1C3A36"/>
                <w:sz w:val="18"/>
              </w:rPr>
              <w:t>—</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EGP 30.0 / 28.2</w:t>
            </w:r>
          </w:p>
        </w:tc>
        <w:tc>
          <w:tcPr>
            <w:tcW w:type="dxa" w:w="3600"/>
          </w:tcPr>
          <w:p>
            <w:pPr>
              <w:spacing w:after="20"/>
              <w:jc w:val="right"/>
            </w:pPr>
            <w:r>
              <w:rPr>
                <w:color w:val="1C3A36"/>
                <w:sz w:val="18"/>
              </w:rPr>
              <w:t>Above both — short-term up</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EGP 27.8 / 26.7</w:t>
            </w:r>
          </w:p>
        </w:tc>
        <w:tc>
          <w:tcPr>
            <w:tcW w:type="dxa" w:w="3600"/>
          </w:tcPr>
          <w:p>
            <w:pPr>
              <w:spacing w:after="20"/>
              <w:jc w:val="right"/>
            </w:pPr>
            <w:r>
              <w:rPr>
                <w:color w:val="1C3A36"/>
                <w:sz w:val="18"/>
              </w:rPr>
              <w:t>Above both — trend up</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62.8</w:t>
            </w:r>
          </w:p>
        </w:tc>
        <w:tc>
          <w:tcPr>
            <w:tcW w:type="dxa" w:w="3600"/>
          </w:tcPr>
          <w:p>
            <w:pPr>
              <w:spacing w:after="20"/>
              <w:jc w:val="right"/>
            </w:pPr>
            <w:r>
              <w:rPr>
                <w:color w:val="1C3A36"/>
                <w:sz w:val="18"/>
              </w:rPr>
              <w:t>Firm; below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+1.15 line / +1.11 signal / +0.04 hist</w:t>
            </w:r>
          </w:p>
        </w:tc>
        <w:tc>
          <w:tcPr>
            <w:tcW w:type="dxa" w:w="3600"/>
          </w:tcPr>
          <w:p>
            <w:pPr>
              <w:spacing w:after="20"/>
              <w:jc w:val="right"/>
            </w:pPr>
            <w:r>
              <w:rPr>
                <w:color w:val="1C3A36"/>
                <w:sz w:val="18"/>
              </w:rPr>
              <w:t>Bullish, momentum re-building</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EGP 19.10 – 33.40</w:t>
            </w:r>
          </w:p>
        </w:tc>
        <w:tc>
          <w:tcPr>
            <w:tcW w:type="dxa" w:w="3600"/>
          </w:tcPr>
          <w:p>
            <w:pPr>
              <w:spacing w:after="20"/>
              <w:jc w:val="right"/>
            </w:pPr>
            <w:r>
              <w:rPr>
                <w:color w:val="1C3A36"/>
                <w:sz w:val="18"/>
              </w:rPr>
              <w:t>Upper tenth of range</w:t>
            </w:r>
          </w:p>
        </w:tc>
      </w:tr>
      <w:tr>
        <w:tc>
          <w:tcPr>
            <w:tcW w:type="dxa" w:w="2592"/>
          </w:tcPr>
          <w:p>
            <w:pPr>
              <w:spacing w:after="20"/>
            </w:pPr>
            <w:r>
              <w:rPr>
                <w:b/>
                <w:color w:val="1C3A36"/>
                <w:sz w:val="18"/>
              </w:rPr>
              <w:t>Realized vol (252d)</w:t>
            </w:r>
          </w:p>
        </w:tc>
        <w:tc>
          <w:tcPr>
            <w:tcW w:type="dxa" w:w="3744"/>
          </w:tcPr>
          <w:p>
            <w:pPr>
              <w:spacing w:after="20"/>
              <w:jc w:val="right"/>
            </w:pPr>
            <w:r>
              <w:rPr>
                <w:color w:val="1C3A36"/>
                <w:sz w:val="18"/>
              </w:rPr>
              <w:t>35.6%</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0062"/>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0062"/>
                    </a:xfrm>
                    <a:prstGeom prst="rect"/>
                  </pic:spPr>
                </pic:pic>
              </a:graphicData>
            </a:graphic>
          </wp:inline>
        </w:drawing>
      </w:r>
    </w:p>
    <w:p>
      <w:pPr>
        <w:spacing w:after="200" w:before="0"/>
      </w:pPr>
      <w:r>
        <w:rPr>
          <w:b w:val="0"/>
          <w:i/>
          <w:color w:val="6E7B77"/>
          <w:sz w:val="17"/>
        </w:rPr>
        <w:t>Figure 3 — Price versus the moving-average stack, last 260 sessions.</w:t>
      </w:r>
    </w:p>
    <w:p>
      <w:pPr>
        <w:spacing w:after="120" w:before="0"/>
      </w:pPr>
      <w:r>
        <w:rPr>
          <w:b w:val="0"/>
          <w:i w:val="0"/>
          <w:color w:val="1C3A36"/>
          <w:sz w:val="21"/>
        </w:rPr>
        <w:t>For the probabilistic work this matters in one way: an above-trend, momentum-positive tape thickens the near-term upside tail even where the fundamental work says value has been reached. The technical and fundamental pictures genuinely disagree here — unusually, with the tape the more bullish — and §6 reads the resulting probability zones without forcing a reconciliation.</w:t>
      </w:r>
    </w:p>
    <w:p>
      <w:pPr>
        <w:spacing w:after="120" w:before="280"/>
      </w:pPr>
      <w:r>
        <w:rPr>
          <w:b/>
          <w:i w:val="0"/>
          <w:color w:val="1C3A36"/>
          <w:sz w:val="30"/>
        </w:rPr>
        <w:t>3  Monte Carlo — a probabilistic price map</w:t>
      </w:r>
    </w:p>
    <w:p>
      <w:pPr>
        <w:spacing w:after="80" w:before="0"/>
      </w:pPr>
      <w:r>
        <w:rPr>
          <w:b w:val="0"/>
          <w:i w:val="0"/>
          <w:color w:val="1C3A36"/>
          <w:sz w:val="19"/>
        </w:rPr>
        <w:t>The probability read below opens the section, per house presentation: computed from the same 50,000 paths as everything that follows, it is a summary of the distribution, not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(T+60)</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P(price above spot)</w:t>
            </w:r>
          </w:p>
        </w:tc>
        <w:tc>
          <w:tcPr>
            <w:tcW w:type="dxa" w:w="4752"/>
          </w:tcPr>
          <w:p>
            <w:pPr>
              <w:spacing w:after="20"/>
              <w:jc w:val="right"/>
            </w:pPr>
            <w:r>
              <w:rPr>
                <w:color w:val="1C3A36"/>
                <w:sz w:val="18"/>
              </w:rPr>
              <w:t>71%</w:t>
            </w:r>
          </w:p>
        </w:tc>
      </w:tr>
      <w:tr>
        <w:tc>
          <w:tcPr>
            <w:tcW w:type="dxa" w:w="4752"/>
          </w:tcPr>
          <w:p>
            <w:pPr>
              <w:spacing w:after="20"/>
            </w:pPr>
            <w:r>
              <w:rPr>
                <w:b/>
                <w:color w:val="1C3A36"/>
                <w:sz w:val="18"/>
              </w:rPr>
              <w:t>P(+10%) vs P(−10%) — the odds</w:t>
            </w:r>
          </w:p>
        </w:tc>
        <w:tc>
          <w:tcPr>
            <w:tcW w:type="dxa" w:w="4752"/>
          </w:tcPr>
          <w:p>
            <w:pPr>
              <w:spacing w:after="20"/>
              <w:jc w:val="right"/>
            </w:pPr>
            <w:r>
              <w:rPr>
                <w:color w:val="1C3A36"/>
                <w:sz w:val="18"/>
              </w:rPr>
              <w:t>54% vs 15%  ·  3.6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34.98  (+11.9%)</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EGP 30.6 – 40.1   (-2% / +28% of spot)</w:t>
            </w:r>
          </w:p>
        </w:tc>
      </w:tr>
      <w:tr>
        <w:tc>
          <w:tcPr>
            <w:tcW w:type="dxa" w:w="4752"/>
          </w:tcPr>
          <w:p>
            <w:pPr>
              <w:spacing w:after="20"/>
            </w:pPr>
            <w:r>
              <w:rPr>
                <w:b/>
                <w:color w:val="1C3A36"/>
                <w:sz w:val="18"/>
              </w:rPr>
              <w:t>Touch(+10%) / touch(−10%) at any point</w:t>
            </w:r>
          </w:p>
        </w:tc>
        <w:tc>
          <w:tcPr>
            <w:tcW w:type="dxa" w:w="4752"/>
          </w:tcPr>
          <w:p>
            <w:pPr>
              <w:spacing w:after="20"/>
              <w:jc w:val="right"/>
            </w:pPr>
            <w:r>
              <w:rPr>
                <w:color w:val="1C3A36"/>
                <w:sz w:val="18"/>
              </w:rPr>
              <w:t>76%  /  38%</w:t>
            </w:r>
          </w:p>
        </w:tc>
      </w:tr>
    </w:tbl>
    <w:p>
      <w:pPr>
        <w:spacing w:after="40"/>
      </w:pPr>
    </w:p>
    <w:p>
      <w:pPr>
        <w:spacing w:after="120" w:before="0"/>
      </w:pPr>
      <w:r>
        <w:rPr>
          <w:b w:val="0"/>
          <w:i w:val="0"/>
          <w:color w:val="1C3A36"/>
          <w:sz w:val="21"/>
        </w:rPr>
        <w:t>We simulate 50,000 three-month price paths (seed 42) with the house YZ-HAR v2 engine: width from a pooled log-HAR cascade (variance lags 1/5/22) on a gap-aware Yang-Zhang variance proxy, projecting the average daily variance over the next 60 sessions (annualized ≈ 49.6% at this origin — regime-conditional by construction, with no calibration multiplier: the retired KVOL floor is replaced by the HAR width itself); shape from unit-variance Student-t(5) innovations via a per-path chi-square mixture (tighter interquartile body, honest tails); and drift that is asset-class-conditional — here the secular expanding-window drift (+9.8% per quarter), because that is the configuration that passed the Step 0 gate on this name while zero drift failed it (Appendix B). A sixteen-factor stack layers on top: seven continuous macro/operating drivers contributing a small net forward drift and nine discrete events that each fire with a probability and an impact, together adding a modest +1.5% over the quarter.</w:t>
      </w:r>
    </w:p>
    <w:p>
      <w:pPr>
        <w:spacing w:after="120" w:before="0"/>
      </w:pPr>
      <w:r>
        <w:rPr>
          <w:b/>
          <w:i w:val="0"/>
          <w:color w:val="1C3A36"/>
          <w:sz w:val="21"/>
        </w:rPr>
        <w:t xml:space="preserve">By design the paths diffuse from spot as near-term price and deliberately do not embed the fundamental NAV — the value gap of §1 is kept out of the drift. </w:t>
      </w:r>
      <w:r>
        <w:rPr>
          <w:b w:val="0"/>
          <w:i w:val="0"/>
          <w:color w:val="1C3A36"/>
          <w:sz w:val="21"/>
        </w:rPr>
        <w:t>The fundamental gap lives in §1, not here; §3 maps where price could go from today, not where value sits. The upward median you see is the stock’s own measured secular behaviour surviving a calibration test — never a target, and never the §1 value gap smuggled 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720"/>
            <w:shd w:val="clear" w:color="auto" w:fill="EAF0EE"/>
          </w:tcPr>
          <w:p>
            <w:pPr>
              <w:spacing w:after="20"/>
            </w:pPr>
            <w:r>
              <w:rPr>
                <w:b/>
                <w:color w:val="1C3A36"/>
                <w:sz w:val="17"/>
              </w:rPr>
              <w:t>Dir.</w:t>
            </w:r>
          </w:p>
        </w:tc>
        <w:tc>
          <w:tcPr>
            <w:tcW w:type="dxa" w:w="3168"/>
            <w:shd w:val="clear" w:color="auto" w:fill="EAF0EE"/>
          </w:tcPr>
          <w:p>
            <w:pPr>
              <w:spacing w:after="20"/>
            </w:pPr>
            <w:r>
              <w:rPr>
                <w:b/>
                <w:color w:val="1C3A36"/>
                <w:sz w:val="17"/>
              </w:rPr>
              <w:t>Discrete event (9)</w:t>
            </w:r>
          </w:p>
        </w:tc>
        <w:tc>
          <w:tcPr>
            <w:tcW w:type="dxa" w:w="1008"/>
            <w:shd w:val="clear" w:color="auto" w:fill="EAF0EE"/>
          </w:tcPr>
          <w:p>
            <w:pPr>
              <w:spacing w:after="20"/>
            </w:pPr>
            <w:r>
              <w:rPr>
                <w:b/>
                <w:color w:val="1C3A36"/>
                <w:sz w:val="17"/>
              </w:rPr>
              <w:t>Prob.</w:t>
            </w:r>
          </w:p>
        </w:tc>
        <w:tc>
          <w:tcPr>
            <w:tcW w:type="dxa" w:w="1368"/>
            <w:shd w:val="clear" w:color="auto" w:fill="EAF0EE"/>
          </w:tcPr>
          <w:p>
            <w:pPr>
              <w:spacing w:after="20"/>
            </w:pPr>
            <w:r>
              <w:rPr>
                <w:b/>
                <w:color w:val="1C3A36"/>
                <w:sz w:val="17"/>
              </w:rPr>
              <w:t>Mean impact</w:t>
            </w:r>
          </w:p>
        </w:tc>
      </w:tr>
      <w:tr>
        <w:tc>
          <w:tcPr>
            <w:tcW w:type="dxa" w:w="3096"/>
          </w:tcPr>
          <w:p>
            <w:pPr>
              <w:spacing w:after="20"/>
            </w:pPr>
            <w:r>
              <w:rPr>
                <w:color w:val="1C3A36"/>
                <w:sz w:val="17"/>
              </w:rPr>
              <w:t>Egypt PC demand / rate-cut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2Q26 results (11 Aug 2026)</w:t>
            </w:r>
          </w:p>
        </w:tc>
        <w:tc>
          <w:tcPr>
            <w:tcW w:type="dxa" w:w="1008"/>
          </w:tcPr>
          <w:p>
            <w:pPr>
              <w:spacing w:after="20"/>
              <w:jc w:val="right"/>
            </w:pPr>
            <w:r>
              <w:rPr>
                <w:color w:val="1C3A36"/>
                <w:sz w:val="17"/>
              </w:rPr>
              <w:t>90%</w:t>
            </w:r>
          </w:p>
        </w:tc>
        <w:tc>
          <w:tcPr>
            <w:tcW w:type="dxa" w:w="1368"/>
          </w:tcPr>
          <w:p>
            <w:pPr>
              <w:spacing w:after="20"/>
              <w:jc w:val="right"/>
            </w:pPr>
            <w:r>
              <w:rPr>
                <w:color w:val="1C3A36"/>
                <w:sz w:val="17"/>
              </w:rPr>
              <w:t>+0.5%</w:t>
            </w:r>
          </w:p>
        </w:tc>
      </w:tr>
      <w:tr>
        <w:tc>
          <w:tcPr>
            <w:tcW w:type="dxa" w:w="3096"/>
          </w:tcPr>
          <w:p>
            <w:pPr>
              <w:spacing w:after="20"/>
            </w:pPr>
            <w:r>
              <w:rPr>
                <w:color w:val="1C3A36"/>
                <w:sz w:val="17"/>
              </w:rPr>
              <w:t>EGP/USD drift (CKD import content)</w:t>
            </w:r>
          </w:p>
        </w:tc>
        <w:tc>
          <w:tcPr>
            <w:tcW w:type="dxa" w:w="720"/>
          </w:tcPr>
          <w:p>
            <w:pPr>
              <w:spacing w:after="20"/>
              <w:jc w:val="right"/>
            </w:pPr>
            <w:r>
              <w:rPr>
                <w:color w:val="1C3A36"/>
                <w:sz w:val="17"/>
              </w:rPr>
              <w:t>±</w:t>
            </w:r>
          </w:p>
        </w:tc>
        <w:tc>
          <w:tcPr>
            <w:tcW w:type="dxa" w:w="3168"/>
          </w:tcPr>
          <w:p>
            <w:pPr>
              <w:spacing w:after="20"/>
              <w:jc w:val="right"/>
            </w:pPr>
            <w:r>
              <w:rPr>
                <w:color w:val="1C3A36"/>
                <w:sz w:val="17"/>
              </w:rPr>
              <w:t>MNT-Halan second closing ≥ $1.4 bn</w:t>
            </w:r>
          </w:p>
        </w:tc>
        <w:tc>
          <w:tcPr>
            <w:tcW w:type="dxa" w:w="1008"/>
          </w:tcPr>
          <w:p>
            <w:pPr>
              <w:spacing w:after="20"/>
              <w:jc w:val="right"/>
            </w:pPr>
            <w:r>
              <w:rPr>
                <w:color w:val="1C3A36"/>
                <w:sz w:val="17"/>
              </w:rPr>
              <w:t>45%</w:t>
            </w:r>
          </w:p>
        </w:tc>
        <w:tc>
          <w:tcPr>
            <w:tcW w:type="dxa" w:w="1368"/>
          </w:tcPr>
          <w:p>
            <w:pPr>
              <w:spacing w:after="20"/>
              <w:jc w:val="right"/>
            </w:pPr>
            <w:r>
              <w:rPr>
                <w:color w:val="1C3A36"/>
                <w:sz w:val="17"/>
              </w:rPr>
              <w:t>+1.5%</w:t>
            </w:r>
          </w:p>
        </w:tc>
      </w:tr>
      <w:tr>
        <w:tc>
          <w:tcPr>
            <w:tcW w:type="dxa" w:w="3096"/>
          </w:tcPr>
          <w:p>
            <w:pPr>
              <w:spacing w:after="20"/>
            </w:pPr>
            <w:r>
              <w:rPr>
                <w:color w:val="1C3A36"/>
                <w:sz w:val="17"/>
              </w:rPr>
              <w:t>CBE easing (affordability + Capital NIM)</w:t>
            </w:r>
          </w:p>
        </w:tc>
        <w:tc>
          <w:tcPr>
            <w:tcW w:type="dxa" w:w="720"/>
          </w:tcPr>
          <w:p>
            <w:pPr>
              <w:spacing w:after="20"/>
              <w:jc w:val="right"/>
            </w:pPr>
            <w:r>
              <w:rPr>
                <w:color w:val="1C3A36"/>
                <w:sz w:val="17"/>
              </w:rPr>
              <w:t>+</w:t>
            </w:r>
          </w:p>
        </w:tc>
        <w:tc>
          <w:tcPr>
            <w:tcW w:type="dxa" w:w="3168"/>
          </w:tcPr>
          <w:p>
            <w:pPr>
              <w:spacing w:after="20"/>
              <w:jc w:val="right"/>
            </w:pPr>
            <w:r>
              <w:rPr>
                <w:color w:val="1C3A36"/>
                <w:sz w:val="17"/>
              </w:rPr>
              <w:t>CBE cut ≥ 100 bp (Aug/Oct MPC)</w:t>
            </w:r>
          </w:p>
        </w:tc>
        <w:tc>
          <w:tcPr>
            <w:tcW w:type="dxa" w:w="1008"/>
          </w:tcPr>
          <w:p>
            <w:pPr>
              <w:spacing w:after="20"/>
              <w:jc w:val="right"/>
            </w:pPr>
            <w:r>
              <w:rPr>
                <w:color w:val="1C3A36"/>
                <w:sz w:val="17"/>
              </w:rPr>
              <w:t>50%</w:t>
            </w:r>
          </w:p>
        </w:tc>
        <w:tc>
          <w:tcPr>
            <w:tcW w:type="dxa" w:w="1368"/>
          </w:tcPr>
          <w:p>
            <w:pPr>
              <w:spacing w:after="20"/>
              <w:jc w:val="right"/>
            </w:pPr>
            <w:r>
              <w:rPr>
                <w:color w:val="1C3A36"/>
                <w:sz w:val="17"/>
              </w:rPr>
              <w:t>+1.0%</w:t>
            </w:r>
          </w:p>
        </w:tc>
      </w:tr>
      <w:tr>
        <w:tc>
          <w:tcPr>
            <w:tcW w:type="dxa" w:w="3096"/>
          </w:tcPr>
          <w:p>
            <w:pPr>
              <w:spacing w:after="20"/>
            </w:pPr>
            <w:r>
              <w:rPr>
                <w:color w:val="1C3A36"/>
                <w:sz w:val="17"/>
              </w:rPr>
              <w:t>Iraq / Jordan regional-conflict drag</w:t>
            </w:r>
          </w:p>
        </w:tc>
        <w:tc>
          <w:tcPr>
            <w:tcW w:type="dxa" w:w="720"/>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008"/>
          </w:tcPr>
          <w:p>
            <w:pPr>
              <w:spacing w:after="20"/>
              <w:jc w:val="right"/>
            </w:pPr>
            <w:r>
              <w:rPr>
                <w:color w:val="1C3A36"/>
                <w:sz w:val="17"/>
              </w:rPr>
              <w:t>25%</w:t>
            </w:r>
          </w:p>
        </w:tc>
        <w:tc>
          <w:tcPr>
            <w:tcW w:type="dxa" w:w="1368"/>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720"/>
          </w:tcPr>
          <w:p>
            <w:pPr>
              <w:spacing w:after="20"/>
              <w:jc w:val="right"/>
            </w:pPr>
            <w:r>
              <w:rPr>
                <w:color w:val="1C3A36"/>
                <w:sz w:val="17"/>
              </w:rPr>
              <w:t>−</w:t>
            </w:r>
          </w:p>
        </w:tc>
        <w:tc>
          <w:tcPr>
            <w:tcW w:type="dxa" w:w="3168"/>
          </w:tcPr>
          <w:p>
            <w:pPr>
              <w:spacing w:after="20"/>
              <w:jc w:val="right"/>
            </w:pPr>
            <w:r>
              <w:rPr>
                <w:color w:val="1C3A36"/>
                <w:sz w:val="17"/>
              </w:rPr>
              <w:t>BYD Egypt entry / price shock</w:t>
            </w:r>
          </w:p>
        </w:tc>
        <w:tc>
          <w:tcPr>
            <w:tcW w:type="dxa" w:w="1008"/>
          </w:tcPr>
          <w:p>
            <w:pPr>
              <w:spacing w:after="20"/>
              <w:jc w:val="right"/>
            </w:pPr>
            <w:r>
              <w:rPr>
                <w:color w:val="1C3A36"/>
                <w:sz w:val="17"/>
              </w:rPr>
              <w:t>35%</w:t>
            </w:r>
          </w:p>
        </w:tc>
        <w:tc>
          <w:tcPr>
            <w:tcW w:type="dxa" w:w="1368"/>
          </w:tcPr>
          <w:p>
            <w:pPr>
              <w:spacing w:after="20"/>
              <w:jc w:val="right"/>
            </w:pPr>
            <w:r>
              <w:rPr>
                <w:color w:val="1C3A36"/>
                <w:sz w:val="17"/>
              </w:rPr>
              <w:t>−1.0%</w:t>
            </w:r>
          </w:p>
        </w:tc>
      </w:tr>
      <w:tr>
        <w:tc>
          <w:tcPr>
            <w:tcW w:type="dxa" w:w="3096"/>
          </w:tcPr>
          <w:p>
            <w:pPr>
              <w:spacing w:after="20"/>
            </w:pPr>
            <w:r>
              <w:rPr>
                <w:color w:val="1C3A36"/>
                <w:sz w:val="17"/>
              </w:rPr>
              <w:t>Localization / CKD mix &amp; Sadat ramp</w:t>
            </w:r>
          </w:p>
        </w:tc>
        <w:tc>
          <w:tcPr>
            <w:tcW w:type="dxa" w:w="720"/>
          </w:tcPr>
          <w:p>
            <w:pPr>
              <w:spacing w:after="20"/>
              <w:jc w:val="right"/>
            </w:pPr>
            <w:r>
              <w:rPr>
                <w:color w:val="1C3A36"/>
                <w:sz w:val="17"/>
              </w:rPr>
              <w:t>+</w:t>
            </w:r>
          </w:p>
        </w:tc>
        <w:tc>
          <w:tcPr>
            <w:tcW w:type="dxa" w:w="3168"/>
          </w:tcPr>
          <w:p>
            <w:pPr>
              <w:spacing w:after="20"/>
              <w:jc w:val="right"/>
            </w:pPr>
            <w:r>
              <w:rPr>
                <w:color w:val="1C3A36"/>
                <w:sz w:val="17"/>
              </w:rPr>
              <w:t>Sadat ramp / new CKD model</w:t>
            </w:r>
          </w:p>
        </w:tc>
        <w:tc>
          <w:tcPr>
            <w:tcW w:type="dxa" w:w="1008"/>
          </w:tcPr>
          <w:p>
            <w:pPr>
              <w:spacing w:after="20"/>
              <w:jc w:val="right"/>
            </w:pPr>
            <w:r>
              <w:rPr>
                <w:color w:val="1C3A36"/>
                <w:sz w:val="17"/>
              </w:rPr>
              <w:t>55%</w:t>
            </w:r>
          </w:p>
        </w:tc>
        <w:tc>
          <w:tcPr>
            <w:tcW w:type="dxa" w:w="1368"/>
          </w:tcPr>
          <w:p>
            <w:pPr>
              <w:spacing w:after="20"/>
              <w:jc w:val="right"/>
            </w:pPr>
            <w:r>
              <w:rPr>
                <w:color w:val="1C3A36"/>
                <w:sz w:val="17"/>
              </w:rPr>
              <w:t>+0.6%</w:t>
            </w:r>
          </w:p>
        </w:tc>
      </w:tr>
      <w:tr>
        <w:tc>
          <w:tcPr>
            <w:tcW w:type="dxa" w:w="3096"/>
          </w:tcPr>
          <w:p>
            <w:pPr>
              <w:spacing w:after="20"/>
            </w:pPr>
            <w:r>
              <w:rPr>
                <w:color w:val="1C3A36"/>
                <w:sz w:val="17"/>
              </w:rPr>
              <w:t>Funding-cost &amp; provisioning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Dividend / capital-return surprise</w:t>
            </w:r>
          </w:p>
        </w:tc>
        <w:tc>
          <w:tcPr>
            <w:tcW w:type="dxa" w:w="1008"/>
          </w:tcPr>
          <w:p>
            <w:pPr>
              <w:spacing w:after="20"/>
              <w:jc w:val="right"/>
            </w:pPr>
            <w:r>
              <w:rPr>
                <w:color w:val="1C3A36"/>
                <w:sz w:val="17"/>
              </w:rPr>
              <w:t>15%</w:t>
            </w:r>
          </w:p>
        </w:tc>
        <w:tc>
          <w:tcPr>
            <w:tcW w:type="dxa" w:w="1368"/>
          </w:tcPr>
          <w:p>
            <w:pPr>
              <w:spacing w:after="20"/>
              <w:jc w:val="right"/>
            </w:pPr>
            <w:r>
              <w:rPr>
                <w:color w:val="1C3A36"/>
                <w:sz w:val="17"/>
              </w:rPr>
              <w:t>+0.8%</w:t>
            </w:r>
          </w:p>
        </w:tc>
      </w:tr>
      <w:tr>
        <w:tc>
          <w:tcPr>
            <w:tcW w:type="dxa" w:w="3096"/>
          </w:tcPr>
          <w:p>
            <w:pPr>
              <w:spacing w:after="20"/>
            </w:pPr>
            <w:r>
              <w:rPr>
                <w:color w:val="1C3A36"/>
                <w:sz w:val="17"/>
              </w:rPr>
            </w:r>
          </w:p>
        </w:tc>
        <w:tc>
          <w:tcPr>
            <w:tcW w:type="dxa" w:w="720"/>
          </w:tcPr>
          <w:p>
            <w:pPr>
              <w:spacing w:after="20"/>
              <w:jc w:val="right"/>
            </w:pPr>
            <w:r>
              <w:rPr>
                <w:color w:val="1C3A36"/>
                <w:sz w:val="17"/>
              </w:rPr>
            </w:r>
          </w:p>
        </w:tc>
        <w:tc>
          <w:tcPr>
            <w:tcW w:type="dxa" w:w="3168"/>
          </w:tcPr>
          <w:p>
            <w:pPr>
              <w:spacing w:after="20"/>
              <w:jc w:val="right"/>
            </w:pPr>
            <w:r>
              <w:rPr>
                <w:color w:val="1C3A36"/>
                <w:sz w:val="17"/>
              </w:rPr>
              <w:t>EGP step-devaluation</w:t>
            </w:r>
          </w:p>
        </w:tc>
        <w:tc>
          <w:tcPr>
            <w:tcW w:type="dxa" w:w="1008"/>
          </w:tcPr>
          <w:p>
            <w:pPr>
              <w:spacing w:after="20"/>
              <w:jc w:val="right"/>
            </w:pPr>
            <w:r>
              <w:rPr>
                <w:color w:val="1C3A36"/>
                <w:sz w:val="17"/>
              </w:rPr>
              <w:t>12%</w:t>
            </w:r>
          </w:p>
        </w:tc>
        <w:tc>
          <w:tcPr>
            <w:tcW w:type="dxa" w:w="1368"/>
          </w:tcPr>
          <w:p>
            <w:pPr>
              <w:spacing w:after="20"/>
              <w:jc w:val="right"/>
            </w:pPr>
            <w:r>
              <w:rPr>
                <w:color w:val="1C3A36"/>
                <w:sz w:val="17"/>
              </w:rPr>
              <w:t>−2.0%</w:t>
            </w:r>
          </w:p>
        </w:tc>
      </w:tr>
      <w:tr>
        <w:tc>
          <w:tcPr>
            <w:tcW w:type="dxa" w:w="3096"/>
          </w:tcPr>
          <w:p>
            <w:pPr>
              <w:spacing w:after="20"/>
            </w:pPr>
            <w:r>
              <w:rPr>
                <w:color w:val="1C3A36"/>
                <w:sz w:val="17"/>
              </w:rPr>
            </w:r>
          </w:p>
        </w:tc>
        <w:tc>
          <w:tcPr>
            <w:tcW w:type="dxa" w:w="720"/>
          </w:tcPr>
          <w:p>
            <w:pPr>
              <w:spacing w:after="20"/>
              <w:jc w:val="right"/>
            </w:pPr>
            <w:r>
              <w:rPr>
                <w:color w:val="1C3A36"/>
                <w:sz w:val="17"/>
              </w:rPr>
            </w:r>
          </w:p>
        </w:tc>
        <w:tc>
          <w:tcPr>
            <w:tcW w:type="dxa" w:w="3168"/>
          </w:tcPr>
          <w:p>
            <w:pPr>
              <w:spacing w:after="20"/>
              <w:jc w:val="right"/>
            </w:pPr>
            <w:r>
              <w:rPr>
                <w:color w:val="1C3A36"/>
                <w:sz w:val="17"/>
              </w:rPr>
              <w:t>EGX flows / index event</w:t>
            </w:r>
          </w:p>
        </w:tc>
        <w:tc>
          <w:tcPr>
            <w:tcW w:type="dxa" w:w="1008"/>
          </w:tcPr>
          <w:p>
            <w:pPr>
              <w:spacing w:after="20"/>
              <w:jc w:val="right"/>
            </w:pPr>
            <w:r>
              <w:rPr>
                <w:color w:val="1C3A36"/>
                <w:sz w:val="17"/>
              </w:rPr>
              <w:t>25%</w:t>
            </w:r>
          </w:p>
        </w:tc>
        <w:tc>
          <w:tcPr>
            <w:tcW w:type="dxa" w:w="1368"/>
          </w:tcPr>
          <w:p>
            <w:pPr>
              <w:spacing w:after="20"/>
              <w:jc w:val="right"/>
            </w:pPr>
            <w:r>
              <w:rPr>
                <w:color w:val="1C3A36"/>
                <w:sz w:val="17"/>
              </w:rPr>
              <w:t>+0.8%</w:t>
            </w:r>
          </w:p>
        </w:tc>
      </w:tr>
    </w:tbl>
    <w:p>
      <w:pPr>
        <w:spacing w:after="40"/>
      </w:pP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T+20 sessions</w:t>
            </w:r>
          </w:p>
        </w:tc>
        <w:tc>
          <w:tcPr>
            <w:tcW w:type="dxa" w:w="1440"/>
          </w:tcPr>
          <w:p>
            <w:pPr>
              <w:spacing w:after="20"/>
              <w:jc w:val="right"/>
            </w:pPr>
            <w:r>
              <w:rPr>
                <w:color w:val="1C3A36"/>
                <w:sz w:val="18"/>
              </w:rPr>
              <w:t>26.1</w:t>
            </w:r>
          </w:p>
        </w:tc>
        <w:tc>
          <w:tcPr>
            <w:tcW w:type="dxa" w:w="1440"/>
          </w:tcPr>
          <w:p>
            <w:pPr>
              <w:spacing w:after="20"/>
              <w:jc w:val="right"/>
            </w:pPr>
            <w:r>
              <w:rPr>
                <w:color w:val="1C3A36"/>
                <w:sz w:val="18"/>
              </w:rPr>
              <w:t>30.0</w:t>
            </w:r>
          </w:p>
        </w:tc>
        <w:tc>
          <w:tcPr>
            <w:tcW w:type="dxa" w:w="1440"/>
          </w:tcPr>
          <w:p>
            <w:pPr>
              <w:spacing w:after="20"/>
              <w:jc w:val="right"/>
            </w:pPr>
            <w:r>
              <w:rPr>
                <w:color w:val="1C3A36"/>
                <w:sz w:val="18"/>
              </w:rPr>
              <w:t>32.5</w:t>
            </w:r>
          </w:p>
        </w:tc>
        <w:tc>
          <w:tcPr>
            <w:tcW w:type="dxa" w:w="1440"/>
          </w:tcPr>
          <w:p>
            <w:pPr>
              <w:spacing w:after="20"/>
              <w:jc w:val="right"/>
            </w:pPr>
            <w:r>
              <w:rPr>
                <w:color w:val="1C3A36"/>
                <w:sz w:val="18"/>
              </w:rPr>
              <w:t>35.1</w:t>
            </w:r>
          </w:p>
        </w:tc>
        <w:tc>
          <w:tcPr>
            <w:tcW w:type="dxa" w:w="1440"/>
          </w:tcPr>
          <w:p>
            <w:pPr>
              <w:spacing w:after="20"/>
              <w:jc w:val="right"/>
            </w:pPr>
            <w:r>
              <w:rPr>
                <w:color w:val="1C3A36"/>
                <w:sz w:val="18"/>
              </w:rPr>
              <w:t>40.5</w:t>
            </w:r>
          </w:p>
        </w:tc>
      </w:tr>
      <w:tr>
        <w:tc>
          <w:tcPr>
            <w:tcW w:type="dxa" w:w="2736"/>
          </w:tcPr>
          <w:p>
            <w:pPr>
              <w:spacing w:after="20"/>
            </w:pPr>
            <w:r>
              <w:rPr>
                <w:b/>
                <w:color w:val="1C3A36"/>
                <w:sz w:val="18"/>
              </w:rPr>
              <w:t>T+60 sessions</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30.6</w:t>
            </w:r>
          </w:p>
        </w:tc>
        <w:tc>
          <w:tcPr>
            <w:tcW w:type="dxa" w:w="1440"/>
          </w:tcPr>
          <w:p>
            <w:pPr>
              <w:spacing w:after="20"/>
              <w:jc w:val="right"/>
            </w:pPr>
            <w:r>
              <w:rPr>
                <w:color w:val="1C3A36"/>
                <w:sz w:val="18"/>
              </w:rPr>
              <w:t>35.0</w:t>
            </w:r>
          </w:p>
        </w:tc>
        <w:tc>
          <w:tcPr>
            <w:tcW w:type="dxa" w:w="1440"/>
          </w:tcPr>
          <w:p>
            <w:pPr>
              <w:spacing w:after="20"/>
              <w:jc w:val="right"/>
            </w:pPr>
            <w:r>
              <w:rPr>
                <w:color w:val="1C3A36"/>
                <w:sz w:val="18"/>
              </w:rPr>
              <w:t>40.1</w:t>
            </w:r>
          </w:p>
        </w:tc>
        <w:tc>
          <w:tcPr>
            <w:tcW w:type="dxa" w:w="1440"/>
          </w:tcPr>
          <w:p>
            <w:pPr>
              <w:spacing w:after="20"/>
              <w:jc w:val="right"/>
            </w:pPr>
            <w:r>
              <w:rPr>
                <w:color w:val="1C3A36"/>
                <w:sz w:val="18"/>
              </w:rPr>
              <w:t>51.1</w:t>
            </w:r>
          </w:p>
        </w:tc>
      </w:tr>
    </w:tbl>
    <w:p>
      <w:pPr>
        <w:spacing w:after="40"/>
      </w:pPr>
    </w:p>
    <w:p>
      <w:pPr>
        <w:spacing w:after="120" w:before="0"/>
      </w:pPr>
      <w:r>
        <w:rPr>
          <w:b w:val="0"/>
          <w:i w:val="0"/>
          <w:color w:val="1C3A36"/>
          <w:sz w:val="19"/>
        </w:rPr>
        <w:t>Lead with the 50% band, not the tails: a quarter ahead, half of all paths finish between roughly EGP 31 and 40; at one month the band is ~EGP 30–35 (width ≈ ÷√3). The 5–95%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T+60. The median drifts up with the calibrated secular term; the gold dashed line marks the EGP 30 fundamental central, deliberately below the median path.</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T+20.</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T+60.</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(running max for upside, running min for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1728"/>
            <w:shd w:val="clear" w:color="auto" w:fill="EAF0EE"/>
          </w:tcPr>
          <w:p>
            <w:pPr>
              <w:spacing w:after="20"/>
            </w:pPr>
            <w:r>
              <w:rPr>
                <w:b/>
                <w:color w:val="1C3A36"/>
                <w:sz w:val="18"/>
              </w:rPr>
              <w:t>T+20 touch</w:t>
            </w:r>
          </w:p>
        </w:tc>
        <w:tc>
          <w:tcPr>
            <w:tcW w:type="dxa" w:w="1728"/>
            <w:shd w:val="clear" w:color="auto" w:fill="EAF0EE"/>
          </w:tcPr>
          <w:p>
            <w:pPr>
              <w:spacing w:after="20"/>
            </w:pPr>
            <w:r>
              <w:rPr>
                <w:b/>
                <w:color w:val="1C3A36"/>
                <w:sz w:val="18"/>
              </w:rPr>
              <w:t>T+60 touch</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40</w:t>
            </w:r>
          </w:p>
        </w:tc>
        <w:tc>
          <w:tcPr>
            <w:tcW w:type="dxa" w:w="1728"/>
          </w:tcPr>
          <w:p>
            <w:pPr>
              <w:spacing w:after="20"/>
              <w:jc w:val="right"/>
            </w:pPr>
            <w:r>
              <w:rPr>
                <w:color w:val="1C3A36"/>
                <w:sz w:val="18"/>
              </w:rPr>
              <w:t>8%</w:t>
            </w:r>
          </w:p>
        </w:tc>
        <w:tc>
          <w:tcPr>
            <w:tcW w:type="dxa" w:w="1728"/>
          </w:tcPr>
          <w:p>
            <w:pPr>
              <w:spacing w:after="20"/>
              <w:jc w:val="right"/>
            </w:pPr>
            <w:r>
              <w:rPr>
                <w:color w:val="1C3A36"/>
                <w:sz w:val="18"/>
              </w:rPr>
              <w:t>37%</w:t>
            </w:r>
          </w:p>
        </w:tc>
        <w:tc>
          <w:tcPr>
            <w:tcW w:type="dxa" w:w="4320"/>
          </w:tcPr>
          <w:p>
            <w:pPr>
              <w:spacing w:after="20"/>
              <w:jc w:val="right"/>
            </w:pPr>
            <w:r>
              <w:rPr>
                <w:color w:val="1C3A36"/>
                <w:sz w:val="18"/>
              </w:rPr>
              <w:t>Blue-sky; +28%</w:t>
            </w:r>
          </w:p>
        </w:tc>
      </w:tr>
      <w:tr>
        <w:tc>
          <w:tcPr>
            <w:tcW w:type="dxa" w:w="1728"/>
          </w:tcPr>
          <w:p>
            <w:pPr>
              <w:spacing w:after="20"/>
            </w:pPr>
            <w:r>
              <w:rPr>
                <w:b/>
                <w:color w:val="1C3A36"/>
                <w:sz w:val="18"/>
              </w:rPr>
              <w:t>38</w:t>
            </w:r>
          </w:p>
        </w:tc>
        <w:tc>
          <w:tcPr>
            <w:tcW w:type="dxa" w:w="1728"/>
          </w:tcPr>
          <w:p>
            <w:pPr>
              <w:spacing w:after="20"/>
              <w:jc w:val="right"/>
            </w:pPr>
            <w:r>
              <w:rPr>
                <w:color w:val="1C3A36"/>
                <w:sz w:val="18"/>
              </w:rPr>
              <w:t>15%</w:t>
            </w:r>
          </w:p>
        </w:tc>
        <w:tc>
          <w:tcPr>
            <w:tcW w:type="dxa" w:w="1728"/>
          </w:tcPr>
          <w:p>
            <w:pPr>
              <w:spacing w:after="20"/>
              <w:jc w:val="right"/>
            </w:pPr>
            <w:r>
              <w:rPr>
                <w:color w:val="1C3A36"/>
                <w:sz w:val="18"/>
              </w:rPr>
              <w:t>50%</w:t>
            </w:r>
          </w:p>
        </w:tc>
        <w:tc>
          <w:tcPr>
            <w:tcW w:type="dxa" w:w="4320"/>
          </w:tcPr>
          <w:p>
            <w:pPr>
              <w:spacing w:after="20"/>
              <w:jc w:val="right"/>
            </w:pPr>
            <w:r>
              <w:rPr>
                <w:color w:val="1C3A36"/>
                <w:sz w:val="18"/>
              </w:rPr>
              <w:t>Upper zone gateway</w:t>
            </w:r>
          </w:p>
        </w:tc>
      </w:tr>
      <w:tr>
        <w:tc>
          <w:tcPr>
            <w:tcW w:type="dxa" w:w="1728"/>
          </w:tcPr>
          <w:p>
            <w:pPr>
              <w:spacing w:after="20"/>
            </w:pPr>
            <w:r>
              <w:rPr>
                <w:b/>
                <w:color w:val="1C3A36"/>
                <w:sz w:val="18"/>
              </w:rPr>
              <w:t>36</w:t>
            </w:r>
          </w:p>
        </w:tc>
        <w:tc>
          <w:tcPr>
            <w:tcW w:type="dxa" w:w="1728"/>
          </w:tcPr>
          <w:p>
            <w:pPr>
              <w:spacing w:after="20"/>
              <w:jc w:val="right"/>
            </w:pPr>
            <w:r>
              <w:rPr>
                <w:color w:val="1C3A36"/>
                <w:sz w:val="18"/>
              </w:rPr>
              <w:t>29%</w:t>
            </w:r>
          </w:p>
        </w:tc>
        <w:tc>
          <w:tcPr>
            <w:tcW w:type="dxa" w:w="1728"/>
          </w:tcPr>
          <w:p>
            <w:pPr>
              <w:spacing w:after="20"/>
              <w:jc w:val="right"/>
            </w:pPr>
            <w:r>
              <w:rPr>
                <w:color w:val="1C3A36"/>
                <w:sz w:val="18"/>
              </w:rPr>
              <w:t>64%</w:t>
            </w:r>
          </w:p>
        </w:tc>
        <w:tc>
          <w:tcPr>
            <w:tcW w:type="dxa" w:w="4320"/>
          </w:tcPr>
          <w:p>
            <w:pPr>
              <w:spacing w:after="20"/>
              <w:jc w:val="right"/>
            </w:pPr>
            <w:r>
              <w:rPr>
                <w:color w:val="1C3A36"/>
                <w:sz w:val="18"/>
              </w:rPr>
              <w:t>Above the Feb high zone</w:t>
            </w:r>
          </w:p>
        </w:tc>
      </w:tr>
      <w:tr>
        <w:tc>
          <w:tcPr>
            <w:tcW w:type="dxa" w:w="1728"/>
          </w:tcPr>
          <w:p>
            <w:pPr>
              <w:spacing w:after="20"/>
            </w:pPr>
            <w:r>
              <w:rPr>
                <w:b/>
                <w:color w:val="1C3A36"/>
                <w:sz w:val="18"/>
              </w:rPr>
              <w:t>34</w:t>
            </w:r>
          </w:p>
        </w:tc>
        <w:tc>
          <w:tcPr>
            <w:tcW w:type="dxa" w:w="1728"/>
          </w:tcPr>
          <w:p>
            <w:pPr>
              <w:spacing w:after="20"/>
              <w:jc w:val="right"/>
            </w:pPr>
            <w:r>
              <w:rPr>
                <w:color w:val="1C3A36"/>
                <w:sz w:val="18"/>
              </w:rPr>
              <w:t>51%</w:t>
            </w:r>
          </w:p>
        </w:tc>
        <w:tc>
          <w:tcPr>
            <w:tcW w:type="dxa" w:w="1728"/>
          </w:tcPr>
          <w:p>
            <w:pPr>
              <w:spacing w:after="20"/>
              <w:jc w:val="right"/>
            </w:pPr>
            <w:r>
              <w:rPr>
                <w:color w:val="1C3A36"/>
                <w:sz w:val="18"/>
              </w:rPr>
              <w:t>79%</w:t>
            </w:r>
          </w:p>
        </w:tc>
        <w:tc>
          <w:tcPr>
            <w:tcW w:type="dxa" w:w="4320"/>
          </w:tcPr>
          <w:p>
            <w:pPr>
              <w:spacing w:after="20"/>
              <w:jc w:val="right"/>
            </w:pPr>
            <w:r>
              <w:rPr>
                <w:color w:val="1C3A36"/>
                <w:sz w:val="18"/>
              </w:rPr>
              <w:t>New-high territory</w:t>
            </w:r>
          </w:p>
        </w:tc>
      </w:tr>
      <w:tr>
        <w:tc>
          <w:tcPr>
            <w:tcW w:type="dxa" w:w="1728"/>
          </w:tcPr>
          <w:p>
            <w:pPr>
              <w:spacing w:after="20"/>
            </w:pPr>
            <w:r>
              <w:rPr>
                <w:b/>
                <w:color w:val="1C3A36"/>
                <w:sz w:val="18"/>
              </w:rPr>
              <w:t>32</w:t>
            </w:r>
          </w:p>
        </w:tc>
        <w:tc>
          <w:tcPr>
            <w:tcW w:type="dxa" w:w="1728"/>
          </w:tcPr>
          <w:p>
            <w:pPr>
              <w:spacing w:after="20"/>
              <w:jc w:val="right"/>
            </w:pPr>
            <w:r>
              <w:rPr>
                <w:color w:val="1C3A36"/>
                <w:sz w:val="18"/>
              </w:rPr>
              <w:t>82%</w:t>
            </w:r>
          </w:p>
        </w:tc>
        <w:tc>
          <w:tcPr>
            <w:tcW w:type="dxa" w:w="1728"/>
          </w:tcPr>
          <w:p>
            <w:pPr>
              <w:spacing w:after="20"/>
              <w:jc w:val="right"/>
            </w:pPr>
            <w:r>
              <w:rPr>
                <w:color w:val="1C3A36"/>
                <w:sz w:val="18"/>
              </w:rPr>
              <w:t>93%</w:t>
            </w:r>
          </w:p>
        </w:tc>
        <w:tc>
          <w:tcPr>
            <w:tcW w:type="dxa" w:w="4320"/>
          </w:tcPr>
          <w:p>
            <w:pPr>
              <w:spacing w:after="20"/>
              <w:jc w:val="right"/>
            </w:pPr>
            <w:r>
              <w:rPr>
                <w:color w:val="1C3A36"/>
                <w:sz w:val="18"/>
              </w:rPr>
              <w:t>Just above spot</w:t>
            </w:r>
          </w:p>
        </w:tc>
      </w:tr>
      <w:tr>
        <w:tc>
          <w:tcPr>
            <w:tcW w:type="dxa" w:w="1728"/>
          </w:tcPr>
          <w:p>
            <w:pPr>
              <w:spacing w:after="20"/>
            </w:pPr>
            <w:r>
              <w:rPr>
                <w:b/>
                <w:color w:val="1C3A36"/>
                <w:sz w:val="18"/>
              </w:rPr>
              <w:t>30</w:t>
            </w:r>
          </w:p>
        </w:tc>
        <w:tc>
          <w:tcPr>
            <w:tcW w:type="dxa" w:w="1728"/>
          </w:tcPr>
          <w:p>
            <w:pPr>
              <w:spacing w:after="20"/>
              <w:jc w:val="right"/>
            </w:pPr>
            <w:r>
              <w:rPr>
                <w:color w:val="1C3A36"/>
                <w:sz w:val="18"/>
              </w:rPr>
              <w:t>53%</w:t>
            </w:r>
          </w:p>
        </w:tc>
        <w:tc>
          <w:tcPr>
            <w:tcW w:type="dxa" w:w="1728"/>
          </w:tcPr>
          <w:p>
            <w:pPr>
              <w:spacing w:after="20"/>
              <w:jc w:val="right"/>
            </w:pPr>
            <w:r>
              <w:rPr>
                <w:color w:val="1C3A36"/>
                <w:sz w:val="18"/>
              </w:rPr>
              <w:t>64%</w:t>
            </w:r>
          </w:p>
        </w:tc>
        <w:tc>
          <w:tcPr>
            <w:tcW w:type="dxa" w:w="4320"/>
          </w:tcPr>
          <w:p>
            <w:pPr>
              <w:spacing w:after="20"/>
              <w:jc w:val="right"/>
            </w:pPr>
            <w:r>
              <w:rPr>
                <w:color w:val="1C3A36"/>
                <w:sz w:val="18"/>
              </w:rPr>
              <w:t>The 20-day / round number</w:t>
            </w:r>
          </w:p>
        </w:tc>
      </w:tr>
      <w:tr>
        <w:tc>
          <w:tcPr>
            <w:tcW w:type="dxa" w:w="1728"/>
          </w:tcPr>
          <w:p>
            <w:pPr>
              <w:spacing w:after="20"/>
            </w:pPr>
            <w:r>
              <w:rPr>
                <w:b/>
                <w:color w:val="1C3A36"/>
                <w:sz w:val="18"/>
              </w:rPr>
              <w:t>28</w:t>
            </w:r>
          </w:p>
        </w:tc>
        <w:tc>
          <w:tcPr>
            <w:tcW w:type="dxa" w:w="1728"/>
          </w:tcPr>
          <w:p>
            <w:pPr>
              <w:spacing w:after="20"/>
              <w:jc w:val="right"/>
            </w:pPr>
            <w:r>
              <w:rPr>
                <w:color w:val="1C3A36"/>
                <w:sz w:val="18"/>
              </w:rPr>
              <w:t>22%</w:t>
            </w:r>
          </w:p>
        </w:tc>
        <w:tc>
          <w:tcPr>
            <w:tcW w:type="dxa" w:w="1728"/>
          </w:tcPr>
          <w:p>
            <w:pPr>
              <w:spacing w:after="20"/>
              <w:jc w:val="right"/>
            </w:pPr>
            <w:r>
              <w:rPr>
                <w:color w:val="1C3A36"/>
                <w:sz w:val="18"/>
              </w:rPr>
              <w:t>37%</w:t>
            </w:r>
          </w:p>
        </w:tc>
        <w:tc>
          <w:tcPr>
            <w:tcW w:type="dxa" w:w="4320"/>
          </w:tcPr>
          <w:p>
            <w:pPr>
              <w:spacing w:after="20"/>
              <w:jc w:val="right"/>
            </w:pPr>
            <w:r>
              <w:rPr>
                <w:color w:val="1C3A36"/>
                <w:sz w:val="18"/>
              </w:rPr>
              <w:t>The 50/100-day shelf</w:t>
            </w:r>
          </w:p>
        </w:tc>
      </w:tr>
      <w:tr>
        <w:tc>
          <w:tcPr>
            <w:tcW w:type="dxa" w:w="1728"/>
          </w:tcPr>
          <w:p>
            <w:pPr>
              <w:spacing w:after="20"/>
            </w:pPr>
            <w:r>
              <w:rPr>
                <w:b/>
                <w:color w:val="1C3A36"/>
                <w:sz w:val="18"/>
              </w:rPr>
              <w:t>26</w:t>
            </w:r>
          </w:p>
        </w:tc>
        <w:tc>
          <w:tcPr>
            <w:tcW w:type="dxa" w:w="1728"/>
          </w:tcPr>
          <w:p>
            <w:pPr>
              <w:spacing w:after="20"/>
              <w:jc w:val="right"/>
            </w:pPr>
            <w:r>
              <w:rPr>
                <w:color w:val="1C3A36"/>
                <w:sz w:val="18"/>
              </w:rPr>
              <w:t>9%</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April-low zone</w:t>
            </w:r>
          </w:p>
        </w:tc>
      </w:tr>
    </w:tbl>
    <w:p>
      <w:pPr>
        <w:spacing w:after="40"/>
      </w:pPr>
    </w:p>
    <w:p>
      <w:pPr>
        <w:spacing w:after="120" w:before="280"/>
      </w:pPr>
      <w:r>
        <w:rPr>
          <w:b/>
          <w:i w:val="0"/>
          <w:color w:val="1C3A36"/>
          <w:sz w:val="30"/>
        </w:rPr>
        <w:t>4  Comparison of the lenses, and a verdict</w:t>
      </w:r>
    </w:p>
    <w:p>
      <w:pPr>
        <w:spacing w:after="120" w:before="0"/>
      </w:pPr>
      <w:r>
        <w:rPr>
          <w:b w:val="0"/>
          <w:i w:val="0"/>
          <w:color w:val="1C3A36"/>
          <w:sz w:val="21"/>
        </w:rPr>
        <w:t>Three readings sit side by side, and for once they genuinely disagree. The fundamental lenses spread 29–40.6 with a central 37.0 — meaningfully below spot — but that reading is now dominated by a confirmed input (the MNT-Halan stake, 41.61%, §1.1) whose mark, not its existence, is the open question. The technical picture sits closer to the middle: above every average, momentum positive, six percent from an all-time high, but not pricing in anything like the fundamental lenses' implied re-rating. The probabilistic map is the one piece entirely unaffected by any of this: its median (35) sits above spot because the engine’s calibrated secular drift — the EGX repricing that has carried this stock thirteen-fold in five years — has not yet statistically died; that is a description of measured price behaviour, not a claim about value, and it does not know or care what GB Corp’s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(4-lens)</w:t>
            </w:r>
          </w:p>
        </w:tc>
        <w:tc>
          <w:tcPr>
            <w:tcW w:type="dxa" w:w="2736"/>
          </w:tcPr>
          <w:p>
            <w:pPr>
              <w:spacing w:after="20"/>
              <w:jc w:val="right"/>
            </w:pPr>
            <w:r>
              <w:rPr>
                <w:color w:val="1C3A36"/>
                <w:sz w:val="18"/>
              </w:rPr>
              <w:t>Meaningfully undervalued — if the mark holds</w:t>
            </w:r>
          </w:p>
        </w:tc>
        <w:tc>
          <w:tcPr>
            <w:tcW w:type="dxa" w:w="4464"/>
          </w:tcPr>
          <w:p>
            <w:pPr>
              <w:spacing w:after="20"/>
              <w:jc w:val="right"/>
            </w:pPr>
            <w:r>
              <w:rPr>
                <w:color w:val="1C3A36"/>
                <w:sz w:val="18"/>
              </w:rPr>
              <w:t>EGP 37.0 (+18%)</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Strong / extended</w:t>
            </w:r>
          </w:p>
        </w:tc>
        <w:tc>
          <w:tcPr>
            <w:tcW w:type="dxa" w:w="4464"/>
          </w:tcPr>
          <w:p>
            <w:pPr>
              <w:spacing w:after="20"/>
              <w:jc w:val="right"/>
            </w:pPr>
            <w:r>
              <w:rPr>
                <w:color w:val="1C3A36"/>
                <w:sz w:val="18"/>
              </w:rPr>
              <w:t>Support 30.0 / 28.2 (20d/50d); resistance 33.4 (ATH)</w:t>
            </w:r>
          </w:p>
        </w:tc>
      </w:tr>
      <w:tr>
        <w:tc>
          <w:tcPr>
            <w:tcW w:type="dxa" w:w="2736"/>
          </w:tcPr>
          <w:p>
            <w:pPr>
              <w:spacing w:after="20"/>
            </w:pPr>
            <w:r>
              <w:rPr>
                <w:b/>
                <w:color w:val="1C3A36"/>
                <w:sz w:val="18"/>
              </w:rPr>
              <w:t>Monte Carlo (3-month)</w:t>
            </w:r>
          </w:p>
        </w:tc>
        <w:tc>
          <w:tcPr>
            <w:tcW w:type="dxa" w:w="2736"/>
          </w:tcPr>
          <w:p>
            <w:pPr>
              <w:spacing w:after="20"/>
              <w:jc w:val="right"/>
            </w:pPr>
            <w:r>
              <w:rPr>
                <w:color w:val="1C3A36"/>
                <w:sz w:val="18"/>
              </w:rPr>
              <w:t>Drift-up, right-skewed</w:t>
            </w:r>
          </w:p>
        </w:tc>
        <w:tc>
          <w:tcPr>
            <w:tcW w:type="dxa" w:w="4464"/>
          </w:tcPr>
          <w:p>
            <w:pPr>
              <w:spacing w:after="20"/>
              <w:jc w:val="right"/>
            </w:pPr>
            <w:r>
              <w:rPr>
                <w:color w:val="1C3A36"/>
                <w:sz w:val="18"/>
              </w:rPr>
              <w:t>Median 35; p5–p95 24–51</w:t>
            </w:r>
          </w:p>
        </w:tc>
      </w:tr>
    </w:tbl>
    <w:p>
      <w:pPr>
        <w:spacing w:after="40"/>
      </w:pPr>
    </w:p>
    <w:p>
      <w:pPr>
        <w:spacing w:after="120" w:before="0"/>
      </w:pPr>
      <w:r>
        <w:rPr>
          <w:b/>
          <w:i w:val="0"/>
          <w:color w:val="1C3A36"/>
          <w:sz w:val="21"/>
        </w:rPr>
        <w:t xml:space="preserve">Verdict (a fair-value read, not a recommendation). </w:t>
      </w:r>
      <w:r>
        <w:rPr>
          <w:b w:val="0"/>
          <w:i w:val="0"/>
          <w:color w:val="1C3A36"/>
          <w:sz w:val="21"/>
        </w:rPr>
        <w:t>GBCO reads meaningfully undervalued on fundamentals (+18% central) — and unlike the first draft of this study, that verdict now rests on a confirmed number: GB Corp's own 9-June-2026 press release states its MNT-Halan stake as 41.61%. What is not confirmed is what that stake is actually worth to the market: taking the round's USD 1.4bn valuation at face value implies the stake alone is worth roughly three quarters of GB Corp's market cap, which the market plainly does not credit. Strip the associate leg out and the remaining business — Auto plus GB Capital — reads close to fairly valued against spot, in line with what the tape and the Monte Carlo distribution already show. The honest summary is: the operating business is priced about right; whether the shares are cheap depends on how much of a discount the market is entitled to apply to an unlisted, minority financial-services stake — a legitimate valuation question this study raises rather than settles. The bear–bull span (EGP 24–54) is wide enough on its own to demand real humility, and readers should treat the stake-sensitivity table in §1.1 as showing where the discount debate lives, not the single central number.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2Q26 results (11 Aug 2026). </w:t>
      </w:r>
      <w:r>
        <w:rPr>
          <w:color w:val="1C3A36"/>
          <w:sz w:val="21"/>
        </w:rPr>
        <w:t>First read on whether the 1Q26 margin dip (12.4% Auto GPM) was the regional-drag trough; watch Egypt PC volumes vs the +42% 1Q pace and the finance-cost line as CBE cuts feed through.</w:t>
      </w:r>
    </w:p>
    <w:p>
      <w:pPr>
        <w:pStyle w:val="ListBullet"/>
        <w:spacing w:after="60"/>
      </w:pPr>
      <w:r>
        <w:rPr>
          <w:b/>
          <w:color w:val="1C3A36"/>
          <w:sz w:val="21"/>
        </w:rPr>
        <w:t xml:space="preserve">CBE MPC meetings (Aug / Oct 2026). </w:t>
      </w:r>
      <w:r>
        <w:rPr>
          <w:color w:val="1C3A36"/>
          <w:sz w:val="21"/>
        </w:rPr>
        <w:t>Each 100 bp cut lowers GB Capital funding costs, customer instalments and this study’s discount rate — the single most mechanical catalyst.</w:t>
      </w:r>
    </w:p>
    <w:p>
      <w:pPr>
        <w:pStyle w:val="ListBullet"/>
        <w:spacing w:after="60"/>
      </w:pPr>
      <w:r>
        <w:rPr>
          <w:b/>
          <w:color w:val="1C3A36"/>
          <w:sz w:val="21"/>
        </w:rPr>
        <w:t xml:space="preserve">The MNT-Halan mark and discount — no longer the stake. </w:t>
      </w:r>
      <w:r>
        <w:rPr>
          <w:color w:val="1C3A36"/>
          <w:sz w:val="21"/>
        </w:rPr>
        <w:t>GB Corp confirmed its current stake (41.61%, 9-Jun-2026); the open question now is whether the market accepts the round’s USD 1.4bn valuation at face value or applies a steeper illiquidity/minority discount. Any secondary transaction, analyst note, or further disclosure bearing on how the market should mark an unlisted 41.61% stake is the single most value-relevant catalyst left.</w:t>
      </w:r>
    </w:p>
    <w:p>
      <w:pPr>
        <w:pStyle w:val="ListBullet"/>
        <w:spacing w:after="60"/>
      </w:pPr>
      <w:r>
        <w:rPr>
          <w:b/>
          <w:color w:val="1C3A36"/>
          <w:sz w:val="21"/>
        </w:rPr>
        <w:t xml:space="preserve">MNT-Halan second closing. </w:t>
      </w:r>
      <w:r>
        <w:rPr>
          <w:color w:val="1C3A36"/>
          <w:sz w:val="21"/>
        </w:rPr>
        <w:t>The round’s first close (9 Jun 2026) already fixed GB Corp’s post-transaction stake at 41.61%; a second closing would mainly test whether the USD 1.4bn valuation holds or moves, not the ownership percentage itself.</w:t>
      </w:r>
    </w:p>
    <w:p>
      <w:pPr>
        <w:pStyle w:val="ListBullet"/>
        <w:spacing w:after="60"/>
      </w:pPr>
      <w:r>
        <w:rPr>
          <w:b/>
          <w:color w:val="1C3A36"/>
          <w:sz w:val="21"/>
        </w:rPr>
        <w:t xml:space="preserve">Sadat ramp and new CKD models. </w:t>
      </w:r>
      <w:r>
        <w:rPr>
          <w:color w:val="1C3A36"/>
          <w:sz w:val="21"/>
        </w:rPr>
        <w:t>The June-2026 inauguration adds capacity and local content; model announcements and the inventory unwind are the visible working-capital catalysts.</w:t>
      </w:r>
    </w:p>
    <w:p>
      <w:pPr>
        <w:pStyle w:val="ListBullet"/>
        <w:spacing w:after="60"/>
      </w:pPr>
      <w:r>
        <w:rPr>
          <w:b/>
          <w:color w:val="1C3A36"/>
          <w:sz w:val="21"/>
        </w:rPr>
        <w:t xml:space="preserve">BYD entry pricing. </w:t>
      </w:r>
      <w:r>
        <w:rPr>
          <w:color w:val="1C3A36"/>
          <w:sz w:val="21"/>
        </w:rPr>
        <w:t>The clearest competitive threat to PC ASPs and share in the recovering Egyptian market.</w:t>
      </w:r>
    </w:p>
    <w:p>
      <w:pPr>
        <w:pStyle w:val="ListBullet"/>
        <w:spacing w:after="60"/>
      </w:pPr>
      <w:r>
        <w:rPr>
          <w:b/>
          <w:color w:val="1C3A36"/>
          <w:sz w:val="21"/>
        </w:rPr>
        <w:t xml:space="preserve">Iraq / Jordan normalization. </w:t>
      </w:r>
      <w:r>
        <w:rPr>
          <w:color w:val="1C3A36"/>
          <w:sz w:val="21"/>
        </w:rPr>
        <w:t>~19.5% of PC revenue; any de-escalation restores the fastest-margin sales in the mix.</w:t>
      </w:r>
    </w:p>
    <w:p>
      <w:pPr>
        <w:pStyle w:val="ListBullet"/>
        <w:spacing w:after="60"/>
      </w:pPr>
      <w:r>
        <w:rPr>
          <w:b/>
          <w:color w:val="1C3A36"/>
          <w:sz w:val="21"/>
        </w:rPr>
        <w:t xml:space="preserve">The pound. </w:t>
      </w:r>
      <w:r>
        <w:rPr>
          <w:color w:val="1C3A36"/>
          <w:sz w:val="21"/>
        </w:rPr>
        <w:t>A step-devaluation is the compound risk (CKD costs, rates, the EGP value of every mark); continued stability is the quiet tailwind.</w:t>
      </w:r>
    </w:p>
    <w:p>
      <w:pPr>
        <w:pStyle w:val="ListBullet"/>
        <w:spacing w:after="60"/>
      </w:pPr>
      <w:r>
        <w:rPr>
          <w:b/>
          <w:color w:val="1C3A36"/>
          <w:sz w:val="21"/>
        </w:rPr>
        <w:t xml:space="preserve">Dividend decision. </w:t>
      </w:r>
      <w:r>
        <w:rPr>
          <w:color w:val="1C3A36"/>
          <w:sz w:val="21"/>
        </w:rPr>
        <w:t>FY25 paid ~EGP 0.35/share (~13% payout); with Auto deleveraging to 2.14× ND/EBITDA, a payout step-up would mark the cash-conversion inflection this study is waiting for (device A-2 schedule in Appendix A).</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spot EGP 31.25 and the fair-value cluster: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(T+60)</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Approx. 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EGP 26</w:t>
            </w:r>
          </w:p>
        </w:tc>
        <w:tc>
          <w:tcPr>
            <w:tcW w:type="dxa" w:w="2160"/>
          </w:tcPr>
          <w:p>
            <w:pPr>
              <w:spacing w:after="20"/>
              <w:jc w:val="right"/>
            </w:pPr>
            <w:r>
              <w:rPr>
                <w:color w:val="1C3A36"/>
                <w:sz w:val="18"/>
              </w:rPr>
              <w:t>~9%</w:t>
            </w:r>
          </w:p>
        </w:tc>
        <w:tc>
          <w:tcPr>
            <w:tcW w:type="dxa" w:w="3744"/>
          </w:tcPr>
          <w:p>
            <w:pPr>
              <w:spacing w:after="20"/>
              <w:jc w:val="right"/>
            </w:pPr>
            <w:r>
              <w:rPr>
                <w:color w:val="1C3A36"/>
                <w:sz w:val="18"/>
              </w:rPr>
              <w:t>Regional escalation / devaluation; tests the April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2160"/>
          </w:tcPr>
          <w:p>
            <w:pPr>
              <w:spacing w:after="20"/>
              <w:jc w:val="right"/>
            </w:pPr>
            <w:r>
              <w:rPr>
                <w:color w:val="1C3A36"/>
                <w:sz w:val="18"/>
              </w:rPr>
              <w:t>~14%</w:t>
            </w:r>
          </w:p>
        </w:tc>
        <w:tc>
          <w:tcPr>
            <w:tcW w:type="dxa" w:w="3744"/>
          </w:tcPr>
          <w:p>
            <w:pPr>
              <w:spacing w:after="20"/>
              <w:jc w:val="right"/>
            </w:pPr>
            <w:r>
              <w:rPr>
                <w:color w:val="1C3A36"/>
                <w:sz w:val="18"/>
              </w:rPr>
              <w:t>Margin proof delayed; relative-multiple lens dominates</w:t>
            </w:r>
          </w:p>
        </w:tc>
      </w:tr>
      <w:tr>
        <w:tc>
          <w:tcPr>
            <w:tcW w:type="dxa" w:w="2160"/>
          </w:tcPr>
          <w:p>
            <w:pPr>
              <w:spacing w:after="20"/>
            </w:pPr>
            <w:r>
              <w:rPr>
                <w:b/>
                <w:color w:val="1C3A36"/>
                <w:sz w:val="18"/>
              </w:rPr>
              <w:t>Around spot</w:t>
            </w:r>
          </w:p>
        </w:tc>
        <w:tc>
          <w:tcPr>
            <w:tcW w:type="dxa" w:w="1872"/>
          </w:tcPr>
          <w:p>
            <w:pPr>
              <w:spacing w:after="20"/>
              <w:jc w:val="right"/>
            </w:pPr>
            <w:r>
              <w:rPr>
                <w:color w:val="1C3A36"/>
                <w:sz w:val="18"/>
              </w:rPr>
              <w:t>EGP 30–34</w:t>
            </w:r>
          </w:p>
        </w:tc>
        <w:tc>
          <w:tcPr>
            <w:tcW w:type="dxa" w:w="2160"/>
          </w:tcPr>
          <w:p>
            <w:pPr>
              <w:spacing w:after="20"/>
              <w:jc w:val="right"/>
            </w:pPr>
            <w:r>
              <w:rPr>
                <w:color w:val="1C3A36"/>
                <w:sz w:val="18"/>
              </w:rPr>
              <w:t>~22%</w:t>
            </w:r>
          </w:p>
        </w:tc>
        <w:tc>
          <w:tcPr>
            <w:tcW w:type="dxa" w:w="3744"/>
          </w:tcPr>
          <w:p>
            <w:pPr>
              <w:spacing w:after="20"/>
              <w:jc w:val="right"/>
            </w:pPr>
            <w:r>
              <w:rPr>
                <w:color w:val="1C3A36"/>
                <w:sz w:val="18"/>
              </w:rPr>
              <w:t>Status quo; fair value and price coexist</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2160"/>
          </w:tcPr>
          <w:p>
            <w:pPr>
              <w:spacing w:after="20"/>
              <w:jc w:val="right"/>
            </w:pPr>
            <w:r>
              <w:rPr>
                <w:color w:val="1C3A36"/>
                <w:sz w:val="18"/>
              </w:rPr>
              <w:t>~22%</w:t>
            </w:r>
          </w:p>
        </w:tc>
        <w:tc>
          <w:tcPr>
            <w:tcW w:type="dxa" w:w="3744"/>
          </w:tcPr>
          <w:p>
            <w:pPr>
              <w:spacing w:after="20"/>
              <w:jc w:val="right"/>
            </w:pPr>
            <w:r>
              <w:rPr>
                <w:color w:val="1C3A36"/>
                <w:sz w:val="18"/>
              </w:rPr>
              <w:t>Cuts + WC release credited; new-high extension</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EGP 38</w:t>
            </w:r>
          </w:p>
        </w:tc>
        <w:tc>
          <w:tcPr>
            <w:tcW w:type="dxa" w:w="2160"/>
          </w:tcPr>
          <w:p>
            <w:pPr>
              <w:spacing w:after="20"/>
              <w:jc w:val="right"/>
            </w:pPr>
            <w:r>
              <w:rPr>
                <w:color w:val="1C3A36"/>
                <w:sz w:val="18"/>
              </w:rPr>
              <w:t>~34%</w:t>
            </w:r>
          </w:p>
        </w:tc>
        <w:tc>
          <w:tcPr>
            <w:tcW w:type="dxa" w:w="3744"/>
          </w:tcPr>
          <w:p>
            <w:pPr>
              <w:spacing w:after="20"/>
              <w:jc w:val="right"/>
            </w:pPr>
            <w:r>
              <w:rPr>
                <w:color w:val="1C3A36"/>
                <w:sz w:val="18"/>
              </w:rPr>
              <w:t>Secular repricing continues; discount narrows toward NAV</w:t>
            </w:r>
          </w:p>
        </w:tc>
      </w:tr>
    </w:tbl>
    <w:p>
      <w:pPr>
        <w:spacing w:after="40"/>
      </w:pPr>
    </w:p>
    <w:p>
      <w:pPr>
        <w:spacing w:after="120" w:before="0"/>
      </w:pPr>
      <w:r>
        <w:rPr>
          <w:b w:val="0"/>
          <w:i w:val="0"/>
          <w:color w:val="1C3A36"/>
          <w:sz w:val="21"/>
        </w:rPr>
        <w:t>The distribution is right-skewed by construction — the calibrated secular drift plus fat-tailed innovations put roughly a third of terminal mass above EGP 38, more than any other single zone. Read that with Appendix B open: the drift term passed its test, but on 17 non-overlapping windows with a thin margin. It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MNT-Halan stake is confirmed; what it is worth is not. </w:t>
      </w:r>
      <w:r>
        <w:rPr>
          <w:color w:val="1C3A36"/>
          <w:sz w:val="21"/>
        </w:rPr>
        <w:t>GB Corp’s own 9-June-2026 press release states its current stake directly: 41.61%, down from 42.58% pre-transaction. That removes the sourcing uncertainty this study originally flagged. What remains genuinely open is the mark: taking the round’s USD 1.4bn valuation at face value implies the stake alone is worth ≈EGP 27.7bn — roughly three quarters of GB Corp’s entire market cap. If the market is right to discount that mark far more heavily than this study’s uniform 10%, the SOTP compresses toward the relative and normalized lenses, i.e. toward fair value, not undervalued.</w:t>
      </w:r>
    </w:p>
    <w:p>
      <w:pPr>
        <w:pStyle w:val="ListBullet"/>
        <w:spacing w:after="60"/>
      </w:pPr>
      <w:r>
        <w:rPr>
          <w:b/>
          <w:color w:val="1C3A36"/>
          <w:sz w:val="21"/>
        </w:rPr>
        <w:t xml:space="preserve">Working capital is the second-order model. </w:t>
      </w:r>
      <w:r>
        <w:rPr>
          <w:color w:val="1C3A36"/>
          <w:sz w:val="21"/>
        </w:rPr>
        <w:t>The DCF’s Auto-leg value lives in the glide from 28.5% to 21.5% WC intensity; if 26–28% is the new structural cost of holding share (import finance, CKD stock), the Auto leg is worth EGP 4–8/share less — a real but now secondary lever next to the mark-and-discount question above.</w:t>
      </w:r>
    </w:p>
    <w:p>
      <w:pPr>
        <w:pStyle w:val="ListBullet"/>
        <w:spacing w:after="60"/>
      </w:pPr>
      <w:r>
        <w:rPr>
          <w:b/>
          <w:color w:val="1C3A36"/>
          <w:sz w:val="21"/>
        </w:rPr>
        <w:t xml:space="preserve">Terminal-value dependency. </w:t>
      </w:r>
      <w:r>
        <w:rPr>
          <w:color w:val="1C3A36"/>
          <w:sz w:val="21"/>
        </w:rPr>
        <w:t>77% of the Auto EV is terminal value at a 10.5-pt WACC−g spread; the §1.9 grid is the honest statement that this is partly a bet on Egyptian nominal normalization.</w:t>
      </w:r>
    </w:p>
    <w:p>
      <w:pPr>
        <w:pStyle w:val="ListBullet"/>
        <w:spacing w:after="60"/>
      </w:pPr>
      <w:r>
        <w:rPr>
          <w:b/>
          <w:color w:val="1C3A36"/>
          <w:sz w:val="21"/>
        </w:rPr>
        <w:t xml:space="preserve">The drift is empirical, and thin. </w:t>
      </w:r>
      <w:r>
        <w:rPr>
          <w:color w:val="1C3A36"/>
          <w:sz w:val="21"/>
        </w:rPr>
        <w:t>Secular drift passed Step 0 (CRPS skill +3.2% non-overlapping, +9.6% monthly) where zero drift failed — but the bootstrap CI spans zero (P(skill&gt;0) ≈ 0.62 on 17 windows). A regime turn — the exact failure mode that killed trend drift on Samsung and Tata — would flip the median read; we will re-test every quarter and cut the drift the moment it fails.</w:t>
      </w:r>
    </w:p>
    <w:p>
      <w:pPr>
        <w:pStyle w:val="ListBullet"/>
        <w:spacing w:after="60"/>
      </w:pPr>
      <w:r>
        <w:rPr>
          <w:b/>
          <w:color w:val="1C3A36"/>
          <w:sz w:val="21"/>
        </w:rPr>
        <w:t xml:space="preserve">The associate mark is real but private, and now the study’s central bet. </w:t>
      </w:r>
      <w:r>
        <w:rPr>
          <w:color w:val="1C3A36"/>
          <w:sz w:val="21"/>
        </w:rPr>
        <w:t>MNT-Halan’s USD 1.4bn is a genuine transaction price — cash changed hands — but for an unlisted company and, per public reporting, only an initial tranche of an ongoing round (a second closing remains open, size and terms undisclosed). The stake applied to it (41.61%) is now confirmed and current, not the uncertainty it was; the bear case in the football field instead applies a much heavier discount to the mark itself, which is why its EGP 24 floor sits far below the base case.</w:t>
      </w:r>
    </w:p>
    <w:p>
      <w:pPr>
        <w:pStyle w:val="ListBullet"/>
        <w:spacing w:after="60"/>
      </w:pPr>
      <w:r>
        <w:rPr>
          <w:b/>
          <w:color w:val="1C3A36"/>
          <w:sz w:val="21"/>
        </w:rPr>
        <w:t xml:space="preserve">The lender is a credit cycle. </w:t>
      </w:r>
      <w:r>
        <w:rPr>
          <w:color w:val="1C3A36"/>
          <w:sz w:val="21"/>
        </w:rPr>
        <w:t>GB Capital’s 15% adjusted ROAE and 2.1–2.5% NPLs are cycle-friendly numbers struck in an easing cycle; a funding-market seizure or NPL spike would break the 1.0× book mark.</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(flagged in the model); segment disclosure, not audited consolidation schedules, is the source.</w:t>
      </w:r>
    </w:p>
    <w:p>
      <w:pPr>
        <w:pStyle w:val="ListBullet"/>
        <w:spacing w:after="60"/>
      </w:pPr>
      <w:r>
        <w:rPr>
          <w:b/>
          <w:color w:val="1C3A36"/>
          <w:sz w:val="21"/>
        </w:rPr>
        <w:t xml:space="preserve">Technical reminder. </w:t>
      </w:r>
      <w:r>
        <w:rPr>
          <w:color w:val="1C3A36"/>
          <w:sz w:val="21"/>
        </w:rPr>
        <w:t>An extended tape above every average mean-reverts routinely; the strong chart says nothing about value and can unwind 10% without touching the thesis. The technical read is context, not a trigger.</w:t>
      </w:r>
    </w:p>
    <w:p>
      <w:pPr>
        <w:spacing w:after="120" w:before="280"/>
      </w:pPr>
      <w:r>
        <w:rPr>
          <w:b/>
          <w:i w:val="0"/>
          <w:color w:val="1C3A36"/>
          <w:sz w:val="30"/>
        </w:rPr>
        <w:t>Appendix A  Financial statements</w:t>
      </w:r>
    </w:p>
    <w:p>
      <w:pPr>
        <w:spacing w:after="120" w:before="0"/>
      </w:pPr>
      <w:r>
        <w:rPr>
          <w:b w:val="0"/>
          <w:i w:val="0"/>
          <w:color w:val="1C3A36"/>
          <w:sz w:val="21"/>
        </w:rPr>
        <w:t>Selected consolidated figures, as reported (4Q23 / 4Q24 / 4Q25 earnings releases; 1Q26 release 14 May 2026). EGP million. FY23 operating profit is shown after provisions for cross-year consistency with the FY25 layout. The five-year forecast is the model build (companion Excel, Income Statement sheet, formula-linked to Assumptions).</w:t>
      </w:r>
    </w:p>
    <w:p>
      <w:pPr>
        <w:spacing w:after="80" w:before="200"/>
      </w:pPr>
      <w:r>
        <w:rPr>
          <w:b/>
          <w:i w:val="0"/>
          <w:color w:val="1C3A36"/>
          <w:sz w:val="24"/>
        </w:rPr>
        <w:t>A.1  Income statement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GB Auto revenue</w:t>
            </w:r>
          </w:p>
        </w:tc>
        <w:tc>
          <w:tcPr>
            <w:tcW w:type="dxa" w:w="886"/>
          </w:tcPr>
          <w:p>
            <w:pPr>
              <w:spacing w:after="20"/>
              <w:jc w:val="right"/>
            </w:pPr>
            <w:r>
              <w:rPr>
                <w:color w:val="1C3A36"/>
                <w:sz w:val="16"/>
              </w:rPr>
              <w:t>23,854</w:t>
            </w:r>
          </w:p>
        </w:tc>
        <w:tc>
          <w:tcPr>
            <w:tcW w:type="dxa" w:w="886"/>
          </w:tcPr>
          <w:p>
            <w:pPr>
              <w:spacing w:after="20"/>
              <w:jc w:val="right"/>
            </w:pPr>
            <w:r>
              <w:rPr>
                <w:color w:val="1C3A36"/>
                <w:sz w:val="16"/>
              </w:rPr>
              <w:t>47,065</w:t>
            </w:r>
          </w:p>
        </w:tc>
        <w:tc>
          <w:tcPr>
            <w:tcW w:type="dxa" w:w="886"/>
          </w:tcPr>
          <w:p>
            <w:pPr>
              <w:spacing w:after="20"/>
              <w:jc w:val="right"/>
            </w:pPr>
            <w:r>
              <w:rPr>
                <w:color w:val="1C3A36"/>
                <w:sz w:val="16"/>
              </w:rPr>
              <w:t>66,358</w:t>
            </w:r>
          </w:p>
        </w:tc>
        <w:tc>
          <w:tcPr>
            <w:tcW w:type="dxa" w:w="886"/>
          </w:tcPr>
          <w:p>
            <w:pPr>
              <w:spacing w:after="20"/>
              <w:jc w:val="right"/>
            </w:pPr>
            <w:r>
              <w:rPr>
                <w:color w:val="1C3A36"/>
                <w:sz w:val="16"/>
              </w:rPr>
              <w:t>78,550</w:t>
            </w:r>
          </w:p>
        </w:tc>
        <w:tc>
          <w:tcPr>
            <w:tcW w:type="dxa" w:w="886"/>
          </w:tcPr>
          <w:p>
            <w:pPr>
              <w:spacing w:after="20"/>
              <w:jc w:val="right"/>
            </w:pPr>
            <w:r>
              <w:rPr>
                <w:color w:val="1C3A36"/>
                <w:sz w:val="16"/>
              </w:rPr>
              <w:t>95,736</w:t>
            </w:r>
          </w:p>
        </w:tc>
        <w:tc>
          <w:tcPr>
            <w:tcW w:type="dxa" w:w="886"/>
          </w:tcPr>
          <w:p>
            <w:pPr>
              <w:spacing w:after="20"/>
              <w:jc w:val="right"/>
            </w:pPr>
            <w:r>
              <w:rPr>
                <w:color w:val="1C3A36"/>
                <w:sz w:val="16"/>
              </w:rPr>
              <w:t>112,459</w:t>
            </w:r>
          </w:p>
        </w:tc>
        <w:tc>
          <w:tcPr>
            <w:tcW w:type="dxa" w:w="886"/>
          </w:tcPr>
          <w:p>
            <w:pPr>
              <w:spacing w:after="20"/>
              <w:jc w:val="right"/>
            </w:pPr>
            <w:r>
              <w:rPr>
                <w:color w:val="1C3A36"/>
                <w:sz w:val="16"/>
              </w:rPr>
              <w:t>128,714</w:t>
            </w:r>
          </w:p>
        </w:tc>
        <w:tc>
          <w:tcPr>
            <w:tcW w:type="dxa" w:w="886"/>
          </w:tcPr>
          <w:p>
            <w:pPr>
              <w:spacing w:after="20"/>
              <w:jc w:val="right"/>
            </w:pPr>
            <w:r>
              <w:rPr>
                <w:color w:val="1C3A36"/>
                <w:sz w:val="16"/>
              </w:rPr>
              <w:t>144,761</w:t>
            </w:r>
          </w:p>
        </w:tc>
      </w:tr>
      <w:tr>
        <w:tc>
          <w:tcPr>
            <w:tcW w:type="dxa" w:w="2952"/>
          </w:tcPr>
          <w:p>
            <w:pPr>
              <w:spacing w:after="20"/>
            </w:pPr>
            <w:r>
              <w:rPr>
                <w:b/>
                <w:color w:val="1C3A36"/>
                <w:sz w:val="16"/>
              </w:rPr>
              <w:t>GB Capital revenue</w:t>
            </w:r>
          </w:p>
        </w:tc>
        <w:tc>
          <w:tcPr>
            <w:tcW w:type="dxa" w:w="886"/>
          </w:tcPr>
          <w:p>
            <w:pPr>
              <w:spacing w:after="20"/>
              <w:jc w:val="right"/>
            </w:pPr>
            <w:r>
              <w:rPr>
                <w:color w:val="1C3A36"/>
                <w:sz w:val="16"/>
              </w:rPr>
              <w:t>4,951</w:t>
            </w:r>
          </w:p>
        </w:tc>
        <w:tc>
          <w:tcPr>
            <w:tcW w:type="dxa" w:w="886"/>
          </w:tcPr>
          <w:p>
            <w:pPr>
              <w:spacing w:after="20"/>
              <w:jc w:val="right"/>
            </w:pPr>
            <w:r>
              <w:rPr>
                <w:color w:val="1C3A36"/>
                <w:sz w:val="16"/>
              </w:rPr>
              <w:t>7,384</w:t>
            </w:r>
          </w:p>
        </w:tc>
        <w:tc>
          <w:tcPr>
            <w:tcW w:type="dxa" w:w="886"/>
          </w:tcPr>
          <w:p>
            <w:pPr>
              <w:spacing w:after="20"/>
              <w:jc w:val="right"/>
            </w:pPr>
            <w:r>
              <w:rPr>
                <w:color w:val="1C3A36"/>
                <w:sz w:val="16"/>
              </w:rPr>
              <w:t>14,743</w:t>
            </w:r>
          </w:p>
        </w:tc>
        <w:tc>
          <w:tcPr>
            <w:tcW w:type="dxa" w:w="886"/>
          </w:tcPr>
          <w:p>
            <w:pPr>
              <w:spacing w:after="20"/>
              <w:jc w:val="right"/>
            </w:pPr>
            <w:r>
              <w:rPr>
                <w:color w:val="1C3A36"/>
                <w:sz w:val="16"/>
              </w:rPr>
              <w:t>21,377</w:t>
            </w:r>
          </w:p>
        </w:tc>
        <w:tc>
          <w:tcPr>
            <w:tcW w:type="dxa" w:w="886"/>
          </w:tcPr>
          <w:p>
            <w:pPr>
              <w:spacing w:after="20"/>
              <w:jc w:val="right"/>
            </w:pPr>
            <w:r>
              <w:rPr>
                <w:color w:val="1C3A36"/>
                <w:sz w:val="16"/>
              </w:rPr>
              <w:t>27,790</w:t>
            </w:r>
          </w:p>
        </w:tc>
        <w:tc>
          <w:tcPr>
            <w:tcW w:type="dxa" w:w="886"/>
          </w:tcPr>
          <w:p>
            <w:pPr>
              <w:spacing w:after="20"/>
              <w:jc w:val="right"/>
            </w:pPr>
            <w:r>
              <w:rPr>
                <w:color w:val="1C3A36"/>
                <w:sz w:val="16"/>
              </w:rPr>
              <w:t>34,738</w:t>
            </w:r>
          </w:p>
        </w:tc>
        <w:tc>
          <w:tcPr>
            <w:tcW w:type="dxa" w:w="886"/>
          </w:tcPr>
          <w:p>
            <w:pPr>
              <w:spacing w:after="20"/>
              <w:jc w:val="right"/>
            </w:pPr>
            <w:r>
              <w:rPr>
                <w:color w:val="1C3A36"/>
                <w:sz w:val="16"/>
              </w:rPr>
              <w:t>41,686</w:t>
            </w:r>
          </w:p>
        </w:tc>
        <w:tc>
          <w:tcPr>
            <w:tcW w:type="dxa" w:w="886"/>
          </w:tcPr>
          <w:p>
            <w:pPr>
              <w:spacing w:after="20"/>
              <w:jc w:val="right"/>
            </w:pPr>
            <w:r>
              <w:rPr>
                <w:color w:val="1C3A36"/>
                <w:sz w:val="16"/>
              </w:rPr>
              <w:t>49,189</w:t>
            </w:r>
          </w:p>
        </w:tc>
      </w:tr>
      <w:tr>
        <w:tc>
          <w:tcPr>
            <w:tcW w:type="dxa" w:w="2952"/>
          </w:tcPr>
          <w:p>
            <w:pPr>
              <w:spacing w:after="20"/>
            </w:pPr>
            <w:r>
              <w:rPr>
                <w:b/>
                <w:color w:val="1C3A36"/>
                <w:sz w:val="16"/>
              </w:rPr>
              <w:t>Eliminations</w:t>
            </w:r>
          </w:p>
        </w:tc>
        <w:tc>
          <w:tcPr>
            <w:tcW w:type="dxa" w:w="886"/>
          </w:tcPr>
          <w:p>
            <w:pPr>
              <w:spacing w:after="20"/>
              <w:jc w:val="right"/>
            </w:pPr>
            <w:r>
              <w:rPr>
                <w:color w:val="1C3A36"/>
                <w:sz w:val="16"/>
              </w:rPr>
              <w:t>(488)</w:t>
            </w:r>
          </w:p>
        </w:tc>
        <w:tc>
          <w:tcPr>
            <w:tcW w:type="dxa" w:w="886"/>
          </w:tcPr>
          <w:p>
            <w:pPr>
              <w:spacing w:after="20"/>
              <w:jc w:val="right"/>
            </w:pPr>
            <w:r>
              <w:rPr>
                <w:color w:val="1C3A36"/>
                <w:sz w:val="16"/>
              </w:rPr>
              <w:t>(479)</w:t>
            </w:r>
          </w:p>
        </w:tc>
        <w:tc>
          <w:tcPr>
            <w:tcW w:type="dxa" w:w="886"/>
          </w:tcPr>
          <w:p>
            <w:pPr>
              <w:spacing w:after="20"/>
              <w:jc w:val="right"/>
            </w:pPr>
            <w:r>
              <w:rPr>
                <w:color w:val="1C3A36"/>
                <w:sz w:val="16"/>
              </w:rPr>
              <w:t>(872)</w:t>
            </w:r>
          </w:p>
        </w:tc>
        <w:tc>
          <w:tcPr>
            <w:tcW w:type="dxa" w:w="886"/>
          </w:tcPr>
          <w:p>
            <w:pPr>
              <w:spacing w:after="20"/>
              <w:jc w:val="right"/>
            </w:pPr>
            <w:r>
              <w:rPr>
                <w:color w:val="1C3A36"/>
                <w:sz w:val="16"/>
              </w:rPr>
              <w:t>(1,099)</w:t>
            </w:r>
          </w:p>
        </w:tc>
        <w:tc>
          <w:tcPr>
            <w:tcW w:type="dxa" w:w="886"/>
          </w:tcPr>
          <w:p>
            <w:pPr>
              <w:spacing w:after="20"/>
              <w:jc w:val="right"/>
            </w:pPr>
            <w:r>
              <w:rPr>
                <w:color w:val="1C3A36"/>
                <w:sz w:val="16"/>
              </w:rPr>
              <w:t>(1,359)</w:t>
            </w:r>
          </w:p>
        </w:tc>
        <w:tc>
          <w:tcPr>
            <w:tcW w:type="dxa" w:w="886"/>
          </w:tcPr>
          <w:p>
            <w:pPr>
              <w:spacing w:after="20"/>
              <w:jc w:val="right"/>
            </w:pPr>
            <w:r>
              <w:rPr>
                <w:color w:val="1C3A36"/>
                <w:sz w:val="16"/>
              </w:rPr>
              <w:t>(1,619)</w:t>
            </w:r>
          </w:p>
        </w:tc>
        <w:tc>
          <w:tcPr>
            <w:tcW w:type="dxa" w:w="886"/>
          </w:tcPr>
          <w:p>
            <w:pPr>
              <w:spacing w:after="20"/>
              <w:jc w:val="right"/>
            </w:pPr>
            <w:r>
              <w:rPr>
                <w:color w:val="1C3A36"/>
                <w:sz w:val="16"/>
              </w:rPr>
              <w:t>(1,874)</w:t>
            </w:r>
          </w:p>
        </w:tc>
        <w:tc>
          <w:tcPr>
            <w:tcW w:type="dxa" w:w="886"/>
          </w:tcPr>
          <w:p>
            <w:pPr>
              <w:spacing w:after="20"/>
              <w:jc w:val="right"/>
            </w:pPr>
            <w:r>
              <w:rPr>
                <w:color w:val="1C3A36"/>
                <w:sz w:val="16"/>
              </w:rPr>
              <w:t>(2,133)</w:t>
            </w:r>
          </w:p>
        </w:tc>
      </w:tr>
      <w:tr>
        <w:tc>
          <w:tcPr>
            <w:tcW w:type="dxa" w:w="2952"/>
          </w:tcPr>
          <w:p>
            <w:pPr>
              <w:spacing w:after="20"/>
            </w:pPr>
            <w:r>
              <w:rPr>
                <w:b/>
                <w:color w:val="1C3A36"/>
                <w:sz w:val="16"/>
              </w:rPr>
              <w:t>Total revenue</w:t>
            </w:r>
          </w:p>
        </w:tc>
        <w:tc>
          <w:tcPr>
            <w:tcW w:type="dxa" w:w="886"/>
          </w:tcPr>
          <w:p>
            <w:pPr>
              <w:spacing w:after="20"/>
              <w:jc w:val="right"/>
            </w:pPr>
            <w:r>
              <w:rPr>
                <w:color w:val="1C3A36"/>
                <w:sz w:val="16"/>
              </w:rPr>
              <w:t>28,317</w:t>
            </w:r>
          </w:p>
        </w:tc>
        <w:tc>
          <w:tcPr>
            <w:tcW w:type="dxa" w:w="886"/>
          </w:tcPr>
          <w:p>
            <w:pPr>
              <w:spacing w:after="20"/>
              <w:jc w:val="right"/>
            </w:pPr>
            <w:r>
              <w:rPr>
                <w:color w:val="1C3A36"/>
                <w:sz w:val="16"/>
              </w:rPr>
              <w:t>53,970</w:t>
            </w:r>
          </w:p>
        </w:tc>
        <w:tc>
          <w:tcPr>
            <w:tcW w:type="dxa" w:w="886"/>
          </w:tcPr>
          <w:p>
            <w:pPr>
              <w:spacing w:after="20"/>
              <w:jc w:val="right"/>
            </w:pPr>
            <w:r>
              <w:rPr>
                <w:color w:val="1C3A36"/>
                <w:sz w:val="16"/>
              </w:rPr>
              <w:t>80,230</w:t>
            </w:r>
          </w:p>
        </w:tc>
        <w:tc>
          <w:tcPr>
            <w:tcW w:type="dxa" w:w="886"/>
          </w:tcPr>
          <w:p>
            <w:pPr>
              <w:spacing w:after="20"/>
              <w:jc w:val="right"/>
            </w:pPr>
            <w:r>
              <w:rPr>
                <w:color w:val="1C3A36"/>
                <w:sz w:val="16"/>
              </w:rPr>
              <w:t>98,828</w:t>
            </w:r>
          </w:p>
        </w:tc>
        <w:tc>
          <w:tcPr>
            <w:tcW w:type="dxa" w:w="886"/>
          </w:tcPr>
          <w:p>
            <w:pPr>
              <w:spacing w:after="20"/>
              <w:jc w:val="right"/>
            </w:pPr>
            <w:r>
              <w:rPr>
                <w:color w:val="1C3A36"/>
                <w:sz w:val="16"/>
              </w:rPr>
              <w:t>122,168</w:t>
            </w:r>
          </w:p>
        </w:tc>
        <w:tc>
          <w:tcPr>
            <w:tcW w:type="dxa" w:w="886"/>
          </w:tcPr>
          <w:p>
            <w:pPr>
              <w:spacing w:after="20"/>
              <w:jc w:val="right"/>
            </w:pPr>
            <w:r>
              <w:rPr>
                <w:color w:val="1C3A36"/>
                <w:sz w:val="16"/>
              </w:rPr>
              <w:t>145,578</w:t>
            </w:r>
          </w:p>
        </w:tc>
        <w:tc>
          <w:tcPr>
            <w:tcW w:type="dxa" w:w="886"/>
          </w:tcPr>
          <w:p>
            <w:pPr>
              <w:spacing w:after="20"/>
              <w:jc w:val="right"/>
            </w:pPr>
            <w:r>
              <w:rPr>
                <w:color w:val="1C3A36"/>
                <w:sz w:val="16"/>
              </w:rPr>
              <w:t>168,525</w:t>
            </w:r>
          </w:p>
        </w:tc>
        <w:tc>
          <w:tcPr>
            <w:tcW w:type="dxa" w:w="886"/>
          </w:tcPr>
          <w:p>
            <w:pPr>
              <w:spacing w:after="20"/>
              <w:jc w:val="right"/>
            </w:pPr>
            <w:r>
              <w:rPr>
                <w:color w:val="1C3A36"/>
                <w:sz w:val="16"/>
              </w:rPr>
              <w:t>191,817</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6,884</w:t>
            </w:r>
          </w:p>
        </w:tc>
        <w:tc>
          <w:tcPr>
            <w:tcW w:type="dxa" w:w="886"/>
          </w:tcPr>
          <w:p>
            <w:pPr>
              <w:spacing w:after="20"/>
              <w:jc w:val="right"/>
            </w:pPr>
            <w:r>
              <w:rPr>
                <w:color w:val="1C3A36"/>
                <w:sz w:val="16"/>
              </w:rPr>
              <w:t>10,515</w:t>
            </w:r>
          </w:p>
        </w:tc>
        <w:tc>
          <w:tcPr>
            <w:tcW w:type="dxa" w:w="886"/>
          </w:tcPr>
          <w:p>
            <w:pPr>
              <w:spacing w:after="20"/>
              <w:jc w:val="right"/>
            </w:pPr>
            <w:r>
              <w:rPr>
                <w:color w:val="1C3A36"/>
                <w:sz w:val="16"/>
              </w:rPr>
              <w:t>12,431</w:t>
            </w:r>
          </w:p>
        </w:tc>
        <w:tc>
          <w:tcPr>
            <w:tcW w:type="dxa" w:w="886"/>
          </w:tcPr>
          <w:p>
            <w:pPr>
              <w:spacing w:after="20"/>
              <w:jc w:val="right"/>
            </w:pPr>
            <w:r>
              <w:rPr>
                <w:color w:val="1C3A36"/>
                <w:sz w:val="16"/>
              </w:rPr>
              <w:t>14,633</w:t>
            </w:r>
          </w:p>
        </w:tc>
        <w:tc>
          <w:tcPr>
            <w:tcW w:type="dxa" w:w="886"/>
          </w:tcPr>
          <w:p>
            <w:pPr>
              <w:spacing w:after="20"/>
              <w:jc w:val="right"/>
            </w:pPr>
            <w:r>
              <w:rPr>
                <w:color w:val="1C3A36"/>
                <w:sz w:val="16"/>
              </w:rPr>
              <w:t>18,600</w:t>
            </w:r>
          </w:p>
        </w:tc>
        <w:tc>
          <w:tcPr>
            <w:tcW w:type="dxa" w:w="886"/>
          </w:tcPr>
          <w:p>
            <w:pPr>
              <w:spacing w:after="20"/>
              <w:jc w:val="right"/>
            </w:pPr>
            <w:r>
              <w:rPr>
                <w:color w:val="1C3A36"/>
                <w:sz w:val="16"/>
              </w:rPr>
              <w:t>22,760</w:t>
            </w:r>
          </w:p>
        </w:tc>
        <w:tc>
          <w:tcPr>
            <w:tcW w:type="dxa" w:w="886"/>
          </w:tcPr>
          <w:p>
            <w:pPr>
              <w:spacing w:after="20"/>
              <w:jc w:val="right"/>
            </w:pPr>
            <w:r>
              <w:rPr>
                <w:color w:val="1C3A36"/>
                <w:sz w:val="16"/>
              </w:rPr>
              <w:t>26,551</w:t>
            </w:r>
          </w:p>
        </w:tc>
        <w:tc>
          <w:tcPr>
            <w:tcW w:type="dxa" w:w="886"/>
          </w:tcPr>
          <w:p>
            <w:pPr>
              <w:spacing w:after="20"/>
              <w:jc w:val="right"/>
            </w:pPr>
            <w:r>
              <w:rPr>
                <w:color w:val="1C3A36"/>
                <w:sz w:val="16"/>
              </w:rPr>
              <w:t>30,417</w:t>
            </w:r>
          </w:p>
        </w:tc>
      </w:tr>
      <w:tr>
        <w:tc>
          <w:tcPr>
            <w:tcW w:type="dxa" w:w="2952"/>
          </w:tcPr>
          <w:p>
            <w:pPr>
              <w:spacing w:after="20"/>
            </w:pPr>
            <w:r>
              <w:rPr>
                <w:b/>
                <w:color w:val="1C3A36"/>
                <w:sz w:val="16"/>
              </w:rPr>
              <w:t>S&amp;M and administration</w:t>
            </w:r>
          </w:p>
        </w:tc>
        <w:tc>
          <w:tcPr>
            <w:tcW w:type="dxa" w:w="886"/>
          </w:tcPr>
          <w:p>
            <w:pPr>
              <w:spacing w:after="20"/>
              <w:jc w:val="right"/>
            </w:pPr>
            <w:r>
              <w:rPr>
                <w:color w:val="1C3A36"/>
                <w:sz w:val="16"/>
              </w:rPr>
              <w:t>(3,431)</w:t>
            </w:r>
          </w:p>
        </w:tc>
        <w:tc>
          <w:tcPr>
            <w:tcW w:type="dxa" w:w="886"/>
          </w:tcPr>
          <w:p>
            <w:pPr>
              <w:spacing w:after="20"/>
              <w:jc w:val="right"/>
            </w:pPr>
            <w:r>
              <w:rPr>
                <w:color w:val="1C3A36"/>
                <w:sz w:val="16"/>
              </w:rPr>
              <w:t>(4,844)</w:t>
            </w:r>
          </w:p>
        </w:tc>
        <w:tc>
          <w:tcPr>
            <w:tcW w:type="dxa" w:w="886"/>
          </w:tcPr>
          <w:p>
            <w:pPr>
              <w:spacing w:after="20"/>
              <w:jc w:val="right"/>
            </w:pPr>
            <w:r>
              <w:rPr>
                <w:color w:val="1C3A36"/>
                <w:sz w:val="16"/>
              </w:rPr>
              <w:t>(6,547)</w:t>
            </w:r>
          </w:p>
        </w:tc>
        <w:tc>
          <w:tcPr>
            <w:tcW w:type="dxa" w:w="886"/>
          </w:tcPr>
          <w:p>
            <w:pPr>
              <w:spacing w:after="20"/>
              <w:jc w:val="right"/>
            </w:pPr>
            <w:r>
              <w:rPr>
                <w:color w:val="1C3A36"/>
                <w:sz w:val="16"/>
              </w:rPr>
              <w:t>(7,906)</w:t>
            </w:r>
          </w:p>
        </w:tc>
        <w:tc>
          <w:tcPr>
            <w:tcW w:type="dxa" w:w="886"/>
          </w:tcPr>
          <w:p>
            <w:pPr>
              <w:spacing w:after="20"/>
              <w:jc w:val="right"/>
            </w:pPr>
            <w:r>
              <w:rPr>
                <w:color w:val="1C3A36"/>
                <w:sz w:val="16"/>
              </w:rPr>
              <w:t>(9,651)</w:t>
            </w:r>
          </w:p>
        </w:tc>
        <w:tc>
          <w:tcPr>
            <w:tcW w:type="dxa" w:w="886"/>
          </w:tcPr>
          <w:p>
            <w:pPr>
              <w:spacing w:after="20"/>
              <w:jc w:val="right"/>
            </w:pPr>
            <w:r>
              <w:rPr>
                <w:color w:val="1C3A36"/>
                <w:sz w:val="16"/>
              </w:rPr>
              <w:t>(11,355)</w:t>
            </w:r>
          </w:p>
        </w:tc>
        <w:tc>
          <w:tcPr>
            <w:tcW w:type="dxa" w:w="886"/>
          </w:tcPr>
          <w:p>
            <w:pPr>
              <w:spacing w:after="20"/>
              <w:jc w:val="right"/>
            </w:pPr>
            <w:r>
              <w:rPr>
                <w:color w:val="1C3A36"/>
                <w:sz w:val="16"/>
              </w:rPr>
              <w:t>(13,061)</w:t>
            </w:r>
          </w:p>
        </w:tc>
        <w:tc>
          <w:tcPr>
            <w:tcW w:type="dxa" w:w="886"/>
          </w:tcPr>
          <w:p>
            <w:pPr>
              <w:spacing w:after="20"/>
              <w:jc w:val="right"/>
            </w:pPr>
            <w:r>
              <w:rPr>
                <w:color w:val="1C3A36"/>
                <w:sz w:val="16"/>
              </w:rPr>
              <w:t>(14,770)</w:t>
            </w:r>
          </w:p>
        </w:tc>
      </w:tr>
      <w:tr>
        <w:tc>
          <w:tcPr>
            <w:tcW w:type="dxa" w:w="2952"/>
          </w:tcPr>
          <w:p>
            <w:pPr>
              <w:spacing w:after="20"/>
            </w:pPr>
            <w:r>
              <w:rPr>
                <w:b/>
                <w:color w:val="1C3A36"/>
                <w:sz w:val="16"/>
              </w:rPr>
              <w:t>Other income · provisions</w:t>
            </w:r>
          </w:p>
        </w:tc>
        <w:tc>
          <w:tcPr>
            <w:tcW w:type="dxa" w:w="886"/>
          </w:tcPr>
          <w:p>
            <w:pPr>
              <w:spacing w:after="20"/>
              <w:jc w:val="right"/>
            </w:pPr>
            <w:r>
              <w:rPr>
                <w:color w:val="1C3A36"/>
                <w:sz w:val="16"/>
              </w:rPr>
              <w:t>250</w:t>
            </w:r>
          </w:p>
        </w:tc>
        <w:tc>
          <w:tcPr>
            <w:tcW w:type="dxa" w:w="886"/>
          </w:tcPr>
          <w:p>
            <w:pPr>
              <w:spacing w:after="20"/>
              <w:jc w:val="right"/>
            </w:pPr>
            <w:r>
              <w:rPr>
                <w:color w:val="1C3A36"/>
                <w:sz w:val="16"/>
              </w:rPr>
              <w:t>150</w:t>
            </w:r>
          </w:p>
        </w:tc>
        <w:tc>
          <w:tcPr>
            <w:tcW w:type="dxa" w:w="886"/>
          </w:tcPr>
          <w:p>
            <w:pPr>
              <w:spacing w:after="20"/>
              <w:jc w:val="right"/>
            </w:pPr>
            <w:r>
              <w:rPr>
                <w:color w:val="1C3A36"/>
                <w:sz w:val="16"/>
              </w:rPr>
              <w:t>747</w:t>
            </w:r>
          </w:p>
        </w:tc>
        <w:tc>
          <w:tcPr>
            <w:tcW w:type="dxa" w:w="886"/>
          </w:tcPr>
          <w:p>
            <w:pPr>
              <w:spacing w:after="20"/>
              <w:jc w:val="right"/>
            </w:pPr>
            <w:r>
              <w:rPr>
                <w:color w:val="1C3A36"/>
                <w:sz w:val="16"/>
              </w:rPr>
              <w:t>791</w:t>
            </w:r>
          </w:p>
        </w:tc>
        <w:tc>
          <w:tcPr>
            <w:tcW w:type="dxa" w:w="886"/>
          </w:tcPr>
          <w:p>
            <w:pPr>
              <w:spacing w:after="20"/>
              <w:jc w:val="right"/>
            </w:pPr>
            <w:r>
              <w:rPr>
                <w:color w:val="1C3A36"/>
                <w:sz w:val="16"/>
              </w:rPr>
              <w:t>977</w:t>
            </w:r>
          </w:p>
        </w:tc>
        <w:tc>
          <w:tcPr>
            <w:tcW w:type="dxa" w:w="886"/>
          </w:tcPr>
          <w:p>
            <w:pPr>
              <w:spacing w:after="20"/>
              <w:jc w:val="right"/>
            </w:pPr>
            <w:r>
              <w:rPr>
                <w:color w:val="1C3A36"/>
                <w:sz w:val="16"/>
              </w:rPr>
              <w:t>1,165</w:t>
            </w:r>
          </w:p>
        </w:tc>
        <w:tc>
          <w:tcPr>
            <w:tcW w:type="dxa" w:w="886"/>
          </w:tcPr>
          <w:p>
            <w:pPr>
              <w:spacing w:after="20"/>
              <w:jc w:val="right"/>
            </w:pPr>
            <w:r>
              <w:rPr>
                <w:color w:val="1C3A36"/>
                <w:sz w:val="16"/>
              </w:rPr>
              <w:t>1,348</w:t>
            </w:r>
          </w:p>
        </w:tc>
        <w:tc>
          <w:tcPr>
            <w:tcW w:type="dxa" w:w="886"/>
          </w:tcPr>
          <w:p>
            <w:pPr>
              <w:spacing w:after="20"/>
              <w:jc w:val="right"/>
            </w:pPr>
            <w:r>
              <w:rPr>
                <w:color w:val="1C3A36"/>
                <w:sz w:val="16"/>
              </w:rPr>
              <w:t>1,535</w:t>
            </w:r>
          </w:p>
        </w:tc>
      </w:tr>
      <w:tr>
        <w:tc>
          <w:tcPr>
            <w:tcW w:type="dxa" w:w="2952"/>
          </w:tcPr>
          <w:p>
            <w:pPr>
              <w:spacing w:after="20"/>
            </w:pPr>
            <w:r>
              <w:rPr>
                <w:b/>
                <w:color w:val="1C3A36"/>
                <w:sz w:val="16"/>
              </w:rPr>
              <w:t>Operating profit</w:t>
            </w:r>
          </w:p>
        </w:tc>
        <w:tc>
          <w:tcPr>
            <w:tcW w:type="dxa" w:w="886"/>
          </w:tcPr>
          <w:p>
            <w:pPr>
              <w:spacing w:after="20"/>
              <w:jc w:val="right"/>
            </w:pPr>
            <w:r>
              <w:rPr>
                <w:color w:val="1C3A36"/>
                <w:sz w:val="16"/>
              </w:rPr>
              <w:t>3,703</w:t>
            </w:r>
          </w:p>
        </w:tc>
        <w:tc>
          <w:tcPr>
            <w:tcW w:type="dxa" w:w="886"/>
          </w:tcPr>
          <w:p>
            <w:pPr>
              <w:spacing w:after="20"/>
              <w:jc w:val="right"/>
            </w:pPr>
            <w:r>
              <w:rPr>
                <w:color w:val="1C3A36"/>
                <w:sz w:val="16"/>
              </w:rPr>
              <w:t>5,821</w:t>
            </w:r>
          </w:p>
        </w:tc>
        <w:tc>
          <w:tcPr>
            <w:tcW w:type="dxa" w:w="886"/>
          </w:tcPr>
          <w:p>
            <w:pPr>
              <w:spacing w:after="20"/>
              <w:jc w:val="right"/>
            </w:pPr>
            <w:r>
              <w:rPr>
                <w:color w:val="1C3A36"/>
                <w:sz w:val="16"/>
              </w:rPr>
              <w:t>6,631</w:t>
            </w:r>
          </w:p>
        </w:tc>
        <w:tc>
          <w:tcPr>
            <w:tcW w:type="dxa" w:w="886"/>
          </w:tcPr>
          <w:p>
            <w:pPr>
              <w:spacing w:after="20"/>
              <w:jc w:val="right"/>
            </w:pPr>
            <w:r>
              <w:rPr>
                <w:color w:val="1C3A36"/>
                <w:sz w:val="16"/>
              </w:rPr>
              <w:t>7,518</w:t>
            </w:r>
          </w:p>
        </w:tc>
        <w:tc>
          <w:tcPr>
            <w:tcW w:type="dxa" w:w="886"/>
          </w:tcPr>
          <w:p>
            <w:pPr>
              <w:spacing w:after="20"/>
              <w:jc w:val="right"/>
            </w:pPr>
            <w:r>
              <w:rPr>
                <w:color w:val="1C3A36"/>
                <w:sz w:val="16"/>
              </w:rPr>
              <w:t>9,926</w:t>
            </w:r>
          </w:p>
        </w:tc>
        <w:tc>
          <w:tcPr>
            <w:tcW w:type="dxa" w:w="886"/>
          </w:tcPr>
          <w:p>
            <w:pPr>
              <w:spacing w:after="20"/>
              <w:jc w:val="right"/>
            </w:pPr>
            <w:r>
              <w:rPr>
                <w:color w:val="1C3A36"/>
                <w:sz w:val="16"/>
              </w:rPr>
              <w:t>12,570</w:t>
            </w:r>
          </w:p>
        </w:tc>
        <w:tc>
          <w:tcPr>
            <w:tcW w:type="dxa" w:w="886"/>
          </w:tcPr>
          <w:p>
            <w:pPr>
              <w:spacing w:after="20"/>
              <w:jc w:val="right"/>
            </w:pPr>
            <w:r>
              <w:rPr>
                <w:color w:val="1C3A36"/>
                <w:sz w:val="16"/>
              </w:rPr>
              <w:t>14,838</w:t>
            </w:r>
          </w:p>
        </w:tc>
        <w:tc>
          <w:tcPr>
            <w:tcW w:type="dxa" w:w="886"/>
          </w:tcPr>
          <w:p>
            <w:pPr>
              <w:spacing w:after="20"/>
              <w:jc w:val="right"/>
            </w:pPr>
            <w:r>
              <w:rPr>
                <w:color w:val="1C3A36"/>
                <w:sz w:val="16"/>
              </w:rPr>
              <w:t>17,182</w:t>
            </w:r>
          </w:p>
        </w:tc>
      </w:tr>
      <w:tr>
        <w:tc>
          <w:tcPr>
            <w:tcW w:type="dxa" w:w="2952"/>
          </w:tcPr>
          <w:p>
            <w:pPr>
              <w:spacing w:after="20"/>
            </w:pPr>
            <w:r>
              <w:rPr>
                <w:b/>
                <w:color w:val="1C3A36"/>
                <w:sz w:val="16"/>
              </w:rPr>
              <w:t>Associates</w:t>
            </w:r>
          </w:p>
        </w:tc>
        <w:tc>
          <w:tcPr>
            <w:tcW w:type="dxa" w:w="886"/>
          </w:tcPr>
          <w:p>
            <w:pPr>
              <w:spacing w:after="20"/>
              <w:jc w:val="right"/>
            </w:pPr>
            <w:r>
              <w:rPr>
                <w:color w:val="1C3A36"/>
                <w:sz w:val="16"/>
              </w:rPr>
              <w:t>1,066</w:t>
            </w:r>
          </w:p>
        </w:tc>
        <w:tc>
          <w:tcPr>
            <w:tcW w:type="dxa" w:w="886"/>
          </w:tcPr>
          <w:p>
            <w:pPr>
              <w:spacing w:after="20"/>
              <w:jc w:val="right"/>
            </w:pPr>
            <w:r>
              <w:rPr>
                <w:color w:val="1C3A36"/>
                <w:sz w:val="16"/>
              </w:rPr>
              <w:t>868</w:t>
            </w:r>
          </w:p>
        </w:tc>
        <w:tc>
          <w:tcPr>
            <w:tcW w:type="dxa" w:w="886"/>
          </w:tcPr>
          <w:p>
            <w:pPr>
              <w:spacing w:after="20"/>
              <w:jc w:val="right"/>
            </w:pPr>
            <w:r>
              <w:rPr>
                <w:color w:val="1C3A36"/>
                <w:sz w:val="16"/>
              </w:rPr>
              <w:t>975</w:t>
            </w:r>
          </w:p>
        </w:tc>
        <w:tc>
          <w:tcPr>
            <w:tcW w:type="dxa" w:w="886"/>
          </w:tcPr>
          <w:p>
            <w:pPr>
              <w:spacing w:after="20"/>
              <w:jc w:val="right"/>
            </w:pPr>
            <w:r>
              <w:rPr>
                <w:color w:val="1C3A36"/>
                <w:sz w:val="16"/>
              </w:rPr>
              <w:t>1,250</w:t>
            </w:r>
          </w:p>
        </w:tc>
        <w:tc>
          <w:tcPr>
            <w:tcW w:type="dxa" w:w="886"/>
          </w:tcPr>
          <w:p>
            <w:pPr>
              <w:spacing w:after="20"/>
              <w:jc w:val="right"/>
            </w:pPr>
            <w:r>
              <w:rPr>
                <w:color w:val="1C3A36"/>
                <w:sz w:val="16"/>
              </w:rPr>
              <w:t>1,430</w:t>
            </w:r>
          </w:p>
        </w:tc>
        <w:tc>
          <w:tcPr>
            <w:tcW w:type="dxa" w:w="886"/>
          </w:tcPr>
          <w:p>
            <w:pPr>
              <w:spacing w:after="20"/>
              <w:jc w:val="right"/>
            </w:pPr>
            <w:r>
              <w:rPr>
                <w:color w:val="1C3A36"/>
                <w:sz w:val="16"/>
              </w:rPr>
              <w:t>1,630</w:t>
            </w:r>
          </w:p>
        </w:tc>
        <w:tc>
          <w:tcPr>
            <w:tcW w:type="dxa" w:w="886"/>
          </w:tcPr>
          <w:p>
            <w:pPr>
              <w:spacing w:after="20"/>
              <w:jc w:val="right"/>
            </w:pPr>
            <w:r>
              <w:rPr>
                <w:color w:val="1C3A36"/>
                <w:sz w:val="16"/>
              </w:rPr>
              <w:t>1,830</w:t>
            </w:r>
          </w:p>
        </w:tc>
        <w:tc>
          <w:tcPr>
            <w:tcW w:type="dxa" w:w="886"/>
          </w:tcPr>
          <w:p>
            <w:pPr>
              <w:spacing w:after="20"/>
              <w:jc w:val="right"/>
            </w:pPr>
            <w:r>
              <w:rPr>
                <w:color w:val="1C3A36"/>
                <w:sz w:val="16"/>
              </w:rPr>
              <w:t>2,030</w:t>
            </w:r>
          </w:p>
        </w:tc>
      </w:tr>
      <w:tr>
        <w:tc>
          <w:tcPr>
            <w:tcW w:type="dxa" w:w="2952"/>
          </w:tcPr>
          <w:p>
            <w:pPr>
              <w:spacing w:after="20"/>
            </w:pPr>
            <w:r>
              <w:rPr>
                <w:b/>
                <w:color w:val="1C3A36"/>
                <w:sz w:val="16"/>
              </w:rPr>
              <w:t>EBIT</w:t>
            </w:r>
          </w:p>
        </w:tc>
        <w:tc>
          <w:tcPr>
            <w:tcW w:type="dxa" w:w="886"/>
          </w:tcPr>
          <w:p>
            <w:pPr>
              <w:spacing w:after="20"/>
              <w:jc w:val="right"/>
            </w:pPr>
            <w:r>
              <w:rPr>
                <w:color w:val="1C3A36"/>
                <w:sz w:val="16"/>
              </w:rPr>
              <w:t>4,770</w:t>
            </w:r>
          </w:p>
        </w:tc>
        <w:tc>
          <w:tcPr>
            <w:tcW w:type="dxa" w:w="886"/>
          </w:tcPr>
          <w:p>
            <w:pPr>
              <w:spacing w:after="20"/>
              <w:jc w:val="right"/>
            </w:pPr>
            <w:r>
              <w:rPr>
                <w:color w:val="1C3A36"/>
                <w:sz w:val="16"/>
              </w:rPr>
              <w:t>6,689</w:t>
            </w:r>
          </w:p>
        </w:tc>
        <w:tc>
          <w:tcPr>
            <w:tcW w:type="dxa" w:w="886"/>
          </w:tcPr>
          <w:p>
            <w:pPr>
              <w:spacing w:after="20"/>
              <w:jc w:val="right"/>
            </w:pPr>
            <w:r>
              <w:rPr>
                <w:color w:val="1C3A36"/>
                <w:sz w:val="16"/>
              </w:rPr>
              <w:t>7,606</w:t>
            </w:r>
          </w:p>
        </w:tc>
        <w:tc>
          <w:tcPr>
            <w:tcW w:type="dxa" w:w="886"/>
          </w:tcPr>
          <w:p>
            <w:pPr>
              <w:spacing w:after="20"/>
              <w:jc w:val="right"/>
            </w:pPr>
            <w:r>
              <w:rPr>
                <w:color w:val="1C3A36"/>
                <w:sz w:val="16"/>
              </w:rPr>
              <w:t>8,768</w:t>
            </w:r>
          </w:p>
        </w:tc>
        <w:tc>
          <w:tcPr>
            <w:tcW w:type="dxa" w:w="886"/>
          </w:tcPr>
          <w:p>
            <w:pPr>
              <w:spacing w:after="20"/>
              <w:jc w:val="right"/>
            </w:pPr>
            <w:r>
              <w:rPr>
                <w:color w:val="1C3A36"/>
                <w:sz w:val="16"/>
              </w:rPr>
              <w:t>11,356</w:t>
            </w:r>
          </w:p>
        </w:tc>
        <w:tc>
          <w:tcPr>
            <w:tcW w:type="dxa" w:w="886"/>
          </w:tcPr>
          <w:p>
            <w:pPr>
              <w:spacing w:after="20"/>
              <w:jc w:val="right"/>
            </w:pPr>
            <w:r>
              <w:rPr>
                <w:color w:val="1C3A36"/>
                <w:sz w:val="16"/>
              </w:rPr>
              <w:t>14,200</w:t>
            </w:r>
          </w:p>
        </w:tc>
        <w:tc>
          <w:tcPr>
            <w:tcW w:type="dxa" w:w="886"/>
          </w:tcPr>
          <w:p>
            <w:pPr>
              <w:spacing w:after="20"/>
              <w:jc w:val="right"/>
            </w:pPr>
            <w:r>
              <w:rPr>
                <w:color w:val="1C3A36"/>
                <w:sz w:val="16"/>
              </w:rPr>
              <w:t>16,668</w:t>
            </w:r>
          </w:p>
        </w:tc>
        <w:tc>
          <w:tcPr>
            <w:tcW w:type="dxa" w:w="886"/>
          </w:tcPr>
          <w:p>
            <w:pPr>
              <w:spacing w:after="20"/>
              <w:jc w:val="right"/>
            </w:pPr>
            <w:r>
              <w:rPr>
                <w:color w:val="1C3A36"/>
                <w:sz w:val="16"/>
              </w:rPr>
              <w:t>19,212</w:t>
            </w:r>
          </w:p>
        </w:tc>
      </w:tr>
      <w:tr>
        <w:tc>
          <w:tcPr>
            <w:tcW w:type="dxa" w:w="2952"/>
          </w:tcPr>
          <w:p>
            <w:pPr>
              <w:spacing w:after="20"/>
            </w:pPr>
            <w:r>
              <w:rPr>
                <w:b/>
                <w:color w:val="1C3A36"/>
                <w:sz w:val="16"/>
              </w:rPr>
              <w:t>FX gains (losses)</w:t>
            </w:r>
          </w:p>
        </w:tc>
        <w:tc>
          <w:tcPr>
            <w:tcW w:type="dxa" w:w="886"/>
          </w:tcPr>
          <w:p>
            <w:pPr>
              <w:spacing w:after="20"/>
              <w:jc w:val="right"/>
            </w:pPr>
            <w:r>
              <w:rPr>
                <w:color w:val="1C3A36"/>
                <w:sz w:val="16"/>
              </w:rPr>
              <w:t>(1,499)</w:t>
            </w:r>
          </w:p>
        </w:tc>
        <w:tc>
          <w:tcPr>
            <w:tcW w:type="dxa" w:w="886"/>
          </w:tcPr>
          <w:p>
            <w:pPr>
              <w:spacing w:after="20"/>
              <w:jc w:val="right"/>
            </w:pPr>
            <w:r>
              <w:rPr>
                <w:color w:val="1C3A36"/>
                <w:sz w:val="16"/>
              </w:rPr>
              <w:t>(292)</w:t>
            </w:r>
          </w:p>
        </w:tc>
        <w:tc>
          <w:tcPr>
            <w:tcW w:type="dxa" w:w="886"/>
          </w:tcPr>
          <w:p>
            <w:pPr>
              <w:spacing w:after="20"/>
              <w:jc w:val="right"/>
            </w:pPr>
            <w:r>
              <w:rPr>
                <w:color w:val="1C3A36"/>
                <w:sz w:val="16"/>
              </w:rPr>
              <w:t>(37)</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c>
          <w:tcPr>
            <w:tcW w:type="dxa" w:w="886"/>
          </w:tcPr>
          <w:p>
            <w:pPr>
              <w:spacing w:after="20"/>
              <w:jc w:val="right"/>
            </w:pPr>
            <w:r>
              <w:rPr>
                <w:color w:val="1C3A36"/>
                <w:sz w:val="16"/>
              </w:rPr>
              <w:t>—</w:t>
            </w:r>
          </w:p>
        </w:tc>
      </w:tr>
      <w:tr>
        <w:tc>
          <w:tcPr>
            <w:tcW w:type="dxa" w:w="2952"/>
          </w:tcPr>
          <w:p>
            <w:pPr>
              <w:spacing w:after="20"/>
            </w:pPr>
            <w:r>
              <w:rPr>
                <w:b/>
                <w:color w:val="1C3A36"/>
                <w:sz w:val="16"/>
              </w:rPr>
              <w:t>Net finance cost</w:t>
            </w:r>
          </w:p>
        </w:tc>
        <w:tc>
          <w:tcPr>
            <w:tcW w:type="dxa" w:w="886"/>
          </w:tcPr>
          <w:p>
            <w:pPr>
              <w:spacing w:after="20"/>
              <w:jc w:val="right"/>
            </w:pPr>
            <w:r>
              <w:rPr>
                <w:color w:val="1C3A36"/>
                <w:sz w:val="16"/>
              </w:rPr>
              <w:t>(966)</w:t>
            </w:r>
          </w:p>
        </w:tc>
        <w:tc>
          <w:tcPr>
            <w:tcW w:type="dxa" w:w="886"/>
          </w:tcPr>
          <w:p>
            <w:pPr>
              <w:spacing w:after="20"/>
              <w:jc w:val="right"/>
            </w:pPr>
            <w:r>
              <w:rPr>
                <w:color w:val="1C3A36"/>
                <w:sz w:val="16"/>
              </w:rPr>
              <w:t>(2,398)</w:t>
            </w:r>
          </w:p>
        </w:tc>
        <w:tc>
          <w:tcPr>
            <w:tcW w:type="dxa" w:w="886"/>
          </w:tcPr>
          <w:p>
            <w:pPr>
              <w:spacing w:after="20"/>
              <w:jc w:val="right"/>
            </w:pPr>
            <w:r>
              <w:rPr>
                <w:color w:val="1C3A36"/>
                <w:sz w:val="16"/>
              </w:rPr>
              <w:t>(3,702)</w:t>
            </w:r>
          </w:p>
        </w:tc>
        <w:tc>
          <w:tcPr>
            <w:tcW w:type="dxa" w:w="886"/>
          </w:tcPr>
          <w:p>
            <w:pPr>
              <w:spacing w:after="20"/>
              <w:jc w:val="right"/>
            </w:pPr>
            <w:r>
              <w:rPr>
                <w:color w:val="1C3A36"/>
                <w:sz w:val="16"/>
              </w:rPr>
              <w:t>(4,100)</w:t>
            </w:r>
          </w:p>
        </w:tc>
        <w:tc>
          <w:tcPr>
            <w:tcW w:type="dxa" w:w="886"/>
          </w:tcPr>
          <w:p>
            <w:pPr>
              <w:spacing w:after="20"/>
              <w:jc w:val="right"/>
            </w:pPr>
            <w:r>
              <w:rPr>
                <w:color w:val="1C3A36"/>
                <w:sz w:val="16"/>
              </w:rPr>
              <w:t>(3,800)</w:t>
            </w:r>
          </w:p>
        </w:tc>
        <w:tc>
          <w:tcPr>
            <w:tcW w:type="dxa" w:w="886"/>
          </w:tcPr>
          <w:p>
            <w:pPr>
              <w:spacing w:after="20"/>
              <w:jc w:val="right"/>
            </w:pPr>
            <w:r>
              <w:rPr>
                <w:color w:val="1C3A36"/>
                <w:sz w:val="16"/>
              </w:rPr>
              <w:t>(3,500)</w:t>
            </w:r>
          </w:p>
        </w:tc>
        <w:tc>
          <w:tcPr>
            <w:tcW w:type="dxa" w:w="886"/>
          </w:tcPr>
          <w:p>
            <w:pPr>
              <w:spacing w:after="20"/>
              <w:jc w:val="right"/>
            </w:pPr>
            <w:r>
              <w:rPr>
                <w:color w:val="1C3A36"/>
                <w:sz w:val="16"/>
              </w:rPr>
              <w:t>(3,300)</w:t>
            </w:r>
          </w:p>
        </w:tc>
        <w:tc>
          <w:tcPr>
            <w:tcW w:type="dxa" w:w="886"/>
          </w:tcPr>
          <w:p>
            <w:pPr>
              <w:spacing w:after="20"/>
              <w:jc w:val="right"/>
            </w:pPr>
            <w:r>
              <w:rPr>
                <w:color w:val="1C3A36"/>
                <w:sz w:val="16"/>
              </w:rPr>
              <w:t>(3,100)</w:t>
            </w:r>
          </w:p>
        </w:tc>
      </w:tr>
      <w:tr>
        <w:tc>
          <w:tcPr>
            <w:tcW w:type="dxa" w:w="2952"/>
          </w:tcPr>
          <w:p>
            <w:pPr>
              <w:spacing w:after="20"/>
            </w:pPr>
            <w:r>
              <w:rPr>
                <w:b/>
                <w:color w:val="1C3A36"/>
                <w:sz w:val="16"/>
              </w:rPr>
              <w:t>Earnings before tax</w:t>
            </w:r>
          </w:p>
        </w:tc>
        <w:tc>
          <w:tcPr>
            <w:tcW w:type="dxa" w:w="886"/>
          </w:tcPr>
          <w:p>
            <w:pPr>
              <w:spacing w:after="20"/>
              <w:jc w:val="right"/>
            </w:pPr>
            <w:r>
              <w:rPr>
                <w:color w:val="1C3A36"/>
                <w:sz w:val="16"/>
              </w:rPr>
              <w:t>2,304</w:t>
            </w:r>
          </w:p>
        </w:tc>
        <w:tc>
          <w:tcPr>
            <w:tcW w:type="dxa" w:w="886"/>
          </w:tcPr>
          <w:p>
            <w:pPr>
              <w:spacing w:after="20"/>
              <w:jc w:val="right"/>
            </w:pPr>
            <w:r>
              <w:rPr>
                <w:color w:val="1C3A36"/>
                <w:sz w:val="16"/>
              </w:rPr>
              <w:t>3,999</w:t>
            </w:r>
          </w:p>
        </w:tc>
        <w:tc>
          <w:tcPr>
            <w:tcW w:type="dxa" w:w="886"/>
          </w:tcPr>
          <w:p>
            <w:pPr>
              <w:spacing w:after="20"/>
              <w:jc w:val="right"/>
            </w:pPr>
            <w:r>
              <w:rPr>
                <w:color w:val="1C3A36"/>
                <w:sz w:val="16"/>
              </w:rPr>
              <w:t>3,867</w:t>
            </w:r>
          </w:p>
        </w:tc>
        <w:tc>
          <w:tcPr>
            <w:tcW w:type="dxa" w:w="886"/>
          </w:tcPr>
          <w:p>
            <w:pPr>
              <w:spacing w:after="20"/>
              <w:jc w:val="right"/>
            </w:pPr>
            <w:r>
              <w:rPr>
                <w:color w:val="1C3A36"/>
                <w:sz w:val="16"/>
              </w:rPr>
              <w:t>4,668</w:t>
            </w:r>
          </w:p>
        </w:tc>
        <w:tc>
          <w:tcPr>
            <w:tcW w:type="dxa" w:w="886"/>
          </w:tcPr>
          <w:p>
            <w:pPr>
              <w:spacing w:after="20"/>
              <w:jc w:val="right"/>
            </w:pPr>
            <w:r>
              <w:rPr>
                <w:color w:val="1C3A36"/>
                <w:sz w:val="16"/>
              </w:rPr>
              <w:t>7,556</w:t>
            </w:r>
          </w:p>
        </w:tc>
        <w:tc>
          <w:tcPr>
            <w:tcW w:type="dxa" w:w="886"/>
          </w:tcPr>
          <w:p>
            <w:pPr>
              <w:spacing w:after="20"/>
              <w:jc w:val="right"/>
            </w:pPr>
            <w:r>
              <w:rPr>
                <w:color w:val="1C3A36"/>
                <w:sz w:val="16"/>
              </w:rPr>
              <w:t>10,700</w:t>
            </w:r>
          </w:p>
        </w:tc>
        <w:tc>
          <w:tcPr>
            <w:tcW w:type="dxa" w:w="886"/>
          </w:tcPr>
          <w:p>
            <w:pPr>
              <w:spacing w:after="20"/>
              <w:jc w:val="right"/>
            </w:pPr>
            <w:r>
              <w:rPr>
                <w:color w:val="1C3A36"/>
                <w:sz w:val="16"/>
              </w:rPr>
              <w:t>13,368</w:t>
            </w:r>
          </w:p>
        </w:tc>
        <w:tc>
          <w:tcPr>
            <w:tcW w:type="dxa" w:w="886"/>
          </w:tcPr>
          <w:p>
            <w:pPr>
              <w:spacing w:after="20"/>
              <w:jc w:val="right"/>
            </w:pPr>
            <w:r>
              <w:rPr>
                <w:color w:val="1C3A36"/>
                <w:sz w:val="16"/>
              </w:rPr>
              <w:t>16,112</w:t>
            </w:r>
          </w:p>
        </w:tc>
      </w:tr>
      <w:tr>
        <w:tc>
          <w:tcPr>
            <w:tcW w:type="dxa" w:w="2952"/>
          </w:tcPr>
          <w:p>
            <w:pPr>
              <w:spacing w:after="20"/>
            </w:pPr>
            <w:r>
              <w:rPr>
                <w:b/>
                <w:color w:val="1C3A36"/>
                <w:sz w:val="16"/>
              </w:rPr>
              <w:t>Income taxes</w:t>
            </w:r>
          </w:p>
        </w:tc>
        <w:tc>
          <w:tcPr>
            <w:tcW w:type="dxa" w:w="886"/>
          </w:tcPr>
          <w:p>
            <w:pPr>
              <w:spacing w:after="20"/>
              <w:jc w:val="right"/>
            </w:pPr>
            <w:r>
              <w:rPr>
                <w:color w:val="1C3A36"/>
                <w:sz w:val="16"/>
              </w:rPr>
              <w:t>(493)</w:t>
            </w:r>
          </w:p>
        </w:tc>
        <w:tc>
          <w:tcPr>
            <w:tcW w:type="dxa" w:w="886"/>
          </w:tcPr>
          <w:p>
            <w:pPr>
              <w:spacing w:after="20"/>
              <w:jc w:val="right"/>
            </w:pPr>
            <w:r>
              <w:rPr>
                <w:color w:val="1C3A36"/>
                <w:sz w:val="16"/>
              </w:rPr>
              <w:t>(939)</w:t>
            </w:r>
          </w:p>
        </w:tc>
        <w:tc>
          <w:tcPr>
            <w:tcW w:type="dxa" w:w="886"/>
          </w:tcPr>
          <w:p>
            <w:pPr>
              <w:spacing w:after="20"/>
              <w:jc w:val="right"/>
            </w:pPr>
            <w:r>
              <w:rPr>
                <w:color w:val="1C3A36"/>
                <w:sz w:val="16"/>
              </w:rPr>
              <w:t>(1,086)</w:t>
            </w:r>
          </w:p>
        </w:tc>
        <w:tc>
          <w:tcPr>
            <w:tcW w:type="dxa" w:w="886"/>
          </w:tcPr>
          <w:p>
            <w:pPr>
              <w:spacing w:after="20"/>
              <w:jc w:val="right"/>
            </w:pPr>
            <w:r>
              <w:rPr>
                <w:color w:val="1C3A36"/>
                <w:sz w:val="16"/>
              </w:rPr>
              <w:t>(1,307)</w:t>
            </w:r>
          </w:p>
        </w:tc>
        <w:tc>
          <w:tcPr>
            <w:tcW w:type="dxa" w:w="886"/>
          </w:tcPr>
          <w:p>
            <w:pPr>
              <w:spacing w:after="20"/>
              <w:jc w:val="right"/>
            </w:pPr>
            <w:r>
              <w:rPr>
                <w:color w:val="1C3A36"/>
                <w:sz w:val="16"/>
              </w:rPr>
              <w:t>(2,116)</w:t>
            </w:r>
          </w:p>
        </w:tc>
        <w:tc>
          <w:tcPr>
            <w:tcW w:type="dxa" w:w="886"/>
          </w:tcPr>
          <w:p>
            <w:pPr>
              <w:spacing w:after="20"/>
              <w:jc w:val="right"/>
            </w:pPr>
            <w:r>
              <w:rPr>
                <w:color w:val="1C3A36"/>
                <w:sz w:val="16"/>
              </w:rPr>
              <w:t>(2,996)</w:t>
            </w:r>
          </w:p>
        </w:tc>
        <w:tc>
          <w:tcPr>
            <w:tcW w:type="dxa" w:w="886"/>
          </w:tcPr>
          <w:p>
            <w:pPr>
              <w:spacing w:after="20"/>
              <w:jc w:val="right"/>
            </w:pPr>
            <w:r>
              <w:rPr>
                <w:color w:val="1C3A36"/>
                <w:sz w:val="16"/>
              </w:rPr>
              <w:t>(3,743)</w:t>
            </w:r>
          </w:p>
        </w:tc>
        <w:tc>
          <w:tcPr>
            <w:tcW w:type="dxa" w:w="886"/>
          </w:tcPr>
          <w:p>
            <w:pPr>
              <w:spacing w:after="20"/>
              <w:jc w:val="right"/>
            </w:pPr>
            <w:r>
              <w:rPr>
                <w:color w:val="1C3A36"/>
                <w:sz w:val="16"/>
              </w:rPr>
              <w:t>(4,511)</w:t>
            </w:r>
          </w:p>
        </w:tc>
      </w:tr>
      <w:tr>
        <w:tc>
          <w:tcPr>
            <w:tcW w:type="dxa" w:w="2952"/>
          </w:tcPr>
          <w:p>
            <w:pPr>
              <w:spacing w:after="20"/>
            </w:pPr>
            <w:r>
              <w:rPr>
                <w:b/>
                <w:color w:val="1C3A36"/>
                <w:sz w:val="16"/>
              </w:rPr>
              <w:t>NP before minority interest</w:t>
            </w:r>
          </w:p>
        </w:tc>
        <w:tc>
          <w:tcPr>
            <w:tcW w:type="dxa" w:w="886"/>
          </w:tcPr>
          <w:p>
            <w:pPr>
              <w:spacing w:after="20"/>
              <w:jc w:val="right"/>
            </w:pPr>
            <w:r>
              <w:rPr>
                <w:color w:val="1C3A36"/>
                <w:sz w:val="16"/>
              </w:rPr>
              <w:t>1,811</w:t>
            </w:r>
          </w:p>
        </w:tc>
        <w:tc>
          <w:tcPr>
            <w:tcW w:type="dxa" w:w="886"/>
          </w:tcPr>
          <w:p>
            <w:pPr>
              <w:spacing w:after="20"/>
              <w:jc w:val="right"/>
            </w:pPr>
            <w:r>
              <w:rPr>
                <w:color w:val="1C3A36"/>
                <w:sz w:val="16"/>
              </w:rPr>
              <w:t>3,060</w:t>
            </w:r>
          </w:p>
        </w:tc>
        <w:tc>
          <w:tcPr>
            <w:tcW w:type="dxa" w:w="886"/>
          </w:tcPr>
          <w:p>
            <w:pPr>
              <w:spacing w:after="20"/>
              <w:jc w:val="right"/>
            </w:pPr>
            <w:r>
              <w:rPr>
                <w:color w:val="1C3A36"/>
                <w:sz w:val="16"/>
              </w:rPr>
              <w:t>2,780</w:t>
            </w:r>
          </w:p>
        </w:tc>
        <w:tc>
          <w:tcPr>
            <w:tcW w:type="dxa" w:w="886"/>
          </w:tcPr>
          <w:p>
            <w:pPr>
              <w:spacing w:after="20"/>
              <w:jc w:val="right"/>
            </w:pPr>
            <w:r>
              <w:rPr>
                <w:color w:val="1C3A36"/>
                <w:sz w:val="16"/>
              </w:rPr>
              <w:t>3,361</w:t>
            </w:r>
          </w:p>
        </w:tc>
        <w:tc>
          <w:tcPr>
            <w:tcW w:type="dxa" w:w="886"/>
          </w:tcPr>
          <w:p>
            <w:pPr>
              <w:spacing w:after="20"/>
              <w:jc w:val="right"/>
            </w:pPr>
            <w:r>
              <w:rPr>
                <w:color w:val="1C3A36"/>
                <w:sz w:val="16"/>
              </w:rPr>
              <w:t>5,441</w:t>
            </w:r>
          </w:p>
        </w:tc>
        <w:tc>
          <w:tcPr>
            <w:tcW w:type="dxa" w:w="886"/>
          </w:tcPr>
          <w:p>
            <w:pPr>
              <w:spacing w:after="20"/>
              <w:jc w:val="right"/>
            </w:pPr>
            <w:r>
              <w:rPr>
                <w:color w:val="1C3A36"/>
                <w:sz w:val="16"/>
              </w:rPr>
              <w:t>7,704</w:t>
            </w:r>
          </w:p>
        </w:tc>
        <w:tc>
          <w:tcPr>
            <w:tcW w:type="dxa" w:w="886"/>
          </w:tcPr>
          <w:p>
            <w:pPr>
              <w:spacing w:after="20"/>
              <w:jc w:val="right"/>
            </w:pPr>
            <w:r>
              <w:rPr>
                <w:color w:val="1C3A36"/>
                <w:sz w:val="16"/>
              </w:rPr>
              <w:t>9,625</w:t>
            </w:r>
          </w:p>
        </w:tc>
        <w:tc>
          <w:tcPr>
            <w:tcW w:type="dxa" w:w="886"/>
          </w:tcPr>
          <w:p>
            <w:pPr>
              <w:spacing w:after="20"/>
              <w:jc w:val="right"/>
            </w:pPr>
            <w:r>
              <w:rPr>
                <w:color w:val="1C3A36"/>
                <w:sz w:val="16"/>
              </w:rPr>
              <w:t>11,601</w:t>
            </w:r>
          </w:p>
        </w:tc>
      </w:tr>
      <w:tr>
        <w:tc>
          <w:tcPr>
            <w:tcW w:type="dxa" w:w="2952"/>
          </w:tcPr>
          <w:p>
            <w:pPr>
              <w:spacing w:after="20"/>
            </w:pPr>
            <w:r>
              <w:rPr>
                <w:b/>
                <w:color w:val="1C3A36"/>
                <w:sz w:val="16"/>
              </w:rPr>
              <w:t>Minority interest</w:t>
            </w:r>
          </w:p>
        </w:tc>
        <w:tc>
          <w:tcPr>
            <w:tcW w:type="dxa" w:w="886"/>
          </w:tcPr>
          <w:p>
            <w:pPr>
              <w:spacing w:after="20"/>
              <w:jc w:val="right"/>
            </w:pPr>
            <w:r>
              <w:rPr>
                <w:color w:val="1C3A36"/>
                <w:sz w:val="16"/>
              </w:rPr>
              <w:t>80</w:t>
            </w:r>
          </w:p>
        </w:tc>
        <w:tc>
          <w:tcPr>
            <w:tcW w:type="dxa" w:w="886"/>
          </w:tcPr>
          <w:p>
            <w:pPr>
              <w:spacing w:after="20"/>
              <w:jc w:val="right"/>
            </w:pPr>
            <w:r>
              <w:rPr>
                <w:color w:val="1C3A36"/>
                <w:sz w:val="16"/>
              </w:rPr>
              <w:t>(132)</w:t>
            </w:r>
          </w:p>
        </w:tc>
        <w:tc>
          <w:tcPr>
            <w:tcW w:type="dxa" w:w="886"/>
          </w:tcPr>
          <w:p>
            <w:pPr>
              <w:spacing w:after="20"/>
              <w:jc w:val="right"/>
            </w:pPr>
            <w:r>
              <w:rPr>
                <w:color w:val="1C3A36"/>
                <w:sz w:val="16"/>
              </w:rPr>
              <w:t>100</w:t>
            </w:r>
          </w:p>
        </w:tc>
        <w:tc>
          <w:tcPr>
            <w:tcW w:type="dxa" w:w="886"/>
          </w:tcPr>
          <w:p>
            <w:pPr>
              <w:spacing w:after="20"/>
              <w:jc w:val="right"/>
            </w:pPr>
            <w:r>
              <w:rPr>
                <w:color w:val="1C3A36"/>
                <w:sz w:val="16"/>
              </w:rPr>
              <w:t>(67)</w:t>
            </w:r>
          </w:p>
        </w:tc>
        <w:tc>
          <w:tcPr>
            <w:tcW w:type="dxa" w:w="886"/>
          </w:tcPr>
          <w:p>
            <w:pPr>
              <w:spacing w:after="20"/>
              <w:jc w:val="right"/>
            </w:pPr>
            <w:r>
              <w:rPr>
                <w:color w:val="1C3A36"/>
                <w:sz w:val="16"/>
              </w:rPr>
              <w:t>(109)</w:t>
            </w:r>
          </w:p>
        </w:tc>
        <w:tc>
          <w:tcPr>
            <w:tcW w:type="dxa" w:w="886"/>
          </w:tcPr>
          <w:p>
            <w:pPr>
              <w:spacing w:after="20"/>
              <w:jc w:val="right"/>
            </w:pPr>
            <w:r>
              <w:rPr>
                <w:color w:val="1C3A36"/>
                <w:sz w:val="16"/>
              </w:rPr>
              <w:t>(154)</w:t>
            </w:r>
          </w:p>
        </w:tc>
        <w:tc>
          <w:tcPr>
            <w:tcW w:type="dxa" w:w="886"/>
          </w:tcPr>
          <w:p>
            <w:pPr>
              <w:spacing w:after="20"/>
              <w:jc w:val="right"/>
            </w:pPr>
            <w:r>
              <w:rPr>
                <w:color w:val="1C3A36"/>
                <w:sz w:val="16"/>
              </w:rPr>
              <w:t>(193)</w:t>
            </w:r>
          </w:p>
        </w:tc>
        <w:tc>
          <w:tcPr>
            <w:tcW w:type="dxa" w:w="886"/>
          </w:tcPr>
          <w:p>
            <w:pPr>
              <w:spacing w:after="20"/>
              <w:jc w:val="right"/>
            </w:pPr>
            <w:r>
              <w:rPr>
                <w:color w:val="1C3A36"/>
                <w:sz w:val="16"/>
              </w:rPr>
              <w:t>(232)</w:t>
            </w:r>
          </w:p>
        </w:tc>
      </w:tr>
      <w:tr>
        <w:tc>
          <w:tcPr>
            <w:tcW w:type="dxa" w:w="2952"/>
          </w:tcPr>
          <w:p>
            <w:pPr>
              <w:spacing w:after="20"/>
            </w:pPr>
            <w:r>
              <w:rPr>
                <w:b/>
                <w:color w:val="1C3A36"/>
                <w:sz w:val="16"/>
              </w:rPr>
              <w:t>Net profit (attributable)</w:t>
            </w:r>
          </w:p>
        </w:tc>
        <w:tc>
          <w:tcPr>
            <w:tcW w:type="dxa" w:w="886"/>
          </w:tcPr>
          <w:p>
            <w:pPr>
              <w:spacing w:after="20"/>
              <w:jc w:val="right"/>
            </w:pPr>
            <w:r>
              <w:rPr>
                <w:color w:val="1C3A36"/>
                <w:sz w:val="16"/>
              </w:rPr>
              <w:t>1,891</w:t>
            </w:r>
          </w:p>
        </w:tc>
        <w:tc>
          <w:tcPr>
            <w:tcW w:type="dxa" w:w="886"/>
          </w:tcPr>
          <w:p>
            <w:pPr>
              <w:spacing w:after="20"/>
              <w:jc w:val="right"/>
            </w:pPr>
            <w:r>
              <w:rPr>
                <w:color w:val="1C3A36"/>
                <w:sz w:val="16"/>
              </w:rPr>
              <w:t>2,928</w:t>
            </w:r>
          </w:p>
        </w:tc>
        <w:tc>
          <w:tcPr>
            <w:tcW w:type="dxa" w:w="886"/>
          </w:tcPr>
          <w:p>
            <w:pPr>
              <w:spacing w:after="20"/>
              <w:jc w:val="right"/>
            </w:pPr>
            <w:r>
              <w:rPr>
                <w:color w:val="1C3A36"/>
                <w:sz w:val="16"/>
              </w:rPr>
              <w:t>2,880</w:t>
            </w:r>
          </w:p>
        </w:tc>
        <w:tc>
          <w:tcPr>
            <w:tcW w:type="dxa" w:w="886"/>
          </w:tcPr>
          <w:p>
            <w:pPr>
              <w:spacing w:after="20"/>
              <w:jc w:val="right"/>
            </w:pPr>
            <w:r>
              <w:rPr>
                <w:color w:val="1C3A36"/>
                <w:sz w:val="16"/>
              </w:rPr>
              <w:t>3,294</w:t>
            </w:r>
          </w:p>
        </w:tc>
        <w:tc>
          <w:tcPr>
            <w:tcW w:type="dxa" w:w="886"/>
          </w:tcPr>
          <w:p>
            <w:pPr>
              <w:spacing w:after="20"/>
              <w:jc w:val="right"/>
            </w:pPr>
            <w:r>
              <w:rPr>
                <w:color w:val="1C3A36"/>
                <w:sz w:val="16"/>
              </w:rPr>
              <w:t>5,332</w:t>
            </w:r>
          </w:p>
        </w:tc>
        <w:tc>
          <w:tcPr>
            <w:tcW w:type="dxa" w:w="886"/>
          </w:tcPr>
          <w:p>
            <w:pPr>
              <w:spacing w:after="20"/>
              <w:jc w:val="right"/>
            </w:pPr>
            <w:r>
              <w:rPr>
                <w:color w:val="1C3A36"/>
                <w:sz w:val="16"/>
              </w:rPr>
              <w:t>7,550</w:t>
            </w:r>
          </w:p>
        </w:tc>
        <w:tc>
          <w:tcPr>
            <w:tcW w:type="dxa" w:w="886"/>
          </w:tcPr>
          <w:p>
            <w:pPr>
              <w:spacing w:after="20"/>
              <w:jc w:val="right"/>
            </w:pPr>
            <w:r>
              <w:rPr>
                <w:color w:val="1C3A36"/>
                <w:sz w:val="16"/>
              </w:rPr>
              <w:t>9,433</w:t>
            </w:r>
          </w:p>
        </w:tc>
        <w:tc>
          <w:tcPr>
            <w:tcW w:type="dxa" w:w="886"/>
          </w:tcPr>
          <w:p>
            <w:pPr>
              <w:spacing w:after="20"/>
              <w:jc w:val="right"/>
            </w:pPr>
            <w:r>
              <w:rPr>
                <w:color w:val="1C3A36"/>
                <w:sz w:val="16"/>
              </w:rPr>
              <w:t>11,369</w:t>
            </w:r>
          </w:p>
        </w:tc>
      </w:tr>
    </w:tbl>
    <w:p>
      <w:pPr>
        <w:spacing w:after="40"/>
      </w:pPr>
    </w:p>
    <w:p>
      <w:pPr>
        <w:spacing w:after="200" w:before="0"/>
      </w:pPr>
      <w:r>
        <w:rPr>
          <w:b w:val="0"/>
          <w:i/>
          <w:color w:val="6E7B77"/>
          <w:sz w:val="17"/>
        </w:rPr>
        <w:t>Forecast columns are the live model build (rounded); the Excel is the source of truth and reprices from Assumptions.</w:t>
      </w:r>
    </w:p>
    <w:p>
      <w:pPr>
        <w:spacing w:after="80" w:before="200"/>
      </w:pPr>
      <w:r>
        <w:rPr>
          <w:b/>
          <w:i w:val="0"/>
          <w:color w:val="1C3A36"/>
          <w:sz w:val="24"/>
        </w:rPr>
        <w:t>A.2  Balance sheet (consolidated, EGP mn) — grouped house layout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3600"/>
            <w:shd w:val="clear" w:color="auto" w:fill="EAF0EE"/>
          </w:tcPr>
          <w:p>
            <w:pPr>
              <w:spacing w:after="20"/>
            </w:pPr>
            <w:r>
              <w:rPr>
                <w:b/>
                <w:color w:val="1C3A36"/>
                <w:sz w:val="16"/>
              </w:rPr>
              <w:t>Line</w:t>
            </w:r>
          </w:p>
        </w:tc>
        <w:tc>
          <w:tcPr>
            <w:tcW w:type="dxa" w:w="1080"/>
            <w:shd w:val="clear" w:color="auto" w:fill="EAF0EE"/>
          </w:tcPr>
          <w:p>
            <w:pPr>
              <w:spacing w:after="20"/>
            </w:pPr>
            <w:r>
              <w:rPr>
                <w:b/>
                <w:color w:val="1C3A36"/>
                <w:sz w:val="16"/>
              </w:rPr>
              <w:t>FY23</w:t>
            </w:r>
          </w:p>
        </w:tc>
        <w:tc>
          <w:tcPr>
            <w:tcW w:type="dxa" w:w="1080"/>
            <w:shd w:val="clear" w:color="auto" w:fill="EAF0EE"/>
          </w:tcPr>
          <w:p>
            <w:pPr>
              <w:spacing w:after="20"/>
            </w:pPr>
            <w:r>
              <w:rPr>
                <w:b/>
                <w:color w:val="1C3A36"/>
                <w:sz w:val="16"/>
              </w:rPr>
              <w:t>FY24</w:t>
            </w:r>
          </w:p>
        </w:tc>
        <w:tc>
          <w:tcPr>
            <w:tcW w:type="dxa" w:w="1080"/>
            <w:shd w:val="clear" w:color="auto" w:fill="EAF0EE"/>
          </w:tcPr>
          <w:p>
            <w:pPr>
              <w:spacing w:after="20"/>
            </w:pPr>
            <w:r>
              <w:rPr>
                <w:b/>
                <w:color w:val="1C3A36"/>
                <w:sz w:val="16"/>
              </w:rPr>
              <w:t>FY25</w:t>
            </w:r>
          </w:p>
        </w:tc>
        <w:tc>
          <w:tcPr>
            <w:tcW w:type="dxa" w:w="1080"/>
            <w:shd w:val="clear" w:color="auto" w:fill="EAF0EE"/>
          </w:tcPr>
          <w:p>
            <w:pPr>
              <w:spacing w:after="20"/>
            </w:pPr>
            <w:r>
              <w:rPr>
                <w:b/>
                <w:color w:val="1C3A36"/>
                <w:sz w:val="16"/>
              </w:rPr>
              <w:t>FY26E</w:t>
            </w:r>
          </w:p>
        </w:tc>
        <w:tc>
          <w:tcPr>
            <w:tcW w:type="dxa" w:w="1080"/>
            <w:shd w:val="clear" w:color="auto" w:fill="EAF0EE"/>
          </w:tcPr>
          <w:p>
            <w:pPr>
              <w:spacing w:after="20"/>
            </w:pPr>
            <w:r>
              <w:rPr>
                <w:b/>
                <w:color w:val="1C3A36"/>
                <w:sz w:val="16"/>
              </w:rPr>
              <w:t>FY28E</w:t>
            </w:r>
          </w:p>
        </w:tc>
        <w:tc>
          <w:tcPr>
            <w:tcW w:type="dxa" w:w="1080"/>
            <w:shd w:val="clear" w:color="auto" w:fill="EAF0EE"/>
          </w:tcPr>
          <w:p>
            <w:pPr>
              <w:spacing w:after="20"/>
            </w:pPr>
            <w:r>
              <w:rPr>
                <w:b/>
                <w:color w:val="1C3A36"/>
                <w:sz w:val="16"/>
              </w:rPr>
              <w:t>FY30E</w:t>
            </w:r>
          </w:p>
        </w:tc>
      </w:tr>
      <w:tr>
        <w:tc>
          <w:tcPr>
            <w:tcW w:type="dxa" w:w="3600"/>
          </w:tcPr>
          <w:p>
            <w:pPr>
              <w:spacing w:after="20"/>
            </w:pPr>
            <w:r>
              <w:rPr>
                <w:b/>
                <w:color w:val="1C3A36"/>
                <w:sz w:val="16"/>
              </w:rPr>
              <w:t>PP&amp;E, intangibles, ROU &amp; inv. property</w:t>
            </w:r>
          </w:p>
        </w:tc>
        <w:tc>
          <w:tcPr>
            <w:tcW w:type="dxa" w:w="1080"/>
          </w:tcPr>
          <w:p>
            <w:pPr>
              <w:spacing w:after="20"/>
              <w:jc w:val="right"/>
            </w:pPr>
            <w:r>
              <w:rPr>
                <w:color w:val="1C3A36"/>
                <w:sz w:val="16"/>
              </w:rPr>
              <w:t>6,937</w:t>
            </w:r>
          </w:p>
        </w:tc>
        <w:tc>
          <w:tcPr>
            <w:tcW w:type="dxa" w:w="1080"/>
          </w:tcPr>
          <w:p>
            <w:pPr>
              <w:spacing w:after="20"/>
              <w:jc w:val="right"/>
            </w:pPr>
            <w:r>
              <w:rPr>
                <w:color w:val="1C3A36"/>
                <w:sz w:val="16"/>
              </w:rPr>
              <w:t>10,361</w:t>
            </w:r>
          </w:p>
        </w:tc>
        <w:tc>
          <w:tcPr>
            <w:tcW w:type="dxa" w:w="1080"/>
          </w:tcPr>
          <w:p>
            <w:pPr>
              <w:spacing w:after="20"/>
              <w:jc w:val="right"/>
            </w:pPr>
            <w:r>
              <w:rPr>
                <w:color w:val="1C3A36"/>
                <w:sz w:val="16"/>
              </w:rPr>
              <w:t>13,389</w:t>
            </w:r>
          </w:p>
        </w:tc>
        <w:tc>
          <w:tcPr>
            <w:tcW w:type="dxa" w:w="1080"/>
          </w:tcPr>
          <w:p>
            <w:pPr>
              <w:spacing w:after="20"/>
              <w:jc w:val="right"/>
            </w:pPr>
            <w:r>
              <w:rPr>
                <w:color w:val="1C3A36"/>
                <w:sz w:val="16"/>
              </w:rPr>
              <w:t>15,665</w:t>
            </w:r>
          </w:p>
        </w:tc>
        <w:tc>
          <w:tcPr>
            <w:tcW w:type="dxa" w:w="1080"/>
          </w:tcPr>
          <w:p>
            <w:pPr>
              <w:spacing w:after="20"/>
              <w:jc w:val="right"/>
            </w:pPr>
            <w:r>
              <w:rPr>
                <w:color w:val="1C3A36"/>
                <w:sz w:val="16"/>
              </w:rPr>
              <w:t>19,821</w:t>
            </w:r>
          </w:p>
        </w:tc>
        <w:tc>
          <w:tcPr>
            <w:tcW w:type="dxa" w:w="1080"/>
          </w:tcPr>
          <w:p>
            <w:pPr>
              <w:spacing w:after="20"/>
              <w:jc w:val="right"/>
            </w:pPr>
            <w:r>
              <w:rPr>
                <w:color w:val="1C3A36"/>
                <w:sz w:val="16"/>
              </w:rPr>
              <w:t>23,414</w:t>
            </w:r>
          </w:p>
        </w:tc>
      </w:tr>
      <w:tr>
        <w:tc>
          <w:tcPr>
            <w:tcW w:type="dxa" w:w="3600"/>
          </w:tcPr>
          <w:p>
            <w:pPr>
              <w:spacing w:after="20"/>
            </w:pPr>
            <w:r>
              <w:rPr>
                <w:b/>
                <w:color w:val="1C3A36"/>
                <w:sz w:val="16"/>
              </w:rPr>
              <w:t>Investments in associates</w:t>
            </w:r>
          </w:p>
        </w:tc>
        <w:tc>
          <w:tcPr>
            <w:tcW w:type="dxa" w:w="1080"/>
          </w:tcPr>
          <w:p>
            <w:pPr>
              <w:spacing w:after="20"/>
              <w:jc w:val="right"/>
            </w:pPr>
            <w:r>
              <w:rPr>
                <w:color w:val="1C3A36"/>
                <w:sz w:val="16"/>
              </w:rPr>
              <w:t>10,732</w:t>
            </w:r>
          </w:p>
        </w:tc>
        <w:tc>
          <w:tcPr>
            <w:tcW w:type="dxa" w:w="1080"/>
          </w:tcPr>
          <w:p>
            <w:pPr>
              <w:spacing w:after="20"/>
              <w:jc w:val="right"/>
            </w:pPr>
            <w:r>
              <w:rPr>
                <w:color w:val="1C3A36"/>
                <w:sz w:val="16"/>
              </w:rPr>
              <w:t>11,744</w:t>
            </w:r>
          </w:p>
        </w:tc>
        <w:tc>
          <w:tcPr>
            <w:tcW w:type="dxa" w:w="1080"/>
          </w:tcPr>
          <w:p>
            <w:pPr>
              <w:spacing w:after="20"/>
              <w:jc w:val="right"/>
            </w:pPr>
            <w:r>
              <w:rPr>
                <w:color w:val="1C3A36"/>
                <w:sz w:val="16"/>
              </w:rPr>
              <w:t>13,690</w:t>
            </w:r>
          </w:p>
        </w:tc>
        <w:tc>
          <w:tcPr>
            <w:tcW w:type="dxa" w:w="1080"/>
          </w:tcPr>
          <w:p>
            <w:pPr>
              <w:spacing w:after="20"/>
              <w:jc w:val="right"/>
            </w:pPr>
            <w:r>
              <w:rPr>
                <w:color w:val="1C3A36"/>
                <w:sz w:val="16"/>
              </w:rPr>
              <w:t>14,940</w:t>
            </w:r>
          </w:p>
        </w:tc>
        <w:tc>
          <w:tcPr>
            <w:tcW w:type="dxa" w:w="1080"/>
          </w:tcPr>
          <w:p>
            <w:pPr>
              <w:spacing w:after="20"/>
              <w:jc w:val="right"/>
            </w:pPr>
            <w:r>
              <w:rPr>
                <w:color w:val="1C3A36"/>
                <w:sz w:val="16"/>
              </w:rPr>
              <w:t>18,000</w:t>
            </w:r>
          </w:p>
        </w:tc>
        <w:tc>
          <w:tcPr>
            <w:tcW w:type="dxa" w:w="1080"/>
          </w:tcPr>
          <w:p>
            <w:pPr>
              <w:spacing w:after="20"/>
              <w:jc w:val="right"/>
            </w:pPr>
            <w:r>
              <w:rPr>
                <w:color w:val="1C3A36"/>
                <w:sz w:val="16"/>
              </w:rPr>
              <w:t>21,860</w:t>
            </w:r>
          </w:p>
        </w:tc>
      </w:tr>
      <w:tr>
        <w:tc>
          <w:tcPr>
            <w:tcW w:type="dxa" w:w="3600"/>
          </w:tcPr>
          <w:p>
            <w:pPr>
              <w:spacing w:after="20"/>
            </w:pPr>
            <w:r>
              <w:rPr>
                <w:b/>
                <w:color w:val="1C3A36"/>
                <w:sz w:val="16"/>
              </w:rPr>
              <w:t>GB Capital loan book (on BS)</w:t>
            </w:r>
          </w:p>
        </w:tc>
        <w:tc>
          <w:tcPr>
            <w:tcW w:type="dxa" w:w="1080"/>
          </w:tcPr>
          <w:p>
            <w:pPr>
              <w:spacing w:after="20"/>
              <w:jc w:val="right"/>
            </w:pPr>
            <w:r>
              <w:rPr>
                <w:color w:val="1C3A36"/>
                <w:sz w:val="16"/>
              </w:rPr>
              <w:t>7,681</w:t>
            </w:r>
          </w:p>
        </w:tc>
        <w:tc>
          <w:tcPr>
            <w:tcW w:type="dxa" w:w="1080"/>
          </w:tcPr>
          <w:p>
            <w:pPr>
              <w:spacing w:after="20"/>
              <w:jc w:val="right"/>
            </w:pPr>
            <w:r>
              <w:rPr>
                <w:color w:val="1C3A36"/>
                <w:sz w:val="16"/>
              </w:rPr>
              <w:t>11,483</w:t>
            </w:r>
          </w:p>
        </w:tc>
        <w:tc>
          <w:tcPr>
            <w:tcW w:type="dxa" w:w="1080"/>
          </w:tcPr>
          <w:p>
            <w:pPr>
              <w:spacing w:after="20"/>
              <w:jc w:val="right"/>
            </w:pPr>
            <w:r>
              <w:rPr>
                <w:color w:val="1C3A36"/>
                <w:sz w:val="16"/>
              </w:rPr>
              <w:t>17,518</w:t>
            </w:r>
          </w:p>
        </w:tc>
        <w:tc>
          <w:tcPr>
            <w:tcW w:type="dxa" w:w="1080"/>
          </w:tcPr>
          <w:p>
            <w:pPr>
              <w:spacing w:after="20"/>
              <w:jc w:val="right"/>
            </w:pPr>
            <w:r>
              <w:rPr>
                <w:color w:val="1C3A36"/>
                <w:sz w:val="16"/>
              </w:rPr>
              <w:t>23,650</w:t>
            </w:r>
          </w:p>
        </w:tc>
        <w:tc>
          <w:tcPr>
            <w:tcW w:type="dxa" w:w="1080"/>
          </w:tcPr>
          <w:p>
            <w:pPr>
              <w:spacing w:after="20"/>
              <w:jc w:val="right"/>
            </w:pPr>
            <w:r>
              <w:rPr>
                <w:color w:val="1C3A36"/>
                <w:sz w:val="16"/>
              </w:rPr>
              <w:t>37,542</w:t>
            </w:r>
          </w:p>
        </w:tc>
        <w:tc>
          <w:tcPr>
            <w:tcW w:type="dxa" w:w="1080"/>
          </w:tcPr>
          <w:p>
            <w:pPr>
              <w:spacing w:after="20"/>
              <w:jc w:val="right"/>
            </w:pPr>
            <w:r>
              <w:rPr>
                <w:color w:val="1C3A36"/>
                <w:sz w:val="16"/>
              </w:rPr>
              <w:t>53,158</w:t>
            </w:r>
          </w:p>
        </w:tc>
      </w:tr>
      <w:tr>
        <w:tc>
          <w:tcPr>
            <w:tcW w:type="dxa" w:w="3600"/>
          </w:tcPr>
          <w:p>
            <w:pPr>
              <w:spacing w:after="20"/>
            </w:pPr>
            <w:r>
              <w:rPr>
                <w:b/>
                <w:color w:val="1C3A36"/>
                <w:sz w:val="16"/>
              </w:rPr>
              <w:t>Inventories</w:t>
            </w:r>
          </w:p>
        </w:tc>
        <w:tc>
          <w:tcPr>
            <w:tcW w:type="dxa" w:w="1080"/>
          </w:tcPr>
          <w:p>
            <w:pPr>
              <w:spacing w:after="20"/>
              <w:jc w:val="right"/>
            </w:pPr>
            <w:r>
              <w:rPr>
                <w:color w:val="1C3A36"/>
                <w:sz w:val="16"/>
              </w:rPr>
              <w:t>6,366</w:t>
            </w:r>
          </w:p>
        </w:tc>
        <w:tc>
          <w:tcPr>
            <w:tcW w:type="dxa" w:w="1080"/>
          </w:tcPr>
          <w:p>
            <w:pPr>
              <w:spacing w:after="20"/>
              <w:jc w:val="right"/>
            </w:pPr>
            <w:r>
              <w:rPr>
                <w:color w:val="1C3A36"/>
                <w:sz w:val="16"/>
              </w:rPr>
              <w:t>21,134</w:t>
            </w:r>
          </w:p>
        </w:tc>
        <w:tc>
          <w:tcPr>
            <w:tcW w:type="dxa" w:w="1080"/>
          </w:tcPr>
          <w:p>
            <w:pPr>
              <w:spacing w:after="20"/>
              <w:jc w:val="right"/>
            </w:pPr>
            <w:r>
              <w:rPr>
                <w:color w:val="1C3A36"/>
                <w:sz w:val="16"/>
              </w:rPr>
              <w:t>24,650</w:t>
            </w:r>
          </w:p>
        </w:tc>
        <w:tc>
          <w:tcPr>
            <w:tcW w:type="dxa" w:w="1080"/>
          </w:tcPr>
          <w:p>
            <w:pPr>
              <w:spacing w:after="20"/>
              <w:jc w:val="right"/>
            </w:pPr>
            <w:r>
              <w:rPr>
                <w:color w:val="1C3A36"/>
                <w:sz w:val="16"/>
              </w:rPr>
              <w:t>28,278</w:t>
            </w:r>
          </w:p>
        </w:tc>
        <w:tc>
          <w:tcPr>
            <w:tcW w:type="dxa" w:w="1080"/>
          </w:tcPr>
          <w:p>
            <w:pPr>
              <w:spacing w:after="20"/>
              <w:jc w:val="right"/>
            </w:pPr>
            <w:r>
              <w:rPr>
                <w:color w:val="1C3A36"/>
                <w:sz w:val="16"/>
              </w:rPr>
              <w:t>35,987</w:t>
            </w:r>
          </w:p>
        </w:tc>
        <w:tc>
          <w:tcPr>
            <w:tcW w:type="dxa" w:w="1080"/>
          </w:tcPr>
          <w:p>
            <w:pPr>
              <w:spacing w:after="20"/>
              <w:jc w:val="right"/>
            </w:pPr>
            <w:r>
              <w:rPr>
                <w:color w:val="1C3A36"/>
                <w:sz w:val="16"/>
              </w:rPr>
              <w:t>42,849</w:t>
            </w:r>
          </w:p>
        </w:tc>
      </w:tr>
      <w:tr>
        <w:tc>
          <w:tcPr>
            <w:tcW w:type="dxa" w:w="3600"/>
          </w:tcPr>
          <w:p>
            <w:pPr>
              <w:spacing w:after="20"/>
            </w:pPr>
            <w:r>
              <w:rPr>
                <w:b/>
                <w:color w:val="1C3A36"/>
                <w:sz w:val="16"/>
              </w:rPr>
              <w:t>Trade receivables — Auto</w:t>
            </w:r>
          </w:p>
        </w:tc>
        <w:tc>
          <w:tcPr>
            <w:tcW w:type="dxa" w:w="1080"/>
          </w:tcPr>
          <w:p>
            <w:pPr>
              <w:spacing w:after="20"/>
              <w:jc w:val="right"/>
            </w:pPr>
            <w:r>
              <w:rPr>
                <w:color w:val="1C3A36"/>
                <w:sz w:val="16"/>
              </w:rPr>
              <w:t>1,744</w:t>
            </w:r>
          </w:p>
        </w:tc>
        <w:tc>
          <w:tcPr>
            <w:tcW w:type="dxa" w:w="1080"/>
          </w:tcPr>
          <w:p>
            <w:pPr>
              <w:spacing w:after="20"/>
              <w:jc w:val="right"/>
            </w:pPr>
            <w:r>
              <w:rPr>
                <w:color w:val="1C3A36"/>
                <w:sz w:val="16"/>
              </w:rPr>
              <w:t>3,709</w:t>
            </w:r>
          </w:p>
        </w:tc>
        <w:tc>
          <w:tcPr>
            <w:tcW w:type="dxa" w:w="1080"/>
          </w:tcPr>
          <w:p>
            <w:pPr>
              <w:spacing w:after="20"/>
              <w:jc w:val="right"/>
            </w:pPr>
            <w:r>
              <w:rPr>
                <w:color w:val="1C3A36"/>
                <w:sz w:val="16"/>
              </w:rPr>
              <w:t>5,317</w:t>
            </w:r>
          </w:p>
        </w:tc>
        <w:tc>
          <w:tcPr>
            <w:tcW w:type="dxa" w:w="1080"/>
          </w:tcPr>
          <w:p>
            <w:pPr>
              <w:spacing w:after="20"/>
              <w:jc w:val="right"/>
            </w:pPr>
            <w:r>
              <w:rPr>
                <w:color w:val="1C3A36"/>
                <w:sz w:val="16"/>
              </w:rPr>
              <w:t>6,284</w:t>
            </w:r>
          </w:p>
        </w:tc>
        <w:tc>
          <w:tcPr>
            <w:tcW w:type="dxa" w:w="1080"/>
          </w:tcPr>
          <w:p>
            <w:pPr>
              <w:spacing w:after="20"/>
              <w:jc w:val="right"/>
            </w:pPr>
            <w:r>
              <w:rPr>
                <w:color w:val="1C3A36"/>
                <w:sz w:val="16"/>
              </w:rPr>
              <w:t>8,997</w:t>
            </w:r>
          </w:p>
        </w:tc>
        <w:tc>
          <w:tcPr>
            <w:tcW w:type="dxa" w:w="1080"/>
          </w:tcPr>
          <w:p>
            <w:pPr>
              <w:spacing w:after="20"/>
              <w:jc w:val="right"/>
            </w:pPr>
            <w:r>
              <w:rPr>
                <w:color w:val="1C3A36"/>
                <w:sz w:val="16"/>
              </w:rPr>
              <w:t>11,581</w:t>
            </w:r>
          </w:p>
        </w:tc>
      </w:tr>
      <w:tr>
        <w:tc>
          <w:tcPr>
            <w:tcW w:type="dxa" w:w="3600"/>
          </w:tcPr>
          <w:p>
            <w:pPr>
              <w:spacing w:after="20"/>
            </w:pPr>
            <w:r>
              <w:rPr>
                <w:b/>
                <w:color w:val="1C3A36"/>
                <w:sz w:val="16"/>
              </w:rPr>
              <w:t>Advances, debtors &amp; other current</w:t>
            </w:r>
          </w:p>
        </w:tc>
        <w:tc>
          <w:tcPr>
            <w:tcW w:type="dxa" w:w="1080"/>
          </w:tcPr>
          <w:p>
            <w:pPr>
              <w:spacing w:after="20"/>
              <w:jc w:val="right"/>
            </w:pPr>
            <w:r>
              <w:rPr>
                <w:color w:val="1C3A36"/>
                <w:sz w:val="16"/>
              </w:rPr>
              <w:t>1,039</w:t>
            </w:r>
          </w:p>
        </w:tc>
        <w:tc>
          <w:tcPr>
            <w:tcW w:type="dxa" w:w="1080"/>
          </w:tcPr>
          <w:p>
            <w:pPr>
              <w:spacing w:after="20"/>
              <w:jc w:val="right"/>
            </w:pPr>
            <w:r>
              <w:rPr>
                <w:color w:val="1C3A36"/>
                <w:sz w:val="16"/>
              </w:rPr>
              <w:t>2,942</w:t>
            </w:r>
          </w:p>
        </w:tc>
        <w:tc>
          <w:tcPr>
            <w:tcW w:type="dxa" w:w="1080"/>
          </w:tcPr>
          <w:p>
            <w:pPr>
              <w:spacing w:after="20"/>
              <w:jc w:val="right"/>
            </w:pPr>
            <w:r>
              <w:rPr>
                <w:color w:val="1C3A36"/>
                <w:sz w:val="16"/>
              </w:rPr>
              <w:t>4,671</w:t>
            </w:r>
          </w:p>
        </w:tc>
        <w:tc>
          <w:tcPr>
            <w:tcW w:type="dxa" w:w="1080"/>
          </w:tcPr>
          <w:p>
            <w:pPr>
              <w:spacing w:after="20"/>
              <w:jc w:val="right"/>
            </w:pPr>
            <w:r>
              <w:rPr>
                <w:color w:val="1C3A36"/>
                <w:sz w:val="16"/>
              </w:rPr>
              <w:t>5,498</w:t>
            </w:r>
          </w:p>
        </w:tc>
        <w:tc>
          <w:tcPr>
            <w:tcW w:type="dxa" w:w="1080"/>
          </w:tcPr>
          <w:p>
            <w:pPr>
              <w:spacing w:after="20"/>
              <w:jc w:val="right"/>
            </w:pPr>
            <w:r>
              <w:rPr>
                <w:color w:val="1C3A36"/>
                <w:sz w:val="16"/>
              </w:rPr>
              <w:t>7,591</w:t>
            </w:r>
          </w:p>
        </w:tc>
        <w:tc>
          <w:tcPr>
            <w:tcW w:type="dxa" w:w="1080"/>
          </w:tcPr>
          <w:p>
            <w:pPr>
              <w:spacing w:after="20"/>
              <w:jc w:val="right"/>
            </w:pPr>
            <w:r>
              <w:rPr>
                <w:color w:val="1C3A36"/>
                <w:sz w:val="16"/>
              </w:rPr>
              <w:t>9,337</w:t>
            </w:r>
          </w:p>
        </w:tc>
      </w:tr>
      <w:tr>
        <w:tc>
          <w:tcPr>
            <w:tcW w:type="dxa" w:w="3600"/>
          </w:tcPr>
          <w:p>
            <w:pPr>
              <w:spacing w:after="20"/>
            </w:pPr>
            <w:r>
              <w:rPr>
                <w:b/>
                <w:color w:val="1C3A36"/>
                <w:sz w:val="16"/>
              </w:rPr>
              <w:t>Cash &amp; cash equivalents</w:t>
            </w:r>
          </w:p>
        </w:tc>
        <w:tc>
          <w:tcPr>
            <w:tcW w:type="dxa" w:w="1080"/>
          </w:tcPr>
          <w:p>
            <w:pPr>
              <w:spacing w:after="20"/>
              <w:jc w:val="right"/>
            </w:pPr>
            <w:r>
              <w:rPr>
                <w:color w:val="1C3A36"/>
                <w:sz w:val="16"/>
              </w:rPr>
              <w:t>4,504</w:t>
            </w:r>
          </w:p>
        </w:tc>
        <w:tc>
          <w:tcPr>
            <w:tcW w:type="dxa" w:w="1080"/>
          </w:tcPr>
          <w:p>
            <w:pPr>
              <w:spacing w:after="20"/>
              <w:jc w:val="right"/>
            </w:pPr>
            <w:r>
              <w:rPr>
                <w:color w:val="1C3A36"/>
                <w:sz w:val="16"/>
              </w:rPr>
              <w:t>7,421</w:t>
            </w:r>
          </w:p>
        </w:tc>
        <w:tc>
          <w:tcPr>
            <w:tcW w:type="dxa" w:w="1080"/>
          </w:tcPr>
          <w:p>
            <w:pPr>
              <w:spacing w:after="20"/>
              <w:jc w:val="right"/>
            </w:pPr>
            <w:r>
              <w:rPr>
                <w:color w:val="1C3A36"/>
                <w:sz w:val="16"/>
              </w:rPr>
              <w:t>9,524</w:t>
            </w:r>
          </w:p>
        </w:tc>
        <w:tc>
          <w:tcPr>
            <w:tcW w:type="dxa" w:w="1080"/>
          </w:tcPr>
          <w:p>
            <w:pPr>
              <w:spacing w:after="20"/>
              <w:jc w:val="right"/>
            </w:pPr>
            <w:r>
              <w:rPr>
                <w:color w:val="1C3A36"/>
                <w:sz w:val="16"/>
              </w:rPr>
              <w:t>6,371</w:t>
            </w:r>
          </w:p>
        </w:tc>
        <w:tc>
          <w:tcPr>
            <w:tcW w:type="dxa" w:w="1080"/>
          </w:tcPr>
          <w:p>
            <w:pPr>
              <w:spacing w:after="20"/>
              <w:jc w:val="right"/>
            </w:pPr>
            <w:r>
              <w:rPr>
                <w:color w:val="1C3A36"/>
                <w:sz w:val="16"/>
              </w:rPr>
              <w:t>2,744</w:t>
            </w:r>
          </w:p>
        </w:tc>
        <w:tc>
          <w:tcPr>
            <w:tcW w:type="dxa" w:w="1080"/>
          </w:tcPr>
          <w:p>
            <w:pPr>
              <w:spacing w:after="20"/>
              <w:jc w:val="right"/>
            </w:pPr>
            <w:r>
              <w:rPr>
                <w:color w:val="1C3A36"/>
                <w:sz w:val="16"/>
              </w:rPr>
              <w:t>4,779</w:t>
            </w:r>
          </w:p>
        </w:tc>
      </w:tr>
      <w:tr>
        <w:tc>
          <w:tcPr>
            <w:tcW w:type="dxa" w:w="3600"/>
          </w:tcPr>
          <w:p>
            <w:pPr>
              <w:spacing w:after="20"/>
            </w:pPr>
            <w:r>
              <w:rPr>
                <w:b/>
                <w:color w:val="1C3A36"/>
                <w:sz w:val="16"/>
              </w:rPr>
              <w:t>Other assets</w:t>
            </w:r>
          </w:p>
        </w:tc>
        <w:tc>
          <w:tcPr>
            <w:tcW w:type="dxa" w:w="1080"/>
          </w:tcPr>
          <w:p>
            <w:pPr>
              <w:spacing w:after="20"/>
              <w:jc w:val="right"/>
            </w:pPr>
            <w:r>
              <w:rPr>
                <w:color w:val="1C3A36"/>
                <w:sz w:val="16"/>
              </w:rPr>
              <w:t>3,581</w:t>
            </w:r>
          </w:p>
        </w:tc>
        <w:tc>
          <w:tcPr>
            <w:tcW w:type="dxa" w:w="1080"/>
          </w:tcPr>
          <w:p>
            <w:pPr>
              <w:spacing w:after="20"/>
              <w:jc w:val="right"/>
            </w:pPr>
            <w:r>
              <w:rPr>
                <w:color w:val="1C3A36"/>
                <w:sz w:val="16"/>
              </w:rPr>
              <w:t>3,932</w:t>
            </w:r>
          </w:p>
        </w:tc>
        <w:tc>
          <w:tcPr>
            <w:tcW w:type="dxa" w:w="1080"/>
          </w:tcPr>
          <w:p>
            <w:pPr>
              <w:spacing w:after="20"/>
              <w:jc w:val="right"/>
            </w:pPr>
            <w:r>
              <w:rPr>
                <w:color w:val="1C3A36"/>
                <w:sz w:val="16"/>
              </w:rPr>
              <w:t>2,601</w:t>
            </w:r>
          </w:p>
        </w:tc>
        <w:tc>
          <w:tcPr>
            <w:tcW w:type="dxa" w:w="1080"/>
          </w:tcPr>
          <w:p>
            <w:pPr>
              <w:spacing w:after="20"/>
              <w:jc w:val="right"/>
            </w:pPr>
            <w:r>
              <w:rPr>
                <w:color w:val="1C3A36"/>
                <w:sz w:val="16"/>
              </w:rPr>
              <w:t>2,602</w:t>
            </w:r>
          </w:p>
        </w:tc>
        <w:tc>
          <w:tcPr>
            <w:tcW w:type="dxa" w:w="1080"/>
          </w:tcPr>
          <w:p>
            <w:pPr>
              <w:spacing w:after="20"/>
              <w:jc w:val="right"/>
            </w:pPr>
            <w:r>
              <w:rPr>
                <w:color w:val="1C3A36"/>
                <w:sz w:val="16"/>
              </w:rPr>
              <w:t>2,602</w:t>
            </w:r>
          </w:p>
        </w:tc>
        <w:tc>
          <w:tcPr>
            <w:tcW w:type="dxa" w:w="1080"/>
          </w:tcPr>
          <w:p>
            <w:pPr>
              <w:spacing w:after="20"/>
              <w:jc w:val="right"/>
            </w:pPr>
            <w:r>
              <w:rPr>
                <w:color w:val="1C3A36"/>
                <w:sz w:val="16"/>
              </w:rPr>
              <w:t>2,602</w:t>
            </w:r>
          </w:p>
        </w:tc>
      </w:tr>
      <w:tr>
        <w:tc>
          <w:tcPr>
            <w:tcW w:type="dxa" w:w="3600"/>
          </w:tcPr>
          <w:p>
            <w:pPr>
              <w:spacing w:after="20"/>
            </w:pPr>
            <w:r>
              <w:rPr>
                <w:b/>
                <w:color w:val="1C3A36"/>
                <w:sz w:val="16"/>
              </w:rPr>
              <w:t>TOTAL ASSETS</w:t>
            </w:r>
          </w:p>
        </w:tc>
        <w:tc>
          <w:tcPr>
            <w:tcW w:type="dxa" w:w="1080"/>
          </w:tcPr>
          <w:p>
            <w:pPr>
              <w:spacing w:after="20"/>
              <w:jc w:val="right"/>
            </w:pPr>
            <w:r>
              <w:rPr>
                <w:color w:val="1C3A36"/>
                <w:sz w:val="16"/>
              </w:rPr>
              <w:t>42,585</w:t>
            </w:r>
          </w:p>
        </w:tc>
        <w:tc>
          <w:tcPr>
            <w:tcW w:type="dxa" w:w="1080"/>
          </w:tcPr>
          <w:p>
            <w:pPr>
              <w:spacing w:after="20"/>
              <w:jc w:val="right"/>
            </w:pPr>
            <w:r>
              <w:rPr>
                <w:color w:val="1C3A36"/>
                <w:sz w:val="16"/>
              </w:rPr>
              <w:t>72,725</w:t>
            </w:r>
          </w:p>
        </w:tc>
        <w:tc>
          <w:tcPr>
            <w:tcW w:type="dxa" w:w="1080"/>
          </w:tcPr>
          <w:p>
            <w:pPr>
              <w:spacing w:after="20"/>
              <w:jc w:val="right"/>
            </w:pPr>
            <w:r>
              <w:rPr>
                <w:color w:val="1C3A36"/>
                <w:sz w:val="16"/>
              </w:rPr>
              <w:t>91,359</w:t>
            </w:r>
          </w:p>
        </w:tc>
        <w:tc>
          <w:tcPr>
            <w:tcW w:type="dxa" w:w="1080"/>
          </w:tcPr>
          <w:p>
            <w:pPr>
              <w:spacing w:after="20"/>
              <w:jc w:val="right"/>
            </w:pPr>
            <w:r>
              <w:rPr>
                <w:color w:val="1C3A36"/>
                <w:sz w:val="16"/>
              </w:rPr>
              <w:t>103,287</w:t>
            </w:r>
          </w:p>
        </w:tc>
        <w:tc>
          <w:tcPr>
            <w:tcW w:type="dxa" w:w="1080"/>
          </w:tcPr>
          <w:p>
            <w:pPr>
              <w:spacing w:after="20"/>
              <w:jc w:val="right"/>
            </w:pPr>
            <w:r>
              <w:rPr>
                <w:color w:val="1C3A36"/>
                <w:sz w:val="16"/>
              </w:rPr>
              <w:t>133,283</w:t>
            </w:r>
          </w:p>
        </w:tc>
        <w:tc>
          <w:tcPr>
            <w:tcW w:type="dxa" w:w="1080"/>
          </w:tcPr>
          <w:p>
            <w:pPr>
              <w:spacing w:after="20"/>
              <w:jc w:val="right"/>
            </w:pPr>
            <w:r>
              <w:rPr>
                <w:color w:val="1C3A36"/>
                <w:sz w:val="16"/>
              </w:rPr>
              <w:t>169,579</w:t>
            </w:r>
          </w:p>
        </w:tc>
      </w:tr>
      <w:tr>
        <w:tc>
          <w:tcPr>
            <w:tcW w:type="dxa" w:w="3600"/>
          </w:tcPr>
          <w:p>
            <w:pPr>
              <w:spacing w:after="20"/>
            </w:pPr>
            <w:r>
              <w:rPr>
                <w:b/>
                <w:color w:val="1C3A36"/>
                <w:sz w:val="16"/>
              </w:rPr>
              <w:t>Equity attributable</w:t>
            </w:r>
          </w:p>
        </w:tc>
        <w:tc>
          <w:tcPr>
            <w:tcW w:type="dxa" w:w="1080"/>
          </w:tcPr>
          <w:p>
            <w:pPr>
              <w:spacing w:after="20"/>
              <w:jc w:val="right"/>
            </w:pPr>
            <w:r>
              <w:rPr>
                <w:color w:val="1C3A36"/>
                <w:sz w:val="16"/>
              </w:rPr>
              <w:t>19,839</w:t>
            </w:r>
          </w:p>
        </w:tc>
        <w:tc>
          <w:tcPr>
            <w:tcW w:type="dxa" w:w="1080"/>
          </w:tcPr>
          <w:p>
            <w:pPr>
              <w:spacing w:after="20"/>
              <w:jc w:val="right"/>
            </w:pPr>
            <w:r>
              <w:rPr>
                <w:color w:val="1C3A36"/>
                <w:sz w:val="16"/>
              </w:rPr>
              <w:t>25,439</w:t>
            </w:r>
          </w:p>
        </w:tc>
        <w:tc>
          <w:tcPr>
            <w:tcW w:type="dxa" w:w="1080"/>
          </w:tcPr>
          <w:p>
            <w:pPr>
              <w:spacing w:after="20"/>
              <w:jc w:val="right"/>
            </w:pPr>
            <w:r>
              <w:rPr>
                <w:color w:val="1C3A36"/>
                <w:sz w:val="16"/>
              </w:rPr>
              <w:t>28,789</w:t>
            </w:r>
          </w:p>
        </w:tc>
        <w:tc>
          <w:tcPr>
            <w:tcW w:type="dxa" w:w="1080"/>
          </w:tcPr>
          <w:p>
            <w:pPr>
              <w:spacing w:after="20"/>
              <w:jc w:val="right"/>
            </w:pPr>
            <w:r>
              <w:rPr>
                <w:color w:val="1C3A36"/>
                <w:sz w:val="16"/>
              </w:rPr>
              <w:t>31,625</w:t>
            </w:r>
          </w:p>
        </w:tc>
        <w:tc>
          <w:tcPr>
            <w:tcW w:type="dxa" w:w="1080"/>
          </w:tcPr>
          <w:p>
            <w:pPr>
              <w:spacing w:after="20"/>
              <w:jc w:val="right"/>
            </w:pPr>
            <w:r>
              <w:rPr>
                <w:color w:val="1C3A36"/>
                <w:sz w:val="16"/>
              </w:rPr>
              <w:t>43,463</w:t>
            </w:r>
          </w:p>
        </w:tc>
        <w:tc>
          <w:tcPr>
            <w:tcW w:type="dxa" w:w="1080"/>
          </w:tcPr>
          <w:p>
            <w:pPr>
              <w:spacing w:after="20"/>
              <w:jc w:val="right"/>
            </w:pPr>
            <w:r>
              <w:rPr>
                <w:color w:val="1C3A36"/>
                <w:sz w:val="16"/>
              </w:rPr>
              <w:t>61,568</w:t>
            </w:r>
          </w:p>
        </w:tc>
      </w:tr>
      <w:tr>
        <w:tc>
          <w:tcPr>
            <w:tcW w:type="dxa" w:w="3600"/>
          </w:tcPr>
          <w:p>
            <w:pPr>
              <w:spacing w:after="20"/>
            </w:pPr>
            <w:r>
              <w:rPr>
                <w:b/>
                <w:color w:val="1C3A36"/>
                <w:sz w:val="16"/>
              </w:rPr>
              <w:t>Non-controlling interests</w:t>
            </w:r>
          </w:p>
        </w:tc>
        <w:tc>
          <w:tcPr>
            <w:tcW w:type="dxa" w:w="1080"/>
          </w:tcPr>
          <w:p>
            <w:pPr>
              <w:spacing w:after="20"/>
              <w:jc w:val="right"/>
            </w:pPr>
            <w:r>
              <w:rPr>
                <w:color w:val="1C3A36"/>
                <w:sz w:val="16"/>
              </w:rPr>
              <w:t>1,363</w:t>
            </w:r>
          </w:p>
        </w:tc>
        <w:tc>
          <w:tcPr>
            <w:tcW w:type="dxa" w:w="1080"/>
          </w:tcPr>
          <w:p>
            <w:pPr>
              <w:spacing w:after="20"/>
              <w:jc w:val="right"/>
            </w:pPr>
            <w:r>
              <w:rPr>
                <w:color w:val="1C3A36"/>
                <w:sz w:val="16"/>
              </w:rPr>
              <w:t>1,978</w:t>
            </w:r>
          </w:p>
        </w:tc>
        <w:tc>
          <w:tcPr>
            <w:tcW w:type="dxa" w:w="1080"/>
          </w:tcPr>
          <w:p>
            <w:pPr>
              <w:spacing w:after="20"/>
              <w:jc w:val="right"/>
            </w:pPr>
            <w:r>
              <w:rPr>
                <w:color w:val="1C3A36"/>
                <w:sz w:val="16"/>
              </w:rPr>
              <w:t>1,801</w:t>
            </w:r>
          </w:p>
        </w:tc>
        <w:tc>
          <w:tcPr>
            <w:tcW w:type="dxa" w:w="1080"/>
          </w:tcPr>
          <w:p>
            <w:pPr>
              <w:spacing w:after="20"/>
              <w:jc w:val="right"/>
            </w:pPr>
            <w:r>
              <w:rPr>
                <w:color w:val="1C3A36"/>
                <w:sz w:val="16"/>
              </w:rPr>
              <w:t>1,869</w:t>
            </w:r>
          </w:p>
        </w:tc>
        <w:tc>
          <w:tcPr>
            <w:tcW w:type="dxa" w:w="1080"/>
          </w:tcPr>
          <w:p>
            <w:pPr>
              <w:spacing w:after="20"/>
              <w:jc w:val="right"/>
            </w:pPr>
            <w:r>
              <w:rPr>
                <w:color w:val="1C3A36"/>
                <w:sz w:val="16"/>
              </w:rPr>
              <w:t>2,090</w:t>
            </w:r>
          </w:p>
        </w:tc>
        <w:tc>
          <w:tcPr>
            <w:tcW w:type="dxa" w:w="1080"/>
          </w:tcPr>
          <w:p>
            <w:pPr>
              <w:spacing w:after="20"/>
              <w:jc w:val="right"/>
            </w:pPr>
            <w:r>
              <w:rPr>
                <w:color w:val="1C3A36"/>
                <w:sz w:val="16"/>
              </w:rPr>
              <w:t>2,515</w:t>
            </w:r>
          </w:p>
        </w:tc>
      </w:tr>
      <w:tr>
        <w:tc>
          <w:tcPr>
            <w:tcW w:type="dxa" w:w="3600"/>
          </w:tcPr>
          <w:p>
            <w:pPr>
              <w:spacing w:after="20"/>
            </w:pPr>
            <w:r>
              <w:rPr>
                <w:b/>
                <w:color w:val="1C3A36"/>
                <w:sz w:val="16"/>
              </w:rPr>
              <w:t>Borrowings</w:t>
            </w:r>
          </w:p>
        </w:tc>
        <w:tc>
          <w:tcPr>
            <w:tcW w:type="dxa" w:w="1080"/>
          </w:tcPr>
          <w:p>
            <w:pPr>
              <w:spacing w:after="20"/>
              <w:jc w:val="right"/>
            </w:pPr>
            <w:r>
              <w:rPr>
                <w:color w:val="1C3A36"/>
                <w:sz w:val="16"/>
              </w:rPr>
              <w:t>12,518</w:t>
            </w:r>
          </w:p>
        </w:tc>
        <w:tc>
          <w:tcPr>
            <w:tcW w:type="dxa" w:w="1080"/>
          </w:tcPr>
          <w:p>
            <w:pPr>
              <w:spacing w:after="20"/>
              <w:jc w:val="right"/>
            </w:pPr>
            <w:r>
              <w:rPr>
                <w:color w:val="1C3A36"/>
                <w:sz w:val="16"/>
              </w:rPr>
              <w:t>22,609</w:t>
            </w:r>
          </w:p>
        </w:tc>
        <w:tc>
          <w:tcPr>
            <w:tcW w:type="dxa" w:w="1080"/>
          </w:tcPr>
          <w:p>
            <w:pPr>
              <w:spacing w:after="20"/>
              <w:jc w:val="right"/>
            </w:pPr>
            <w:r>
              <w:rPr>
                <w:color w:val="1C3A36"/>
                <w:sz w:val="16"/>
              </w:rPr>
              <w:t>38,041</w:t>
            </w:r>
          </w:p>
        </w:tc>
        <w:tc>
          <w:tcPr>
            <w:tcW w:type="dxa" w:w="1080"/>
          </w:tcPr>
          <w:p>
            <w:pPr>
              <w:spacing w:after="20"/>
              <w:jc w:val="right"/>
            </w:pPr>
            <w:r>
              <w:rPr>
                <w:color w:val="1C3A36"/>
                <w:sz w:val="16"/>
              </w:rPr>
              <w:t>43,541</w:t>
            </w:r>
          </w:p>
        </w:tc>
        <w:tc>
          <w:tcPr>
            <w:tcW w:type="dxa" w:w="1080"/>
          </w:tcPr>
          <w:p>
            <w:pPr>
              <w:spacing w:after="20"/>
              <w:jc w:val="right"/>
            </w:pPr>
            <w:r>
              <w:rPr>
                <w:color w:val="1C3A36"/>
                <w:sz w:val="16"/>
              </w:rPr>
              <w:t>54,341</w:t>
            </w:r>
          </w:p>
        </w:tc>
        <w:tc>
          <w:tcPr>
            <w:tcW w:type="dxa" w:w="1080"/>
          </w:tcPr>
          <w:p>
            <w:pPr>
              <w:spacing w:after="20"/>
              <w:jc w:val="right"/>
            </w:pPr>
            <w:r>
              <w:rPr>
                <w:color w:val="1C3A36"/>
                <w:sz w:val="16"/>
              </w:rPr>
              <w:t>66,241</w:t>
            </w:r>
          </w:p>
        </w:tc>
      </w:tr>
      <w:tr>
        <w:tc>
          <w:tcPr>
            <w:tcW w:type="dxa" w:w="3600"/>
          </w:tcPr>
          <w:p>
            <w:pPr>
              <w:spacing w:after="20"/>
            </w:pPr>
            <w:r>
              <w:rPr>
                <w:b/>
                <w:color w:val="1C3A36"/>
                <w:sz w:val="16"/>
              </w:rPr>
              <w:t>Trade &amp; notes payables</w:t>
            </w:r>
          </w:p>
        </w:tc>
        <w:tc>
          <w:tcPr>
            <w:tcW w:type="dxa" w:w="1080"/>
          </w:tcPr>
          <w:p>
            <w:pPr>
              <w:spacing w:after="20"/>
              <w:jc w:val="right"/>
            </w:pPr>
            <w:r>
              <w:rPr>
                <w:color w:val="1C3A36"/>
                <w:sz w:val="16"/>
              </w:rPr>
              <w:t>7,399</w:t>
            </w:r>
          </w:p>
        </w:tc>
        <w:tc>
          <w:tcPr>
            <w:tcW w:type="dxa" w:w="1080"/>
          </w:tcPr>
          <w:p>
            <w:pPr>
              <w:spacing w:after="20"/>
              <w:jc w:val="right"/>
            </w:pPr>
            <w:r>
              <w:rPr>
                <w:color w:val="1C3A36"/>
                <w:sz w:val="16"/>
              </w:rPr>
              <w:t>19,718</w:t>
            </w:r>
          </w:p>
        </w:tc>
        <w:tc>
          <w:tcPr>
            <w:tcW w:type="dxa" w:w="1080"/>
          </w:tcPr>
          <w:p>
            <w:pPr>
              <w:spacing w:after="20"/>
              <w:jc w:val="right"/>
            </w:pPr>
            <w:r>
              <w:rPr>
                <w:color w:val="1C3A36"/>
                <w:sz w:val="16"/>
              </w:rPr>
              <w:t>18,437</w:t>
            </w:r>
          </w:p>
        </w:tc>
        <w:tc>
          <w:tcPr>
            <w:tcW w:type="dxa" w:w="1080"/>
          </w:tcPr>
          <w:p>
            <w:pPr>
              <w:spacing w:after="20"/>
              <w:jc w:val="right"/>
            </w:pPr>
            <w:r>
              <w:rPr>
                <w:color w:val="1C3A36"/>
                <w:sz w:val="16"/>
              </w:rPr>
              <w:t>21,961</w:t>
            </w:r>
          </w:p>
        </w:tc>
        <w:tc>
          <w:tcPr>
            <w:tcW w:type="dxa" w:w="1080"/>
          </w:tcPr>
          <w:p>
            <w:pPr>
              <w:spacing w:after="20"/>
              <w:jc w:val="right"/>
            </w:pPr>
            <w:r>
              <w:rPr>
                <w:color w:val="1C3A36"/>
                <w:sz w:val="16"/>
              </w:rPr>
              <w:t>28,864</w:t>
            </w:r>
          </w:p>
        </w:tc>
        <w:tc>
          <w:tcPr>
            <w:tcW w:type="dxa" w:w="1080"/>
          </w:tcPr>
          <w:p>
            <w:pPr>
              <w:spacing w:after="20"/>
              <w:jc w:val="right"/>
            </w:pPr>
            <w:r>
              <w:rPr>
                <w:color w:val="1C3A36"/>
                <w:sz w:val="16"/>
              </w:rPr>
              <w:t>35,360</w:t>
            </w:r>
          </w:p>
        </w:tc>
      </w:tr>
      <w:tr>
        <w:tc>
          <w:tcPr>
            <w:tcW w:type="dxa" w:w="3600"/>
          </w:tcPr>
          <w:p>
            <w:pPr>
              <w:spacing w:after="20"/>
            </w:pPr>
            <w:r>
              <w:rPr>
                <w:b/>
                <w:color w:val="1C3A36"/>
                <w:sz w:val="16"/>
              </w:rPr>
              <w:t>Leases · provisions · other · DT</w:t>
            </w:r>
          </w:p>
        </w:tc>
        <w:tc>
          <w:tcPr>
            <w:tcW w:type="dxa" w:w="1080"/>
          </w:tcPr>
          <w:p>
            <w:pPr>
              <w:spacing w:after="20"/>
              <w:jc w:val="right"/>
            </w:pPr>
            <w:r>
              <w:rPr>
                <w:color w:val="1C3A36"/>
                <w:sz w:val="16"/>
              </w:rPr>
              <w:t>1,467</w:t>
            </w:r>
          </w:p>
        </w:tc>
        <w:tc>
          <w:tcPr>
            <w:tcW w:type="dxa" w:w="1080"/>
          </w:tcPr>
          <w:p>
            <w:pPr>
              <w:spacing w:after="20"/>
              <w:jc w:val="right"/>
            </w:pPr>
            <w:r>
              <w:rPr>
                <w:color w:val="1C3A36"/>
                <w:sz w:val="16"/>
              </w:rPr>
              <w:t>2,982</w:t>
            </w:r>
          </w:p>
        </w:tc>
        <w:tc>
          <w:tcPr>
            <w:tcW w:type="dxa" w:w="1080"/>
          </w:tcPr>
          <w:p>
            <w:pPr>
              <w:spacing w:after="20"/>
              <w:jc w:val="right"/>
            </w:pPr>
            <w:r>
              <w:rPr>
                <w:color w:val="1C3A36"/>
                <w:sz w:val="16"/>
              </w:rPr>
              <w:t>4,291</w:t>
            </w:r>
          </w:p>
        </w:tc>
        <w:tc>
          <w:tcPr>
            <w:tcW w:type="dxa" w:w="1080"/>
          </w:tcPr>
          <w:p>
            <w:pPr>
              <w:spacing w:after="20"/>
              <w:jc w:val="right"/>
            </w:pPr>
            <w:r>
              <w:rPr>
                <w:color w:val="1C3A36"/>
                <w:sz w:val="16"/>
              </w:rPr>
              <w:t>4,291</w:t>
            </w:r>
          </w:p>
        </w:tc>
        <w:tc>
          <w:tcPr>
            <w:tcW w:type="dxa" w:w="1080"/>
          </w:tcPr>
          <w:p>
            <w:pPr>
              <w:spacing w:after="20"/>
              <w:jc w:val="right"/>
            </w:pPr>
            <w:r>
              <w:rPr>
                <w:color w:val="1C3A36"/>
                <w:sz w:val="16"/>
              </w:rPr>
              <w:t>4,291</w:t>
            </w:r>
          </w:p>
        </w:tc>
        <w:tc>
          <w:tcPr>
            <w:tcW w:type="dxa" w:w="1080"/>
          </w:tcPr>
          <w:p>
            <w:pPr>
              <w:spacing w:after="20"/>
              <w:jc w:val="right"/>
            </w:pPr>
            <w:r>
              <w:rPr>
                <w:color w:val="1C3A36"/>
                <w:sz w:val="16"/>
              </w:rPr>
              <w:t>4,291</w:t>
            </w:r>
          </w:p>
        </w:tc>
      </w:tr>
      <w:tr>
        <w:tc>
          <w:tcPr>
            <w:tcW w:type="dxa" w:w="3600"/>
          </w:tcPr>
          <w:p>
            <w:pPr>
              <w:spacing w:after="20"/>
            </w:pPr>
            <w:r>
              <w:rPr>
                <w:b/>
                <w:color w:val="1C3A36"/>
                <w:sz w:val="16"/>
              </w:rPr>
              <w:t>Balance check (assets − L&amp;E)</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c>
          <w:tcPr>
            <w:tcW w:type="dxa" w:w="1080"/>
          </w:tcPr>
          <w:p>
            <w:pPr>
              <w:spacing w:after="20"/>
              <w:jc w:val="right"/>
            </w:pPr>
            <w:r>
              <w:rPr>
                <w:color w:val="1C3A36"/>
                <w:sz w:val="16"/>
              </w:rPr>
              <w:t>0</w:t>
            </w:r>
          </w:p>
        </w:tc>
      </w:tr>
    </w:tbl>
    <w:p>
      <w:pPr>
        <w:spacing w:after="40"/>
      </w:pPr>
    </w:p>
    <w:p>
      <w:pPr>
        <w:spacing w:after="200" w:before="0"/>
      </w:pPr>
      <w:r>
        <w:rPr>
          <w:b w:val="0"/>
          <w:i/>
          <w:color w:val="6E7B77"/>
          <w:sz w:val="17"/>
        </w:rPr>
        <w:t>Historic columns are grouped from the disclosed segment balance sheets (release Tables 12–13); a small reallocation between “advances &amp; debtors” and “other assets” aligns the grouped layout to the disclosed Auto working-capital figures — flagged in the model. Forecast rolls forward on the clean-surplus construction; the check row is zero.</w:t>
      </w:r>
    </w:p>
    <w:p>
      <w:pPr>
        <w:spacing w:after="80" w:before="200"/>
      </w:pPr>
      <w:r>
        <w:rPr>
          <w:b/>
          <w:i w:val="0"/>
          <w:color w:val="1C3A36"/>
          <w:sz w:val="24"/>
        </w:rPr>
        <w:t>A.3  GB Auto segment and cash-flow markers · the DPS schedule (device A-2)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GB Auto segment</w:t>
            </w:r>
          </w:p>
        </w:tc>
        <w:tc>
          <w:tcPr>
            <w:tcW w:type="dxa" w:w="2016"/>
            <w:shd w:val="clear" w:color="auto" w:fill="EAF0EE"/>
          </w:tcPr>
          <w:p>
            <w:pPr>
              <w:spacing w:after="20"/>
            </w:pPr>
            <w:r>
              <w:rPr>
                <w:b/>
                <w:color w:val="1C3A36"/>
                <w:sz w:val="17"/>
              </w:rPr>
              <w:t>FY23</w:t>
            </w:r>
          </w:p>
        </w:tc>
        <w:tc>
          <w:tcPr>
            <w:tcW w:type="dxa" w:w="2016"/>
            <w:shd w:val="clear" w:color="auto" w:fill="EAF0EE"/>
          </w:tcPr>
          <w:p>
            <w:pPr>
              <w:spacing w:after="20"/>
            </w:pPr>
            <w:r>
              <w:rPr>
                <w:b/>
                <w:color w:val="1C3A36"/>
                <w:sz w:val="17"/>
              </w:rPr>
              <w:t>FY24</w:t>
            </w:r>
          </w:p>
        </w:tc>
        <w:tc>
          <w:tcPr>
            <w:tcW w:type="dxa" w:w="2160"/>
            <w:shd w:val="clear" w:color="auto" w:fill="EAF0EE"/>
          </w:tcPr>
          <w:p>
            <w:pPr>
              <w:spacing w:after="20"/>
            </w:pPr>
            <w:r>
              <w:rPr>
                <w:b/>
                <w:color w:val="1C3A36"/>
                <w:sz w:val="17"/>
              </w:rPr>
              <w:t>FY25</w:t>
            </w:r>
          </w:p>
        </w:tc>
      </w:tr>
      <w:tr>
        <w:tc>
          <w:tcPr>
            <w:tcW w:type="dxa" w:w="3744"/>
          </w:tcPr>
          <w:p>
            <w:pPr>
              <w:spacing w:after="20"/>
            </w:pPr>
            <w:r>
              <w:rPr>
                <w:b/>
                <w:color w:val="1C3A36"/>
                <w:sz w:val="17"/>
              </w:rPr>
              <w:t>Revenue</w:t>
            </w:r>
          </w:p>
        </w:tc>
        <w:tc>
          <w:tcPr>
            <w:tcW w:type="dxa" w:w="2016"/>
          </w:tcPr>
          <w:p>
            <w:pPr>
              <w:spacing w:after="20"/>
              <w:jc w:val="right"/>
            </w:pPr>
            <w:r>
              <w:rPr>
                <w:color w:val="1C3A36"/>
                <w:sz w:val="17"/>
              </w:rPr>
              <w:t>23,854</w:t>
            </w:r>
          </w:p>
        </w:tc>
        <w:tc>
          <w:tcPr>
            <w:tcW w:type="dxa" w:w="2016"/>
          </w:tcPr>
          <w:p>
            <w:pPr>
              <w:spacing w:after="20"/>
              <w:jc w:val="right"/>
            </w:pPr>
            <w:r>
              <w:rPr>
                <w:color w:val="1C3A36"/>
                <w:sz w:val="17"/>
              </w:rPr>
              <w:t>47,065</w:t>
            </w:r>
          </w:p>
        </w:tc>
        <w:tc>
          <w:tcPr>
            <w:tcW w:type="dxa" w:w="2160"/>
          </w:tcPr>
          <w:p>
            <w:pPr>
              <w:spacing w:after="20"/>
              <w:jc w:val="right"/>
            </w:pPr>
            <w:r>
              <w:rPr>
                <w:color w:val="1C3A36"/>
                <w:sz w:val="17"/>
              </w:rPr>
              <w:t>66,358</w:t>
            </w:r>
          </w:p>
        </w:tc>
      </w:tr>
      <w:tr>
        <w:tc>
          <w:tcPr>
            <w:tcW w:type="dxa" w:w="3744"/>
          </w:tcPr>
          <w:p>
            <w:pPr>
              <w:spacing w:after="20"/>
            </w:pPr>
            <w:r>
              <w:rPr>
                <w:b/>
                <w:color w:val="1C3A36"/>
                <w:sz w:val="17"/>
              </w:rPr>
              <w:t>Gross margin</w:t>
            </w:r>
          </w:p>
        </w:tc>
        <w:tc>
          <w:tcPr>
            <w:tcW w:type="dxa" w:w="2016"/>
          </w:tcPr>
          <w:p>
            <w:pPr>
              <w:spacing w:after="20"/>
              <w:jc w:val="right"/>
            </w:pPr>
            <w:r>
              <w:rPr>
                <w:color w:val="1C3A36"/>
                <w:sz w:val="17"/>
              </w:rPr>
              <w:t>24.4%</w:t>
            </w:r>
          </w:p>
        </w:tc>
        <w:tc>
          <w:tcPr>
            <w:tcW w:type="dxa" w:w="2016"/>
          </w:tcPr>
          <w:p>
            <w:pPr>
              <w:spacing w:after="20"/>
              <w:jc w:val="right"/>
            </w:pPr>
            <w:r>
              <w:rPr>
                <w:color w:val="1C3A36"/>
                <w:sz w:val="17"/>
              </w:rPr>
              <w:t>19.2%</w:t>
            </w:r>
          </w:p>
        </w:tc>
        <w:tc>
          <w:tcPr>
            <w:tcW w:type="dxa" w:w="2160"/>
          </w:tcPr>
          <w:p>
            <w:pPr>
              <w:spacing w:after="20"/>
              <w:jc w:val="right"/>
            </w:pPr>
            <w:r>
              <w:rPr>
                <w:color w:val="1C3A36"/>
                <w:sz w:val="17"/>
              </w:rPr>
              <w:t>14.8%</w:t>
            </w:r>
          </w:p>
        </w:tc>
      </w:tr>
      <w:tr>
        <w:tc>
          <w:tcPr>
            <w:tcW w:type="dxa" w:w="3744"/>
          </w:tcPr>
          <w:p>
            <w:pPr>
              <w:spacing w:after="20"/>
            </w:pPr>
            <w:r>
              <w:rPr>
                <w:b/>
                <w:color w:val="1C3A36"/>
                <w:sz w:val="17"/>
              </w:rPr>
              <w:t>EBITDA · margin</w:t>
            </w:r>
          </w:p>
        </w:tc>
        <w:tc>
          <w:tcPr>
            <w:tcW w:type="dxa" w:w="2016"/>
          </w:tcPr>
          <w:p>
            <w:pPr>
              <w:spacing w:after="20"/>
              <w:jc w:val="right"/>
            </w:pPr>
            <w:r>
              <w:rPr>
                <w:color w:val="1C3A36"/>
                <w:sz w:val="17"/>
              </w:rPr>
              <w:t>3,795 · 15.9%</w:t>
            </w:r>
          </w:p>
        </w:tc>
        <w:tc>
          <w:tcPr>
            <w:tcW w:type="dxa" w:w="2016"/>
          </w:tcPr>
          <w:p>
            <w:pPr>
              <w:spacing w:after="20"/>
              <w:jc w:val="right"/>
            </w:pPr>
            <w:r>
              <w:rPr>
                <w:color w:val="1C3A36"/>
                <w:sz w:val="17"/>
              </w:rPr>
              <w:t>5,881 · 12.5%</w:t>
            </w:r>
          </w:p>
        </w:tc>
        <w:tc>
          <w:tcPr>
            <w:tcW w:type="dxa" w:w="2160"/>
          </w:tcPr>
          <w:p>
            <w:pPr>
              <w:spacing w:after="20"/>
              <w:jc w:val="right"/>
            </w:pPr>
            <w:r>
              <w:rPr>
                <w:color w:val="1C3A36"/>
                <w:sz w:val="17"/>
              </w:rPr>
              <w:t>6,363 · 9.6%</w:t>
            </w:r>
          </w:p>
        </w:tc>
      </w:tr>
      <w:tr>
        <w:tc>
          <w:tcPr>
            <w:tcW w:type="dxa" w:w="3744"/>
          </w:tcPr>
          <w:p>
            <w:pPr>
              <w:spacing w:after="20"/>
            </w:pPr>
            <w:r>
              <w:rPr>
                <w:b/>
                <w:color w:val="1C3A36"/>
                <w:sz w:val="17"/>
              </w:rPr>
              <w:t>Net working capital · % of revenue</w:t>
            </w:r>
          </w:p>
        </w:tc>
        <w:tc>
          <w:tcPr>
            <w:tcW w:type="dxa" w:w="2016"/>
          </w:tcPr>
          <w:p>
            <w:pPr>
              <w:spacing w:after="20"/>
              <w:jc w:val="right"/>
            </w:pPr>
            <w:r>
              <w:rPr>
                <w:color w:val="1C3A36"/>
                <w:sz w:val="17"/>
              </w:rPr>
              <w:t>4,466 · 18.7%</w:t>
            </w:r>
          </w:p>
        </w:tc>
        <w:tc>
          <w:tcPr>
            <w:tcW w:type="dxa" w:w="2016"/>
          </w:tcPr>
          <w:p>
            <w:pPr>
              <w:spacing w:after="20"/>
              <w:jc w:val="right"/>
            </w:pPr>
            <w:r>
              <w:rPr>
                <w:color w:val="1C3A36"/>
                <w:sz w:val="17"/>
              </w:rPr>
              <w:t>10,784 · 22.9%</w:t>
            </w:r>
          </w:p>
        </w:tc>
        <w:tc>
          <w:tcPr>
            <w:tcW w:type="dxa" w:w="2160"/>
          </w:tcPr>
          <w:p>
            <w:pPr>
              <w:spacing w:after="20"/>
              <w:jc w:val="right"/>
            </w:pPr>
            <w:r>
              <w:rPr>
                <w:color w:val="1C3A36"/>
                <w:sz w:val="17"/>
              </w:rPr>
              <w:t>18,917 · 28.5%</w:t>
            </w:r>
          </w:p>
        </w:tc>
      </w:tr>
      <w:tr>
        <w:tc>
          <w:tcPr>
            <w:tcW w:type="dxa" w:w="3744"/>
          </w:tcPr>
          <w:p>
            <w:pPr>
              <w:spacing w:after="20"/>
            </w:pPr>
            <w:r>
              <w:rPr>
                <w:b/>
                <w:color w:val="1C3A36"/>
                <w:sz w:val="17"/>
              </w:rPr>
              <w:t>Net debt · ND/EBITDA</w:t>
            </w:r>
          </w:p>
        </w:tc>
        <w:tc>
          <w:tcPr>
            <w:tcW w:type="dxa" w:w="2016"/>
          </w:tcPr>
          <w:p>
            <w:pPr>
              <w:spacing w:after="20"/>
              <w:jc w:val="right"/>
            </w:pPr>
            <w:r>
              <w:rPr>
                <w:color w:val="1C3A36"/>
                <w:sz w:val="17"/>
              </w:rPr>
              <w:t>2,922 · 0.77×</w:t>
            </w:r>
          </w:p>
        </w:tc>
        <w:tc>
          <w:tcPr>
            <w:tcW w:type="dxa" w:w="2016"/>
          </w:tcPr>
          <w:p>
            <w:pPr>
              <w:spacing w:after="20"/>
              <w:jc w:val="right"/>
            </w:pPr>
            <w:r>
              <w:rPr>
                <w:color w:val="1C3A36"/>
                <w:sz w:val="17"/>
              </w:rPr>
              <w:t>5,292 · 0.90×</w:t>
            </w:r>
          </w:p>
        </w:tc>
        <w:tc>
          <w:tcPr>
            <w:tcW w:type="dxa" w:w="2160"/>
          </w:tcPr>
          <w:p>
            <w:pPr>
              <w:spacing w:after="20"/>
              <w:jc w:val="right"/>
            </w:pPr>
            <w:r>
              <w:rPr>
                <w:color w:val="1C3A36"/>
                <w:sz w:val="17"/>
              </w:rPr>
              <w:t>15,210 · 2.39×</w:t>
            </w:r>
          </w:p>
        </w:tc>
      </w:tr>
      <w:tr>
        <w:tc>
          <w:tcPr>
            <w:tcW w:type="dxa" w:w="3744"/>
          </w:tcPr>
          <w:p>
            <w:pPr>
              <w:spacing w:after="20"/>
            </w:pPr>
            <w:r>
              <w:rPr>
                <w:b/>
                <w:color w:val="1C3A36"/>
                <w:sz w:val="17"/>
              </w:rPr>
              <w:t>Capital employed · ROCE</w:t>
            </w:r>
          </w:p>
        </w:tc>
        <w:tc>
          <w:tcPr>
            <w:tcW w:type="dxa" w:w="2016"/>
          </w:tcPr>
          <w:p>
            <w:pPr>
              <w:spacing w:after="20"/>
              <w:jc w:val="right"/>
            </w:pPr>
            <w:r>
              <w:rPr>
                <w:color w:val="1C3A36"/>
                <w:sz w:val="17"/>
              </w:rPr>
              <w:t>10,231 · 35.9%</w:t>
            </w:r>
          </w:p>
        </w:tc>
        <w:tc>
          <w:tcPr>
            <w:tcW w:type="dxa" w:w="2016"/>
          </w:tcPr>
          <w:p>
            <w:pPr>
              <w:spacing w:after="20"/>
              <w:jc w:val="right"/>
            </w:pPr>
            <w:r>
              <w:rPr>
                <w:color w:val="1C3A36"/>
                <w:sz w:val="17"/>
              </w:rPr>
              <w:t>18,731 · 31.5%</w:t>
            </w:r>
          </w:p>
        </w:tc>
        <w:tc>
          <w:tcPr>
            <w:tcW w:type="dxa" w:w="2160"/>
          </w:tcPr>
          <w:p>
            <w:pPr>
              <w:spacing w:after="20"/>
              <w:jc w:val="right"/>
            </w:pPr>
            <w:r>
              <w:rPr>
                <w:color w:val="1C3A36"/>
                <w:sz w:val="17"/>
              </w:rPr>
              <w:t>28,513 · 21.3%</w:t>
            </w:r>
          </w:p>
        </w:tc>
      </w:tr>
      <w:tr>
        <w:tc>
          <w:tcPr>
            <w:tcW w:type="dxa" w:w="3744"/>
          </w:tcPr>
          <w:p>
            <w:pPr>
              <w:spacing w:after="20"/>
            </w:pPr>
            <w:r>
              <w:rPr>
                <w:b/>
                <w:color w:val="1C3A36"/>
                <w:sz w:val="17"/>
              </w:rPr>
              <w:t>Capex</w:t>
            </w:r>
          </w:p>
        </w:tc>
        <w:tc>
          <w:tcPr>
            <w:tcW w:type="dxa" w:w="2016"/>
          </w:tcPr>
          <w:p>
            <w:pPr>
              <w:spacing w:after="20"/>
              <w:jc w:val="right"/>
            </w:pPr>
            <w:r>
              <w:rPr>
                <w:color w:val="1C3A36"/>
                <w:sz w:val="17"/>
              </w:rPr>
              <w:t>~1,100</w:t>
            </w:r>
          </w:p>
        </w:tc>
        <w:tc>
          <w:tcPr>
            <w:tcW w:type="dxa" w:w="2016"/>
          </w:tcPr>
          <w:p>
            <w:pPr>
              <w:spacing w:after="20"/>
              <w:jc w:val="right"/>
            </w:pPr>
            <w:r>
              <w:rPr>
                <w:color w:val="1C3A36"/>
                <w:sz w:val="17"/>
              </w:rPr>
              <w:t>2,642</w:t>
            </w:r>
          </w:p>
        </w:tc>
        <w:tc>
          <w:tcPr>
            <w:tcW w:type="dxa" w:w="2160"/>
          </w:tcPr>
          <w:p>
            <w:pPr>
              <w:spacing w:after="20"/>
              <w:jc w:val="right"/>
            </w:pPr>
            <w:r>
              <w:rPr>
                <w:color w:val="1C3A36"/>
                <w:sz w:val="17"/>
              </w:rPr>
              <w:t>2,695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~13%</w:t>
            </w:r>
          </w:p>
        </w:tc>
        <w:tc>
          <w:tcPr>
            <w:tcW w:type="dxa" w:w="1224"/>
          </w:tcPr>
          <w:p>
            <w:pPr>
              <w:spacing w:after="20"/>
              <w:jc w:val="right"/>
            </w:pPr>
            <w:r>
              <w:rPr>
                <w:color w:val="1C3A36"/>
                <w:sz w:val="17"/>
              </w:rPr>
              <w:t>14%</w:t>
            </w:r>
          </w:p>
        </w:tc>
        <w:tc>
          <w:tcPr>
            <w:tcW w:type="dxa" w:w="1224"/>
          </w:tcPr>
          <w:p>
            <w:pPr>
              <w:spacing w:after="20"/>
              <w:jc w:val="right"/>
            </w:pPr>
            <w:r>
              <w:rPr>
                <w:color w:val="1C3A36"/>
                <w:sz w:val="17"/>
              </w:rPr>
              <w:t>15%</w:t>
            </w:r>
          </w:p>
        </w:tc>
        <w:tc>
          <w:tcPr>
            <w:tcW w:type="dxa" w:w="1224"/>
          </w:tcPr>
          <w:p>
            <w:pPr>
              <w:spacing w:after="20"/>
              <w:jc w:val="right"/>
            </w:pPr>
            <w:r>
              <w:rPr>
                <w:color w:val="1C3A36"/>
                <w:sz w:val="17"/>
              </w:rPr>
              <w:t>16%</w:t>
            </w:r>
          </w:p>
        </w:tc>
        <w:tc>
          <w:tcPr>
            <w:tcW w:type="dxa" w:w="1224"/>
          </w:tcPr>
          <w:p>
            <w:pPr>
              <w:spacing w:after="20"/>
              <w:jc w:val="right"/>
            </w:pPr>
            <w:r>
              <w:rPr>
                <w:color w:val="1C3A36"/>
                <w:sz w:val="17"/>
              </w:rPr>
              <w:t>18%</w:t>
            </w:r>
          </w:p>
        </w:tc>
        <w:tc>
          <w:tcPr>
            <w:tcW w:type="dxa" w:w="1224"/>
          </w:tcPr>
          <w:p>
            <w:pPr>
              <w:spacing w:after="20"/>
              <w:jc w:val="right"/>
            </w:pPr>
            <w:r>
              <w:rPr>
                <w:color w:val="1C3A36"/>
                <w:sz w:val="17"/>
              </w:rPr>
              <w:t>20%</w:t>
            </w:r>
          </w:p>
        </w:tc>
      </w:tr>
      <w:tr>
        <w:tc>
          <w:tcPr>
            <w:tcW w:type="dxa" w:w="2736"/>
          </w:tcPr>
          <w:p>
            <w:pPr>
              <w:spacing w:after="20"/>
            </w:pPr>
            <w:r>
              <w:rPr>
                <w:b/>
                <w:color w:val="1C3A36"/>
                <w:sz w:val="17"/>
              </w:rPr>
              <w:t>DPS (EGP)</w:t>
            </w:r>
          </w:p>
        </w:tc>
        <w:tc>
          <w:tcPr>
            <w:tcW w:type="dxa" w:w="1224"/>
          </w:tcPr>
          <w:p>
            <w:pPr>
              <w:spacing w:after="20"/>
              <w:jc w:val="right"/>
            </w:pPr>
            <w:r>
              <w:rPr>
                <w:color w:val="1C3A36"/>
                <w:sz w:val="17"/>
              </w:rPr>
              <w:t>0.35</w:t>
            </w:r>
          </w:p>
        </w:tc>
        <w:tc>
          <w:tcPr>
            <w:tcW w:type="dxa" w:w="1224"/>
          </w:tcPr>
          <w:p>
            <w:pPr>
              <w:spacing w:after="20"/>
              <w:jc w:val="right"/>
            </w:pPr>
            <w:r>
              <w:rPr>
                <w:color w:val="1C3A36"/>
                <w:sz w:val="17"/>
              </w:rPr>
              <w:t>0.42</w:t>
            </w:r>
          </w:p>
        </w:tc>
        <w:tc>
          <w:tcPr>
            <w:tcW w:type="dxa" w:w="1224"/>
          </w:tcPr>
          <w:p>
            <w:pPr>
              <w:spacing w:after="20"/>
              <w:jc w:val="right"/>
            </w:pPr>
            <w:r>
              <w:rPr>
                <w:color w:val="1C3A36"/>
                <w:sz w:val="17"/>
              </w:rPr>
              <w:t>0.74</w:t>
            </w:r>
          </w:p>
        </w:tc>
        <w:tc>
          <w:tcPr>
            <w:tcW w:type="dxa" w:w="1224"/>
          </w:tcPr>
          <w:p>
            <w:pPr>
              <w:spacing w:after="20"/>
              <w:jc w:val="right"/>
            </w:pPr>
            <w:r>
              <w:rPr>
                <w:color w:val="1C3A36"/>
                <w:sz w:val="17"/>
              </w:rPr>
              <w:t>1.11</w:t>
            </w:r>
          </w:p>
        </w:tc>
        <w:tc>
          <w:tcPr>
            <w:tcW w:type="dxa" w:w="1224"/>
          </w:tcPr>
          <w:p>
            <w:pPr>
              <w:spacing w:after="20"/>
              <w:jc w:val="right"/>
            </w:pPr>
            <w:r>
              <w:rPr>
                <w:color w:val="1C3A36"/>
                <w:sz w:val="17"/>
              </w:rPr>
              <w:t>1.56</w:t>
            </w:r>
          </w:p>
        </w:tc>
        <w:tc>
          <w:tcPr>
            <w:tcW w:type="dxa" w:w="1224"/>
          </w:tcPr>
          <w:p>
            <w:pPr>
              <w:spacing w:after="20"/>
              <w:jc w:val="right"/>
            </w:pPr>
            <w:r>
              <w:rPr>
                <w:color w:val="1C3A36"/>
                <w:sz w:val="17"/>
              </w:rPr>
              <w:t>2.09</w:t>
            </w:r>
          </w:p>
        </w:tc>
      </w:tr>
      <w:tr>
        <w:tc>
          <w:tcPr>
            <w:tcW w:type="dxa" w:w="2736"/>
          </w:tcPr>
          <w:p>
            <w:pPr>
              <w:spacing w:after="20"/>
            </w:pPr>
            <w:r>
              <w:rPr>
                <w:b/>
                <w:color w:val="1C3A36"/>
                <w:sz w:val="17"/>
              </w:rPr>
              <w:t>Yield at spot</w:t>
            </w:r>
          </w:p>
        </w:tc>
        <w:tc>
          <w:tcPr>
            <w:tcW w:type="dxa" w:w="1224"/>
          </w:tcPr>
          <w:p>
            <w:pPr>
              <w:spacing w:after="20"/>
              <w:jc w:val="right"/>
            </w:pPr>
            <w:r>
              <w:rPr>
                <w:color w:val="1C3A36"/>
                <w:sz w:val="17"/>
              </w:rPr>
              <w:t>1.1%</w:t>
            </w:r>
          </w:p>
        </w:tc>
        <w:tc>
          <w:tcPr>
            <w:tcW w:type="dxa" w:w="1224"/>
          </w:tcPr>
          <w:p>
            <w:pPr>
              <w:spacing w:after="20"/>
              <w:jc w:val="right"/>
            </w:pPr>
            <w:r>
              <w:rPr>
                <w:color w:val="1C3A36"/>
                <w:sz w:val="17"/>
              </w:rPr>
              <w:t>1.4%</w:t>
            </w:r>
          </w:p>
        </w:tc>
        <w:tc>
          <w:tcPr>
            <w:tcW w:type="dxa" w:w="1224"/>
          </w:tcPr>
          <w:p>
            <w:pPr>
              <w:spacing w:after="20"/>
              <w:jc w:val="right"/>
            </w:pPr>
            <w:r>
              <w:rPr>
                <w:color w:val="1C3A36"/>
                <w:sz w:val="17"/>
              </w:rPr>
              <w:t>2.4%</w:t>
            </w:r>
          </w:p>
        </w:tc>
        <w:tc>
          <w:tcPr>
            <w:tcW w:type="dxa" w:w="1224"/>
          </w:tcPr>
          <w:p>
            <w:pPr>
              <w:spacing w:after="20"/>
              <w:jc w:val="right"/>
            </w:pPr>
            <w:r>
              <w:rPr>
                <w:color w:val="1C3A36"/>
                <w:sz w:val="17"/>
              </w:rPr>
              <w:t>3.6%</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6.7%</w:t>
            </w:r>
          </w:p>
        </w:tc>
      </w:tr>
      <w:tr>
        <w:tc>
          <w:tcPr>
            <w:tcW w:type="dxa" w:w="2736"/>
          </w:tcPr>
          <w:p>
            <w:pPr>
              <w:spacing w:after="20"/>
            </w:pPr>
            <w:r>
              <w:rPr>
                <w:b/>
                <w:color w:val="1C3A36"/>
                <w:sz w:val="17"/>
              </w:rPr>
              <w:t>Stress check</w:t>
            </w:r>
          </w:p>
        </w:tc>
        <w:tc>
          <w:tcPr>
            <w:tcW w:type="dxa" w:w="1224"/>
          </w:tcPr>
          <w:p>
            <w:pPr>
              <w:spacing w:after="20"/>
              <w:jc w:val="right"/>
            </w:pPr>
            <w:r>
              <w:rPr>
                <w:color w:val="1C3A36"/>
                <w:sz w:val="17"/>
              </w:rPr>
              <w:t>Bear-case FY27E NP ~3.6 bn still covers a 15% payout 6.7×; the constraint is the lending book’s equity appetite, not earnings.</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Forecast-vs-actual scorecard (device A-3) and new-vs-old reconciliation (A-4): not applicable on an initiation; both tables become standing sections from the first 3-month update, scoring these FY26E lines against the print.</w:t>
      </w:r>
    </w:p>
    <w:p>
      <w:pPr>
        <w:spacing w:after="120" w:before="280"/>
      </w:pPr>
      <w:r>
        <w:rPr>
          <w:b/>
          <w:i w:val="0"/>
          <w:color w:val="1C3A36"/>
          <w:sz w:val="30"/>
        </w:rPr>
        <w:t>Appendix B  Step 0 — calibration backtest</w:t>
      </w:r>
    </w:p>
    <w:p>
      <w:pPr>
        <w:spacing w:after="120" w:before="0"/>
      </w:pPr>
      <w:r>
        <w:rPr>
          <w:b w:val="0"/>
          <w:i w:val="0"/>
          <w:color w:val="1C3A36"/>
          <w:sz w:val="21"/>
        </w:rPr>
        <w:t>Before any forecast we test the Monte Carlo lens on GBCO’s own five years of history: at seventeen non-overlapping origins (h = 60 trading days), using only data available at each origin, the YZ-HAR engine generates the three-month-ahead distribution and the realized close is scored against it. The grade is skill versus a naïve benchmark — a zero-drift random-walk lognormal cone on trailing realized vol — measured by CRPS skill (must be &gt; 0) and the Winkler interval score; the PIT histogram and coverage table are diagnostics only, since band-containment rewards width.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7"/>
              </w:rPr>
              <w:t>Configuration / scheme</w:t>
            </w:r>
          </w:p>
        </w:tc>
        <w:tc>
          <w:tcPr>
            <w:tcW w:type="dxa" w:w="720"/>
            <w:shd w:val="clear" w:color="auto" w:fill="EAF0EE"/>
          </w:tcPr>
          <w:p>
            <w:pPr>
              <w:spacing w:after="20"/>
            </w:pPr>
            <w:r>
              <w:rPr>
                <w:b/>
                <w:color w:val="1C3A36"/>
                <w:sz w:val="17"/>
              </w:rPr>
              <w:t>n</w:t>
            </w:r>
          </w:p>
        </w:tc>
        <w:tc>
          <w:tcPr>
            <w:tcW w:type="dxa" w:w="1368"/>
            <w:shd w:val="clear" w:color="auto" w:fill="EAF0EE"/>
          </w:tcPr>
          <w:p>
            <w:pPr>
              <w:spacing w:after="20"/>
            </w:pPr>
            <w:r>
              <w:rPr>
                <w:b/>
                <w:color w:val="1C3A36"/>
                <w:sz w:val="17"/>
              </w:rPr>
              <w:t>CRPS skill</w:t>
            </w:r>
          </w:p>
        </w:tc>
        <w:tc>
          <w:tcPr>
            <w:tcW w:type="dxa" w:w="1368"/>
            <w:shd w:val="clear" w:color="auto" w:fill="EAF0EE"/>
          </w:tcPr>
          <w:p>
            <w:pPr>
              <w:spacing w:after="20"/>
            </w:pPr>
            <w:r>
              <w:rPr>
                <w:b/>
                <w:color w:val="1C3A36"/>
                <w:sz w:val="17"/>
              </w:rPr>
              <w:t>Interval skill</w:t>
            </w:r>
          </w:p>
        </w:tc>
        <w:tc>
          <w:tcPr>
            <w:tcW w:type="dxa" w:w="2160"/>
            <w:shd w:val="clear" w:color="auto" w:fill="EAF0EE"/>
          </w:tcPr>
          <w:p>
            <w:pPr>
              <w:spacing w:after="20"/>
            </w:pPr>
            <w:r>
              <w:rPr>
                <w:b/>
                <w:color w:val="1C3A36"/>
                <w:sz w:val="17"/>
              </w:rPr>
              <w:t>50 / 80 / 90% coverage</w:t>
            </w:r>
          </w:p>
        </w:tc>
        <w:tc>
          <w:tcPr>
            <w:tcW w:type="dxa" w:w="1656"/>
            <w:shd w:val="clear" w:color="auto" w:fill="EAF0EE"/>
          </w:tcPr>
          <w:p>
            <w:pPr>
              <w:spacing w:after="20"/>
            </w:pPr>
            <w:r>
              <w:rPr>
                <w:b/>
                <w:color w:val="1C3A36"/>
                <w:sz w:val="17"/>
              </w:rPr>
              <w:t>PIT mean</w:t>
            </w:r>
          </w:p>
        </w:tc>
      </w:tr>
      <w:tr>
        <w:tc>
          <w:tcPr>
            <w:tcW w:type="dxa" w:w="3096"/>
          </w:tcPr>
          <w:p>
            <w:pPr>
              <w:spacing w:after="20"/>
            </w:pPr>
            <w:r>
              <w:rPr>
                <w:b/>
                <w:color w:val="1C3A36"/>
                <w:sz w:val="17"/>
              </w:rPr>
              <w:t>Zero drift — non-overlapping</w:t>
            </w:r>
          </w:p>
        </w:tc>
        <w:tc>
          <w:tcPr>
            <w:tcW w:type="dxa" w:w="720"/>
          </w:tcPr>
          <w:p>
            <w:pPr>
              <w:spacing w:after="20"/>
              <w:jc w:val="right"/>
            </w:pPr>
            <w:r>
              <w:rPr>
                <w:color w:val="1C3A36"/>
                <w:sz w:val="17"/>
              </w:rPr>
              <w:t>17</w:t>
            </w:r>
          </w:p>
        </w:tc>
        <w:tc>
          <w:tcPr>
            <w:tcW w:type="dxa" w:w="1368"/>
          </w:tcPr>
          <w:p>
            <w:pPr>
              <w:spacing w:after="20"/>
              <w:jc w:val="right"/>
            </w:pPr>
            <w:r>
              <w:rPr>
                <w:color w:val="1C3A36"/>
                <w:sz w:val="17"/>
              </w:rPr>
              <w:t>−1.6%</w:t>
            </w:r>
          </w:p>
        </w:tc>
        <w:tc>
          <w:tcPr>
            <w:tcW w:type="dxa" w:w="1368"/>
          </w:tcPr>
          <w:p>
            <w:pPr>
              <w:spacing w:after="20"/>
              <w:jc w:val="right"/>
            </w:pPr>
            <w:r>
              <w:rPr>
                <w:color w:val="1C3A36"/>
                <w:sz w:val="17"/>
              </w:rPr>
              <w:t>−0.4%</w:t>
            </w:r>
          </w:p>
        </w:tc>
        <w:tc>
          <w:tcPr>
            <w:tcW w:type="dxa" w:w="2160"/>
          </w:tcPr>
          <w:p>
            <w:pPr>
              <w:spacing w:after="20"/>
              <w:jc w:val="right"/>
            </w:pPr>
            <w:r>
              <w:rPr>
                <w:color w:val="1C3A36"/>
                <w:sz w:val="17"/>
              </w:rPr>
              <w:t>47 / 82 / 88%</w:t>
            </w:r>
          </w:p>
        </w:tc>
        <w:tc>
          <w:tcPr>
            <w:tcW w:type="dxa" w:w="1656"/>
          </w:tcPr>
          <w:p>
            <w:pPr>
              <w:spacing w:after="20"/>
              <w:jc w:val="right"/>
            </w:pPr>
            <w:r>
              <w:rPr>
                <w:color w:val="1C3A36"/>
                <w:sz w:val="17"/>
              </w:rPr>
              <w:t>0.62 (right-skewed)</w:t>
            </w:r>
          </w:p>
        </w:tc>
      </w:tr>
      <w:tr>
        <w:tc>
          <w:tcPr>
            <w:tcW w:type="dxa" w:w="3096"/>
          </w:tcPr>
          <w:p>
            <w:pPr>
              <w:spacing w:after="20"/>
            </w:pPr>
            <w:r>
              <w:rPr>
                <w:b/>
                <w:color w:val="1C3A36"/>
                <w:sz w:val="17"/>
              </w:rPr>
              <w:t>Secular drift — non-overlapping</w:t>
            </w:r>
          </w:p>
        </w:tc>
        <w:tc>
          <w:tcPr>
            <w:tcW w:type="dxa" w:w="720"/>
          </w:tcPr>
          <w:p>
            <w:pPr>
              <w:spacing w:after="20"/>
              <w:jc w:val="right"/>
            </w:pPr>
            <w:r>
              <w:rPr>
                <w:color w:val="1C3A36"/>
                <w:sz w:val="17"/>
              </w:rPr>
              <w:t>17</w:t>
            </w:r>
          </w:p>
        </w:tc>
        <w:tc>
          <w:tcPr>
            <w:tcW w:type="dxa" w:w="1368"/>
          </w:tcPr>
          <w:p>
            <w:pPr>
              <w:spacing w:after="20"/>
              <w:jc w:val="right"/>
            </w:pPr>
            <w:r>
              <w:rPr>
                <w:color w:val="1C3A36"/>
                <w:sz w:val="17"/>
              </w:rPr>
              <w:t>+3.2%</w:t>
            </w:r>
          </w:p>
        </w:tc>
        <w:tc>
          <w:tcPr>
            <w:tcW w:type="dxa" w:w="1368"/>
          </w:tcPr>
          <w:p>
            <w:pPr>
              <w:spacing w:after="20"/>
              <w:jc w:val="right"/>
            </w:pPr>
            <w:r>
              <w:rPr>
                <w:color w:val="1C3A36"/>
                <w:sz w:val="17"/>
              </w:rPr>
              <w:t>−6.0%</w:t>
            </w:r>
          </w:p>
        </w:tc>
        <w:tc>
          <w:tcPr>
            <w:tcW w:type="dxa" w:w="2160"/>
          </w:tcPr>
          <w:p>
            <w:pPr>
              <w:spacing w:after="20"/>
              <w:jc w:val="right"/>
            </w:pPr>
            <w:r>
              <w:rPr>
                <w:color w:val="1C3A36"/>
                <w:sz w:val="17"/>
              </w:rPr>
              <w:t>59 / 76 / 94%</w:t>
            </w:r>
          </w:p>
        </w:tc>
        <w:tc>
          <w:tcPr>
            <w:tcW w:type="dxa" w:w="1656"/>
          </w:tcPr>
          <w:p>
            <w:pPr>
              <w:spacing w:after="20"/>
              <w:jc w:val="right"/>
            </w:pPr>
            <w:r>
              <w:rPr>
                <w:color w:val="1C3A36"/>
                <w:sz w:val="17"/>
              </w:rPr>
              <w:t>0.53</w:t>
            </w:r>
          </w:p>
        </w:tc>
      </w:tr>
      <w:tr>
        <w:tc>
          <w:tcPr>
            <w:tcW w:type="dxa" w:w="3096"/>
          </w:tcPr>
          <w:p>
            <w:pPr>
              <w:spacing w:after="20"/>
            </w:pPr>
            <w:r>
              <w:rPr>
                <w:b/>
                <w:color w:val="1C3A36"/>
                <w:sz w:val="17"/>
              </w:rPr>
              <w:t>Secular drift — monthly origins</w:t>
            </w:r>
          </w:p>
        </w:tc>
        <w:tc>
          <w:tcPr>
            <w:tcW w:type="dxa" w:w="720"/>
          </w:tcPr>
          <w:p>
            <w:pPr>
              <w:spacing w:after="20"/>
              <w:jc w:val="right"/>
            </w:pPr>
            <w:r>
              <w:rPr>
                <w:color w:val="1C3A36"/>
                <w:sz w:val="17"/>
              </w:rPr>
              <w:t>49</w:t>
            </w:r>
          </w:p>
        </w:tc>
        <w:tc>
          <w:tcPr>
            <w:tcW w:type="dxa" w:w="1368"/>
          </w:tcPr>
          <w:p>
            <w:pPr>
              <w:spacing w:after="20"/>
              <w:jc w:val="right"/>
            </w:pPr>
            <w:r>
              <w:rPr>
                <w:color w:val="1C3A36"/>
                <w:sz w:val="17"/>
              </w:rPr>
              <w:t>+9.6%</w:t>
            </w:r>
          </w:p>
        </w:tc>
        <w:tc>
          <w:tcPr>
            <w:tcW w:type="dxa" w:w="1368"/>
          </w:tcPr>
          <w:p>
            <w:pPr>
              <w:spacing w:after="20"/>
              <w:jc w:val="right"/>
            </w:pPr>
            <w:r>
              <w:rPr>
                <w:color w:val="1C3A36"/>
                <w:sz w:val="17"/>
              </w:rPr>
              <w:t>−8.4%</w:t>
            </w:r>
          </w:p>
        </w:tc>
        <w:tc>
          <w:tcPr>
            <w:tcW w:type="dxa" w:w="2160"/>
          </w:tcPr>
          <w:p>
            <w:pPr>
              <w:spacing w:after="20"/>
              <w:jc w:val="right"/>
            </w:pPr>
            <w:r>
              <w:rPr>
                <w:color w:val="1C3A36"/>
                <w:sz w:val="17"/>
              </w:rPr>
              <w:t>53 / 86 / 92%</w:t>
            </w:r>
          </w:p>
        </w:tc>
        <w:tc>
          <w:tcPr>
            <w:tcW w:type="dxa" w:w="1656"/>
          </w:tcPr>
          <w:p>
            <w:pPr>
              <w:spacing w:after="20"/>
              <w:jc w:val="right"/>
            </w:pPr>
            <w:r>
              <w:rPr>
                <w:color w:val="1C3A36"/>
                <w:sz w:val="17"/>
              </w:rPr>
              <w:t>0.57</w:t>
            </w:r>
          </w:p>
        </w:tc>
      </w:tr>
    </w:tbl>
    <w:p>
      <w:pPr>
        <w:spacing w:after="40"/>
      </w:pPr>
    </w:p>
    <w:p>
      <w:pPr>
        <w:spacing w:after="40"/>
        <w:jc w:val="center"/>
      </w:pPr>
      <w:r>
        <w:drawing>
          <wp:inline xmlns:a="http://schemas.openxmlformats.org/drawingml/2006/main" xmlns:pic="http://schemas.openxmlformats.org/drawingml/2006/picture">
            <wp:extent cx="6035040" cy="1945795"/>
            <wp:docPr id="7" name="Picture 7"/>
            <wp:cNvGraphicFramePr>
              <a:graphicFrameLocks noChangeAspect="1"/>
            </wp:cNvGraphicFramePr>
            <a:graphic>
              <a:graphicData uri="http://schemas.openxmlformats.org/drawingml/2006/picture">
                <pic:pic>
                  <pic:nvPicPr>
                    <pic:cNvPr id="0" name="figB1_calibration.png"/>
                    <pic:cNvPicPr/>
                  </pic:nvPicPr>
                  <pic:blipFill>
                    <a:blip r:embed="rId15"/>
                    <a:stretch>
                      <a:fillRect/>
                    </a:stretch>
                  </pic:blipFill>
                  <pic:spPr>
                    <a:xfrm>
                      <a:off x="0" y="0"/>
                      <a:ext cx="6035040" cy="1945795"/>
                    </a:xfrm>
                    <a:prstGeom prst="rect"/>
                  </pic:spPr>
                </pic:pic>
              </a:graphicData>
            </a:graphic>
          </wp:inline>
        </w:drawing>
      </w:r>
    </w:p>
    <w:p>
      <w:pPr>
        <w:spacing w:after="200" w:before="0"/>
      </w:pPr>
      <w:r>
        <w:rPr>
          <w:b w:val="0"/>
          <w:i/>
          <w:color w:val="6E7B77"/>
          <w:sz w:val="17"/>
        </w:rPr>
        <w:t>Figure B-1 — Calibration backtest: quarterly cone replay (log scale), PIT histogram, and interval coverage versus target, secular-drift configuration.</w:t>
      </w:r>
    </w:p>
    <w:p>
      <w:pPr>
        <w:spacing w:after="120" w:before="0"/>
      </w:pPr>
      <w:r>
        <w:rPr>
          <w:b w:val="0"/>
          <w:i w:val="0"/>
          <w:color w:val="1C3A36"/>
          <w:sz w:val="21"/>
        </w:rPr>
        <w:t>Zero drift fails the gate on this name: negative CRPS skill and a PIT pushed into the upper deciles — the classic signature of a distribution that keeps under-calling a secular uptrend (GBCO is a thirteen-bagger over the sample, the same EGP-repricing dynamic as the EGX developers). Re-running with the asset-class secular drift switched on — the prescribed recalibration path — flips the result: CRPS skill +3.2% on non-overlapping windows and +9.6% on monthly origins, with the PIT mean back near 0.5 and no material U-shape. The interval score gives some of that back (the t(5) tails price protection the benchmark doesn’t carry), and a block bootstrap on the 17 windows puts the 90% CI on CRPS skill at roughly [−0.17, +0.18] — P(skill &gt; 0) ≈ 0.62. The lens is accepted with that thinness stated: seventeen windows is decent validation, not robust proof, and the drift term is re-tested every quarter with a hard kill rule. Flag for the record: GBCO is the first EGX non-developer to carry the secular drift — adopted empirically here, exactly as the protocol requires, not by asset-class default.</w:t>
      </w:r>
    </w:p>
    <w:p>
      <w:pPr>
        <w:spacing w:after="120" w:before="280"/>
      </w:pPr>
      <w:r>
        <w:rPr>
          <w:b/>
          <w:i w:val="0"/>
          <w:color w:val="1C3A36"/>
          <w:sz w:val="30"/>
        </w:rPr>
        <w:t>Appendix C  Peer set, sector structure, and risks</w:t>
      </w:r>
    </w:p>
    <w:p>
      <w:pPr>
        <w:spacing w:after="120" w:before="0"/>
      </w:pPr>
      <w:r>
        <w:rPr>
          <w:b w:val="0"/>
          <w:i w:val="0"/>
          <w:color w:val="1C3A36"/>
          <w:sz w:val="21"/>
        </w:rPr>
        <w:t>GB Corp has no clean single comparable — an auto assembler-distributor, an NBFI and a fintech associate in one wrapper. The peer set is therefore split by leg.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Leg</w:t>
            </w:r>
          </w:p>
        </w:tc>
        <w:tc>
          <w:tcPr>
            <w:tcW w:type="dxa" w:w="4464"/>
            <w:shd w:val="clear" w:color="auto" w:fill="EAF0EE"/>
          </w:tcPr>
          <w:p>
            <w:pPr>
              <w:spacing w:after="20"/>
            </w:pPr>
            <w:r>
              <w:rPr>
                <w:b/>
                <w:color w:val="1C3A36"/>
                <w:sz w:val="17"/>
              </w:rPr>
              <w:t>Closest peers</w:t>
            </w:r>
          </w:p>
        </w:tc>
        <w:tc>
          <w:tcPr>
            <w:tcW w:type="dxa" w:w="2880"/>
            <w:shd w:val="clear" w:color="auto" w:fill="EAF0EE"/>
          </w:tcPr>
          <w:p>
            <w:pPr>
              <w:spacing w:after="20"/>
            </w:pPr>
            <w:r>
              <w:rPr>
                <w:b/>
                <w:color w:val="1C3A36"/>
                <w:sz w:val="17"/>
              </w:rPr>
              <w:t>Typical valuation</w:t>
            </w:r>
          </w:p>
        </w:tc>
      </w:tr>
      <w:tr>
        <w:tc>
          <w:tcPr>
            <w:tcW w:type="dxa" w:w="2736"/>
          </w:tcPr>
          <w:p>
            <w:pPr>
              <w:spacing w:after="20"/>
            </w:pPr>
            <w:r>
              <w:rPr>
                <w:b/>
                <w:color w:val="1C3A36"/>
                <w:sz w:val="17"/>
              </w:rPr>
              <w:t>Auto assembly &amp; distribution</w:t>
            </w:r>
          </w:p>
        </w:tc>
        <w:tc>
          <w:tcPr>
            <w:tcW w:type="dxa" w:w="4464"/>
          </w:tcPr>
          <w:p>
            <w:pPr>
              <w:spacing w:after="20"/>
              <w:jc w:val="right"/>
            </w:pPr>
            <w:r>
              <w:rPr>
                <w:color w:val="1C3A36"/>
                <w:sz w:val="17"/>
              </w:rPr>
              <w:t>Saudi/GCC auto distributors, Türk Traktör, EGX consumer durables</w:t>
            </w:r>
          </w:p>
        </w:tc>
        <w:tc>
          <w:tcPr>
            <w:tcW w:type="dxa" w:w="2880"/>
          </w:tcPr>
          <w:p>
            <w:pPr>
              <w:spacing w:after="20"/>
              <w:jc w:val="right"/>
            </w:pPr>
            <w:r>
              <w:rPr>
                <w:color w:val="1C3A36"/>
                <w:sz w:val="17"/>
              </w:rPr>
              <w:t>EV/EBITDA ~4–6×; P/E ~8–12×</w:t>
            </w:r>
          </w:p>
        </w:tc>
      </w:tr>
      <w:tr>
        <w:tc>
          <w:tcPr>
            <w:tcW w:type="dxa" w:w="2736"/>
          </w:tcPr>
          <w:p>
            <w:pPr>
              <w:spacing w:after="20"/>
            </w:pPr>
            <w:r>
              <w:rPr>
                <w:b/>
                <w:color w:val="1C3A36"/>
                <w:sz w:val="17"/>
              </w:rPr>
              <w:t>NBFI / consumer &amp; SME finance</w:t>
            </w:r>
          </w:p>
        </w:tc>
        <w:tc>
          <w:tcPr>
            <w:tcW w:type="dxa" w:w="4464"/>
          </w:tcPr>
          <w:p>
            <w:pPr>
              <w:spacing w:after="20"/>
              <w:jc w:val="right"/>
            </w:pPr>
            <w:r>
              <w:rPr>
                <w:color w:val="1C3A36"/>
                <w:sz w:val="17"/>
              </w:rPr>
              <w:t>Contact Financial (CNFN), EFG finance arm, Raya finance leg</w:t>
            </w:r>
          </w:p>
        </w:tc>
        <w:tc>
          <w:tcPr>
            <w:tcW w:type="dxa" w:w="2880"/>
          </w:tcPr>
          <w:p>
            <w:pPr>
              <w:spacing w:after="20"/>
              <w:jc w:val="right"/>
            </w:pPr>
            <w:r>
              <w:rPr>
                <w:color w:val="1C3A36"/>
                <w:sz w:val="17"/>
              </w:rPr>
              <w:t>P/B ~1.0–1.8× on mid-teens ROE</w:t>
            </w:r>
          </w:p>
        </w:tc>
      </w:tr>
      <w:tr>
        <w:tc>
          <w:tcPr>
            <w:tcW w:type="dxa" w:w="2736"/>
          </w:tcPr>
          <w:p>
            <w:pPr>
              <w:spacing w:after="20"/>
            </w:pPr>
            <w:r>
              <w:rPr>
                <w:b/>
                <w:color w:val="1C3A36"/>
                <w:sz w:val="17"/>
              </w:rPr>
              <w:t>Fintech associate</w:t>
            </w:r>
          </w:p>
        </w:tc>
        <w:tc>
          <w:tcPr>
            <w:tcW w:type="dxa" w:w="4464"/>
          </w:tcPr>
          <w:p>
            <w:pPr>
              <w:spacing w:after="20"/>
              <w:jc w:val="right"/>
            </w:pPr>
            <w:r>
              <w:rPr>
                <w:color w:val="1C3A36"/>
                <w:sz w:val="17"/>
              </w:rPr>
              <w:t>Fawry (FWRY), e-Finance (EFIH); MNT-Halan private rounds</w:t>
            </w:r>
          </w:p>
        </w:tc>
        <w:tc>
          <w:tcPr>
            <w:tcW w:type="dxa" w:w="2880"/>
          </w:tcPr>
          <w:p>
            <w:pPr>
              <w:spacing w:after="20"/>
              <w:jc w:val="right"/>
            </w:pPr>
            <w:r>
              <w:rPr>
                <w:color w:val="1C3A36"/>
                <w:sz w:val="17"/>
              </w:rPr>
              <w:t>Private marks; last round USD 1.4 bn</w:t>
            </w:r>
          </w:p>
        </w:tc>
      </w:tr>
    </w:tbl>
    <w:p>
      <w:pPr>
        <w:spacing w:after="40"/>
      </w:pPr>
    </w:p>
    <w:p>
      <w:pPr>
        <w:spacing w:after="120" w:before="0"/>
      </w:pPr>
      <w:r>
        <w:rPr>
          <w:b w:val="0"/>
          <w:i w:val="0"/>
          <w:color w:val="1C3A36"/>
          <w:sz w:val="21"/>
        </w:rPr>
        <w:t>Sector structure. Egypt’s PC market is in a policy-assisted recovery (~210k registrations in 2025, +40% y/y) with the CBE easing cycle restoring affordability, localization incentives reshaping the CKD/CBU mix, and Chinese entrants (BYD) resetting price points. Consumer and SME finance is growing faster than banking credit off a low base, with securitization deepening as a funding market. Principal risks: a structurally higher working-capital intensity; a renewed EGP devaluation; regional conflict freezing Iraq/Jordan; BYD-led price competition; credit-cycle deterioration in the lending book; a private-market re-price of MNT-Halan; and execution on Sadat.</w:t>
      </w:r>
    </w:p>
    <w:p>
      <w:pPr>
        <w:spacing w:after="120" w:before="280"/>
      </w:pPr>
      <w:r>
        <w:rPr>
          <w:b/>
          <w:i w:val="0"/>
          <w:color w:val="1C3A36"/>
          <w:sz w:val="30"/>
        </w:rPr>
        <w:t>Appendix D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that each accumulates a track record across studies and a quarterly update is a re-run, not a re-training. For GBCO we cast the industrial trio, adding the cash-returns lens because the name is capital-heavy: Expert 1 (the accountant — split-legs NAV and the marks), Expert 2 (earnings power — normalized mid-cycle earnings and multiples), Expert 3 (cash returns — return on capital against its cost). Each runs a different method, derives its fair value from shown workings, and states a falsification condition. The macro-policy lens — rates, the pound, the region — runs through the body (§1.8, §5) rather than as a separate persona.</w:t>
      </w:r>
    </w:p>
    <w:p>
      <w:pPr>
        <w:spacing w:after="80" w:before="200"/>
      </w:pPr>
      <w:r>
        <w:rPr>
          <w:b/>
          <w:i w:val="0"/>
          <w:color w:val="1C3A36"/>
          <w:sz w:val="24"/>
        </w:rPr>
        <w:t>D.1  Expert 1 — the split-legs NAV and the marks</w:t>
      </w:r>
    </w:p>
    <w:p>
      <w:pPr>
        <w:spacing w:after="120" w:before="0"/>
      </w:pPr>
      <w:r>
        <w:rPr>
          <w:b w:val="0"/>
          <w:i w:val="0"/>
          <w:color w:val="1C3A36"/>
          <w:sz w:val="19"/>
        </w:rPr>
        <w:t>Worldview. A group is worth the sum of its parts at realizable value, less a discount for the wrapper. Mark each leg to what it would fetch on its own; then argue only about the discount.</w:t>
      </w:r>
    </w:p>
    <w:p>
      <w:pPr>
        <w:spacing w:after="120" w:before="0"/>
      </w:pPr>
      <w:r>
        <w:rPr>
          <w:b w:val="0"/>
          <w:i w:val="0"/>
          <w:color w:val="1C3A36"/>
          <w:sz w:val="19"/>
        </w:rPr>
        <w:t>When it works / fails. Best where the legs are separable and independently markable; fails hardest when the discount applied to a private mark is itself contestable — exactly his position on MNT-Halan now.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 (EGP mn)</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leg (accepts the §1.2 DCF)</w:t>
            </w:r>
          </w:p>
        </w:tc>
        <w:tc>
          <w:tcPr>
            <w:tcW w:type="dxa" w:w="2448"/>
          </w:tcPr>
          <w:p>
            <w:pPr>
              <w:spacing w:after="20"/>
              <w:jc w:val="right"/>
            </w:pPr>
            <w:r>
              <w:rPr>
                <w:color w:val="1C3A36"/>
                <w:sz w:val="18"/>
              </w:rPr>
              <w:t>11,388</w:t>
            </w:r>
          </w:p>
        </w:tc>
      </w:tr>
      <w:tr>
        <w:tc>
          <w:tcPr>
            <w:tcW w:type="dxa" w:w="6336"/>
          </w:tcPr>
          <w:p>
            <w:pPr>
              <w:spacing w:after="20"/>
            </w:pPr>
            <w:r>
              <w:rPr>
                <w:b/>
                <w:color w:val="1C3A36"/>
                <w:sz w:val="18"/>
              </w:rPr>
              <w:t>GB Capital at 1.0× adjusted book</w:t>
            </w:r>
          </w:p>
        </w:tc>
        <w:tc>
          <w:tcPr>
            <w:tcW w:type="dxa" w:w="2448"/>
          </w:tcPr>
          <w:p>
            <w:pPr>
              <w:spacing w:after="20"/>
              <w:jc w:val="right"/>
            </w:pPr>
            <w:r>
              <w:rPr>
                <w:color w:val="1C3A36"/>
                <w:sz w:val="18"/>
              </w:rPr>
              <w:t>9,500</w:t>
            </w:r>
          </w:p>
        </w:tc>
      </w:tr>
      <w:tr>
        <w:tc>
          <w:tcPr>
            <w:tcW w:type="dxa" w:w="6336"/>
          </w:tcPr>
          <w:p>
            <w:pPr>
              <w:spacing w:after="20"/>
            </w:pPr>
            <w:r>
              <w:rPr>
                <w:b/>
                <w:color w:val="1C3A36"/>
                <w:sz w:val="18"/>
              </w:rPr>
              <w:t>Associates: MNT-Halan 27,671 (41.61% confirmed × USD 1.4bn) + other 390</w:t>
            </w:r>
          </w:p>
        </w:tc>
        <w:tc>
          <w:tcPr>
            <w:tcW w:type="dxa" w:w="2448"/>
          </w:tcPr>
          <w:p>
            <w:pPr>
              <w:spacing w:after="20"/>
              <w:jc w:val="right"/>
            </w:pPr>
            <w:r>
              <w:rPr>
                <w:color w:val="1C3A36"/>
                <w:sz w:val="18"/>
              </w:rPr>
              <w:t>28,061</w:t>
            </w:r>
          </w:p>
        </w:tc>
      </w:tr>
      <w:tr>
        <w:tc>
          <w:tcPr>
            <w:tcW w:type="dxa" w:w="6336"/>
          </w:tcPr>
          <w:p>
            <w:pPr>
              <w:spacing w:after="20"/>
            </w:pPr>
            <w:r>
              <w:rPr>
                <w:b/>
                <w:color w:val="1C3A36"/>
                <w:sz w:val="18"/>
              </w:rPr>
              <w:t>Σ = EGP 45.1/share pre-discount</w:t>
            </w:r>
          </w:p>
        </w:tc>
        <w:tc>
          <w:tcPr>
            <w:tcW w:type="dxa" w:w="2448"/>
          </w:tcPr>
          <w:p>
            <w:pPr>
              <w:spacing w:after="20"/>
              <w:jc w:val="right"/>
            </w:pPr>
            <w:r>
              <w:rPr>
                <w:color w:val="1C3A36"/>
                <w:sz w:val="18"/>
              </w:rPr>
              <w:t>48,949</w:t>
            </w:r>
          </w:p>
        </w:tc>
      </w:tr>
      <w:tr>
        <w:tc>
          <w:tcPr>
            <w:tcW w:type="dxa" w:w="6336"/>
          </w:tcPr>
          <w:p>
            <w:pPr>
              <w:spacing w:after="20"/>
            </w:pPr>
            <w:r>
              <w:rPr>
                <w:b/>
                <w:color w:val="1C3A36"/>
                <w:sz w:val="18"/>
              </w:rPr>
              <w:t>Fair wrapper discount 8% (operator, not a passive holdco)</w:t>
            </w:r>
          </w:p>
        </w:tc>
        <w:tc>
          <w:tcPr>
            <w:tcW w:type="dxa" w:w="2448"/>
          </w:tcPr>
          <w:p>
            <w:pPr>
              <w:spacing w:after="20"/>
              <w:jc w:val="right"/>
            </w:pPr>
            <w:r>
              <w:rPr>
                <w:color w:val="1C3A36"/>
                <w:sz w:val="18"/>
              </w:rPr>
              <w:t>→ EGP 41.5/share</w:t>
            </w:r>
          </w:p>
        </w:tc>
      </w:tr>
    </w:tbl>
    <w:p>
      <w:pPr>
        <w:spacing w:after="40"/>
      </w:pPr>
    </w:p>
    <w:p>
      <w:pPr>
        <w:spacing w:after="120" w:before="0"/>
      </w:pPr>
      <w:r>
        <w:rPr>
          <w:b w:val="0"/>
          <w:i w:val="0"/>
          <w:color w:val="1C3A36"/>
          <w:sz w:val="19"/>
        </w:rPr>
        <w:t>Sensitivity (swing = the discount on the mark, now that the stake is settled): at a 25% discount on MNT-Halan alone his NAV falls to ≈EGP 36/share; at 50%, ≈EGP 30. He concedes this openly: “the stake isn’t the argument anymore — the argument is what a 41.61% minority stake in an unlisted fintech is worth to a public-market buyer who can’t sell it, and that’s a discount rate question, not an ownership question.” Cross-examination: he tells Expert 2 that capitalizing mid-cycle earnings double-counts assets he has already marked at full value; he tells Expert 3 that a 15-point ROCE haircut on the Auto leg is small next to the swing available just from how hard you discount an illiquid stake.</w:t>
      </w:r>
    </w:p>
    <w:p>
      <w:pPr>
        <w:spacing w:after="120" w:before="0"/>
      </w:pPr>
      <w:r>
        <w:rPr>
          <w:b/>
          <w:i w:val="0"/>
          <w:color w:val="1C3A36"/>
          <w:sz w:val="21"/>
        </w:rPr>
        <w:t xml:space="preserve">Verdict, falsification, market-implied. </w:t>
      </w:r>
      <w:r>
        <w:rPr>
          <w:b w:val="0"/>
          <w:i w:val="0"/>
          <w:color w:val="1C3A36"/>
          <w:sz w:val="21"/>
        </w:rPr>
        <w:t>Fair EGP 41.5 (range 22–65) — still his widest range, now driven by the discount debate rather than an unconfirmed stake. Falsified by a real secondary transaction in MNT-Halan shares at a materially different price, or by the second closing repricing the round away from USD 1.4bn. The market price implies a discount on the associate leg far steeper than his stated 8% wrapper discount — in his own view, evidence the market doesn’t trust the round’s marked value to transfer cleanly to a 41.61% minority holder.</w:t>
      </w:r>
    </w:p>
    <w:p>
      <w:pPr>
        <w:spacing w:after="80" w:before="200"/>
      </w:pPr>
      <w:r>
        <w:rPr>
          <w:b/>
          <w:i w:val="0"/>
          <w:color w:val="1C3A36"/>
          <w:sz w:val="24"/>
        </w:rPr>
        <w:t>D.2  Expert 2 — normalized earnings power</w:t>
      </w:r>
    </w:p>
    <w:p>
      <w:pPr>
        <w:spacing w:after="120" w:before="0"/>
      </w:pPr>
      <w:r>
        <w:rPr>
          <w:b w:val="0"/>
          <w:i w:val="0"/>
          <w:color w:val="1C3A36"/>
          <w:sz w:val="19"/>
        </w:rPr>
        <w:t>Worldview. An operating business is worth a fair multiple of its sustainable mid-cycle earnings; peaks (FY24’s FX windfall) and troughs (FY23) are noise to be stripped out.</w:t>
      </w:r>
    </w:p>
    <w:p>
      <w:pPr>
        <w:spacing w:after="120" w:before="0"/>
      </w:pPr>
      <w:r>
        <w:rPr>
          <w:b w:val="0"/>
          <w:i w:val="0"/>
          <w:color w:val="1C3A36"/>
          <w:sz w:val="19"/>
        </w:rPr>
        <w:t>When it works / fails. Best with a through-cycle record (three disclosed years spanning trough, windfall and normalization is workable); fails at structural breaks — if BYD resets Egyptian ASPs permanently, his normalization is simply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normalization</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group PAT (EGP mn)</w:t>
            </w:r>
          </w:p>
        </w:tc>
        <w:tc>
          <w:tcPr>
            <w:tcW w:type="dxa" w:w="2448"/>
          </w:tcPr>
          <w:p>
            <w:pPr>
              <w:spacing w:after="20"/>
              <w:jc w:val="right"/>
            </w:pPr>
            <w:r>
              <w:rPr>
                <w:color w:val="1C3A36"/>
                <w:sz w:val="18"/>
              </w:rPr>
              <w:t>4,200</w:t>
            </w:r>
          </w:p>
        </w:tc>
      </w:tr>
      <w:tr>
        <w:tc>
          <w:tcPr>
            <w:tcW w:type="dxa" w:w="6336"/>
          </w:tcPr>
          <w:p>
            <w:pPr>
              <w:spacing w:after="20"/>
            </w:pPr>
            <w:r>
              <w:rPr>
                <w:b/>
                <w:color w:val="1C3A36"/>
                <w:sz w:val="18"/>
              </w:rPr>
              <w:t>Shares (mn) → normalized EPS</w:t>
            </w:r>
          </w:p>
        </w:tc>
        <w:tc>
          <w:tcPr>
            <w:tcW w:type="dxa" w:w="2448"/>
          </w:tcPr>
          <w:p>
            <w:pPr>
              <w:spacing w:after="20"/>
              <w:jc w:val="right"/>
            </w:pPr>
            <w:r>
              <w:rPr>
                <w:color w:val="1C3A36"/>
                <w:sz w:val="18"/>
              </w:rPr>
              <w:t>1,085.5 → EGP 3.87</w:t>
            </w:r>
          </w:p>
        </w:tc>
      </w:tr>
      <w:tr>
        <w:tc>
          <w:tcPr>
            <w:tcW w:type="dxa" w:w="6336"/>
          </w:tcPr>
          <w:p>
            <w:pPr>
              <w:spacing w:after="20"/>
            </w:pPr>
            <w:r>
              <w:rPr>
                <w:b/>
                <w:color w:val="1C3A36"/>
                <w:sz w:val="18"/>
              </w:rPr>
              <w:t>Justified through-cycle P/E (EM auto + NBFI blend)</w:t>
            </w:r>
          </w:p>
        </w:tc>
        <w:tc>
          <w:tcPr>
            <w:tcW w:type="dxa" w:w="2448"/>
          </w:tcPr>
          <w:p>
            <w:pPr>
              <w:spacing w:after="20"/>
              <w:jc w:val="right"/>
            </w:pPr>
            <w:r>
              <w:rPr>
                <w:color w:val="1C3A36"/>
                <w:sz w:val="18"/>
              </w:rPr>
              <w:t>8.5×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32.9/share</w:t>
            </w:r>
          </w:p>
        </w:tc>
      </w:tr>
    </w:tbl>
    <w:p>
      <w:pPr>
        <w:spacing w:after="40"/>
      </w:pPr>
    </w:p>
    <w:p>
      <w:pPr>
        <w:spacing w:after="120" w:before="0"/>
      </w:pPr>
      <w:r>
        <w:rPr>
          <w:b w:val="0"/>
          <w:i w:val="0"/>
          <w:color w:val="1C3A36"/>
          <w:sz w:val="19"/>
        </w:rPr>
        <w:t>Sensitivity (swing = the multiple / the margin): at 7.5× EGP 29.0; at 9.5×, 36.8; a 1-pt miss on mid-cycle Auto GPM costs ~EGP 2.5. Cross-examination: he tells Expert 1 that an NAV struck off a trough-margin DCF understates a business whose volumes are still mid-cycle; he tells Expert 3 that cash-conversion pessimism ignores that working capital is a stock, not a perpetual flow — it releases exactly when growth normalizes.</w:t>
      </w:r>
    </w:p>
    <w:p>
      <w:pPr>
        <w:spacing w:after="120" w:before="0"/>
      </w:pPr>
      <w:r>
        <w:rPr>
          <w:b/>
          <w:i w:val="0"/>
          <w:color w:val="1C3A36"/>
          <w:sz w:val="19"/>
        </w:rPr>
        <w:t xml:space="preserve">Verdict, falsification, market-implied. </w:t>
      </w:r>
      <w:r>
        <w:rPr>
          <w:b w:val="0"/>
          <w:i w:val="0"/>
          <w:color w:val="1C3A36"/>
          <w:sz w:val="19"/>
        </w:rPr>
        <w:t>Fair EGP 32.9 (range 25–42) — the most bullish. Falsified by Auto gross margin stuck below ~13% through FY27, or the Egyptian PC market rolling over. The market implies normalized earnings ~5% below his: it mostly believes him.</w:t>
      </w:r>
    </w:p>
    <w:p>
      <w:pPr>
        <w:spacing w:after="80" w:before="200"/>
      </w:pPr>
      <w:r>
        <w:rPr>
          <w:b/>
          <w:i w:val="0"/>
          <w:color w:val="1C3A36"/>
          <w:sz w:val="24"/>
        </w:rPr>
        <w:t>D.3  Expert 3 — cash returns: ROCE against the cost of capital</w:t>
      </w:r>
    </w:p>
    <w:p>
      <w:pPr>
        <w:spacing w:after="120" w:before="0"/>
      </w:pPr>
      <w:r>
        <w:rPr>
          <w:b w:val="0"/>
          <w:i w:val="0"/>
          <w:color w:val="1C3A36"/>
          <w:sz w:val="19"/>
        </w:rPr>
        <w:t>Worldview. A business creates value only when each pound of capital earns above its cost, in cash. He looks past the income statement to the economic-profit spread — and past reported returns to returns ex one-offs.</w:t>
      </w:r>
    </w:p>
    <w:p>
      <w:pPr>
        <w:spacing w:after="120" w:before="0"/>
      </w:pPr>
      <w:r>
        <w:rPr>
          <w:b w:val="0"/>
          <w:i w:val="0"/>
          <w:color w:val="1C3A36"/>
          <w:sz w:val="19"/>
        </w:rPr>
        <w:t>When it works / fails. Best for capital-intensive compounders where the reinvestment spread is the story; fails where the capital base is temporarily inflated by a one-off build (his own caveat here: FY25’s WC bulge may be exactly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(FY25)</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ROCE — FY25 vs FY23/24</w:t>
            </w:r>
          </w:p>
        </w:tc>
        <w:tc>
          <w:tcPr>
            <w:tcW w:type="dxa" w:w="2448"/>
          </w:tcPr>
          <w:p>
            <w:pPr>
              <w:spacing w:after="20"/>
              <w:jc w:val="right"/>
            </w:pPr>
            <w:r>
              <w:rPr>
                <w:color w:val="1C3A36"/>
                <w:sz w:val="18"/>
              </w:rPr>
              <w:t>21.3% vs 35.9% / 31.5%</w:t>
            </w:r>
          </w:p>
        </w:tc>
      </w:tr>
      <w:tr>
        <w:tc>
          <w:tcPr>
            <w:tcW w:type="dxa" w:w="6336"/>
          </w:tcPr>
          <w:p>
            <w:pPr>
              <w:spacing w:after="20"/>
            </w:pPr>
            <w:r>
              <w:rPr>
                <w:b/>
                <w:color w:val="1C3A36"/>
                <w:sz w:val="18"/>
              </w:rPr>
              <w:t>WACC (his hurdle)</w:t>
            </w:r>
          </w:p>
        </w:tc>
        <w:tc>
          <w:tcPr>
            <w:tcW w:type="dxa" w:w="2448"/>
          </w:tcPr>
          <w:p>
            <w:pPr>
              <w:spacing w:after="20"/>
              <w:jc w:val="right"/>
            </w:pPr>
            <w:r>
              <w:rPr>
                <w:color w:val="1C3A36"/>
                <w:sz w:val="18"/>
              </w:rPr>
              <w:t>~22%</w:t>
            </w:r>
          </w:p>
        </w:tc>
      </w:tr>
      <w:tr>
        <w:tc>
          <w:tcPr>
            <w:tcW w:type="dxa" w:w="6336"/>
          </w:tcPr>
          <w:p>
            <w:pPr>
              <w:spacing w:after="20"/>
            </w:pPr>
            <w:r>
              <w:rPr>
                <w:b/>
                <w:color w:val="1C3A36"/>
                <w:sz w:val="18"/>
              </w:rPr>
              <w:t>Spread ≈ nil ⇒ Auto EV ≈ 0.9× CE</w:t>
            </w:r>
          </w:p>
        </w:tc>
        <w:tc>
          <w:tcPr>
            <w:tcW w:type="dxa" w:w="2448"/>
          </w:tcPr>
          <w:p>
            <w:pPr>
              <w:spacing w:after="20"/>
              <w:jc w:val="right"/>
            </w:pPr>
            <w:r>
              <w:rPr>
                <w:color w:val="1C3A36"/>
                <w:sz w:val="18"/>
              </w:rPr>
              <w:t>25,662 → equity 9,652</w:t>
            </w:r>
          </w:p>
        </w:tc>
      </w:tr>
      <w:tr>
        <w:tc>
          <w:tcPr>
            <w:tcW w:type="dxa" w:w="6336"/>
          </w:tcPr>
          <w:p>
            <w:pPr>
              <w:spacing w:after="20"/>
            </w:pPr>
            <w:r>
              <w:rPr>
                <w:b/>
                <w:color w:val="1C3A36"/>
                <w:sz w:val="18"/>
              </w:rPr>
              <w:t>Lender at 0.9× book · associate at 0.85× (his own haircut on the mark, stake now confirmed)</w:t>
            </w:r>
          </w:p>
        </w:tc>
        <w:tc>
          <w:tcPr>
            <w:tcW w:type="dxa" w:w="2448"/>
          </w:tcPr>
          <w:p>
            <w:pPr>
              <w:spacing w:after="20"/>
              <w:jc w:val="right"/>
            </w:pPr>
            <w:r>
              <w:rPr>
                <w:color w:val="1C3A36"/>
                <w:sz w:val="18"/>
              </w:rPr>
              <w:t>8,550 · 23,852</w:t>
            </w:r>
          </w:p>
        </w:tc>
      </w:tr>
      <w:tr>
        <w:tc>
          <w:tcPr>
            <w:tcW w:type="dxa" w:w="6336"/>
          </w:tcPr>
          <w:p>
            <w:pPr>
              <w:spacing w:after="20"/>
            </w:pPr>
            <w:r>
              <w:rPr>
                <w:b/>
                <w:color w:val="1C3A36"/>
                <w:sz w:val="18"/>
              </w:rPr>
              <w:t>GB Capital ROAE, headline vs adjusted (one-off stripped)</w:t>
            </w:r>
          </w:p>
        </w:tc>
        <w:tc>
          <w:tcPr>
            <w:tcW w:type="dxa" w:w="2448"/>
          </w:tcPr>
          <w:p>
            <w:pPr>
              <w:spacing w:after="20"/>
              <w:jc w:val="right"/>
            </w:pPr>
            <w:r>
              <w:rPr>
                <w:color w:val="1C3A36"/>
                <w:sz w:val="18"/>
              </w:rPr>
              <w:t>7.9% vs 15.1%</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38.7/share</w:t>
            </w:r>
          </w:p>
        </w:tc>
      </w:tr>
    </w:tbl>
    <w:p>
      <w:pPr>
        <w:spacing w:after="40"/>
      </w:pPr>
    </w:p>
    <w:p>
      <w:pPr>
        <w:spacing w:after="120" w:before="0"/>
      </w:pPr>
      <w:r>
        <w:rPr>
          <w:b w:val="0"/>
          <w:i w:val="0"/>
          <w:color w:val="1C3A36"/>
          <w:sz w:val="19"/>
        </w:rPr>
        <w:t>Sensitivity (swing = the ROCE fade, and the discount he applies to the mark): if ROCE re-approaches 30% as WC releases, his Auto mark rises to ≈EGP 3/share more; but moving his associate haircut from 0.85× to 0.60× costs ≈EGP 7/share — larger than his preferred ROCE lever. Cross-examination: he tells Expert 2 that mid-cycle earnings without the capital cost to hold them is a half-truth — FY25 grew profit 49% in revenue terms and consumed EGP 8bn doing it; he tells Expert 1 that an 8% wrapper discount doesn’t begin to capture the illiquidity of a 41.61% stake in a company that has never had a public exit.</w:t>
      </w:r>
    </w:p>
    <w:p>
      <w:pPr>
        <w:spacing w:after="120" w:before="0"/>
      </w:pPr>
      <w:r>
        <w:rPr>
          <w:b/>
          <w:i w:val="0"/>
          <w:color w:val="1C3A36"/>
          <w:sz w:val="21"/>
        </w:rPr>
        <w:t xml:space="preserve">Verdict, falsification, market-implied. </w:t>
      </w:r>
      <w:r>
        <w:rPr>
          <w:b w:val="0"/>
          <w:i w:val="0"/>
          <w:color w:val="1C3A36"/>
          <w:sz w:val="21"/>
        </w:rPr>
        <w:t>Fair EGP 38.7 (range ≈32–48) — even his conservative method lands well above spot once the confirmed stake is applied at the round’s valuation, which he flags as the real finding here: the stake was never the issue, the mark is. Falsified either by a durable ROCE recovery above ~28–30%, or by a real secondary sale of MNT-Halan shares at a price meaningfully below the round’s implied valuation. The market price sits well below his number: on a cash-returns basis the market looks unconvinced by the mark at face value, not by GB Corp’s ownership of it.</w:t>
      </w:r>
    </w:p>
    <w:p>
      <w:pPr>
        <w:spacing w:after="80" w:before="200"/>
      </w:pPr>
      <w:r>
        <w:rPr>
          <w:b/>
          <w:i w:val="0"/>
          <w:color w:val="1C3A36"/>
          <w:sz w:val="24"/>
        </w:rPr>
        <w:t>D.5  The three in one room</w:t>
      </w:r>
    </w:p>
    <w:p>
      <w:pPr>
        <w:spacing w:after="120" w:before="0"/>
      </w:pPr>
      <w:r>
        <w:rPr>
          <w:b w:val="0"/>
          <w:i w:val="0"/>
          <w:color w:val="1C3A36"/>
          <w:sz w:val="19"/>
        </w:rPr>
        <w:t>The stake question that dominated the first draft of this study is now settled — GB Corp confirmed 41.61% in writing on 9 June 2026. What the three disagree on now is what that confirmed stake is worth.</w:t>
      </w:r>
    </w:p>
    <w:p>
      <w:pPr>
        <w:spacing w:after="120" w:before="0"/>
      </w:pPr>
      <w:r>
        <w:rPr>
          <w:b w:val="0"/>
          <w:i w:val="0"/>
          <w:color w:val="1C3A36"/>
          <w:sz w:val="19"/>
        </w:rPr>
        <w:t>Expert 1: “The company told us what it owns. Fine — now the argument is honest: it’s about the discount, not the number. I apply 8% for the wrapper. If you think that’s too thin for an illiquid minority stake, argue the discount, not the disclosure.”</w:t>
      </w:r>
    </w:p>
    <w:p>
      <w:pPr>
        <w:spacing w:after="120" w:before="0"/>
      </w:pPr>
      <w:r>
        <w:rPr>
          <w:b w:val="0"/>
          <w:i w:val="0"/>
          <w:color w:val="1C3A36"/>
          <w:sz w:val="19"/>
        </w:rPr>
        <w:t>Expert 3: “Your own arithmetic says a confirmed 41.61% stake is worth three quarters of the entire market cap. That was true when the number was uncertain and it’s just as true now that it isn’t. The company being honest about its ownership doesn’t make the market’s skepticism about the mark go away — if anything it sharpens the question.”</w:t>
      </w:r>
    </w:p>
    <w:p>
      <w:pPr>
        <w:spacing w:after="120" w:before="0"/>
      </w:pPr>
      <w:r>
        <w:rPr>
          <w:b w:val="0"/>
          <w:i w:val="0"/>
          <w:color w:val="1C3A36"/>
          <w:sz w:val="19"/>
        </w:rPr>
        <w:t>Expert 2: “You’re both still arguing about a number that was never in my model. Mid-cycle earnings power doesn’t care what MNT-Halan is worth, confirmed or not. If you want the one lens immune to this whole argument, it’s mine — and notice it’s also the one closest to where the market actually prices the stock.”</w:t>
      </w:r>
    </w:p>
    <w:p>
      <w:pPr>
        <w:spacing w:after="80" w:before="200"/>
      </w:pPr>
      <w:r>
        <w:rPr>
          <w:b/>
          <w:i w:val="0"/>
          <w:color w:val="1C3A36"/>
          <w:sz w:val="24"/>
        </w:rPr>
        <w:t>D.6  Reading the divergence</w:t>
      </w:r>
    </w:p>
    <w:p>
      <w:pPr>
        <w:spacing w:after="40"/>
        <w:jc w:val="center"/>
      </w:pPr>
      <w:r>
        <w:drawing>
          <wp:inline xmlns:a="http://schemas.openxmlformats.org/drawingml/2006/main" xmlns:pic="http://schemas.openxmlformats.org/drawingml/2006/picture">
            <wp:extent cx="5486400" cy="186650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D-1 — The three experts’ fair-value ranges. Brass ticks are base cases; the gold band is the panel centre; the light line is spot. The spread is now almost entirely the MNT-Halan discount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Split-legs NAV</w:t>
            </w:r>
          </w:p>
        </w:tc>
        <w:tc>
          <w:tcPr>
            <w:tcW w:type="dxa" w:w="3600"/>
          </w:tcPr>
          <w:p>
            <w:pPr>
              <w:spacing w:after="20"/>
              <w:jc w:val="right"/>
            </w:pPr>
            <w:r>
              <w:rPr>
                <w:color w:val="1C3A36"/>
                <w:sz w:val="18"/>
              </w:rPr>
              <w:t>Discount on the MNT-Halan mark (8% wrapper)</w:t>
            </w:r>
          </w:p>
        </w:tc>
        <w:tc>
          <w:tcPr>
            <w:tcW w:type="dxa" w:w="1872"/>
          </w:tcPr>
          <w:p>
            <w:pPr>
              <w:spacing w:after="20"/>
              <w:jc w:val="right"/>
            </w:pPr>
            <w:r>
              <w:rPr>
                <w:color w:val="1C3A36"/>
                <w:sz w:val="18"/>
              </w:rPr>
              <w:t>EGP 41.5</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Mid-cycle PAT 4.2 bn × 8.5× (stake-blind)</w:t>
            </w:r>
          </w:p>
        </w:tc>
        <w:tc>
          <w:tcPr>
            <w:tcW w:type="dxa" w:w="1872"/>
          </w:tcPr>
          <w:p>
            <w:pPr>
              <w:spacing w:after="20"/>
              <w:jc w:val="right"/>
            </w:pPr>
            <w:r>
              <w:rPr>
                <w:color w:val="1C3A36"/>
                <w:sz w:val="18"/>
              </w:rPr>
              <w:t>EGP 32.9</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 ROCE vs WACC</w:t>
            </w:r>
          </w:p>
        </w:tc>
        <w:tc>
          <w:tcPr>
            <w:tcW w:type="dxa" w:w="3600"/>
          </w:tcPr>
          <w:p>
            <w:pPr>
              <w:spacing w:after="20"/>
              <w:jc w:val="right"/>
            </w:pPr>
            <w:r>
              <w:rPr>
                <w:color w:val="1C3A36"/>
                <w:sz w:val="18"/>
              </w:rPr>
              <w:t>ROCE fade + 0.85× haircut on the mark</w:t>
            </w:r>
          </w:p>
        </w:tc>
        <w:tc>
          <w:tcPr>
            <w:tcW w:type="dxa" w:w="1872"/>
          </w:tcPr>
          <w:p>
            <w:pPr>
              <w:spacing w:after="20"/>
              <w:jc w:val="right"/>
            </w:pPr>
            <w:r>
              <w:rPr>
                <w:color w:val="1C3A36"/>
                <w:sz w:val="18"/>
              </w:rPr>
              <w:t>EGP 38.7</w:t>
            </w:r>
          </w:p>
        </w:tc>
      </w:tr>
    </w:tbl>
    <w:p>
      <w:pPr>
        <w:spacing w:after="40"/>
      </w:pPr>
    </w:p>
    <w:p>
      <w:pPr>
        <w:spacing w:after="120" w:before="0"/>
      </w:pPr>
      <w:r>
        <w:rPr>
          <w:b w:val="0"/>
          <w:i w:val="0"/>
          <w:color w:val="1C3A36"/>
          <w:sz w:val="21"/>
        </w:rPr>
        <w:t>The spread — EGP 32.9 to 41.5 at base — is wide for what is otherwise a set of broadly-agreeing methods, and it is now almost entirely one disagreement: not the volumes, not the lender’s profitability, not the Auto cash-conversion path, and — since 9 June 2026 — not the MNT-Halan stake either (all three experts now accept 41.61% as fact). What separates them is purely how much to discount that confirmed stake’s marked value. Expert 2 sidesteps the question entirely by never pricing the stake; Experts 1 and 3 both use the confirmed figure but disagree on the haircut. Unlike the working-capital disagreement in an earlier draft of this study — a genuine business uncertainty that resolves with quarterly prints — this one may never fully resolve, since private-mark discounts are inherently a matter of judgment rather than a fact that prints on a schedule. Until a real secondary transaction in MNT-Halan shares provides an independent data point, Expert 2’s stake-blind number remains the one estimate in the room immune to this whole argument.</w:t>
      </w:r>
    </w:p>
    <w:p>
      <w:pPr>
        <w:spacing w:after="200" w:before="0"/>
      </w:pPr>
      <w:r>
        <w:rPr>
          <w:b w:val="0"/>
          <w:i/>
          <w:color w:val="6E7B77"/>
          <w:sz w:val="17"/>
        </w:rPr>
        <w:t>Each expert’s point fair value (and bull/base/bear) is logged with the study date (8 Jul 2026) and spot (EGP 31.25) as an internal per-expert track record, kept separate from the core Calibration Ledger.</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(FRA)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leg marks (including the discount applied to GB Corp’s confirmed MNT-Halan stake), the complexity discount, projections, multiples, the DCF and Monte-Carlo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Egyptian pounds (EGP), millions unless stated; bn denotes billion. FX at study date: USD/EGP ≈ 47.5 (flagged estimate). Rounding may cause totals to differ slightly. Spot price and market data are as of 7 July 2026 and change continuously.</w:t>
      </w:r>
    </w:p>
    <w:p>
      <w:pPr>
        <w:spacing w:after="120" w:before="200"/>
        <w:jc w:val="center"/>
      </w:pPr>
      <w:r>
        <w:rPr>
          <w:b w:val="0"/>
          <w:i w:val="0"/>
          <w:color w:val="6E7B77"/>
          <w:sz w:val="17"/>
        </w:rPr>
        <w:t>TESTAHIL · Independent Valuation Study · Educational Analysis · GB Corp S.A.E. (EGX: GBCO) · edition 08-07-2026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