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105.20 on 2026-08-05.</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more than 70% of its revenue outside Egypt,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Just over 70% of the revenue is earned abroad, and the order book stands at roughly USD 6.5bn.</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19,789mn at the end of FY2025, only 0.6× EBITDA. And the debt is cheap in a way that is easy to miss: the audited notes disclose average rates of 28.7% on Egyptian-pound liabilities but 6.5% on dollars and 3.9% on euros. The blended rate actually paid works out near 12.3%, roughly half what a purely domestic Egyptian borrower pays.</w:t>
      </w:r>
    </w:p>
    <w:p>
      <w:pPr>
        <w:spacing w:after="200" w:before="0"/>
      </w:pPr>
      <w:r>
        <w:rPr>
          <w:b w:val="0"/>
          <w:i w:val="0"/>
          <w:color w:val="1C3A36"/>
          <w:sz w:val="21"/>
        </w:rPr>
        <w:t>On our primary construction the four lenses centre at EGP 81.13 per share against a market price of 105.20 — the price sits about +30% above the central estimate. That gap is not mainly an argument about the business; it is an argument about the discount rate. Discounted at an Egyptian cost of equity of 28.4%, the cash flows support roughly EGP 62.72. Discount the hard-currency share of those same cash flows at a hard-currency cost of capital of about 10.1% and the same model produces EGP 90.38, which is above today's price. The market appears to be applying something close to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26.9% → 15.1%, terminal growth 5%; 76% of enterprise value comes from the terminal value</w:t>
            </w:r>
          </w:p>
        </w:tc>
        <w:tc>
          <w:tcPr>
            <w:tcW w:type="dxa" w:w="1656"/>
          </w:tcPr>
          <w:p>
            <w:pPr>
              <w:spacing w:after="20"/>
              <w:jc w:val="right"/>
            </w:pPr>
            <w:r>
              <w:rPr>
                <w:color w:val="1C3A36"/>
                <w:sz w:val="17"/>
              </w:rPr>
              <w:t>35.60 – 108.97</w:t>
            </w:r>
          </w:p>
        </w:tc>
        <w:tc>
          <w:tcPr>
            <w:tcW w:type="dxa" w:w="1037"/>
          </w:tcPr>
          <w:p>
            <w:pPr>
              <w:spacing w:after="20"/>
              <w:jc w:val="right"/>
            </w:pPr>
            <w:r>
              <w:rPr>
                <w:color w:val="1C3A36"/>
                <w:sz w:val="17"/>
              </w:rPr>
              <w:t>62.72</w:t>
            </w:r>
          </w:p>
        </w:tc>
        <w:tc>
          <w:tcPr>
            <w:tcW w:type="dxa" w:w="907"/>
          </w:tcPr>
          <w:p>
            <w:pPr>
              <w:spacing w:after="20"/>
              <w:jc w:val="right"/>
            </w:pPr>
            <w:r>
              <w:rPr>
                <w:color w:val="1C3A36"/>
                <w:sz w:val="17"/>
              </w:rPr>
              <w:t>-40%</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8.0×; trailing P/E 13.0×)</w:t>
            </w:r>
          </w:p>
        </w:tc>
        <w:tc>
          <w:tcPr>
            <w:tcW w:type="dxa" w:w="1656"/>
          </w:tcPr>
          <w:p>
            <w:pPr>
              <w:spacing w:after="20"/>
              <w:jc w:val="right"/>
            </w:pPr>
            <w:r>
              <w:rPr>
                <w:color w:val="1C3A36"/>
                <w:sz w:val="17"/>
              </w:rPr>
              <w:t>99.11 – 146.53</w:t>
            </w:r>
          </w:p>
        </w:tc>
        <w:tc>
          <w:tcPr>
            <w:tcW w:type="dxa" w:w="1037"/>
          </w:tcPr>
          <w:p>
            <w:pPr>
              <w:spacing w:after="20"/>
              <w:jc w:val="right"/>
            </w:pPr>
            <w:r>
              <w:rPr>
                <w:color w:val="1C3A36"/>
                <w:sz w:val="17"/>
              </w:rPr>
              <w:t>118.08</w:t>
            </w:r>
          </w:p>
        </w:tc>
        <w:tc>
          <w:tcPr>
            <w:tcW w:type="dxa" w:w="907"/>
          </w:tcPr>
          <w:p>
            <w:pPr>
              <w:spacing w:after="20"/>
              <w:jc w:val="right"/>
            </w:pPr>
            <w:r>
              <w:rPr>
                <w:color w:val="1C3A36"/>
                <w:sz w:val="17"/>
              </w:rPr>
              <w:t>+12%</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11.1% at a justified 9.0× P/E</w:t>
            </w:r>
          </w:p>
        </w:tc>
        <w:tc>
          <w:tcPr>
            <w:tcW w:type="dxa" w:w="1656"/>
          </w:tcPr>
          <w:p>
            <w:pPr>
              <w:spacing w:after="20"/>
              <w:jc w:val="right"/>
            </w:pPr>
            <w:r>
              <w:rPr>
                <w:color w:val="1C3A36"/>
                <w:sz w:val="17"/>
              </w:rPr>
              <w:t>94.16 – 154.68</w:t>
            </w:r>
          </w:p>
        </w:tc>
        <w:tc>
          <w:tcPr>
            <w:tcW w:type="dxa" w:w="1037"/>
          </w:tcPr>
          <w:p>
            <w:pPr>
              <w:spacing w:after="20"/>
              <w:jc w:val="right"/>
            </w:pPr>
            <w:r>
              <w:rPr>
                <w:color w:val="1C3A36"/>
                <w:sz w:val="17"/>
              </w:rPr>
              <w:t>121.06</w:t>
            </w:r>
          </w:p>
        </w:tc>
        <w:tc>
          <w:tcPr>
            <w:tcW w:type="dxa" w:w="907"/>
          </w:tcPr>
          <w:p>
            <w:pPr>
              <w:spacing w:after="20"/>
              <w:jc w:val="right"/>
            </w:pPr>
            <w:r>
              <w:rPr>
                <w:color w:val="1C3A36"/>
                <w:sz w:val="17"/>
              </w:rPr>
              <w:t>+15%</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1.0× on book value of 32.92/share at a sustainable return on equity of 23.5%</w:t>
            </w:r>
          </w:p>
        </w:tc>
        <w:tc>
          <w:tcPr>
            <w:tcW w:type="dxa" w:w="1656"/>
          </w:tcPr>
          <w:p>
            <w:pPr>
              <w:spacing w:after="20"/>
              <w:jc w:val="right"/>
            </w:pPr>
            <w:r>
              <w:rPr>
                <w:color w:val="1C3A36"/>
                <w:sz w:val="17"/>
              </w:rPr>
              <w:t>26.56 – 48.47</w:t>
            </w:r>
          </w:p>
        </w:tc>
        <w:tc>
          <w:tcPr>
            <w:tcW w:type="dxa" w:w="1037"/>
          </w:tcPr>
          <w:p>
            <w:pPr>
              <w:spacing w:after="20"/>
              <w:jc w:val="right"/>
            </w:pPr>
            <w:r>
              <w:rPr>
                <w:color w:val="1C3A36"/>
                <w:sz w:val="17"/>
              </w:rPr>
              <w:t>33.86</w:t>
            </w:r>
          </w:p>
        </w:tc>
        <w:tc>
          <w:tcPr>
            <w:tcW w:type="dxa" w:w="907"/>
          </w:tcPr>
          <w:p>
            <w:pPr>
              <w:spacing w:after="20"/>
              <w:jc w:val="right"/>
            </w:pPr>
            <w:r>
              <w:rPr>
                <w:color w:val="1C3A36"/>
                <w:sz w:val="17"/>
              </w:rPr>
              <w:t>-68%</w:t>
            </w:r>
          </w:p>
        </w:tc>
      </w:tr>
      <w:tr>
        <w:tc>
          <w:tcPr>
            <w:tcW w:type="dxa" w:w="1872"/>
            <w:shd w:val="clear" w:color="auto" w:fill="F6F1E6"/>
          </w:tcPr>
          <w:p>
            <w:pPr>
              <w:spacing w:after="20"/>
            </w:pPr>
            <w:r>
              <w:rPr>
                <w:b/>
                <w:color w:val="1C3A36"/>
                <w:sz w:val="17"/>
              </w:rPr>
              <w:t>Weighted central</w:t>
            </w:r>
          </w:p>
        </w:tc>
        <w:tc>
          <w:tcPr>
            <w:tcW w:type="dxa" w:w="3960"/>
            <w:shd w:val="clear" w:color="auto" w:fill="F6F1E6"/>
          </w:tcPr>
          <w:p>
            <w:pPr>
              <w:spacing w:after="20"/>
              <w:jc w:val="right"/>
            </w:pPr>
            <w:r>
              <w:rPr>
                <w:b/>
                <w:color w:val="1C3A36"/>
                <w:sz w:val="17"/>
              </w:rPr>
              <w:t>DCF 45% · relative 20% · normalised 20% · book 15%</w:t>
            </w:r>
          </w:p>
        </w:tc>
        <w:tc>
          <w:tcPr>
            <w:tcW w:type="dxa" w:w="1656"/>
            <w:shd w:val="clear" w:color="auto" w:fill="F6F1E6"/>
          </w:tcPr>
          <w:p>
            <w:pPr>
              <w:spacing w:after="20"/>
              <w:jc w:val="right"/>
            </w:pPr>
            <w:r>
              <w:rPr>
                <w:b/>
                <w:color w:val="1C3A36"/>
                <w:sz w:val="17"/>
              </w:rPr>
              <w:t>26.56 – 154.68</w:t>
            </w:r>
          </w:p>
        </w:tc>
        <w:tc>
          <w:tcPr>
            <w:tcW w:type="dxa" w:w="1037"/>
            <w:shd w:val="clear" w:color="auto" w:fill="F6F1E6"/>
          </w:tcPr>
          <w:p>
            <w:pPr>
              <w:spacing w:after="20"/>
              <w:jc w:val="right"/>
            </w:pPr>
            <w:r>
              <w:rPr>
                <w:b/>
                <w:color w:val="1C3A36"/>
                <w:sz w:val="17"/>
              </w:rPr>
              <w:t>81.13</w:t>
            </w:r>
          </w:p>
        </w:tc>
        <w:tc>
          <w:tcPr>
            <w:tcW w:type="dxa" w:w="907"/>
            <w:shd w:val="clear" w:color="auto" w:fill="F6F1E6"/>
          </w:tcPr>
          <w:p>
            <w:pPr>
              <w:spacing w:after="20"/>
              <w:jc w:val="right"/>
            </w:pPr>
            <w:r>
              <w:rPr>
                <w:b/>
                <w:color w:val="1C3A36"/>
                <w:sz w:val="17"/>
              </w:rPr>
              <w:t>-23%</w:t>
            </w:r>
          </w:p>
        </w:tc>
      </w:tr>
      <w:tr>
        <w:tc>
          <w:tcPr>
            <w:tcW w:type="dxa" w:w="1872"/>
          </w:tcPr>
          <w:p>
            <w:pPr>
              <w:spacing w:after="20"/>
            </w:pPr>
            <w:r>
              <w:rPr>
                <w:color w:val="1C3A36"/>
                <w:sz w:val="17"/>
              </w:rPr>
              <w:t>Memo — currency-of-discounting alternative</w:t>
            </w:r>
          </w:p>
        </w:tc>
        <w:tc>
          <w:tcPr>
            <w:tcW w:type="dxa" w:w="3960"/>
          </w:tcPr>
          <w:p>
            <w:pPr>
              <w:spacing w:after="20"/>
              <w:jc w:val="right"/>
            </w:pPr>
            <w:r>
              <w:rPr>
                <w:color w:val="1C3A36"/>
                <w:sz w:val="17"/>
              </w:rPr>
              <w:t>hard-currency cash-flow leg discounted at 10.1% rather than the Egyptian rate; the reading the market appears to apply</w:t>
            </w:r>
          </w:p>
        </w:tc>
        <w:tc>
          <w:tcPr>
            <w:tcW w:type="dxa" w:w="1656"/>
          </w:tcPr>
          <w:p>
            <w:pPr>
              <w:spacing w:after="20"/>
              <w:jc w:val="right"/>
            </w:pPr>
            <w:r>
              <w:rPr>
                <w:color w:val="1C3A36"/>
                <w:sz w:val="17"/>
              </w:rPr>
              <w:t>—</w:t>
            </w:r>
          </w:p>
        </w:tc>
        <w:tc>
          <w:tcPr>
            <w:tcW w:type="dxa" w:w="1037"/>
          </w:tcPr>
          <w:p>
            <w:pPr>
              <w:spacing w:after="20"/>
              <w:jc w:val="right"/>
            </w:pPr>
            <w:r>
              <w:rPr>
                <w:color w:val="1C3A36"/>
                <w:sz w:val="17"/>
              </w:rPr>
              <w:t>90.38</w:t>
            </w:r>
          </w:p>
        </w:tc>
        <w:tc>
          <w:tcPr>
            <w:tcW w:type="dxa" w:w="907"/>
          </w:tcPr>
          <w:p>
            <w:pPr>
              <w:spacing w:after="20"/>
              <w:jc w:val="right"/>
            </w:pPr>
            <w:r>
              <w:rPr>
                <w:color w:val="1C3A36"/>
                <w:sz w:val="17"/>
              </w:rPr>
              <w:t>-14%</w:t>
            </w:r>
          </w:p>
        </w:tc>
      </w:tr>
      <w:tr>
        <w:tc>
          <w:tcPr>
            <w:tcW w:type="dxa" w:w="1872"/>
          </w:tcPr>
          <w:p>
            <w:pPr>
              <w:spacing w:after="20"/>
            </w:pPr>
            <w:r>
              <w:rPr>
                <w:color w:val="1C3A36"/>
                <w:sz w:val="17"/>
              </w:rPr>
              <w:t>Memo — market price</w:t>
            </w:r>
          </w:p>
        </w:tc>
        <w:tc>
          <w:tcPr>
            <w:tcW w:type="dxa" w:w="3960"/>
          </w:tcPr>
          <w:p>
            <w:pPr>
              <w:spacing w:after="20"/>
              <w:jc w:val="right"/>
            </w:pPr>
            <w:r>
              <w:rPr>
                <w:color w:val="1C3A36"/>
                <w:sz w:val="17"/>
              </w:rPr>
              <w:t>closing price on the anchor date</w:t>
            </w:r>
          </w:p>
        </w:tc>
        <w:tc>
          <w:tcPr>
            <w:tcW w:type="dxa" w:w="1656"/>
          </w:tcPr>
          <w:p>
            <w:pPr>
              <w:spacing w:after="20"/>
              <w:jc w:val="right"/>
            </w:pPr>
            <w:r>
              <w:rPr>
                <w:color w:val="1C3A36"/>
                <w:sz w:val="17"/>
              </w:rPr>
              <w:t>—</w:t>
            </w:r>
          </w:p>
        </w:tc>
        <w:tc>
          <w:tcPr>
            <w:tcW w:type="dxa" w:w="1037"/>
          </w:tcPr>
          <w:p>
            <w:pPr>
              <w:spacing w:after="20"/>
              <w:jc w:val="right"/>
            </w:pPr>
            <w:r>
              <w:rPr>
                <w:color w:val="1C3A36"/>
                <w:sz w:val="17"/>
              </w:rPr>
              <w:t>105.20</w:t>
            </w:r>
          </w:p>
        </w:tc>
        <w:tc>
          <w:tcPr>
            <w:tcW w:type="dxa" w:w="907"/>
          </w:tcPr>
          <w:p>
            <w:pPr>
              <w:spacing w:after="20"/>
              <w:jc w:val="right"/>
            </w:pPr>
            <w:r>
              <w:rPr>
                <w:color w:val="1C3A36"/>
                <w:sz w:val="17"/>
              </w:rPr>
              <w:t>—</w:t>
            </w:r>
          </w:p>
        </w:tc>
      </w:tr>
    </w:tbl>
    <w:p>
      <w:pPr>
        <w:spacing w:after="40"/>
      </w:pPr>
    </w:p>
    <w:p>
      <w:pPr>
        <w:spacing w:after="200" w:before="0"/>
      </w:pPr>
      <w:r>
        <w:rPr>
          <w:b w:val="0"/>
          <w:i/>
          <w:color w:val="6E7B77"/>
          <w:sz w:val="17"/>
        </w:rPr>
        <w:t>Ranges are bear-to-bull within each lens; the central is the weighted base. Terminal value is 76%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Over 70% of revenue earned outside Egypt (the company's disclosure — a statement about where the customer is). Separately, this study derives the share that is hard-currency LINKED, i.e. dollar-priced, at about 63%; the lower figure is the one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Approximately USD 6.5bn, above the group's typical historical range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225,210mn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20.4% · free float ~11.6%. Electra, an Abu Dhabi holding vehicle, acquired about 20% in a July-2024 tender offer at USD 1.05 per share (~USD 449mn). Note the company's own shareholder chart is easy to misread: taken in legend order it implies a 20.37% free float, but that slice is Electra's. The genuine float is roughly half that</w:t>
            </w:r>
          </w:p>
        </w:tc>
      </w:tr>
      <w:tr>
        <w:tc>
          <w:tcPr>
            <w:tcW w:type="dxa" w:w="2232"/>
          </w:tcPr>
          <w:p>
            <w:pPr>
              <w:spacing w:after="20"/>
            </w:pPr>
            <w:r>
              <w:rPr>
                <w:color w:val="1C3A36"/>
                <w:sz w:val="17"/>
              </w:rPr>
              <w:t>Net bank debt</w:t>
            </w:r>
          </w:p>
        </w:tc>
        <w:tc>
          <w:tcPr>
            <w:tcW w:type="dxa" w:w="7848"/>
          </w:tcPr>
          <w:p>
            <w:pPr>
              <w:spacing w:after="20"/>
            </w:pPr>
            <w:r>
              <w:rPr>
                <w:color w:val="1C3A36"/>
                <w:sz w:val="17"/>
              </w:rPr>
              <w:t>EGP 19,789mn at 31 December 2025 (0.6× EBITDA)</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EGP 1.85 on FY2025 (+85%), approved 6 May 2026 and paid from 4 June 2026 — about EGP 3,960mn, or 22.9% of attributable profit, which is close to the 25% payout the forecast assumes</w:t>
            </w:r>
          </w:p>
        </w:tc>
      </w:tr>
    </w:tbl>
    <w:p>
      <w:pPr>
        <w:spacing w:after="40"/>
      </w:pPr>
    </w:p>
    <w:p>
      <w:pPr>
        <w:spacing w:after="200" w:before="0"/>
      </w:pPr>
      <w:r>
        <w:rPr>
          <w:b w:val="0"/>
          <w:i w:val="0"/>
          <w:color w:val="1C3A36"/>
          <w:sz w:val="21"/>
        </w:rPr>
        <w:t>Two structural facts govern everything that follows. First, the revenue base is majority hard currency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and 23.1% in FY2024. In FY2024 the group earned EBITDA of EGP 31,602mn and converted only EGP 3,979mn of it into operating cash after interest and tax.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growth rate applied to a revenue line: it is built from volumes and prices, unit by unit — tonnes of cable at a copper-linked price per tonne, MVA of transformer, meters, and the engineering order book converted at a disclosed rate. Gross profit is built the same way, from profit per tonne, per MVA and per meter. Margins are therefore OUTPUTS of the build rather than assumptions fed into it, and the historical version of that build reconciles to the audited income statement to within EGP 1mn on both revenue and gross profit in FY2023 and FY2024. Section 1.6 sets out the units.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365,556</w:t>
            </w:r>
          </w:p>
        </w:tc>
        <w:tc>
          <w:tcPr>
            <w:tcW w:type="dxa" w:w="1426"/>
          </w:tcPr>
          <w:p>
            <w:pPr>
              <w:spacing w:after="20"/>
              <w:jc w:val="right"/>
            </w:pPr>
            <w:r>
              <w:rPr>
                <w:color w:val="1C3A36"/>
                <w:sz w:val="17"/>
              </w:rPr>
              <w:t>408,521</w:t>
            </w:r>
          </w:p>
        </w:tc>
        <w:tc>
          <w:tcPr>
            <w:tcW w:type="dxa" w:w="1426"/>
          </w:tcPr>
          <w:p>
            <w:pPr>
              <w:spacing w:after="20"/>
              <w:jc w:val="right"/>
            </w:pPr>
            <w:r>
              <w:rPr>
                <w:color w:val="1C3A36"/>
                <w:sz w:val="17"/>
              </w:rPr>
              <w:t>442,252</w:t>
            </w:r>
          </w:p>
        </w:tc>
        <w:tc>
          <w:tcPr>
            <w:tcW w:type="dxa" w:w="1426"/>
          </w:tcPr>
          <w:p>
            <w:pPr>
              <w:spacing w:after="20"/>
              <w:jc w:val="right"/>
            </w:pPr>
            <w:r>
              <w:rPr>
                <w:color w:val="1C3A36"/>
                <w:sz w:val="17"/>
              </w:rPr>
              <w:t>477,217</w:t>
            </w:r>
          </w:p>
        </w:tc>
        <w:tc>
          <w:tcPr>
            <w:tcW w:type="dxa" w:w="1426"/>
          </w:tcPr>
          <w:p>
            <w:pPr>
              <w:spacing w:after="20"/>
              <w:jc w:val="right"/>
            </w:pPr>
            <w:r>
              <w:rPr>
                <w:color w:val="1C3A36"/>
                <w:sz w:val="17"/>
              </w:rPr>
              <w:t>514,192</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139,722</w:t>
            </w:r>
          </w:p>
        </w:tc>
        <w:tc>
          <w:tcPr>
            <w:tcW w:type="dxa" w:w="1426"/>
          </w:tcPr>
          <w:p>
            <w:pPr>
              <w:spacing w:after="20"/>
              <w:jc w:val="right"/>
            </w:pPr>
            <w:r>
              <w:rPr>
                <w:color w:val="1C3A36"/>
                <w:sz w:val="17"/>
              </w:rPr>
              <w:t>158,474</w:t>
            </w:r>
          </w:p>
        </w:tc>
        <w:tc>
          <w:tcPr>
            <w:tcW w:type="dxa" w:w="1426"/>
          </w:tcPr>
          <w:p>
            <w:pPr>
              <w:spacing w:after="20"/>
              <w:jc w:val="right"/>
            </w:pPr>
            <w:r>
              <w:rPr>
                <w:color w:val="1C3A36"/>
                <w:sz w:val="17"/>
              </w:rPr>
              <w:t>173,355</w:t>
            </w:r>
          </w:p>
        </w:tc>
        <w:tc>
          <w:tcPr>
            <w:tcW w:type="dxa" w:w="1426"/>
          </w:tcPr>
          <w:p>
            <w:pPr>
              <w:spacing w:after="20"/>
              <w:jc w:val="right"/>
            </w:pPr>
            <w:r>
              <w:rPr>
                <w:color w:val="1C3A36"/>
                <w:sz w:val="17"/>
              </w:rPr>
              <w:t>188,850</w:t>
            </w:r>
          </w:p>
        </w:tc>
        <w:tc>
          <w:tcPr>
            <w:tcW w:type="dxa" w:w="1426"/>
          </w:tcPr>
          <w:p>
            <w:pPr>
              <w:spacing w:after="20"/>
              <w:jc w:val="right"/>
            </w:pPr>
            <w:r>
              <w:rPr>
                <w:color w:val="1C3A36"/>
                <w:sz w:val="17"/>
              </w:rPr>
              <w:t>205,234</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225,834</w:t>
            </w:r>
          </w:p>
        </w:tc>
        <w:tc>
          <w:tcPr>
            <w:tcW w:type="dxa" w:w="1426"/>
          </w:tcPr>
          <w:p>
            <w:pPr>
              <w:spacing w:after="20"/>
              <w:jc w:val="right"/>
            </w:pPr>
            <w:r>
              <w:rPr>
                <w:color w:val="1C3A36"/>
                <w:sz w:val="17"/>
              </w:rPr>
              <w:t>250,048</w:t>
            </w:r>
          </w:p>
        </w:tc>
        <w:tc>
          <w:tcPr>
            <w:tcW w:type="dxa" w:w="1426"/>
          </w:tcPr>
          <w:p>
            <w:pPr>
              <w:spacing w:after="20"/>
              <w:jc w:val="right"/>
            </w:pPr>
            <w:r>
              <w:rPr>
                <w:color w:val="1C3A36"/>
                <w:sz w:val="17"/>
              </w:rPr>
              <w:t>268,897</w:t>
            </w:r>
          </w:p>
        </w:tc>
        <w:tc>
          <w:tcPr>
            <w:tcW w:type="dxa" w:w="1426"/>
          </w:tcPr>
          <w:p>
            <w:pPr>
              <w:spacing w:after="20"/>
              <w:jc w:val="right"/>
            </w:pPr>
            <w:r>
              <w:rPr>
                <w:color w:val="1C3A36"/>
                <w:sz w:val="17"/>
              </w:rPr>
              <w:t>288,367</w:t>
            </w:r>
          </w:p>
        </w:tc>
        <w:tc>
          <w:tcPr>
            <w:tcW w:type="dxa" w:w="1426"/>
          </w:tcPr>
          <w:p>
            <w:pPr>
              <w:spacing w:after="20"/>
              <w:jc w:val="right"/>
            </w:pPr>
            <w:r>
              <w:rPr>
                <w:color w:val="1C3A36"/>
                <w:sz w:val="17"/>
              </w:rPr>
              <w:t>308,958</w:t>
            </w:r>
          </w:p>
        </w:tc>
      </w:tr>
      <w:tr>
        <w:tc>
          <w:tcPr>
            <w:tcW w:type="dxa" w:w="2952"/>
          </w:tcPr>
          <w:p>
            <w:pPr>
              <w:spacing w:after="20"/>
            </w:pPr>
            <w:r>
              <w:rPr>
                <w:color w:val="1C3A36"/>
                <w:sz w:val="17"/>
              </w:rPr>
              <w:t>EBITDA</w:t>
            </w:r>
          </w:p>
        </w:tc>
        <w:tc>
          <w:tcPr>
            <w:tcW w:type="dxa" w:w="1426"/>
          </w:tcPr>
          <w:p>
            <w:pPr>
              <w:spacing w:after="20"/>
              <w:jc w:val="right"/>
            </w:pPr>
            <w:r>
              <w:rPr>
                <w:color w:val="1C3A36"/>
                <w:sz w:val="17"/>
              </w:rPr>
              <w:t>41,094</w:t>
            </w:r>
          </w:p>
        </w:tc>
        <w:tc>
          <w:tcPr>
            <w:tcW w:type="dxa" w:w="1426"/>
          </w:tcPr>
          <w:p>
            <w:pPr>
              <w:spacing w:after="20"/>
              <w:jc w:val="right"/>
            </w:pPr>
            <w:r>
              <w:rPr>
                <w:color w:val="1C3A36"/>
                <w:sz w:val="17"/>
              </w:rPr>
              <w:t>44,941</w:t>
            </w:r>
          </w:p>
        </w:tc>
        <w:tc>
          <w:tcPr>
            <w:tcW w:type="dxa" w:w="1426"/>
          </w:tcPr>
          <w:p>
            <w:pPr>
              <w:spacing w:after="20"/>
              <w:jc w:val="right"/>
            </w:pPr>
            <w:r>
              <w:rPr>
                <w:color w:val="1C3A36"/>
                <w:sz w:val="17"/>
              </w:rPr>
              <w:t>48,914</w:t>
            </w:r>
          </w:p>
        </w:tc>
        <w:tc>
          <w:tcPr>
            <w:tcW w:type="dxa" w:w="1426"/>
          </w:tcPr>
          <w:p>
            <w:pPr>
              <w:spacing w:after="20"/>
              <w:jc w:val="right"/>
            </w:pPr>
            <w:r>
              <w:rPr>
                <w:color w:val="1C3A36"/>
                <w:sz w:val="17"/>
              </w:rPr>
              <w:t>53,240</w:t>
            </w:r>
          </w:p>
        </w:tc>
        <w:tc>
          <w:tcPr>
            <w:tcW w:type="dxa" w:w="1426"/>
          </w:tcPr>
          <w:p>
            <w:pPr>
              <w:spacing w:after="20"/>
              <w:jc w:val="right"/>
            </w:pPr>
            <w:r>
              <w:rPr>
                <w:color w:val="1C3A36"/>
                <w:sz w:val="17"/>
              </w:rPr>
              <w:t>57,882</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11.2%</w:t>
            </w:r>
          </w:p>
        </w:tc>
        <w:tc>
          <w:tcPr>
            <w:tcW w:type="dxa" w:w="1426"/>
          </w:tcPr>
          <w:p>
            <w:pPr>
              <w:spacing w:after="20"/>
              <w:jc w:val="right"/>
            </w:pPr>
            <w:r>
              <w:rPr>
                <w:color w:val="1C3A36"/>
                <w:sz w:val="17"/>
              </w:rPr>
              <w:t>11.0%</w:t>
            </w:r>
          </w:p>
        </w:tc>
        <w:tc>
          <w:tcPr>
            <w:tcW w:type="dxa" w:w="1426"/>
          </w:tcPr>
          <w:p>
            <w:pPr>
              <w:spacing w:after="20"/>
              <w:jc w:val="right"/>
            </w:pPr>
            <w:r>
              <w:rPr>
                <w:color w:val="1C3A36"/>
                <w:sz w:val="17"/>
              </w:rPr>
              <w:t>11.1%</w:t>
            </w:r>
          </w:p>
        </w:tc>
        <w:tc>
          <w:tcPr>
            <w:tcW w:type="dxa" w:w="1426"/>
          </w:tcPr>
          <w:p>
            <w:pPr>
              <w:spacing w:after="20"/>
              <w:jc w:val="right"/>
            </w:pPr>
            <w:r>
              <w:rPr>
                <w:color w:val="1C3A36"/>
                <w:sz w:val="17"/>
              </w:rPr>
              <w:t>11.2%</w:t>
            </w:r>
          </w:p>
        </w:tc>
        <w:tc>
          <w:tcPr>
            <w:tcW w:type="dxa" w:w="1426"/>
          </w:tcPr>
          <w:p>
            <w:pPr>
              <w:spacing w:after="20"/>
              <w:jc w:val="right"/>
            </w:pPr>
            <w:r>
              <w:rPr>
                <w:color w:val="1C3A36"/>
                <w:sz w:val="17"/>
              </w:rPr>
              <w:t>11.3%</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(3,838)</w:t>
            </w:r>
          </w:p>
        </w:tc>
        <w:tc>
          <w:tcPr>
            <w:tcW w:type="dxa" w:w="1426"/>
          </w:tcPr>
          <w:p>
            <w:pPr>
              <w:spacing w:after="20"/>
              <w:jc w:val="right"/>
            </w:pPr>
            <w:r>
              <w:rPr>
                <w:color w:val="1C3A36"/>
                <w:sz w:val="17"/>
              </w:rPr>
              <w:t>(4,289)</w:t>
            </w:r>
          </w:p>
        </w:tc>
        <w:tc>
          <w:tcPr>
            <w:tcW w:type="dxa" w:w="1426"/>
          </w:tcPr>
          <w:p>
            <w:pPr>
              <w:spacing w:after="20"/>
              <w:jc w:val="right"/>
            </w:pPr>
            <w:r>
              <w:rPr>
                <w:color w:val="1C3A36"/>
                <w:sz w:val="17"/>
              </w:rPr>
              <w:t>(4,644)</w:t>
            </w:r>
          </w:p>
        </w:tc>
        <w:tc>
          <w:tcPr>
            <w:tcW w:type="dxa" w:w="1426"/>
          </w:tcPr>
          <w:p>
            <w:pPr>
              <w:spacing w:after="20"/>
              <w:jc w:val="right"/>
            </w:pPr>
            <w:r>
              <w:rPr>
                <w:color w:val="1C3A36"/>
                <w:sz w:val="17"/>
              </w:rPr>
              <w:t>(5,011)</w:t>
            </w:r>
          </w:p>
        </w:tc>
        <w:tc>
          <w:tcPr>
            <w:tcW w:type="dxa" w:w="1426"/>
          </w:tcPr>
          <w:p>
            <w:pPr>
              <w:spacing w:after="20"/>
              <w:jc w:val="right"/>
            </w:pPr>
            <w:r>
              <w:rPr>
                <w:color w:val="1C3A36"/>
                <w:sz w:val="17"/>
              </w:rPr>
              <w:t>(5,399)</w:t>
            </w:r>
          </w:p>
        </w:tc>
      </w:tr>
      <w:tr>
        <w:tc>
          <w:tcPr>
            <w:tcW w:type="dxa" w:w="2952"/>
          </w:tcPr>
          <w:p>
            <w:pPr>
              <w:spacing w:after="20"/>
            </w:pPr>
            <w:r>
              <w:rPr>
                <w:color w:val="1C3A36"/>
                <w:sz w:val="17"/>
              </w:rPr>
              <w:t>EBIT</w:t>
            </w:r>
          </w:p>
        </w:tc>
        <w:tc>
          <w:tcPr>
            <w:tcW w:type="dxa" w:w="1426"/>
          </w:tcPr>
          <w:p>
            <w:pPr>
              <w:spacing w:after="20"/>
              <w:jc w:val="right"/>
            </w:pPr>
            <w:r>
              <w:rPr>
                <w:color w:val="1C3A36"/>
                <w:sz w:val="17"/>
              </w:rPr>
              <w:t>37,256</w:t>
            </w:r>
          </w:p>
        </w:tc>
        <w:tc>
          <w:tcPr>
            <w:tcW w:type="dxa" w:w="1426"/>
          </w:tcPr>
          <w:p>
            <w:pPr>
              <w:spacing w:after="20"/>
              <w:jc w:val="right"/>
            </w:pPr>
            <w:r>
              <w:rPr>
                <w:color w:val="1C3A36"/>
                <w:sz w:val="17"/>
              </w:rPr>
              <w:t>40,651</w:t>
            </w:r>
          </w:p>
        </w:tc>
        <w:tc>
          <w:tcPr>
            <w:tcW w:type="dxa" w:w="1426"/>
          </w:tcPr>
          <w:p>
            <w:pPr>
              <w:spacing w:after="20"/>
              <w:jc w:val="right"/>
            </w:pPr>
            <w:r>
              <w:rPr>
                <w:color w:val="1C3A36"/>
                <w:sz w:val="17"/>
              </w:rPr>
              <w:t>44,271</w:t>
            </w:r>
          </w:p>
        </w:tc>
        <w:tc>
          <w:tcPr>
            <w:tcW w:type="dxa" w:w="1426"/>
          </w:tcPr>
          <w:p>
            <w:pPr>
              <w:spacing w:after="20"/>
              <w:jc w:val="right"/>
            </w:pPr>
            <w:r>
              <w:rPr>
                <w:color w:val="1C3A36"/>
                <w:sz w:val="17"/>
              </w:rPr>
              <w:t>48,229</w:t>
            </w:r>
          </w:p>
        </w:tc>
        <w:tc>
          <w:tcPr>
            <w:tcW w:type="dxa" w:w="1426"/>
          </w:tcPr>
          <w:p>
            <w:pPr>
              <w:spacing w:after="20"/>
              <w:jc w:val="right"/>
            </w:pPr>
            <w:r>
              <w:rPr>
                <w:color w:val="1C3A36"/>
                <w:sz w:val="17"/>
              </w:rPr>
              <w:t>52,483</w:t>
            </w:r>
          </w:p>
        </w:tc>
      </w:tr>
      <w:tr>
        <w:tc>
          <w:tcPr>
            <w:tcW w:type="dxa" w:w="2952"/>
          </w:tcPr>
          <w:p>
            <w:pPr>
              <w:spacing w:after="20"/>
            </w:pPr>
            <w:r>
              <w:rPr>
                <w:color w:val="1C3A36"/>
                <w:sz w:val="17"/>
              </w:rPr>
              <w:t>NOPAT — EBIT × (1 − 25%)</w:t>
            </w:r>
          </w:p>
        </w:tc>
        <w:tc>
          <w:tcPr>
            <w:tcW w:type="dxa" w:w="1426"/>
          </w:tcPr>
          <w:p>
            <w:pPr>
              <w:spacing w:after="20"/>
              <w:jc w:val="right"/>
            </w:pPr>
            <w:r>
              <w:rPr>
                <w:color w:val="1C3A36"/>
                <w:sz w:val="17"/>
              </w:rPr>
              <w:t>27,942</w:t>
            </w:r>
          </w:p>
        </w:tc>
        <w:tc>
          <w:tcPr>
            <w:tcW w:type="dxa" w:w="1426"/>
          </w:tcPr>
          <w:p>
            <w:pPr>
              <w:spacing w:after="20"/>
              <w:jc w:val="right"/>
            </w:pPr>
            <w:r>
              <w:rPr>
                <w:color w:val="1C3A36"/>
                <w:sz w:val="17"/>
              </w:rPr>
              <w:t>30,488</w:t>
            </w:r>
          </w:p>
        </w:tc>
        <w:tc>
          <w:tcPr>
            <w:tcW w:type="dxa" w:w="1426"/>
          </w:tcPr>
          <w:p>
            <w:pPr>
              <w:spacing w:after="20"/>
              <w:jc w:val="right"/>
            </w:pPr>
            <w:r>
              <w:rPr>
                <w:color w:val="1C3A36"/>
                <w:sz w:val="17"/>
              </w:rPr>
              <w:t>33,203</w:t>
            </w:r>
          </w:p>
        </w:tc>
        <w:tc>
          <w:tcPr>
            <w:tcW w:type="dxa" w:w="1426"/>
          </w:tcPr>
          <w:p>
            <w:pPr>
              <w:spacing w:after="20"/>
              <w:jc w:val="right"/>
            </w:pPr>
            <w:r>
              <w:rPr>
                <w:color w:val="1C3A36"/>
                <w:sz w:val="17"/>
              </w:rPr>
              <w:t>36,172</w:t>
            </w:r>
          </w:p>
        </w:tc>
        <w:tc>
          <w:tcPr>
            <w:tcW w:type="dxa" w:w="1426"/>
          </w:tcPr>
          <w:p>
            <w:pPr>
              <w:spacing w:after="20"/>
              <w:jc w:val="right"/>
            </w:pPr>
            <w:r>
              <w:rPr>
                <w:color w:val="1C3A36"/>
                <w:sz w:val="17"/>
              </w:rPr>
              <w:t>39,363</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3,838</w:t>
            </w:r>
          </w:p>
        </w:tc>
        <w:tc>
          <w:tcPr>
            <w:tcW w:type="dxa" w:w="1426"/>
          </w:tcPr>
          <w:p>
            <w:pPr>
              <w:spacing w:after="20"/>
              <w:jc w:val="right"/>
            </w:pPr>
            <w:r>
              <w:rPr>
                <w:color w:val="1C3A36"/>
                <w:sz w:val="17"/>
              </w:rPr>
              <w:t>4,289</w:t>
            </w:r>
          </w:p>
        </w:tc>
        <w:tc>
          <w:tcPr>
            <w:tcW w:type="dxa" w:w="1426"/>
          </w:tcPr>
          <w:p>
            <w:pPr>
              <w:spacing w:after="20"/>
              <w:jc w:val="right"/>
            </w:pPr>
            <w:r>
              <w:rPr>
                <w:color w:val="1C3A36"/>
                <w:sz w:val="17"/>
              </w:rPr>
              <w:t>4,644</w:t>
            </w:r>
          </w:p>
        </w:tc>
        <w:tc>
          <w:tcPr>
            <w:tcW w:type="dxa" w:w="1426"/>
          </w:tcPr>
          <w:p>
            <w:pPr>
              <w:spacing w:after="20"/>
              <w:jc w:val="right"/>
            </w:pPr>
            <w:r>
              <w:rPr>
                <w:color w:val="1C3A36"/>
                <w:sz w:val="17"/>
              </w:rPr>
              <w:t>5,011</w:t>
            </w:r>
          </w:p>
        </w:tc>
        <w:tc>
          <w:tcPr>
            <w:tcW w:type="dxa" w:w="1426"/>
          </w:tcPr>
          <w:p>
            <w:pPr>
              <w:spacing w:after="20"/>
              <w:jc w:val="right"/>
            </w:pPr>
            <w:r>
              <w:rPr>
                <w:color w:val="1C3A36"/>
                <w:sz w:val="17"/>
              </w:rPr>
              <w:t>5,399</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(10,967)</w:t>
            </w:r>
          </w:p>
        </w:tc>
        <w:tc>
          <w:tcPr>
            <w:tcW w:type="dxa" w:w="1426"/>
          </w:tcPr>
          <w:p>
            <w:pPr>
              <w:spacing w:after="20"/>
              <w:jc w:val="right"/>
            </w:pPr>
            <w:r>
              <w:rPr>
                <w:color w:val="1C3A36"/>
                <w:sz w:val="17"/>
              </w:rPr>
              <w:t>(11,847)</w:t>
            </w:r>
          </w:p>
        </w:tc>
        <w:tc>
          <w:tcPr>
            <w:tcW w:type="dxa" w:w="1426"/>
          </w:tcPr>
          <w:p>
            <w:pPr>
              <w:spacing w:after="20"/>
              <w:jc w:val="right"/>
            </w:pPr>
            <w:r>
              <w:rPr>
                <w:color w:val="1C3A36"/>
                <w:sz w:val="17"/>
              </w:rPr>
              <w:t>(12,383)</w:t>
            </w:r>
          </w:p>
        </w:tc>
        <w:tc>
          <w:tcPr>
            <w:tcW w:type="dxa" w:w="1426"/>
          </w:tcPr>
          <w:p>
            <w:pPr>
              <w:spacing w:after="20"/>
              <w:jc w:val="right"/>
            </w:pPr>
            <w:r>
              <w:rPr>
                <w:color w:val="1C3A36"/>
                <w:sz w:val="17"/>
              </w:rPr>
              <w:t>(12,408)</w:t>
            </w:r>
          </w:p>
        </w:tc>
        <w:tc>
          <w:tcPr>
            <w:tcW w:type="dxa" w:w="1426"/>
          </w:tcPr>
          <w:p>
            <w:pPr>
              <w:spacing w:after="20"/>
              <w:jc w:val="right"/>
            </w:pPr>
            <w:r>
              <w:rPr>
                <w:color w:val="1C3A36"/>
                <w:sz w:val="17"/>
              </w:rPr>
              <w:t>(12,341)</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(19,437)</w:t>
            </w:r>
          </w:p>
        </w:tc>
        <w:tc>
          <w:tcPr>
            <w:tcW w:type="dxa" w:w="1426"/>
          </w:tcPr>
          <w:p>
            <w:pPr>
              <w:spacing w:after="20"/>
              <w:jc w:val="right"/>
            </w:pPr>
            <w:r>
              <w:rPr>
                <w:color w:val="1C3A36"/>
                <w:sz w:val="17"/>
              </w:rPr>
              <w:t>(9,882)</w:t>
            </w:r>
          </w:p>
        </w:tc>
        <w:tc>
          <w:tcPr>
            <w:tcW w:type="dxa" w:w="1426"/>
          </w:tcPr>
          <w:p>
            <w:pPr>
              <w:spacing w:after="20"/>
              <w:jc w:val="right"/>
            </w:pPr>
            <w:r>
              <w:rPr>
                <w:color w:val="1C3A36"/>
                <w:sz w:val="17"/>
              </w:rPr>
              <w:t>(7,758)</w:t>
            </w:r>
          </w:p>
        </w:tc>
        <w:tc>
          <w:tcPr>
            <w:tcW w:type="dxa" w:w="1426"/>
          </w:tcPr>
          <w:p>
            <w:pPr>
              <w:spacing w:after="20"/>
              <w:jc w:val="right"/>
            </w:pPr>
            <w:r>
              <w:rPr>
                <w:color w:val="1C3A36"/>
                <w:sz w:val="17"/>
              </w:rPr>
              <w:t>(8,042)</w:t>
            </w:r>
          </w:p>
        </w:tc>
        <w:tc>
          <w:tcPr>
            <w:tcW w:type="dxa" w:w="1426"/>
          </w:tcPr>
          <w:p>
            <w:pPr>
              <w:spacing w:after="20"/>
              <w:jc w:val="right"/>
            </w:pPr>
            <w:r>
              <w:rPr>
                <w:color w:val="1C3A36"/>
                <w:sz w:val="17"/>
              </w:rPr>
              <w:t>(8,504)</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1,377</w:t>
            </w:r>
          </w:p>
        </w:tc>
        <w:tc>
          <w:tcPr>
            <w:tcW w:type="dxa" w:w="1426"/>
            <w:shd w:val="clear" w:color="auto" w:fill="F6F1E6"/>
          </w:tcPr>
          <w:p>
            <w:pPr>
              <w:spacing w:after="20"/>
              <w:jc w:val="right"/>
            </w:pPr>
            <w:r>
              <w:rPr>
                <w:b/>
                <w:color w:val="1C3A36"/>
                <w:sz w:val="17"/>
              </w:rPr>
              <w:t>13,049</w:t>
            </w:r>
          </w:p>
        </w:tc>
        <w:tc>
          <w:tcPr>
            <w:tcW w:type="dxa" w:w="1426"/>
            <w:shd w:val="clear" w:color="auto" w:fill="F6F1E6"/>
          </w:tcPr>
          <w:p>
            <w:pPr>
              <w:spacing w:after="20"/>
              <w:jc w:val="right"/>
            </w:pPr>
            <w:r>
              <w:rPr>
                <w:b/>
                <w:color w:val="1C3A36"/>
                <w:sz w:val="17"/>
              </w:rPr>
              <w:t>17,706</w:t>
            </w:r>
          </w:p>
        </w:tc>
        <w:tc>
          <w:tcPr>
            <w:tcW w:type="dxa" w:w="1426"/>
            <w:shd w:val="clear" w:color="auto" w:fill="F6F1E6"/>
          </w:tcPr>
          <w:p>
            <w:pPr>
              <w:spacing w:after="20"/>
              <w:jc w:val="right"/>
            </w:pPr>
            <w:r>
              <w:rPr>
                <w:b/>
                <w:color w:val="1C3A36"/>
                <w:sz w:val="17"/>
              </w:rPr>
              <w:t>20,733</w:t>
            </w:r>
          </w:p>
        </w:tc>
        <w:tc>
          <w:tcPr>
            <w:tcW w:type="dxa" w:w="1426"/>
            <w:shd w:val="clear" w:color="auto" w:fill="F6F1E6"/>
          </w:tcPr>
          <w:p>
            <w:pPr>
              <w:spacing w:after="20"/>
              <w:jc w:val="right"/>
            </w:pPr>
            <w:r>
              <w:rPr>
                <w:b/>
                <w:color w:val="1C3A36"/>
                <w:sz w:val="17"/>
              </w:rPr>
              <w:t>23,917</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26.9%</w:t>
            </w:r>
          </w:p>
        </w:tc>
        <w:tc>
          <w:tcPr>
            <w:tcW w:type="dxa" w:w="1426"/>
          </w:tcPr>
          <w:p>
            <w:pPr>
              <w:spacing w:after="20"/>
              <w:jc w:val="right"/>
            </w:pPr>
            <w:r>
              <w:rPr>
                <w:color w:val="1C3A36"/>
                <w:sz w:val="17"/>
              </w:rPr>
              <w:t>23.0%</w:t>
            </w:r>
          </w:p>
        </w:tc>
        <w:tc>
          <w:tcPr>
            <w:tcW w:type="dxa" w:w="1426"/>
          </w:tcPr>
          <w:p>
            <w:pPr>
              <w:spacing w:after="20"/>
              <w:jc w:val="right"/>
            </w:pPr>
            <w:r>
              <w:rPr>
                <w:color w:val="1C3A36"/>
                <w:sz w:val="17"/>
              </w:rPr>
              <w:t>19.5%</w:t>
            </w:r>
          </w:p>
        </w:tc>
        <w:tc>
          <w:tcPr>
            <w:tcW w:type="dxa" w:w="1426"/>
          </w:tcPr>
          <w:p>
            <w:pPr>
              <w:spacing w:after="20"/>
              <w:jc w:val="right"/>
            </w:pPr>
            <w:r>
              <w:rPr>
                <w:color w:val="1C3A36"/>
                <w:sz w:val="17"/>
              </w:rPr>
              <w:t>17.1%</w:t>
            </w:r>
          </w:p>
        </w:tc>
        <w:tc>
          <w:tcPr>
            <w:tcW w:type="dxa" w:w="1426"/>
          </w:tcPr>
          <w:p>
            <w:pPr>
              <w:spacing w:after="20"/>
              <w:jc w:val="right"/>
            </w:pPr>
            <w:r>
              <w:rPr>
                <w:color w:val="1C3A36"/>
                <w:sz w:val="17"/>
              </w:rPr>
              <w:t>15.1%</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0.7880</w:t>
            </w:r>
          </w:p>
        </w:tc>
        <w:tc>
          <w:tcPr>
            <w:tcW w:type="dxa" w:w="1426"/>
          </w:tcPr>
          <w:p>
            <w:pPr>
              <w:spacing w:after="20"/>
              <w:jc w:val="right"/>
            </w:pPr>
            <w:r>
              <w:rPr>
                <w:color w:val="1C3A36"/>
                <w:sz w:val="17"/>
              </w:rPr>
              <w:t>0.6408</w:t>
            </w:r>
          </w:p>
        </w:tc>
        <w:tc>
          <w:tcPr>
            <w:tcW w:type="dxa" w:w="1426"/>
          </w:tcPr>
          <w:p>
            <w:pPr>
              <w:spacing w:after="20"/>
              <w:jc w:val="right"/>
            </w:pPr>
            <w:r>
              <w:rPr>
                <w:color w:val="1C3A36"/>
                <w:sz w:val="17"/>
              </w:rPr>
              <w:t>0.5360</w:t>
            </w:r>
          </w:p>
        </w:tc>
        <w:tc>
          <w:tcPr>
            <w:tcW w:type="dxa" w:w="1426"/>
          </w:tcPr>
          <w:p>
            <w:pPr>
              <w:spacing w:after="20"/>
              <w:jc w:val="right"/>
            </w:pPr>
            <w:r>
              <w:rPr>
                <w:color w:val="1C3A36"/>
                <w:sz w:val="17"/>
              </w:rPr>
              <w:t>0.4577</w:t>
            </w:r>
          </w:p>
        </w:tc>
        <w:tc>
          <w:tcPr>
            <w:tcW w:type="dxa" w:w="1426"/>
          </w:tcPr>
          <w:p>
            <w:pPr>
              <w:spacing w:after="20"/>
              <w:jc w:val="right"/>
            </w:pPr>
            <w:r>
              <w:rPr>
                <w:color w:val="1C3A36"/>
                <w:sz w:val="17"/>
              </w:rPr>
              <w:t>0.3975</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1,085</w:t>
            </w:r>
          </w:p>
        </w:tc>
        <w:tc>
          <w:tcPr>
            <w:tcW w:type="dxa" w:w="1426"/>
            <w:shd w:val="clear" w:color="auto" w:fill="F6F1E6"/>
          </w:tcPr>
          <w:p>
            <w:pPr>
              <w:spacing w:after="20"/>
              <w:jc w:val="right"/>
            </w:pPr>
            <w:r>
              <w:rPr>
                <w:b/>
                <w:color w:val="1C3A36"/>
                <w:sz w:val="17"/>
              </w:rPr>
              <w:t>8,362</w:t>
            </w:r>
          </w:p>
        </w:tc>
        <w:tc>
          <w:tcPr>
            <w:tcW w:type="dxa" w:w="1426"/>
            <w:shd w:val="clear" w:color="auto" w:fill="F6F1E6"/>
          </w:tcPr>
          <w:p>
            <w:pPr>
              <w:spacing w:after="20"/>
              <w:jc w:val="right"/>
            </w:pPr>
            <w:r>
              <w:rPr>
                <w:b/>
                <w:color w:val="1C3A36"/>
                <w:sz w:val="17"/>
              </w:rPr>
              <w:t>9,490</w:t>
            </w:r>
          </w:p>
        </w:tc>
        <w:tc>
          <w:tcPr>
            <w:tcW w:type="dxa" w:w="1426"/>
            <w:shd w:val="clear" w:color="auto" w:fill="F6F1E6"/>
          </w:tcPr>
          <w:p>
            <w:pPr>
              <w:spacing w:after="20"/>
              <w:jc w:val="right"/>
            </w:pPr>
            <w:r>
              <w:rPr>
                <w:b/>
                <w:color w:val="1C3A36"/>
                <w:sz w:val="17"/>
              </w:rPr>
              <w:t>9,490</w:t>
            </w:r>
          </w:p>
        </w:tc>
        <w:tc>
          <w:tcPr>
            <w:tcW w:type="dxa" w:w="1426"/>
            <w:shd w:val="clear" w:color="auto" w:fill="F6F1E6"/>
          </w:tcPr>
          <w:p>
            <w:pPr>
              <w:spacing w:after="20"/>
              <w:jc w:val="right"/>
            </w:pPr>
            <w:r>
              <w:rPr>
                <w:b/>
                <w:color w:val="1C3A36"/>
                <w:sz w:val="17"/>
              </w:rPr>
              <w:t>9,508</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23.0% of revenue, the level the audited balance sheets actually show.</w:t>
      </w:r>
    </w:p>
    <w:p>
      <w:pPr>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7"/>
              </w:rPr>
              <w:t>Step</w:t>
            </w:r>
          </w:p>
        </w:tc>
        <w:tc>
          <w:tcPr>
            <w:tcW w:type="dxa" w:w="1512"/>
            <w:shd w:val="clear" w:color="auto" w:fill="EAF0EE"/>
          </w:tcPr>
          <w:p>
            <w:pPr>
              <w:spacing w:after="20"/>
            </w:pPr>
            <w:r>
              <w:rPr>
                <w:b/>
                <w:color w:val="1C3A36"/>
                <w:sz w:val="17"/>
              </w:rPr>
              <w:t>EGP mn</w:t>
            </w:r>
          </w:p>
        </w:tc>
        <w:tc>
          <w:tcPr>
            <w:tcW w:type="dxa" w:w="4896"/>
            <w:shd w:val="clear" w:color="auto" w:fill="EAF0EE"/>
          </w:tcPr>
          <w:p>
            <w:pPr>
              <w:spacing w:after="20"/>
            </w:pPr>
            <w:r>
              <w:rPr>
                <w:b/>
                <w:color w:val="1C3A36"/>
                <w:sz w:val="17"/>
              </w:rPr>
              <w:t>Note</w:t>
            </w:r>
          </w:p>
        </w:tc>
      </w:tr>
      <w:tr>
        <w:tc>
          <w:tcPr>
            <w:tcW w:type="dxa" w:w="3672"/>
          </w:tcPr>
          <w:p>
            <w:pPr>
              <w:spacing w:after="20"/>
            </w:pPr>
            <w:r>
              <w:rPr>
                <w:color w:val="1C3A36"/>
                <w:sz w:val="17"/>
              </w:rPr>
              <w:t>Present value of the five forecast years</w:t>
            </w:r>
          </w:p>
        </w:tc>
        <w:tc>
          <w:tcPr>
            <w:tcW w:type="dxa" w:w="1512"/>
          </w:tcPr>
          <w:p>
            <w:pPr>
              <w:spacing w:after="20"/>
              <w:jc w:val="right"/>
            </w:pPr>
            <w:r>
              <w:rPr>
                <w:color w:val="1C3A36"/>
                <w:sz w:val="17"/>
              </w:rPr>
              <w:t>37,935</w:t>
            </w:r>
          </w:p>
        </w:tc>
        <w:tc>
          <w:tcPr>
            <w:tcW w:type="dxa" w:w="4896"/>
          </w:tcPr>
          <w:p>
            <w:pPr>
              <w:spacing w:after="20"/>
              <w:jc w:val="right"/>
            </w:pPr>
            <w:r>
              <w:rPr>
                <w:color w:val="1C3A36"/>
                <w:sz w:val="17"/>
              </w:rPr>
              <w:t>sum of the present-value row above</w:t>
            </w:r>
          </w:p>
        </w:tc>
      </w:tr>
      <w:tr>
        <w:tc>
          <w:tcPr>
            <w:tcW w:type="dxa" w:w="3672"/>
          </w:tcPr>
          <w:p>
            <w:pPr>
              <w:spacing w:after="20"/>
            </w:pPr>
            <w:r>
              <w:rPr>
                <w:color w:val="1C3A36"/>
                <w:sz w:val="17"/>
              </w:rPr>
              <w:t>Present value of the terminal value</w:t>
            </w:r>
          </w:p>
        </w:tc>
        <w:tc>
          <w:tcPr>
            <w:tcW w:type="dxa" w:w="1512"/>
          </w:tcPr>
          <w:p>
            <w:pPr>
              <w:spacing w:after="20"/>
              <w:jc w:val="right"/>
            </w:pPr>
            <w:r>
              <w:rPr>
                <w:color w:val="1C3A36"/>
                <w:sz w:val="17"/>
              </w:rPr>
              <w:t>123,018</w:t>
            </w:r>
          </w:p>
        </w:tc>
        <w:tc>
          <w:tcPr>
            <w:tcW w:type="dxa" w:w="4896"/>
          </w:tcPr>
          <w:p>
            <w:pPr>
              <w:spacing w:after="20"/>
              <w:jc w:val="right"/>
            </w:pPr>
            <w:r>
              <w:rPr>
                <w:color w:val="1C3A36"/>
                <w:sz w:val="17"/>
              </w:rPr>
              <w:t>terminal value 309,450 capitalised at 15.1% and discounted at the year-5 factor 0.3975</w:t>
            </w:r>
          </w:p>
        </w:tc>
      </w:tr>
      <w:tr>
        <w:tc>
          <w:tcPr>
            <w:tcW w:type="dxa" w:w="3672"/>
            <w:shd w:val="clear" w:color="auto" w:fill="F6F1E6"/>
          </w:tcPr>
          <w:p>
            <w:pPr>
              <w:spacing w:after="20"/>
            </w:pPr>
            <w:r>
              <w:rPr>
                <w:b/>
                <w:color w:val="1C3A36"/>
                <w:sz w:val="17"/>
              </w:rPr>
              <w:t>Enterprise value</w:t>
            </w:r>
          </w:p>
        </w:tc>
        <w:tc>
          <w:tcPr>
            <w:tcW w:type="dxa" w:w="1512"/>
            <w:shd w:val="clear" w:color="auto" w:fill="F6F1E6"/>
          </w:tcPr>
          <w:p>
            <w:pPr>
              <w:spacing w:after="20"/>
              <w:jc w:val="right"/>
            </w:pPr>
            <w:r>
              <w:rPr>
                <w:b/>
                <w:color w:val="1C3A36"/>
                <w:sz w:val="17"/>
              </w:rPr>
              <w:t>160,953</w:t>
            </w:r>
          </w:p>
        </w:tc>
        <w:tc>
          <w:tcPr>
            <w:tcW w:type="dxa" w:w="4896"/>
            <w:shd w:val="clear" w:color="auto" w:fill="F6F1E6"/>
          </w:tcPr>
          <w:p>
            <w:pPr>
              <w:spacing w:after="20"/>
              <w:jc w:val="right"/>
            </w:pPr>
            <w:r>
              <w:rPr>
                <w:b/>
                <w:color w:val="1C3A36"/>
                <w:sz w:val="17"/>
              </w:rPr>
              <w:t>the two lines above</w:t>
            </w:r>
          </w:p>
        </w:tc>
      </w:tr>
      <w:tr>
        <w:tc>
          <w:tcPr>
            <w:tcW w:type="dxa" w:w="3672"/>
          </w:tcPr>
          <w:p>
            <w:pPr>
              <w:spacing w:after="20"/>
            </w:pPr>
            <w:r>
              <w:rPr>
                <w:color w:val="1C3A36"/>
                <w:sz w:val="17"/>
              </w:rPr>
              <w:t>Terminal value as a share of enterprise value</w:t>
            </w:r>
          </w:p>
        </w:tc>
        <w:tc>
          <w:tcPr>
            <w:tcW w:type="dxa" w:w="1512"/>
          </w:tcPr>
          <w:p>
            <w:pPr>
              <w:spacing w:after="20"/>
              <w:jc w:val="right"/>
            </w:pPr>
            <w:r>
              <w:rPr>
                <w:color w:val="1C3A36"/>
                <w:sz w:val="17"/>
              </w:rPr>
              <w:t>76%</w:t>
            </w:r>
          </w:p>
        </w:tc>
        <w:tc>
          <w:tcPr>
            <w:tcW w:type="dxa" w:w="4896"/>
          </w:tcPr>
          <w:p>
            <w:pPr>
              <w:spacing w:after="20"/>
              <w:jc w:val="right"/>
            </w:pPr>
            <w:r>
              <w:rPr>
                <w:color w:val="1C3A36"/>
                <w:sz w:val="17"/>
              </w:rPr>
              <w:t>disclosed here and in the summary table; stress-tested in section 1.9</w:t>
            </w:r>
          </w:p>
        </w:tc>
      </w:tr>
      <w:tr>
        <w:tc>
          <w:tcPr>
            <w:tcW w:type="dxa" w:w="3672"/>
          </w:tcPr>
          <w:p>
            <w:pPr>
              <w:spacing w:after="20"/>
            </w:pPr>
            <w:r>
              <w:rPr>
                <w:color w:val="1C3A36"/>
                <w:sz w:val="17"/>
              </w:rPr>
              <w:t>Less net bank debt</w:t>
            </w:r>
          </w:p>
        </w:tc>
        <w:tc>
          <w:tcPr>
            <w:tcW w:type="dxa" w:w="1512"/>
          </w:tcPr>
          <w:p>
            <w:pPr>
              <w:spacing w:after="20"/>
              <w:jc w:val="right"/>
            </w:pPr>
            <w:r>
              <w:rPr>
                <w:color w:val="1C3A36"/>
                <w:sz w:val="17"/>
              </w:rPr>
              <w:t>(19,789)</w:t>
            </w:r>
          </w:p>
        </w:tc>
        <w:tc>
          <w:tcPr>
            <w:tcW w:type="dxa" w:w="4896"/>
          </w:tcPr>
          <w:p>
            <w:pPr>
              <w:spacing w:after="20"/>
              <w:jc w:val="right"/>
            </w:pPr>
            <w:r>
              <w:rPr>
                <w:color w:val="1C3A36"/>
                <w:sz w:val="17"/>
              </w:rPr>
              <w:t>disclosed at 31 December 2025</w:t>
            </w:r>
          </w:p>
        </w:tc>
      </w:tr>
      <w:tr>
        <w:tc>
          <w:tcPr>
            <w:tcW w:type="dxa" w:w="3672"/>
          </w:tcPr>
          <w:p>
            <w:pPr>
              <w:spacing w:after="20"/>
            </w:pPr>
            <w:r>
              <w:rPr>
                <w:color w:val="1C3A36"/>
                <w:sz w:val="17"/>
              </w:rPr>
              <w:t>Plus equity-accounted investees</w:t>
            </w:r>
          </w:p>
        </w:tc>
        <w:tc>
          <w:tcPr>
            <w:tcW w:type="dxa" w:w="1512"/>
          </w:tcPr>
          <w:p>
            <w:pPr>
              <w:spacing w:after="20"/>
              <w:jc w:val="right"/>
            </w:pPr>
            <w:r>
              <w:rPr>
                <w:color w:val="1C3A36"/>
                <w:sz w:val="17"/>
              </w:rPr>
              <w:t>7,445</w:t>
            </w:r>
          </w:p>
        </w:tc>
        <w:tc>
          <w:tcPr>
            <w:tcW w:type="dxa" w:w="4896"/>
          </w:tcPr>
          <w:p>
            <w:pPr>
              <w:spacing w:after="20"/>
              <w:jc w:val="right"/>
            </w:pPr>
            <w:r>
              <w:rPr>
                <w:color w:val="1C3A36"/>
                <w:sz w:val="17"/>
              </w:rPr>
              <w:t>carrying value, uplifted modestly; these earn outside the consolidated cash flow</w:t>
            </w:r>
          </w:p>
        </w:tc>
      </w:tr>
      <w:tr>
        <w:tc>
          <w:tcPr>
            <w:tcW w:type="dxa" w:w="3672"/>
          </w:tcPr>
          <w:p>
            <w:pPr>
              <w:spacing w:after="20"/>
            </w:pPr>
            <w:r>
              <w:rPr>
                <w:color w:val="1C3A36"/>
                <w:sz w:val="17"/>
              </w:rPr>
              <w:t>Less minority interests</w:t>
            </w:r>
          </w:p>
        </w:tc>
        <w:tc>
          <w:tcPr>
            <w:tcW w:type="dxa" w:w="1512"/>
          </w:tcPr>
          <w:p>
            <w:pPr>
              <w:spacing w:after="20"/>
              <w:jc w:val="right"/>
            </w:pPr>
            <w:r>
              <w:rPr>
                <w:color w:val="1C3A36"/>
                <w:sz w:val="17"/>
              </w:rPr>
              <w:t>(14,334)</w:t>
            </w:r>
          </w:p>
        </w:tc>
        <w:tc>
          <w:tcPr>
            <w:tcW w:type="dxa" w:w="4896"/>
          </w:tcPr>
          <w:p>
            <w:pPr>
              <w:spacing w:after="20"/>
              <w:jc w:val="right"/>
            </w:pPr>
            <w:r>
              <w:rPr>
                <w:color w:val="1C3A36"/>
                <w:sz w:val="17"/>
              </w:rPr>
              <w:t>minorities take 9.6% of group profit, so they are charged the same share of the value</w:t>
            </w:r>
          </w:p>
        </w:tc>
      </w:tr>
      <w:tr>
        <w:tc>
          <w:tcPr>
            <w:tcW w:type="dxa" w:w="3672"/>
          </w:tcPr>
          <w:p>
            <w:pPr>
              <w:spacing w:after="20"/>
            </w:pPr>
            <w:r>
              <w:rPr>
                <w:color w:val="1C3A36"/>
                <w:sz w:val="17"/>
              </w:rPr>
              <w:t>Equity attributable to shareholders</w:t>
            </w:r>
          </w:p>
        </w:tc>
        <w:tc>
          <w:tcPr>
            <w:tcW w:type="dxa" w:w="1512"/>
          </w:tcPr>
          <w:p>
            <w:pPr>
              <w:spacing w:after="20"/>
              <w:jc w:val="right"/>
            </w:pPr>
            <w:r>
              <w:rPr>
                <w:color w:val="1C3A36"/>
                <w:sz w:val="17"/>
              </w:rPr>
              <w:t>134,275</w:t>
            </w:r>
          </w:p>
        </w:tc>
        <w:tc>
          <w:tcPr>
            <w:tcW w:type="dxa" w:w="4896"/>
          </w:tcPr>
          <w:p>
            <w:pPr>
              <w:spacing w:after="20"/>
              <w:jc w:val="right"/>
            </w:pPr>
            <w:r>
              <w:rPr>
                <w:color w:val="1C3A36"/>
                <w:sz w:val="17"/>
              </w:rPr>
            </w:r>
          </w:p>
        </w:tc>
      </w:tr>
      <w:tr>
        <w:tc>
          <w:tcPr>
            <w:tcW w:type="dxa" w:w="3672"/>
            <w:shd w:val="clear" w:color="auto" w:fill="F6F1E6"/>
          </w:tcPr>
          <w:p>
            <w:pPr>
              <w:spacing w:after="20"/>
            </w:pPr>
            <w:r>
              <w:rPr>
                <w:b/>
                <w:color w:val="1C3A36"/>
                <w:sz w:val="17"/>
              </w:rPr>
              <w:t>Fair value per share (EGP)</w:t>
            </w:r>
          </w:p>
        </w:tc>
        <w:tc>
          <w:tcPr>
            <w:tcW w:type="dxa" w:w="1512"/>
            <w:shd w:val="clear" w:color="auto" w:fill="F6F1E6"/>
          </w:tcPr>
          <w:p>
            <w:pPr>
              <w:spacing w:after="20"/>
              <w:jc w:val="right"/>
            </w:pPr>
            <w:r>
              <w:rPr>
                <w:b/>
                <w:color w:val="1C3A36"/>
                <w:sz w:val="17"/>
              </w:rPr>
              <w:t>62.72</w:t>
            </w:r>
          </w:p>
        </w:tc>
        <w:tc>
          <w:tcPr>
            <w:tcW w:type="dxa" w:w="4896"/>
            <w:shd w:val="clear" w:color="auto" w:fill="F6F1E6"/>
          </w:tcPr>
          <w:p>
            <w:pPr>
              <w:spacing w:after="20"/>
              <w:jc w:val="right"/>
            </w:pPr>
            <w:r>
              <w:rPr>
                <w:b/>
                <w:color w:val="1C3A36"/>
                <w:sz w:val="17"/>
              </w:rPr>
              <w:t>against a spot of 105.20 (-40%)</w:t>
            </w:r>
          </w:p>
        </w:tc>
      </w:tr>
    </w:tbl>
    <w:p>
      <w:pPr>
        <w:spacing w:after="40"/>
      </w:pP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estimated at EGP 70,464mn, or 32.92 per share, rolling the audited FY2024 figure forward for FY2025 profit less the dividend paid. The trailing return on average equity is 27.6%.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At a blended cost of equity of 23.0% — the average of the explicit-window 28.4% and the terminal 17.6% — that gives 1.0× book, or EGP 33.86 per share.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8.0×</w:t>
            </w:r>
          </w:p>
        </w:tc>
        <w:tc>
          <w:tcPr>
            <w:tcW w:type="dxa" w:w="5688"/>
          </w:tcPr>
          <w:p>
            <w:pPr>
              <w:spacing w:after="20"/>
              <w:jc w:val="right"/>
            </w:pPr>
            <w:r>
              <w:rPr>
                <w:color w:val="1C3A36"/>
                <w:sz w:val="17"/>
              </w:rPr>
              <w:t>enterprise value 244,999 over FY2025 EBITDA 30,622</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13.0×</w:t>
            </w:r>
          </w:p>
        </w:tc>
        <w:tc>
          <w:tcPr>
            <w:tcW w:type="dxa" w:w="5688"/>
          </w:tcPr>
          <w:p>
            <w:pPr>
              <w:spacing w:after="20"/>
              <w:jc w:val="right"/>
            </w:pPr>
            <w:r>
              <w:rPr>
                <w:color w:val="1C3A36"/>
                <w:sz w:val="17"/>
              </w:rPr>
              <w:t>price 105.20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14.8×</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3.2×</w:t>
            </w:r>
          </w:p>
        </w:tc>
        <w:tc>
          <w:tcPr>
            <w:tcW w:type="dxa" w:w="5688"/>
          </w:tcPr>
          <w:p>
            <w:pPr>
              <w:spacing w:after="20"/>
              <w:jc w:val="right"/>
            </w:pPr>
            <w:r>
              <w:rPr>
                <w:color w:val="1C3A36"/>
                <w:sz w:val="17"/>
              </w:rPr>
              <w:t>book value 32.92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0.6×</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mid-cycle FY2027 EBITDA; an Egyptian-market discount to listed cable and electrical-equipment peers, which trade in the 8–11× region</w:t>
            </w:r>
          </w:p>
        </w:tc>
      </w:tr>
      <w:tr>
        <w:tc>
          <w:tcPr>
            <w:tcW w:type="dxa" w:w="3096"/>
          </w:tcPr>
          <w:p>
            <w:pPr>
              <w:spacing w:after="20"/>
            </w:pPr>
            <w:r>
              <w:rPr>
                <w:color w:val="1C3A36"/>
                <w:sz w:val="17"/>
              </w:rPr>
              <w:t>Implied value per share</w:t>
            </w:r>
          </w:p>
        </w:tc>
        <w:tc>
          <w:tcPr>
            <w:tcW w:type="dxa" w:w="1296"/>
          </w:tcPr>
          <w:p>
            <w:pPr>
              <w:spacing w:after="20"/>
              <w:jc w:val="right"/>
            </w:pPr>
            <w:r>
              <w:rPr>
                <w:color w:val="1C3A36"/>
                <w:sz w:val="17"/>
              </w:rPr>
              <w:t>118.08</w:t>
            </w:r>
          </w:p>
        </w:tc>
        <w:tc>
          <w:tcPr>
            <w:tcW w:type="dxa" w:w="5688"/>
          </w:tcPr>
          <w:p>
            <w:pPr>
              <w:spacing w:after="20"/>
              <w:jc w:val="right"/>
            </w:pPr>
            <w:r>
              <w:rPr>
                <w:color w:val="1C3A36"/>
                <w:sz w:val="17"/>
              </w:rPr>
              <w:t>bear 99.11 at 5.5× / bull 146.53 at 8.0×</w:t>
            </w:r>
          </w:p>
        </w:tc>
      </w:tr>
    </w:tbl>
    <w:p>
      <w:pPr>
        <w:spacing w:after="40"/>
      </w:pP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where this sits in the cycle</w:t>
      </w:r>
    </w:p>
    <w:p>
      <w:pPr>
        <w:spacing w:after="120" w:before="0"/>
      </w:pPr>
      <w:r>
        <w:rPr>
          <w:b w:val="0"/>
          <w:i w:val="0"/>
          <w:color w:val="1C3A36"/>
          <w:sz w:val="21"/>
        </w:rPr>
        <w:t>The question this lens asks is what the group earns in a year that is neither a currency windfall nor a margin trough. Mid-cycle revenue is taken as the FY2027 forecast of EGP 442,252mn and the mid-cycle EBITDA margin as 11.1% — the average of the later forecast years, comfortably below the FY2024 outturn of 13.6% and above the FY2025 trough of 10.9%.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Mid-cycle revenue</w:t>
            </w:r>
          </w:p>
        </w:tc>
        <w:tc>
          <w:tcPr>
            <w:tcW w:type="dxa" w:w="1944"/>
          </w:tcPr>
          <w:p>
            <w:pPr>
              <w:spacing w:after="20"/>
              <w:jc w:val="right"/>
            </w:pPr>
            <w:r>
              <w:rPr>
                <w:color w:val="1C3A36"/>
                <w:sz w:val="17"/>
              </w:rPr>
              <w:t>442,252</w:t>
            </w:r>
          </w:p>
        </w:tc>
      </w:tr>
      <w:tr>
        <w:tc>
          <w:tcPr>
            <w:tcW w:type="dxa" w:w="6552"/>
          </w:tcPr>
          <w:p>
            <w:pPr>
              <w:spacing w:after="20"/>
            </w:pPr>
            <w:r>
              <w:rPr>
                <w:color w:val="1C3A36"/>
                <w:sz w:val="17"/>
              </w:rPr>
              <w:t>Mid-cycle EBITDA at 11.1%</w:t>
            </w:r>
          </w:p>
        </w:tc>
        <w:tc>
          <w:tcPr>
            <w:tcW w:type="dxa" w:w="1944"/>
          </w:tcPr>
          <w:p>
            <w:pPr>
              <w:spacing w:after="20"/>
              <w:jc w:val="right"/>
            </w:pPr>
            <w:r>
              <w:rPr>
                <w:color w:val="1C3A36"/>
                <w:sz w:val="17"/>
              </w:rPr>
              <w:t>48,914</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(4,644)</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44,271</w:t>
            </w:r>
          </w:p>
        </w:tc>
      </w:tr>
      <w:tr>
        <w:tc>
          <w:tcPr>
            <w:tcW w:type="dxa" w:w="6552"/>
          </w:tcPr>
          <w:p>
            <w:pPr>
              <w:spacing w:after="20"/>
            </w:pPr>
            <w:r>
              <w:rPr>
                <w:color w:val="1C3A36"/>
                <w:sz w:val="17"/>
              </w:rPr>
              <w:t>Less net interest</w:t>
            </w:r>
          </w:p>
        </w:tc>
        <w:tc>
          <w:tcPr>
            <w:tcW w:type="dxa" w:w="1944"/>
          </w:tcPr>
          <w:p>
            <w:pPr>
              <w:spacing w:after="20"/>
              <w:jc w:val="right"/>
            </w:pPr>
            <w:r>
              <w:rPr>
                <w:color w:val="1C3A36"/>
                <w:sz w:val="17"/>
              </w:rPr>
              <w:t>(3,419)</w:t>
            </w:r>
          </w:p>
        </w:tc>
      </w:tr>
      <w:tr>
        <w:tc>
          <w:tcPr>
            <w:tcW w:type="dxa" w:w="6552"/>
          </w:tcPr>
          <w:p>
            <w:pPr>
              <w:spacing w:after="20"/>
            </w:pPr>
            <w:r>
              <w:rPr>
                <w:color w:val="1C3A36"/>
                <w:sz w:val="17"/>
              </w:rPr>
              <w:t>Plus share of equity-accounted investees</w:t>
            </w:r>
          </w:p>
        </w:tc>
        <w:tc>
          <w:tcPr>
            <w:tcW w:type="dxa" w:w="1944"/>
          </w:tcPr>
          <w:p>
            <w:pPr>
              <w:spacing w:after="20"/>
              <w:jc w:val="right"/>
            </w:pPr>
            <w:r>
              <w:rPr>
                <w:color w:val="1C3A36"/>
                <w:sz w:val="17"/>
              </w:rPr>
              <w:t>1,302</w:t>
            </w:r>
          </w:p>
        </w:tc>
      </w:tr>
      <w:tr>
        <w:tc>
          <w:tcPr>
            <w:tcW w:type="dxa" w:w="6552"/>
          </w:tcPr>
          <w:p>
            <w:pPr>
              <w:spacing w:after="20"/>
            </w:pPr>
            <w:r>
              <w:rPr>
                <w:color w:val="1C3A36"/>
                <w:sz w:val="17"/>
              </w:rPr>
              <w:t>Less tax at 25% and minority interests at 9.6%</w:t>
            </w:r>
          </w:p>
        </w:tc>
        <w:tc>
          <w:tcPr>
            <w:tcW w:type="dxa" w:w="1944"/>
          </w:tcPr>
          <w:p>
            <w:pPr>
              <w:spacing w:after="20"/>
              <w:jc w:val="right"/>
            </w:pPr>
            <w:r>
              <w:rPr>
                <w:color w:val="1C3A36"/>
                <w:sz w:val="17"/>
              </w:rPr>
              <w:t>(13,359)</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28,795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13.45</w:t>
            </w:r>
          </w:p>
        </w:tc>
      </w:tr>
      <w:tr>
        <w:tc>
          <w:tcPr>
            <w:tcW w:type="dxa" w:w="6552"/>
          </w:tcPr>
          <w:p>
            <w:pPr>
              <w:spacing w:after="20"/>
            </w:pPr>
            <w:r>
              <w:rPr>
                <w:color w:val="1C3A36"/>
                <w:sz w:val="17"/>
              </w:rPr>
              <w:t>At a justified 9.0× price/earnings (EGP per share)</w:t>
            </w:r>
          </w:p>
        </w:tc>
        <w:tc>
          <w:tcPr>
            <w:tcW w:type="dxa" w:w="1944"/>
          </w:tcPr>
          <w:p>
            <w:pPr>
              <w:spacing w:after="20"/>
              <w:jc w:val="right"/>
            </w:pPr>
            <w:r>
              <w:rPr>
                <w:color w:val="1C3A36"/>
                <w:sz w:val="17"/>
              </w:rPr>
              <w:t>121.06</w:t>
            </w:r>
          </w:p>
        </w:tc>
      </w:tr>
    </w:tbl>
    <w:p>
      <w:pPr>
        <w:spacing w:after="40"/>
      </w:pPr>
    </w:p>
    <w:p>
      <w:pPr>
        <w:spacing w:after="200" w:before="0"/>
      </w:pPr>
      <w:r>
        <w:rPr>
          <w:b w:val="0"/>
          <w:i/>
          <w:color w:val="6E7B77"/>
          <w:sz w:val="17"/>
        </w:rPr>
        <w:t>Bear 94.16 at 7.0× and bull 154.68 at 11.5×.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against the market price of 105.20.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c>
          <w:tcPr>
            <w:tcW w:type="dxa" w:w="3384"/>
          </w:tcPr>
          <w:p>
            <w:pPr>
              <w:spacing w:after="20"/>
            </w:pPr>
            <w:r>
              <w:rPr>
                <w:color w:val="1C3A36"/>
                <w:sz w:val="17"/>
              </w:rPr>
              <w:t>Discounted cash flow (primary)</w:t>
            </w:r>
          </w:p>
        </w:tc>
        <w:tc>
          <w:tcPr>
            <w:tcW w:type="dxa" w:w="1238"/>
          </w:tcPr>
          <w:p>
            <w:pPr>
              <w:spacing w:after="20"/>
              <w:jc w:val="right"/>
            </w:pPr>
            <w:r>
              <w:rPr>
                <w:color w:val="1C3A36"/>
                <w:sz w:val="17"/>
              </w:rPr>
              <w:t>35.60</w:t>
            </w:r>
          </w:p>
        </w:tc>
        <w:tc>
          <w:tcPr>
            <w:tcW w:type="dxa" w:w="1238"/>
          </w:tcPr>
          <w:p>
            <w:pPr>
              <w:spacing w:after="20"/>
              <w:jc w:val="right"/>
            </w:pPr>
            <w:r>
              <w:rPr>
                <w:color w:val="1C3A36"/>
                <w:sz w:val="17"/>
              </w:rPr>
              <w:t>62.72</w:t>
            </w:r>
          </w:p>
        </w:tc>
        <w:tc>
          <w:tcPr>
            <w:tcW w:type="dxa" w:w="1238"/>
          </w:tcPr>
          <w:p>
            <w:pPr>
              <w:spacing w:after="20"/>
              <w:jc w:val="right"/>
            </w:pPr>
            <w:r>
              <w:rPr>
                <w:color w:val="1C3A36"/>
                <w:sz w:val="17"/>
              </w:rPr>
              <w:t>108.97</w:t>
            </w:r>
          </w:p>
        </w:tc>
        <w:tc>
          <w:tcPr>
            <w:tcW w:type="dxa" w:w="1195"/>
          </w:tcPr>
          <w:p>
            <w:pPr>
              <w:spacing w:after="20"/>
              <w:jc w:val="right"/>
            </w:pPr>
            <w:r>
              <w:rPr>
                <w:color w:val="1C3A36"/>
                <w:sz w:val="17"/>
              </w:rPr>
              <w:t>45%</w:t>
            </w:r>
          </w:p>
        </w:tc>
        <w:tc>
          <w:tcPr>
            <w:tcW w:type="dxa" w:w="1642"/>
          </w:tcPr>
          <w:p>
            <w:pPr>
              <w:spacing w:after="20"/>
              <w:jc w:val="right"/>
            </w:pPr>
            <w:r>
              <w:rPr>
                <w:color w:val="1C3A36"/>
                <w:sz w:val="17"/>
              </w:rPr>
              <w:t>28.23</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99.11</w:t>
            </w:r>
          </w:p>
        </w:tc>
        <w:tc>
          <w:tcPr>
            <w:tcW w:type="dxa" w:w="1238"/>
          </w:tcPr>
          <w:p>
            <w:pPr>
              <w:spacing w:after="20"/>
              <w:jc w:val="right"/>
            </w:pPr>
            <w:r>
              <w:rPr>
                <w:color w:val="1C3A36"/>
                <w:sz w:val="17"/>
              </w:rPr>
              <w:t>118.08</w:t>
            </w:r>
          </w:p>
        </w:tc>
        <w:tc>
          <w:tcPr>
            <w:tcW w:type="dxa" w:w="1238"/>
          </w:tcPr>
          <w:p>
            <w:pPr>
              <w:spacing w:after="20"/>
              <w:jc w:val="right"/>
            </w:pPr>
            <w:r>
              <w:rPr>
                <w:color w:val="1C3A36"/>
                <w:sz w:val="17"/>
              </w:rPr>
              <w:t>146.53</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23.62</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94.16</w:t>
            </w:r>
          </w:p>
        </w:tc>
        <w:tc>
          <w:tcPr>
            <w:tcW w:type="dxa" w:w="1238"/>
          </w:tcPr>
          <w:p>
            <w:pPr>
              <w:spacing w:after="20"/>
              <w:jc w:val="right"/>
            </w:pPr>
            <w:r>
              <w:rPr>
                <w:color w:val="1C3A36"/>
                <w:sz w:val="17"/>
              </w:rPr>
              <w:t>121.06</w:t>
            </w:r>
          </w:p>
        </w:tc>
        <w:tc>
          <w:tcPr>
            <w:tcW w:type="dxa" w:w="1238"/>
          </w:tcPr>
          <w:p>
            <w:pPr>
              <w:spacing w:after="20"/>
              <w:jc w:val="right"/>
            </w:pPr>
            <w:r>
              <w:rPr>
                <w:color w:val="1C3A36"/>
                <w:sz w:val="17"/>
              </w:rPr>
              <w:t>154.68</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24.21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26.56</w:t>
            </w:r>
          </w:p>
        </w:tc>
        <w:tc>
          <w:tcPr>
            <w:tcW w:type="dxa" w:w="1238"/>
          </w:tcPr>
          <w:p>
            <w:pPr>
              <w:spacing w:after="20"/>
              <w:jc w:val="right"/>
            </w:pPr>
            <w:r>
              <w:rPr>
                <w:color w:val="1C3A36"/>
                <w:sz w:val="17"/>
              </w:rPr>
              <w:t>33.86</w:t>
            </w:r>
          </w:p>
        </w:tc>
        <w:tc>
          <w:tcPr>
            <w:tcW w:type="dxa" w:w="1238"/>
          </w:tcPr>
          <w:p>
            <w:pPr>
              <w:spacing w:after="20"/>
              <w:jc w:val="right"/>
            </w:pPr>
            <w:r>
              <w:rPr>
                <w:color w:val="1C3A36"/>
                <w:sz w:val="17"/>
              </w:rPr>
              <w:t>48.47</w:t>
            </w:r>
          </w:p>
        </w:tc>
        <w:tc>
          <w:tcPr>
            <w:tcW w:type="dxa" w:w="1195"/>
          </w:tcPr>
          <w:p>
            <w:pPr>
              <w:spacing w:after="20"/>
              <w:jc w:val="right"/>
            </w:pPr>
            <w:r>
              <w:rPr>
                <w:color w:val="1C3A36"/>
                <w:sz w:val="17"/>
              </w:rPr>
              <w:t>15%</w:t>
            </w:r>
          </w:p>
        </w:tc>
        <w:tc>
          <w:tcPr>
            <w:tcW w:type="dxa" w:w="1642"/>
          </w:tcPr>
          <w:p>
            <w:pPr>
              <w:spacing w:after="20"/>
              <w:jc w:val="right"/>
            </w:pPr>
            <w:r>
              <w:rPr>
                <w:color w:val="1C3A36"/>
                <w:sz w:val="17"/>
              </w:rPr>
              <w:t>5.08</w:t>
            </w:r>
          </w:p>
        </w:tc>
      </w:tr>
      <w:tr>
        <w:tc>
          <w:tcPr>
            <w:tcW w:type="dxa" w:w="3384"/>
            <w:shd w:val="clear" w:color="auto" w:fill="F6F1E6"/>
          </w:tcPr>
          <w:p>
            <w:pPr>
              <w:spacing w:after="20"/>
            </w:pPr>
            <w:r>
              <w:rPr>
                <w:b/>
                <w:color w:val="1C3A36"/>
                <w:sz w:val="17"/>
              </w:rPr>
              <w:t>Weighted central</w:t>
            </w:r>
          </w:p>
        </w:tc>
        <w:tc>
          <w:tcPr>
            <w:tcW w:type="dxa" w:w="1238"/>
            <w:shd w:val="clear" w:color="auto" w:fill="F6F1E6"/>
          </w:tcPr>
          <w:p>
            <w:pPr>
              <w:spacing w:after="20"/>
              <w:jc w:val="right"/>
            </w:pPr>
            <w:r>
              <w:rPr>
                <w:b/>
                <w:color w:val="1C3A36"/>
                <w:sz w:val="17"/>
              </w:rPr>
              <w:t>26.56</w:t>
            </w:r>
          </w:p>
        </w:tc>
        <w:tc>
          <w:tcPr>
            <w:tcW w:type="dxa" w:w="1238"/>
            <w:shd w:val="clear" w:color="auto" w:fill="F6F1E6"/>
          </w:tcPr>
          <w:p>
            <w:pPr>
              <w:spacing w:after="20"/>
              <w:jc w:val="right"/>
            </w:pPr>
            <w:r>
              <w:rPr>
                <w:b/>
                <w:color w:val="1C3A36"/>
                <w:sz w:val="17"/>
              </w:rPr>
              <w:t>81.13</w:t>
            </w:r>
          </w:p>
        </w:tc>
        <w:tc>
          <w:tcPr>
            <w:tcW w:type="dxa" w:w="1238"/>
            <w:shd w:val="clear" w:color="auto" w:fill="F6F1E6"/>
          </w:tcPr>
          <w:p>
            <w:pPr>
              <w:spacing w:after="20"/>
              <w:jc w:val="right"/>
            </w:pPr>
            <w:r>
              <w:rPr>
                <w:b/>
                <w:color w:val="1C3A36"/>
                <w:sz w:val="17"/>
              </w:rPr>
              <w:t>154.68</w:t>
            </w:r>
          </w:p>
        </w:tc>
        <w:tc>
          <w:tcPr>
            <w:tcW w:type="dxa" w:w="1195"/>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81.13</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weighted central of EGP 81.13 sits between them.</w:t>
      </w:r>
    </w:p>
    <w:p>
      <w:pPr>
        <w:spacing w:after="80" w:before="200"/>
      </w:pPr>
      <w:r>
        <w:rPr>
          <w:b/>
          <w:i w:val="0"/>
          <w:color w:val="1C3A36"/>
          <w:sz w:val="24"/>
        </w:rPr>
        <w:t>1.6  The drivers — a two-currency revenue build and a segment margin build</w:t>
      </w:r>
    </w:p>
    <w:p>
      <w:pPr>
        <w:spacing w:after="120" w:before="0"/>
      </w:pPr>
      <w:r>
        <w:rPr>
          <w:b w:val="0"/>
          <w:i w:val="0"/>
          <w:color w:val="1C3A36"/>
          <w:sz w:val="21"/>
        </w:rPr>
        <w:t>Revenue is not forecast as a growth rate applied to a revenue line. It is built from volumes and prices, unit by unit, on the company's own disclosed segment data — and the historical build reconciles to the audited income statement to within EGP 1mn on both revenue and gross profit in each of FY2023 and FY2024. Margins are therefore outputs of the build, not inputs to it.</w:t>
      </w:r>
    </w:p>
    <w:p>
      <w:pPr>
        <w:spacing w:after="80" w:before="200"/>
      </w:pPr>
      <w:r>
        <w:rPr>
          <w:b/>
          <w:i w:val="0"/>
          <w:color w:val="1C3A36"/>
          <w:sz w:val="24"/>
        </w:rPr>
        <w:t>The unit economics, as disclosed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2088"/>
        <w:gridCol w:w="2088"/>
        <w:gridCol w:w="2088"/>
      </w:tblGrid>
      <w:tr>
        <w:tc>
          <w:tcPr>
            <w:tcW w:type="dxa" w:w="3816"/>
            <w:shd w:val="clear" w:color="auto" w:fill="EAF0EE"/>
          </w:tcPr>
          <w:p>
            <w:pPr>
              <w:spacing w:after="20"/>
            </w:pPr>
            <w:r>
              <w:rPr>
                <w:b/>
                <w:color w:val="1C3A36"/>
                <w:sz w:val="16"/>
              </w:rPr>
              <w:t>Unit measure</w:t>
            </w:r>
          </w:p>
        </w:tc>
        <w:tc>
          <w:tcPr>
            <w:tcW w:type="dxa" w:w="2088"/>
            <w:shd w:val="clear" w:color="auto" w:fill="EAF0EE"/>
          </w:tcPr>
          <w:p>
            <w:pPr>
              <w:spacing w:after="20"/>
            </w:pPr>
            <w:r>
              <w:rPr>
                <w:b/>
                <w:color w:val="1C3A36"/>
                <w:sz w:val="16"/>
              </w:rPr>
              <w:t>FY2023</w:t>
            </w:r>
          </w:p>
        </w:tc>
        <w:tc>
          <w:tcPr>
            <w:tcW w:type="dxa" w:w="2088"/>
            <w:shd w:val="clear" w:color="auto" w:fill="EAF0EE"/>
          </w:tcPr>
          <w:p>
            <w:pPr>
              <w:spacing w:after="20"/>
            </w:pPr>
            <w:r>
              <w:rPr>
                <w:b/>
                <w:color w:val="1C3A36"/>
                <w:sz w:val="16"/>
              </w:rPr>
              <w:t>FY2024</w:t>
            </w:r>
          </w:p>
        </w:tc>
        <w:tc>
          <w:tcPr>
            <w:tcW w:type="dxa" w:w="2088"/>
            <w:shd w:val="clear" w:color="auto" w:fill="EAF0EE"/>
          </w:tcPr>
          <w:p>
            <w:pPr>
              <w:spacing w:after="20"/>
            </w:pPr>
            <w:r>
              <w:rPr>
                <w:b/>
                <w:color w:val="1C3A36"/>
                <w:sz w:val="16"/>
              </w:rPr>
              <w:t>FY2025</w:t>
            </w:r>
          </w:p>
        </w:tc>
      </w:tr>
      <w:tr>
        <w:tc>
          <w:tcPr>
            <w:tcW w:type="dxa" w:w="3816"/>
          </w:tcPr>
          <w:p>
            <w:pPr>
              <w:spacing w:after="20"/>
            </w:pPr>
            <w:r>
              <w:rPr>
                <w:color w:val="1C3A36"/>
                <w:sz w:val="16"/>
              </w:rPr>
              <w:t>Cable volume (tonnes)</w:t>
            </w:r>
          </w:p>
        </w:tc>
        <w:tc>
          <w:tcPr>
            <w:tcW w:type="dxa" w:w="2088"/>
          </w:tcPr>
          <w:p>
            <w:pPr>
              <w:spacing w:after="20"/>
              <w:jc w:val="right"/>
            </w:pPr>
            <w:r>
              <w:rPr>
                <w:color w:val="1C3A36"/>
                <w:sz w:val="16"/>
              </w:rPr>
              <w:t>156,748</w:t>
            </w:r>
          </w:p>
        </w:tc>
        <w:tc>
          <w:tcPr>
            <w:tcW w:type="dxa" w:w="2088"/>
          </w:tcPr>
          <w:p>
            <w:pPr>
              <w:spacing w:after="20"/>
              <w:jc w:val="right"/>
            </w:pPr>
            <w:r>
              <w:rPr>
                <w:color w:val="1C3A36"/>
                <w:sz w:val="16"/>
              </w:rPr>
              <w:t>167,665</w:t>
            </w:r>
          </w:p>
        </w:tc>
        <w:tc>
          <w:tcPr>
            <w:tcW w:type="dxa" w:w="2088"/>
          </w:tcPr>
          <w:p>
            <w:pPr>
              <w:spacing w:after="20"/>
              <w:jc w:val="right"/>
            </w:pPr>
            <w:r>
              <w:rPr>
                <w:color w:val="1C3A36"/>
                <w:sz w:val="16"/>
              </w:rPr>
              <w:t>154,621 (implied)</w:t>
            </w:r>
          </w:p>
        </w:tc>
      </w:tr>
      <w:tr>
        <w:tc>
          <w:tcPr>
            <w:tcW w:type="dxa" w:w="3816"/>
          </w:tcPr>
          <w:p>
            <w:pPr>
              <w:spacing w:after="20"/>
            </w:pPr>
            <w:r>
              <w:rPr>
                <w:color w:val="1C3A36"/>
                <w:sz w:val="16"/>
              </w:rPr>
              <w:t>Cable price per tonne (EGP)</w:t>
            </w:r>
          </w:p>
        </w:tc>
        <w:tc>
          <w:tcPr>
            <w:tcW w:type="dxa" w:w="2088"/>
          </w:tcPr>
          <w:p>
            <w:pPr>
              <w:spacing w:after="20"/>
              <w:jc w:val="right"/>
            </w:pPr>
            <w:r>
              <w:rPr>
                <w:color w:val="1C3A36"/>
                <w:sz w:val="16"/>
              </w:rPr>
              <w:t>360,780</w:t>
            </w:r>
          </w:p>
        </w:tc>
        <w:tc>
          <w:tcPr>
            <w:tcW w:type="dxa" w:w="2088"/>
          </w:tcPr>
          <w:p>
            <w:pPr>
              <w:spacing w:after="20"/>
              <w:jc w:val="right"/>
            </w:pPr>
            <w:r>
              <w:rPr>
                <w:color w:val="1C3A36"/>
                <w:sz w:val="16"/>
              </w:rPr>
              <w:t>522,361</w:t>
            </w:r>
          </w:p>
        </w:tc>
        <w:tc>
          <w:tcPr>
            <w:tcW w:type="dxa" w:w="2088"/>
          </w:tcPr>
          <w:p>
            <w:pPr>
              <w:spacing w:after="20"/>
              <w:jc w:val="right"/>
            </w:pPr>
            <w:r>
              <w:rPr>
                <w:color w:val="1C3A36"/>
                <w:sz w:val="16"/>
              </w:rPr>
              <w:t>595,898</w:t>
            </w:r>
          </w:p>
        </w:tc>
      </w:tr>
      <w:tr>
        <w:tc>
          <w:tcPr>
            <w:tcW w:type="dxa" w:w="3816"/>
            <w:shd w:val="clear" w:color="auto" w:fill="F6F1E6"/>
          </w:tcPr>
          <w:p>
            <w:pPr>
              <w:spacing w:after="20"/>
            </w:pPr>
            <w:r>
              <w:rPr>
                <w:b/>
                <w:color w:val="1C3A36"/>
                <w:sz w:val="16"/>
              </w:rPr>
              <w:t>Cable gross profit per tonne (EGP)</w:t>
            </w:r>
          </w:p>
        </w:tc>
        <w:tc>
          <w:tcPr>
            <w:tcW w:type="dxa" w:w="2088"/>
            <w:shd w:val="clear" w:color="auto" w:fill="F6F1E6"/>
          </w:tcPr>
          <w:p>
            <w:pPr>
              <w:spacing w:after="20"/>
              <w:jc w:val="right"/>
            </w:pPr>
            <w:r>
              <w:rPr>
                <w:b/>
                <w:color w:val="1C3A36"/>
                <w:sz w:val="16"/>
              </w:rPr>
              <w:t>90,020</w:t>
            </w:r>
          </w:p>
        </w:tc>
        <w:tc>
          <w:tcPr>
            <w:tcW w:type="dxa" w:w="2088"/>
            <w:shd w:val="clear" w:color="auto" w:fill="F6F1E6"/>
          </w:tcPr>
          <w:p>
            <w:pPr>
              <w:spacing w:after="20"/>
              <w:jc w:val="right"/>
            </w:pPr>
            <w:r>
              <w:rPr>
                <w:b/>
                <w:color w:val="1C3A36"/>
                <w:sz w:val="16"/>
              </w:rPr>
              <w:t>119,043</w:t>
            </w:r>
          </w:p>
        </w:tc>
        <w:tc>
          <w:tcPr>
            <w:tcW w:type="dxa" w:w="2088"/>
            <w:shd w:val="clear" w:color="auto" w:fill="F6F1E6"/>
          </w:tcPr>
          <w:p>
            <w:pPr>
              <w:spacing w:after="20"/>
              <w:jc w:val="right"/>
            </w:pPr>
            <w:r>
              <w:rPr>
                <w:b/>
                <w:color w:val="1C3A36"/>
                <w:sz w:val="16"/>
              </w:rPr>
              <w:t>88,173</w:t>
            </w:r>
          </w:p>
        </w:tc>
      </w:tr>
      <w:tr>
        <w:tc>
          <w:tcPr>
            <w:tcW w:type="dxa" w:w="3816"/>
          </w:tcPr>
          <w:p>
            <w:pPr>
              <w:spacing w:after="20"/>
            </w:pPr>
            <w:r>
              <w:rPr>
                <w:color w:val="1C3A36"/>
                <w:sz w:val="16"/>
              </w:rPr>
              <w:t>Copper cost per tonne (EGP)</w:t>
            </w:r>
          </w:p>
        </w:tc>
        <w:tc>
          <w:tcPr>
            <w:tcW w:type="dxa" w:w="2088"/>
          </w:tcPr>
          <w:p>
            <w:pPr>
              <w:spacing w:after="20"/>
              <w:jc w:val="right"/>
            </w:pPr>
            <w:r>
              <w:rPr>
                <w:color w:val="1C3A36"/>
                <w:sz w:val="16"/>
              </w:rPr>
              <w:t>260,275</w:t>
            </w:r>
          </w:p>
        </w:tc>
        <w:tc>
          <w:tcPr>
            <w:tcW w:type="dxa" w:w="2088"/>
          </w:tcPr>
          <w:p>
            <w:pPr>
              <w:spacing w:after="20"/>
              <w:jc w:val="right"/>
            </w:pPr>
            <w:r>
              <w:rPr>
                <w:color w:val="1C3A36"/>
                <w:sz w:val="16"/>
              </w:rPr>
              <w:t>414,359</w:t>
            </w:r>
          </w:p>
        </w:tc>
        <w:tc>
          <w:tcPr>
            <w:tcW w:type="dxa" w:w="2088"/>
          </w:tcPr>
          <w:p>
            <w:pPr>
              <w:spacing w:after="20"/>
              <w:jc w:val="right"/>
            </w:pPr>
            <w:r>
              <w:rPr>
                <w:color w:val="1C3A36"/>
                <w:sz w:val="16"/>
              </w:rPr>
              <w:t>495,000</w:t>
            </w:r>
          </w:p>
        </w:tc>
      </w:tr>
      <w:tr>
        <w:tc>
          <w:tcPr>
            <w:tcW w:type="dxa" w:w="3816"/>
          </w:tcPr>
          <w:p>
            <w:pPr>
              <w:spacing w:after="20"/>
            </w:pPr>
            <w:r>
              <w:rPr>
                <w:color w:val="1C3A36"/>
                <w:sz w:val="16"/>
              </w:rPr>
              <w:t>Fabrication uplift over copper</w:t>
            </w:r>
          </w:p>
        </w:tc>
        <w:tc>
          <w:tcPr>
            <w:tcW w:type="dxa" w:w="2088"/>
          </w:tcPr>
          <w:p>
            <w:pPr>
              <w:spacing w:after="20"/>
              <w:jc w:val="right"/>
            </w:pPr>
            <w:r>
              <w:rPr>
                <w:color w:val="1C3A36"/>
                <w:sz w:val="16"/>
              </w:rPr>
              <w:t>1.386×</w:t>
            </w:r>
          </w:p>
        </w:tc>
        <w:tc>
          <w:tcPr>
            <w:tcW w:type="dxa" w:w="2088"/>
          </w:tcPr>
          <w:p>
            <w:pPr>
              <w:spacing w:after="20"/>
              <w:jc w:val="right"/>
            </w:pPr>
            <w:r>
              <w:rPr>
                <w:color w:val="1C3A36"/>
                <w:sz w:val="16"/>
              </w:rPr>
              <w:t>1.261×</w:t>
            </w:r>
          </w:p>
        </w:tc>
        <w:tc>
          <w:tcPr>
            <w:tcW w:type="dxa" w:w="2088"/>
          </w:tcPr>
          <w:p>
            <w:pPr>
              <w:spacing w:after="20"/>
              <w:jc w:val="right"/>
            </w:pPr>
            <w:r>
              <w:rPr>
                <w:color w:val="1C3A36"/>
                <w:sz w:val="16"/>
              </w:rPr>
              <w:t>1.204×</w:t>
            </w:r>
          </w:p>
        </w:tc>
      </w:tr>
      <w:tr>
        <w:tc>
          <w:tcPr>
            <w:tcW w:type="dxa" w:w="3816"/>
            <w:shd w:val="clear" w:color="auto" w:fill="F6F1E6"/>
          </w:tcPr>
          <w:p>
            <w:pPr>
              <w:spacing w:after="20"/>
            </w:pPr>
            <w:r>
              <w:rPr>
                <w:b/>
                <w:color w:val="1C3A36"/>
                <w:sz w:val="16"/>
              </w:rPr>
              <w:t>Cable conversion margin</w:t>
            </w:r>
          </w:p>
        </w:tc>
        <w:tc>
          <w:tcPr>
            <w:tcW w:type="dxa" w:w="2088"/>
            <w:shd w:val="clear" w:color="auto" w:fill="F6F1E6"/>
          </w:tcPr>
          <w:p>
            <w:pPr>
              <w:spacing w:after="20"/>
              <w:jc w:val="right"/>
            </w:pPr>
            <w:r>
              <w:rPr>
                <w:b/>
                <w:color w:val="1C3A36"/>
                <w:sz w:val="16"/>
              </w:rPr>
              <w:t>25.0%</w:t>
            </w:r>
          </w:p>
        </w:tc>
        <w:tc>
          <w:tcPr>
            <w:tcW w:type="dxa" w:w="2088"/>
            <w:shd w:val="clear" w:color="auto" w:fill="F6F1E6"/>
          </w:tcPr>
          <w:p>
            <w:pPr>
              <w:spacing w:after="20"/>
              <w:jc w:val="right"/>
            </w:pPr>
            <w:r>
              <w:rPr>
                <w:b/>
                <w:color w:val="1C3A36"/>
                <w:sz w:val="16"/>
              </w:rPr>
              <w:t>22.8%</w:t>
            </w:r>
          </w:p>
        </w:tc>
        <w:tc>
          <w:tcPr>
            <w:tcW w:type="dxa" w:w="2088"/>
            <w:shd w:val="clear" w:color="auto" w:fill="F6F1E6"/>
          </w:tcPr>
          <w:p>
            <w:pPr>
              <w:spacing w:after="20"/>
              <w:jc w:val="right"/>
            </w:pPr>
            <w:r>
              <w:rPr>
                <w:b/>
                <w:color w:val="1C3A36"/>
                <w:sz w:val="16"/>
              </w:rPr>
              <w:t>14.8%</w:t>
            </w:r>
          </w:p>
        </w:tc>
      </w:tr>
      <w:tr>
        <w:tc>
          <w:tcPr>
            <w:tcW w:type="dxa" w:w="3816"/>
          </w:tcPr>
          <w:p>
            <w:pPr>
              <w:spacing w:after="20"/>
            </w:pPr>
            <w:r>
              <w:rPr>
                <w:color w:val="1C3A36"/>
                <w:sz w:val="16"/>
              </w:rPr>
              <w:t>Transformer volume (MVA)</w:t>
            </w:r>
          </w:p>
        </w:tc>
        <w:tc>
          <w:tcPr>
            <w:tcW w:type="dxa" w:w="2088"/>
          </w:tcPr>
          <w:p>
            <w:pPr>
              <w:spacing w:after="20"/>
              <w:jc w:val="right"/>
            </w:pPr>
            <w:r>
              <w:rPr>
                <w:color w:val="1C3A36"/>
                <w:sz w:val="16"/>
              </w:rPr>
              <w:t>14,521</w:t>
            </w:r>
          </w:p>
        </w:tc>
        <w:tc>
          <w:tcPr>
            <w:tcW w:type="dxa" w:w="2088"/>
          </w:tcPr>
          <w:p>
            <w:pPr>
              <w:spacing w:after="20"/>
              <w:jc w:val="right"/>
            </w:pPr>
            <w:r>
              <w:rPr>
                <w:color w:val="1C3A36"/>
                <w:sz w:val="16"/>
              </w:rPr>
              <w:t>17,619</w:t>
            </w:r>
          </w:p>
        </w:tc>
        <w:tc>
          <w:tcPr>
            <w:tcW w:type="dxa" w:w="2088"/>
          </w:tcPr>
          <w:p>
            <w:pPr>
              <w:spacing w:after="20"/>
              <w:jc w:val="right"/>
            </w:pPr>
            <w:r>
              <w:rPr>
                <w:color w:val="1C3A36"/>
                <w:sz w:val="16"/>
              </w:rPr>
              <w:t>17,516 (implied)</w:t>
            </w:r>
          </w:p>
        </w:tc>
      </w:tr>
      <w:tr>
        <w:tc>
          <w:tcPr>
            <w:tcW w:type="dxa" w:w="3816"/>
          </w:tcPr>
          <w:p>
            <w:pPr>
              <w:spacing w:after="20"/>
            </w:pPr>
            <w:r>
              <w:rPr>
                <w:color w:val="1C3A36"/>
                <w:sz w:val="16"/>
              </w:rPr>
              <w:t>Transformer gross profit per MVA (EGP)</w:t>
            </w:r>
          </w:p>
        </w:tc>
        <w:tc>
          <w:tcPr>
            <w:tcW w:type="dxa" w:w="2088"/>
          </w:tcPr>
          <w:p>
            <w:pPr>
              <w:spacing w:after="20"/>
              <w:jc w:val="right"/>
            </w:pPr>
            <w:r>
              <w:rPr>
                <w:color w:val="1C3A36"/>
                <w:sz w:val="16"/>
              </w:rPr>
              <w:t>136,347</w:t>
            </w:r>
          </w:p>
        </w:tc>
        <w:tc>
          <w:tcPr>
            <w:tcW w:type="dxa" w:w="2088"/>
          </w:tcPr>
          <w:p>
            <w:pPr>
              <w:spacing w:after="20"/>
              <w:jc w:val="right"/>
            </w:pPr>
            <w:r>
              <w:rPr>
                <w:color w:val="1C3A36"/>
                <w:sz w:val="16"/>
              </w:rPr>
              <w:t>221,068</w:t>
            </w:r>
          </w:p>
        </w:tc>
        <w:tc>
          <w:tcPr>
            <w:tcW w:type="dxa" w:w="2088"/>
          </w:tcPr>
          <w:p>
            <w:pPr>
              <w:spacing w:after="20"/>
              <w:jc w:val="right"/>
            </w:pPr>
            <w:r>
              <w:rPr>
                <w:color w:val="1C3A36"/>
                <w:sz w:val="16"/>
              </w:rPr>
              <w:t>—</w:t>
            </w:r>
          </w:p>
        </w:tc>
      </w:tr>
      <w:tr>
        <w:tc>
          <w:tcPr>
            <w:tcW w:type="dxa" w:w="3816"/>
          </w:tcPr>
          <w:p>
            <w:pPr>
              <w:spacing w:after="20"/>
            </w:pPr>
            <w:r>
              <w:rPr>
                <w:color w:val="1C3A36"/>
                <w:sz w:val="16"/>
              </w:rPr>
              <w:t>Meter volume (units)</w:t>
            </w:r>
          </w:p>
        </w:tc>
        <w:tc>
          <w:tcPr>
            <w:tcW w:type="dxa" w:w="2088"/>
          </w:tcPr>
          <w:p>
            <w:pPr>
              <w:spacing w:after="20"/>
              <w:jc w:val="right"/>
            </w:pPr>
            <w:r>
              <w:rPr>
                <w:color w:val="1C3A36"/>
                <w:sz w:val="16"/>
              </w:rPr>
              <w:t>4,057,065</w:t>
            </w:r>
          </w:p>
        </w:tc>
        <w:tc>
          <w:tcPr>
            <w:tcW w:type="dxa" w:w="2088"/>
          </w:tcPr>
          <w:p>
            <w:pPr>
              <w:spacing w:after="20"/>
              <w:jc w:val="right"/>
            </w:pPr>
            <w:r>
              <w:rPr>
                <w:color w:val="1C3A36"/>
                <w:sz w:val="16"/>
              </w:rPr>
              <w:t>3,850,726</w:t>
            </w:r>
          </w:p>
        </w:tc>
        <w:tc>
          <w:tcPr>
            <w:tcW w:type="dxa" w:w="2088"/>
          </w:tcPr>
          <w:p>
            <w:pPr>
              <w:spacing w:after="20"/>
              <w:jc w:val="right"/>
            </w:pPr>
            <w:r>
              <w:rPr>
                <w:color w:val="1C3A36"/>
                <w:sz w:val="16"/>
              </w:rPr>
              <w:t>5,550,494 (implied)</w:t>
            </w:r>
          </w:p>
        </w:tc>
      </w:tr>
      <w:tr>
        <w:tc>
          <w:tcPr>
            <w:tcW w:type="dxa" w:w="3816"/>
          </w:tcPr>
          <w:p>
            <w:pPr>
              <w:spacing w:after="20"/>
            </w:pPr>
            <w:r>
              <w:rPr>
                <w:color w:val="1C3A36"/>
                <w:sz w:val="16"/>
              </w:rPr>
              <w:t>Meter gross profit per unit (EGP)</w:t>
            </w:r>
          </w:p>
        </w:tc>
        <w:tc>
          <w:tcPr>
            <w:tcW w:type="dxa" w:w="2088"/>
          </w:tcPr>
          <w:p>
            <w:pPr>
              <w:spacing w:after="20"/>
              <w:jc w:val="right"/>
            </w:pPr>
            <w:r>
              <w:rPr>
                <w:color w:val="1C3A36"/>
                <w:sz w:val="16"/>
              </w:rPr>
              <w:t>418</w:t>
            </w:r>
          </w:p>
        </w:tc>
        <w:tc>
          <w:tcPr>
            <w:tcW w:type="dxa" w:w="2088"/>
          </w:tcPr>
          <w:p>
            <w:pPr>
              <w:spacing w:after="20"/>
              <w:jc w:val="right"/>
            </w:pPr>
            <w:r>
              <w:rPr>
                <w:color w:val="1C3A36"/>
                <w:sz w:val="16"/>
              </w:rPr>
              <w:t>707</w:t>
            </w:r>
          </w:p>
        </w:tc>
        <w:tc>
          <w:tcPr>
            <w:tcW w:type="dxa" w:w="2088"/>
          </w:tcPr>
          <w:p>
            <w:pPr>
              <w:spacing w:after="20"/>
              <w:jc w:val="right"/>
            </w:pPr>
            <w:r>
              <w:rPr>
                <w:color w:val="1C3A36"/>
                <w:sz w:val="16"/>
              </w:rPr>
              <w:t>—</w:t>
            </w:r>
          </w:p>
        </w:tc>
      </w:tr>
      <w:tr>
        <w:tc>
          <w:tcPr>
            <w:tcW w:type="dxa" w:w="3816"/>
          </w:tcPr>
          <w:p>
            <w:pPr>
              <w:spacing w:after="20"/>
            </w:pPr>
            <w:r>
              <w:rPr>
                <w:color w:val="1C3A36"/>
                <w:sz w:val="16"/>
              </w:rPr>
              <w:t>Operating load between gross profit and EBITDA</w:t>
            </w:r>
          </w:p>
        </w:tc>
        <w:tc>
          <w:tcPr>
            <w:tcW w:type="dxa" w:w="2088"/>
          </w:tcPr>
          <w:p>
            <w:pPr>
              <w:spacing w:after="20"/>
              <w:jc w:val="right"/>
            </w:pPr>
            <w:r>
              <w:rPr>
                <w:color w:val="1C3A36"/>
                <w:sz w:val="16"/>
              </w:rPr>
              <w:t>5.9%</w:t>
            </w:r>
          </w:p>
        </w:tc>
        <w:tc>
          <w:tcPr>
            <w:tcW w:type="dxa" w:w="2088"/>
          </w:tcPr>
          <w:p>
            <w:pPr>
              <w:spacing w:after="20"/>
              <w:jc w:val="right"/>
            </w:pPr>
            <w:r>
              <w:rPr>
                <w:color w:val="1C3A36"/>
                <w:sz w:val="16"/>
              </w:rPr>
              <w:t>5.3%</w:t>
            </w:r>
          </w:p>
        </w:tc>
        <w:tc>
          <w:tcPr>
            <w:tcW w:type="dxa" w:w="2088"/>
          </w:tcPr>
          <w:p>
            <w:pPr>
              <w:spacing w:after="20"/>
              <w:jc w:val="right"/>
            </w:pPr>
            <w:r>
              <w:rPr>
                <w:color w:val="1C3A36"/>
                <w:sz w:val="16"/>
              </w:rPr>
              <w:t>3.6%</w:t>
            </w:r>
          </w:p>
        </w:tc>
      </w:tr>
    </w:tbl>
    <w:p>
      <w:pPr>
        <w:spacing w:after="40"/>
      </w:pPr>
    </w:p>
    <w:p>
      <w:pPr>
        <w:spacing w:after="200" w:before="0"/>
      </w:pPr>
      <w:r>
        <w:rPr>
          <w:b w:val="0"/>
          <w:i/>
          <w:color w:val="6E7B77"/>
          <w:sz w:val="17"/>
        </w:rPr>
        <w:t>Volumes, prices per tonne and gross profit per tonne for FY2023 and FY2024 are the company's own disclosures — the per-unit gross profit figures reproduce the published 90,020 and 119,043 per tonne, 418 and 707 per meter, and 136,345 and 221,065 per MVA exactly. FY2025 volumes are implied from the disclosed first-quarter prints and the prior-year seasonal share, and the FY2025 cable price per tonne is the residual against disclosed group revenue — which back-solves a fabrication uplift of 1.204, sitting between the two audited years. That the residual lands inside the historical range is the check that it is economics rather than a plug absorbing an error.</w:t>
      </w:r>
    </w:p>
    <w:p>
      <w:pPr>
        <w:spacing w:after="120" w:before="0"/>
      </w:pPr>
      <w:r>
        <w:rPr>
          <w:b w:val="0"/>
          <w:i w:val="0"/>
          <w:color w:val="1C3A36"/>
          <w:sz w:val="21"/>
        </w:rPr>
        <w:t>The single most important line in that table is the cable conversion margin. It ran at 25.0% in FY2023 and 22.8% in FY2024 — years when a collapsing pound turned cheaply bought copper inventory into windfall profit — and roughly halved to 14.8% in FY2025. That one number is most of the group's gross-margin decline, and it is disclosed rather than inferred: it comes from the published gross profit per tonne.</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238"/>
        <w:gridCol w:w="1267"/>
        <w:gridCol w:w="1267"/>
        <w:gridCol w:w="1267"/>
        <w:gridCol w:w="1267"/>
        <w:gridCol w:w="1267"/>
      </w:tblGrid>
      <w:tr>
        <w:tc>
          <w:tcPr>
            <w:tcW w:type="dxa" w:w="2477"/>
            <w:shd w:val="clear" w:color="auto" w:fill="EAF0EE"/>
          </w:tcPr>
          <w:p>
            <w:pPr>
              <w:spacing w:after="20"/>
            </w:pPr>
            <w:r>
              <w:rPr>
                <w:b/>
                <w:color w:val="1C3A36"/>
                <w:sz w:val="16"/>
              </w:rPr>
              <w:t>Driver</w:t>
            </w:r>
          </w:p>
        </w:tc>
        <w:tc>
          <w:tcPr>
            <w:tcW w:type="dxa" w:w="1238"/>
            <w:shd w:val="clear" w:color="auto" w:fill="EAF0EE"/>
          </w:tcPr>
          <w:p>
            <w:pPr>
              <w:spacing w:after="20"/>
            </w:pPr>
            <w:r>
              <w:rPr>
                <w:b/>
                <w:color w:val="1C3A36"/>
                <w:sz w:val="16"/>
              </w:rPr>
              <w:t>FY2025 base</w:t>
            </w:r>
          </w:p>
        </w:tc>
        <w:tc>
          <w:tcPr>
            <w:tcW w:type="dxa" w:w="1267"/>
            <w:shd w:val="clear" w:color="auto" w:fill="EAF0EE"/>
          </w:tcPr>
          <w:p>
            <w:pPr>
              <w:spacing w:after="20"/>
            </w:pPr>
            <w:r>
              <w:rPr>
                <w:b/>
                <w:color w:val="1C3A36"/>
                <w:sz w:val="16"/>
              </w:rPr>
              <w:t>FY26E</w:t>
            </w:r>
          </w:p>
        </w:tc>
        <w:tc>
          <w:tcPr>
            <w:tcW w:type="dxa" w:w="1267"/>
            <w:shd w:val="clear" w:color="auto" w:fill="EAF0EE"/>
          </w:tcPr>
          <w:p>
            <w:pPr>
              <w:spacing w:after="20"/>
            </w:pPr>
            <w:r>
              <w:rPr>
                <w:b/>
                <w:color w:val="1C3A36"/>
                <w:sz w:val="16"/>
              </w:rPr>
              <w:t>FY27E</w:t>
            </w:r>
          </w:p>
        </w:tc>
        <w:tc>
          <w:tcPr>
            <w:tcW w:type="dxa" w:w="1267"/>
            <w:shd w:val="clear" w:color="auto" w:fill="EAF0EE"/>
          </w:tcPr>
          <w:p>
            <w:pPr>
              <w:spacing w:after="20"/>
            </w:pPr>
            <w:r>
              <w:rPr>
                <w:b/>
                <w:color w:val="1C3A36"/>
                <w:sz w:val="16"/>
              </w:rPr>
              <w:t>FY28E</w:t>
            </w:r>
          </w:p>
        </w:tc>
        <w:tc>
          <w:tcPr>
            <w:tcW w:type="dxa" w:w="1267"/>
            <w:shd w:val="clear" w:color="auto" w:fill="EAF0EE"/>
          </w:tcPr>
          <w:p>
            <w:pPr>
              <w:spacing w:after="20"/>
            </w:pPr>
            <w:r>
              <w:rPr>
                <w:b/>
                <w:color w:val="1C3A36"/>
                <w:sz w:val="16"/>
              </w:rPr>
              <w:t>FY29E</w:t>
            </w:r>
          </w:p>
        </w:tc>
        <w:tc>
          <w:tcPr>
            <w:tcW w:type="dxa" w:w="1267"/>
            <w:shd w:val="clear" w:color="auto" w:fill="EAF0EE"/>
          </w:tcPr>
          <w:p>
            <w:pPr>
              <w:spacing w:after="20"/>
            </w:pPr>
            <w:r>
              <w:rPr>
                <w:b/>
                <w:color w:val="1C3A36"/>
                <w:sz w:val="16"/>
              </w:rPr>
              <w:t>FY30E</w:t>
            </w:r>
          </w:p>
        </w:tc>
      </w:tr>
      <w:tr>
        <w:tc>
          <w:tcPr>
            <w:tcW w:type="dxa" w:w="2477"/>
          </w:tcPr>
          <w:p>
            <w:pPr>
              <w:spacing w:after="20"/>
            </w:pPr>
            <w:r>
              <w:rPr>
                <w:color w:val="1C3A36"/>
                <w:sz w:val="16"/>
              </w:rPr>
              <w:t>Copper (USD/tonne)</w:t>
            </w:r>
          </w:p>
        </w:tc>
        <w:tc>
          <w:tcPr>
            <w:tcW w:type="dxa" w:w="1238"/>
          </w:tcPr>
          <w:p>
            <w:pPr>
              <w:spacing w:after="20"/>
              <w:jc w:val="right"/>
            </w:pPr>
            <w:r>
              <w:rPr>
                <w:color w:val="1C3A36"/>
                <w:sz w:val="16"/>
              </w:rPr>
              <w:t>10,000</w:t>
            </w:r>
          </w:p>
        </w:tc>
        <w:tc>
          <w:tcPr>
            <w:tcW w:type="dxa" w:w="1267"/>
          </w:tcPr>
          <w:p>
            <w:pPr>
              <w:spacing w:after="20"/>
              <w:jc w:val="right"/>
            </w:pPr>
            <w:r>
              <w:rPr>
                <w:color w:val="1C3A36"/>
                <w:sz w:val="16"/>
              </w:rPr>
              <w:t>13,400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r>
      <w:tr>
        <w:tc>
          <w:tcPr>
            <w:tcW w:type="dxa" w:w="2477"/>
          </w:tcPr>
          <w:p>
            <w:pPr>
              <w:spacing w:after="20"/>
            </w:pPr>
            <w:r>
              <w:rPr>
                <w:color w:val="1C3A36"/>
                <w:sz w:val="16"/>
              </w:rPr>
              <w:t>USD/EGP average rate</w:t>
            </w:r>
          </w:p>
        </w:tc>
        <w:tc>
          <w:tcPr>
            <w:tcW w:type="dxa" w:w="1238"/>
          </w:tcPr>
          <w:p>
            <w:pPr>
              <w:spacing w:after="20"/>
              <w:jc w:val="right"/>
            </w:pPr>
            <w:r>
              <w:rPr>
                <w:color w:val="1C3A36"/>
                <w:sz w:val="16"/>
              </w:rPr>
              <w:t>49.5</w:t>
            </w:r>
          </w:p>
        </w:tc>
        <w:tc>
          <w:tcPr>
            <w:tcW w:type="dxa" w:w="1267"/>
          </w:tcPr>
          <w:p>
            <w:pPr>
              <w:spacing w:after="20"/>
              <w:jc w:val="right"/>
            </w:pPr>
            <w:r>
              <w:rPr>
                <w:color w:val="1C3A36"/>
                <w:sz w:val="16"/>
              </w:rPr>
              <w:t>51.0</w:t>
            </w:r>
          </w:p>
        </w:tc>
        <w:tc>
          <w:tcPr>
            <w:tcW w:type="dxa" w:w="1267"/>
          </w:tcPr>
          <w:p>
            <w:pPr>
              <w:spacing w:after="20"/>
              <w:jc w:val="right"/>
            </w:pPr>
            <w:r>
              <w:rPr>
                <w:color w:val="1C3A36"/>
                <w:sz w:val="16"/>
              </w:rPr>
              <w:t>54.0</w:t>
            </w:r>
          </w:p>
        </w:tc>
        <w:tc>
          <w:tcPr>
            <w:tcW w:type="dxa" w:w="1267"/>
          </w:tcPr>
          <w:p>
            <w:pPr>
              <w:spacing w:after="20"/>
              <w:jc w:val="right"/>
            </w:pPr>
            <w:r>
              <w:rPr>
                <w:color w:val="1C3A36"/>
                <w:sz w:val="16"/>
              </w:rPr>
              <w:t>57.5</w:t>
            </w:r>
          </w:p>
        </w:tc>
        <w:tc>
          <w:tcPr>
            <w:tcW w:type="dxa" w:w="1267"/>
          </w:tcPr>
          <w:p>
            <w:pPr>
              <w:spacing w:after="20"/>
              <w:jc w:val="right"/>
            </w:pPr>
            <w:r>
              <w:rPr>
                <w:color w:val="1C3A36"/>
                <w:sz w:val="16"/>
              </w:rPr>
              <w:t>61.0</w:t>
            </w:r>
          </w:p>
        </w:tc>
        <w:tc>
          <w:tcPr>
            <w:tcW w:type="dxa" w:w="1267"/>
          </w:tcPr>
          <w:p>
            <w:pPr>
              <w:spacing w:after="20"/>
              <w:jc w:val="right"/>
            </w:pPr>
            <w:r>
              <w:rPr>
                <w:color w:val="1C3A36"/>
                <w:sz w:val="16"/>
              </w:rPr>
              <w:t>64.5</w:t>
            </w:r>
          </w:p>
        </w:tc>
      </w:tr>
      <w:tr>
        <w:tc>
          <w:tcPr>
            <w:tcW w:type="dxa" w:w="2477"/>
          </w:tcPr>
          <w:p>
            <w:pPr>
              <w:spacing w:after="20"/>
            </w:pPr>
            <w:r>
              <w:rPr>
                <w:color w:val="1C3A36"/>
                <w:sz w:val="16"/>
              </w:rPr>
              <w:t>Cable volume (tonnes)</w:t>
            </w:r>
          </w:p>
        </w:tc>
        <w:tc>
          <w:tcPr>
            <w:tcW w:type="dxa" w:w="1238"/>
          </w:tcPr>
          <w:p>
            <w:pPr>
              <w:spacing w:after="20"/>
              <w:jc w:val="right"/>
            </w:pPr>
            <w:r>
              <w:rPr>
                <w:color w:val="1C3A36"/>
                <w:sz w:val="16"/>
              </w:rPr>
              <w:t>154,621</w:t>
            </w:r>
          </w:p>
        </w:tc>
        <w:tc>
          <w:tcPr>
            <w:tcW w:type="dxa" w:w="1267"/>
          </w:tcPr>
          <w:p>
            <w:pPr>
              <w:spacing w:after="20"/>
              <w:jc w:val="right"/>
            </w:pPr>
            <w:r>
              <w:rPr>
                <w:color w:val="1C3A36"/>
                <w:sz w:val="16"/>
              </w:rPr>
              <w:t>163,898</w:t>
            </w:r>
          </w:p>
        </w:tc>
        <w:tc>
          <w:tcPr>
            <w:tcW w:type="dxa" w:w="1267"/>
          </w:tcPr>
          <w:p>
            <w:pPr>
              <w:spacing w:after="20"/>
              <w:jc w:val="right"/>
            </w:pPr>
            <w:r>
              <w:rPr>
                <w:color w:val="1C3A36"/>
                <w:sz w:val="16"/>
              </w:rPr>
              <w:t>172,093</w:t>
            </w:r>
          </w:p>
        </w:tc>
        <w:tc>
          <w:tcPr>
            <w:tcW w:type="dxa" w:w="1267"/>
          </w:tcPr>
          <w:p>
            <w:pPr>
              <w:spacing w:after="20"/>
              <w:jc w:val="right"/>
            </w:pPr>
            <w:r>
              <w:rPr>
                <w:color w:val="1C3A36"/>
                <w:sz w:val="16"/>
              </w:rPr>
              <w:t>178,977</w:t>
            </w:r>
          </w:p>
        </w:tc>
        <w:tc>
          <w:tcPr>
            <w:tcW w:type="dxa" w:w="1267"/>
          </w:tcPr>
          <w:p>
            <w:pPr>
              <w:spacing w:after="20"/>
              <w:jc w:val="right"/>
            </w:pPr>
            <w:r>
              <w:rPr>
                <w:color w:val="1C3A36"/>
                <w:sz w:val="16"/>
              </w:rPr>
              <w:t>186,136</w:t>
            </w:r>
          </w:p>
        </w:tc>
        <w:tc>
          <w:tcPr>
            <w:tcW w:type="dxa" w:w="1267"/>
          </w:tcPr>
          <w:p>
            <w:pPr>
              <w:spacing w:after="20"/>
              <w:jc w:val="right"/>
            </w:pPr>
            <w:r>
              <w:rPr>
                <w:color w:val="1C3A36"/>
                <w:sz w:val="16"/>
              </w:rPr>
              <w:t>193,581</w:t>
            </w:r>
          </w:p>
        </w:tc>
      </w:tr>
      <w:tr>
        <w:tc>
          <w:tcPr>
            <w:tcW w:type="dxa" w:w="2477"/>
          </w:tcPr>
          <w:p>
            <w:pPr>
              <w:spacing w:after="20"/>
            </w:pPr>
            <w:r>
              <w:rPr>
                <w:color w:val="1C3A36"/>
                <w:sz w:val="16"/>
              </w:rPr>
              <w:t>Cable volume growth</w:t>
            </w:r>
          </w:p>
        </w:tc>
        <w:tc>
          <w:tcPr>
            <w:tcW w:type="dxa" w:w="1238"/>
          </w:tcPr>
          <w:p>
            <w:pPr>
              <w:spacing w:after="20"/>
              <w:jc w:val="right"/>
            </w:pPr>
            <w:r>
              <w:rPr>
                <w:color w:val="1C3A36"/>
                <w:sz w:val="16"/>
              </w:rPr>
              <w:t>—</w:t>
            </w:r>
          </w:p>
        </w:tc>
        <w:tc>
          <w:tcPr>
            <w:tcW w:type="dxa" w:w="1267"/>
          </w:tcPr>
          <w:p>
            <w:pPr>
              <w:spacing w:after="20"/>
              <w:jc w:val="right"/>
            </w:pPr>
            <w:r>
              <w:rPr>
                <w:color w:val="1C3A36"/>
                <w:sz w:val="16"/>
              </w:rPr>
              <w:t>6.0%</w:t>
            </w:r>
          </w:p>
        </w:tc>
        <w:tc>
          <w:tcPr>
            <w:tcW w:type="dxa" w:w="1267"/>
          </w:tcPr>
          <w:p>
            <w:pPr>
              <w:spacing w:after="20"/>
              <w:jc w:val="right"/>
            </w:pPr>
            <w:r>
              <w:rPr>
                <w:color w:val="1C3A36"/>
                <w:sz w:val="16"/>
              </w:rPr>
              <w:t>5.0%</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4.0%</w:t>
            </w:r>
          </w:p>
        </w:tc>
      </w:tr>
      <w:tr>
        <w:tc>
          <w:tcPr>
            <w:tcW w:type="dxa" w:w="2477"/>
          </w:tcPr>
          <w:p>
            <w:pPr>
              <w:spacing w:after="20"/>
            </w:pPr>
            <w:r>
              <w:rPr>
                <w:color w:val="1C3A36"/>
                <w:sz w:val="16"/>
              </w:rPr>
              <w:t>Fabrication uplift</w:t>
            </w:r>
          </w:p>
        </w:tc>
        <w:tc>
          <w:tcPr>
            <w:tcW w:type="dxa" w:w="1238"/>
          </w:tcPr>
          <w:p>
            <w:pPr>
              <w:spacing w:after="20"/>
              <w:jc w:val="right"/>
            </w:pPr>
            <w:r>
              <w:rPr>
                <w:color w:val="1C3A36"/>
                <w:sz w:val="16"/>
              </w:rPr>
              <w:t>1.204×</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r>
      <w:tr>
        <w:tc>
          <w:tcPr>
            <w:tcW w:type="dxa" w:w="2477"/>
          </w:tcPr>
          <w:p>
            <w:pPr>
              <w:spacing w:after="20"/>
            </w:pPr>
            <w:r>
              <w:rPr>
                <w:color w:val="1C3A36"/>
                <w:sz w:val="16"/>
              </w:rPr>
              <w:t>Transformer volume (MVA)</w:t>
            </w:r>
          </w:p>
        </w:tc>
        <w:tc>
          <w:tcPr>
            <w:tcW w:type="dxa" w:w="1238"/>
          </w:tcPr>
          <w:p>
            <w:pPr>
              <w:spacing w:after="20"/>
              <w:jc w:val="right"/>
            </w:pPr>
            <w:r>
              <w:rPr>
                <w:color w:val="1C3A36"/>
                <w:sz w:val="16"/>
              </w:rPr>
              <w:t>17,516</w:t>
            </w:r>
          </w:p>
        </w:tc>
        <w:tc>
          <w:tcPr>
            <w:tcW w:type="dxa" w:w="1267"/>
          </w:tcPr>
          <w:p>
            <w:pPr>
              <w:spacing w:after="20"/>
              <w:jc w:val="right"/>
            </w:pPr>
            <w:r>
              <w:rPr>
                <w:color w:val="1C3A36"/>
                <w:sz w:val="16"/>
              </w:rPr>
              <w:t>18,918</w:t>
            </w:r>
          </w:p>
        </w:tc>
        <w:tc>
          <w:tcPr>
            <w:tcW w:type="dxa" w:w="1267"/>
          </w:tcPr>
          <w:p>
            <w:pPr>
              <w:spacing w:after="20"/>
              <w:jc w:val="right"/>
            </w:pPr>
            <w:r>
              <w:rPr>
                <w:color w:val="1C3A36"/>
                <w:sz w:val="16"/>
              </w:rPr>
              <w:t>20,242</w:t>
            </w:r>
          </w:p>
        </w:tc>
        <w:tc>
          <w:tcPr>
            <w:tcW w:type="dxa" w:w="1267"/>
          </w:tcPr>
          <w:p>
            <w:pPr>
              <w:spacing w:after="20"/>
              <w:jc w:val="right"/>
            </w:pPr>
            <w:r>
              <w:rPr>
                <w:color w:val="1C3A36"/>
                <w:sz w:val="16"/>
              </w:rPr>
              <w:t>21,456</w:t>
            </w:r>
          </w:p>
        </w:tc>
        <w:tc>
          <w:tcPr>
            <w:tcW w:type="dxa" w:w="1267"/>
          </w:tcPr>
          <w:p>
            <w:pPr>
              <w:spacing w:after="20"/>
              <w:jc w:val="right"/>
            </w:pPr>
            <w:r>
              <w:rPr>
                <w:color w:val="1C3A36"/>
                <w:sz w:val="16"/>
              </w:rPr>
              <w:t>22,529</w:t>
            </w:r>
          </w:p>
        </w:tc>
        <w:tc>
          <w:tcPr>
            <w:tcW w:type="dxa" w:w="1267"/>
          </w:tcPr>
          <w:p>
            <w:pPr>
              <w:spacing w:after="20"/>
              <w:jc w:val="right"/>
            </w:pPr>
            <w:r>
              <w:rPr>
                <w:color w:val="1C3A36"/>
                <w:sz w:val="16"/>
              </w:rPr>
              <w:t>23,655</w:t>
            </w:r>
          </w:p>
        </w:tc>
      </w:tr>
      <w:tr>
        <w:tc>
          <w:tcPr>
            <w:tcW w:type="dxa" w:w="2477"/>
          </w:tcPr>
          <w:p>
            <w:pPr>
              <w:spacing w:after="20"/>
            </w:pPr>
            <w:r>
              <w:rPr>
                <w:color w:val="1C3A36"/>
                <w:sz w:val="16"/>
              </w:rPr>
              <w:t>Meter volume (units, mn)</w:t>
            </w:r>
          </w:p>
        </w:tc>
        <w:tc>
          <w:tcPr>
            <w:tcW w:type="dxa" w:w="1238"/>
          </w:tcPr>
          <w:p>
            <w:pPr>
              <w:spacing w:after="20"/>
              <w:jc w:val="right"/>
            </w:pPr>
            <w:r>
              <w:rPr>
                <w:color w:val="1C3A36"/>
                <w:sz w:val="16"/>
              </w:rPr>
              <w:t>5.6</w:t>
            </w:r>
          </w:p>
        </w:tc>
        <w:tc>
          <w:tcPr>
            <w:tcW w:type="dxa" w:w="1267"/>
          </w:tcPr>
          <w:p>
            <w:pPr>
              <w:spacing w:after="20"/>
              <w:jc w:val="right"/>
            </w:pPr>
            <w:r>
              <w:rPr>
                <w:color w:val="1C3A36"/>
                <w:sz w:val="16"/>
              </w:rPr>
              <w:t>5.9</w:t>
            </w:r>
          </w:p>
        </w:tc>
        <w:tc>
          <w:tcPr>
            <w:tcW w:type="dxa" w:w="1267"/>
          </w:tcPr>
          <w:p>
            <w:pPr>
              <w:spacing w:after="20"/>
              <w:jc w:val="right"/>
            </w:pPr>
            <w:r>
              <w:rPr>
                <w:color w:val="1C3A36"/>
                <w:sz w:val="16"/>
              </w:rPr>
              <w:t>6.2</w:t>
            </w:r>
          </w:p>
        </w:tc>
        <w:tc>
          <w:tcPr>
            <w:tcW w:type="dxa" w:w="1267"/>
          </w:tcPr>
          <w:p>
            <w:pPr>
              <w:spacing w:after="20"/>
              <w:jc w:val="right"/>
            </w:pPr>
            <w:r>
              <w:rPr>
                <w:color w:val="1C3A36"/>
                <w:sz w:val="16"/>
              </w:rPr>
              <w:t>6.5</w:t>
            </w:r>
          </w:p>
        </w:tc>
        <w:tc>
          <w:tcPr>
            <w:tcW w:type="dxa" w:w="1267"/>
          </w:tcPr>
          <w:p>
            <w:pPr>
              <w:spacing w:after="20"/>
              <w:jc w:val="right"/>
            </w:pPr>
            <w:r>
              <w:rPr>
                <w:color w:val="1C3A36"/>
                <w:sz w:val="16"/>
              </w:rPr>
              <w:t>6.7</w:t>
            </w:r>
          </w:p>
        </w:tc>
        <w:tc>
          <w:tcPr>
            <w:tcW w:type="dxa" w:w="1267"/>
          </w:tcPr>
          <w:p>
            <w:pPr>
              <w:spacing w:after="20"/>
              <w:jc w:val="right"/>
            </w:pPr>
            <w:r>
              <w:rPr>
                <w:color w:val="1C3A36"/>
                <w:sz w:val="16"/>
              </w:rPr>
              <w:t>7.0</w:t>
            </w:r>
          </w:p>
        </w:tc>
      </w:tr>
      <w:tr>
        <w:tc>
          <w:tcPr>
            <w:tcW w:type="dxa" w:w="2477"/>
          </w:tcPr>
          <w:p>
            <w:pPr>
              <w:spacing w:after="20"/>
            </w:pPr>
            <w:r>
              <w:rPr>
                <w:color w:val="1C3A36"/>
                <w:sz w:val="16"/>
              </w:rPr>
              <w:t>Order book, year-end (EGP mn)</w:t>
            </w:r>
          </w:p>
        </w:tc>
        <w:tc>
          <w:tcPr>
            <w:tcW w:type="dxa" w:w="1238"/>
          </w:tcPr>
          <w:p>
            <w:pPr>
              <w:spacing w:after="20"/>
              <w:jc w:val="right"/>
            </w:pPr>
            <w:r>
              <w:rPr>
                <w:color w:val="1C3A36"/>
                <w:sz w:val="16"/>
              </w:rPr>
              <w:t>323,700</w:t>
            </w:r>
          </w:p>
        </w:tc>
        <w:tc>
          <w:tcPr>
            <w:tcW w:type="dxa" w:w="1267"/>
          </w:tcPr>
          <w:p>
            <w:pPr>
              <w:spacing w:after="20"/>
              <w:jc w:val="right"/>
            </w:pPr>
            <w:r>
              <w:rPr>
                <w:color w:val="1C3A36"/>
                <w:sz w:val="16"/>
              </w:rPr>
              <w:t>328,070</w:t>
            </w:r>
          </w:p>
        </w:tc>
        <w:tc>
          <w:tcPr>
            <w:tcW w:type="dxa" w:w="1267"/>
          </w:tcPr>
          <w:p>
            <w:pPr>
              <w:spacing w:after="20"/>
              <w:jc w:val="right"/>
            </w:pPr>
            <w:r>
              <w:rPr>
                <w:color w:val="1C3A36"/>
                <w:sz w:val="16"/>
              </w:rPr>
              <w:t>332,417</w:t>
            </w:r>
          </w:p>
        </w:tc>
        <w:tc>
          <w:tcPr>
            <w:tcW w:type="dxa" w:w="1267"/>
          </w:tcPr>
          <w:p>
            <w:pPr>
              <w:spacing w:after="20"/>
              <w:jc w:val="right"/>
            </w:pPr>
            <w:r>
              <w:rPr>
                <w:color w:val="1C3A36"/>
                <w:sz w:val="16"/>
              </w:rPr>
              <w:t>335,010</w:t>
            </w:r>
          </w:p>
        </w:tc>
        <w:tc>
          <w:tcPr>
            <w:tcW w:type="dxa" w:w="1267"/>
          </w:tcPr>
          <w:p>
            <w:pPr>
              <w:spacing w:after="20"/>
              <w:jc w:val="right"/>
            </w:pPr>
            <w:r>
              <w:rPr>
                <w:color w:val="1C3A36"/>
                <w:sz w:val="16"/>
              </w:rPr>
              <w:t>336,718</w:t>
            </w:r>
          </w:p>
        </w:tc>
        <w:tc>
          <w:tcPr>
            <w:tcW w:type="dxa" w:w="1267"/>
          </w:tcPr>
          <w:p>
            <w:pPr>
              <w:spacing w:after="20"/>
              <w:jc w:val="right"/>
            </w:pPr>
            <w:r>
              <w:rPr>
                <w:color w:val="1C3A36"/>
                <w:sz w:val="16"/>
              </w:rPr>
              <w:t>336,718</w:t>
            </w:r>
          </w:p>
        </w:tc>
      </w:tr>
      <w:tr>
        <w:tc>
          <w:tcPr>
            <w:tcW w:type="dxa" w:w="2477"/>
          </w:tcPr>
          <w:p>
            <w:pPr>
              <w:spacing w:after="20"/>
            </w:pPr>
            <w:r>
              <w:rPr>
                <w:color w:val="1C3A36"/>
                <w:sz w:val="16"/>
              </w:rPr>
              <w:t>Order-book conversion rate</w:t>
            </w:r>
          </w:p>
        </w:tc>
        <w:tc>
          <w:tcPr>
            <w:tcW w:type="dxa" w:w="1238"/>
          </w:tcPr>
          <w:p>
            <w:pPr>
              <w:spacing w:after="20"/>
              <w:jc w:val="right"/>
            </w:pPr>
            <w:r>
              <w:rPr>
                <w:color w:val="1C3A36"/>
                <w:sz w:val="16"/>
              </w:rPr>
              <w:t>—</w:t>
            </w:r>
          </w:p>
        </w:tc>
        <w:tc>
          <w:tcPr>
            <w:tcW w:type="dxa" w:w="1267"/>
          </w:tcPr>
          <w:p>
            <w:pPr>
              <w:spacing w:after="20"/>
              <w:jc w:val="right"/>
            </w:pPr>
            <w:r>
              <w:rPr>
                <w:color w:val="1C3A36"/>
                <w:sz w:val="16"/>
              </w:rPr>
              <w:t>27.0%</w:t>
            </w:r>
          </w:p>
        </w:tc>
        <w:tc>
          <w:tcPr>
            <w:tcW w:type="dxa" w:w="1267"/>
          </w:tcPr>
          <w:p>
            <w:pPr>
              <w:spacing w:after="20"/>
              <w:jc w:val="right"/>
            </w:pPr>
            <w:r>
              <w:rPr>
                <w:color w:val="1C3A36"/>
                <w:sz w:val="16"/>
              </w:rPr>
              <w:t>26.5%</w:t>
            </w:r>
          </w:p>
        </w:tc>
        <w:tc>
          <w:tcPr>
            <w:tcW w:type="dxa" w:w="1267"/>
          </w:tcPr>
          <w:p>
            <w:pPr>
              <w:spacing w:after="20"/>
              <w:jc w:val="right"/>
            </w:pPr>
            <w:r>
              <w:rPr>
                <w:color w:val="1C3A36"/>
                <w:sz w:val="16"/>
              </w:rPr>
              <w:t>26.0%</w:t>
            </w:r>
          </w:p>
        </w:tc>
        <w:tc>
          <w:tcPr>
            <w:tcW w:type="dxa" w:w="1267"/>
          </w:tcPr>
          <w:p>
            <w:pPr>
              <w:spacing w:after="20"/>
              <w:jc w:val="right"/>
            </w:pPr>
            <w:r>
              <w:rPr>
                <w:color w:val="1C3A36"/>
                <w:sz w:val="16"/>
              </w:rPr>
              <w:t>25.5%</w:t>
            </w:r>
          </w:p>
        </w:tc>
        <w:tc>
          <w:tcPr>
            <w:tcW w:type="dxa" w:w="1267"/>
          </w:tcPr>
          <w:p>
            <w:pPr>
              <w:spacing w:after="20"/>
              <w:jc w:val="right"/>
            </w:pPr>
            <w:r>
              <w:rPr>
                <w:color w:val="1C3A36"/>
                <w:sz w:val="16"/>
              </w:rPr>
              <w:t>25.0%</w:t>
            </w:r>
          </w:p>
        </w:tc>
      </w:tr>
      <w:tr>
        <w:tc>
          <w:tcPr>
            <w:tcW w:type="dxa" w:w="2477"/>
          </w:tcPr>
          <w:p>
            <w:pPr>
              <w:spacing w:after="20"/>
            </w:pPr>
            <w:r>
              <w:rPr>
                <w:color w:val="1C3A36"/>
                <w:sz w:val="16"/>
              </w:rPr>
              <w:t>Operating load (% of revenue)</w:t>
            </w:r>
          </w:p>
        </w:tc>
        <w:tc>
          <w:tcPr>
            <w:tcW w:type="dxa" w:w="1238"/>
          </w:tcPr>
          <w:p>
            <w:pPr>
              <w:spacing w:after="20"/>
              <w:jc w:val="right"/>
            </w:pPr>
            <w:r>
              <w:rPr>
                <w:color w:val="1C3A36"/>
                <w:sz w:val="16"/>
              </w:rPr>
              <w:t>3.6%</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4.3%</w:t>
            </w:r>
          </w:p>
        </w:tc>
        <w:tc>
          <w:tcPr>
            <w:tcW w:type="dxa" w:w="1267"/>
          </w:tcPr>
          <w:p>
            <w:pPr>
              <w:spacing w:after="20"/>
              <w:jc w:val="right"/>
            </w:pPr>
            <w:r>
              <w:rPr>
                <w:color w:val="1C3A36"/>
                <w:sz w:val="16"/>
              </w:rPr>
              <w:t>4.6%</w:t>
            </w:r>
          </w:p>
        </w:tc>
        <w:tc>
          <w:tcPr>
            <w:tcW w:type="dxa" w:w="1267"/>
          </w:tcPr>
          <w:p>
            <w:pPr>
              <w:spacing w:after="20"/>
              <w:jc w:val="right"/>
            </w:pPr>
            <w:r>
              <w:rPr>
                <w:color w:val="1C3A36"/>
                <w:sz w:val="16"/>
              </w:rPr>
              <w:t>4.8%</w:t>
            </w:r>
          </w:p>
        </w:tc>
        <w:tc>
          <w:tcPr>
            <w:tcW w:type="dxa" w:w="1267"/>
          </w:tcPr>
          <w:p>
            <w:pPr>
              <w:spacing w:after="20"/>
              <w:jc w:val="right"/>
            </w:pPr>
            <w:r>
              <w:rPr>
                <w:color w:val="1C3A36"/>
                <w:sz w:val="16"/>
              </w:rPr>
              <w:t>5.0%</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Because copper is passed through, a higher copper price raises revenue without raising profit per tonne, which is why the gross margin percentage falls as revenue rises. The operating load glides back toward the historical norm rather than assuming the unusually low FY2025 level persists — the single most conservative choice in the build.</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365,556</w:t>
            </w:r>
          </w:p>
        </w:tc>
        <w:tc>
          <w:tcPr>
            <w:tcW w:type="dxa" w:w="1426"/>
          </w:tcPr>
          <w:p>
            <w:pPr>
              <w:spacing w:after="20"/>
              <w:jc w:val="right"/>
            </w:pPr>
            <w:r>
              <w:rPr>
                <w:color w:val="1C3A36"/>
                <w:sz w:val="16"/>
              </w:rPr>
              <w:t>408,521</w:t>
            </w:r>
          </w:p>
        </w:tc>
        <w:tc>
          <w:tcPr>
            <w:tcW w:type="dxa" w:w="1426"/>
          </w:tcPr>
          <w:p>
            <w:pPr>
              <w:spacing w:after="20"/>
              <w:jc w:val="right"/>
            </w:pPr>
            <w:r>
              <w:rPr>
                <w:color w:val="1C3A36"/>
                <w:sz w:val="16"/>
              </w:rPr>
              <w:t>442,252</w:t>
            </w:r>
          </w:p>
        </w:tc>
        <w:tc>
          <w:tcPr>
            <w:tcW w:type="dxa" w:w="1426"/>
          </w:tcPr>
          <w:p>
            <w:pPr>
              <w:spacing w:after="20"/>
              <w:jc w:val="right"/>
            </w:pPr>
            <w:r>
              <w:rPr>
                <w:color w:val="1C3A36"/>
                <w:sz w:val="16"/>
              </w:rPr>
              <w:t>477,217</w:t>
            </w:r>
          </w:p>
        </w:tc>
        <w:tc>
          <w:tcPr>
            <w:tcW w:type="dxa" w:w="1426"/>
          </w:tcPr>
          <w:p>
            <w:pPr>
              <w:spacing w:after="20"/>
              <w:jc w:val="right"/>
            </w:pPr>
            <w:r>
              <w:rPr>
                <w:color w:val="1C3A36"/>
                <w:sz w:val="16"/>
              </w:rPr>
              <w:t>514,192</w:t>
            </w:r>
          </w:p>
        </w:tc>
      </w:tr>
      <w:tr>
        <w:tc>
          <w:tcPr>
            <w:tcW w:type="dxa" w:w="2952"/>
          </w:tcPr>
          <w:p>
            <w:pPr>
              <w:spacing w:after="20"/>
            </w:pPr>
            <w:r>
              <w:rPr>
                <w:color w:val="1C3A36"/>
                <w:sz w:val="16"/>
              </w:rPr>
              <w:t>Gross profit</w:t>
            </w:r>
          </w:p>
        </w:tc>
        <w:tc>
          <w:tcPr>
            <w:tcW w:type="dxa" w:w="1426"/>
          </w:tcPr>
          <w:p>
            <w:pPr>
              <w:spacing w:after="20"/>
              <w:jc w:val="right"/>
            </w:pPr>
            <w:r>
              <w:rPr>
                <w:color w:val="1C3A36"/>
                <w:sz w:val="16"/>
              </w:rPr>
              <w:t>55,716</w:t>
            </w:r>
          </w:p>
        </w:tc>
        <w:tc>
          <w:tcPr>
            <w:tcW w:type="dxa" w:w="1426"/>
          </w:tcPr>
          <w:p>
            <w:pPr>
              <w:spacing w:after="20"/>
              <w:jc w:val="right"/>
            </w:pPr>
            <w:r>
              <w:rPr>
                <w:color w:val="1C3A36"/>
                <w:sz w:val="16"/>
              </w:rPr>
              <w:t>62,507</w:t>
            </w:r>
          </w:p>
        </w:tc>
        <w:tc>
          <w:tcPr>
            <w:tcW w:type="dxa" w:w="1426"/>
          </w:tcPr>
          <w:p>
            <w:pPr>
              <w:spacing w:after="20"/>
              <w:jc w:val="right"/>
            </w:pPr>
            <w:r>
              <w:rPr>
                <w:color w:val="1C3A36"/>
                <w:sz w:val="16"/>
              </w:rPr>
              <w:t>69,258</w:t>
            </w:r>
          </w:p>
        </w:tc>
        <w:tc>
          <w:tcPr>
            <w:tcW w:type="dxa" w:w="1426"/>
          </w:tcPr>
          <w:p>
            <w:pPr>
              <w:spacing w:after="20"/>
              <w:jc w:val="right"/>
            </w:pPr>
            <w:r>
              <w:rPr>
                <w:color w:val="1C3A36"/>
                <w:sz w:val="16"/>
              </w:rPr>
              <w:t>76,147</w:t>
            </w:r>
          </w:p>
        </w:tc>
        <w:tc>
          <w:tcPr>
            <w:tcW w:type="dxa" w:w="1426"/>
          </w:tcPr>
          <w:p>
            <w:pPr>
              <w:spacing w:after="20"/>
              <w:jc w:val="right"/>
            </w:pPr>
            <w:r>
              <w:rPr>
                <w:color w:val="1C3A36"/>
                <w:sz w:val="16"/>
              </w:rPr>
              <w:t>83,592</w:t>
            </w:r>
          </w:p>
        </w:tc>
      </w:tr>
      <w:tr>
        <w:tc>
          <w:tcPr>
            <w:tcW w:type="dxa" w:w="2952"/>
          </w:tcPr>
          <w:p>
            <w:pPr>
              <w:spacing w:after="20"/>
            </w:pPr>
            <w:r>
              <w:rPr>
                <w:color w:val="1C3A36"/>
                <w:sz w:val="16"/>
              </w:rPr>
              <w:t>Gross margin</w:t>
            </w:r>
          </w:p>
        </w:tc>
        <w:tc>
          <w:tcPr>
            <w:tcW w:type="dxa" w:w="1426"/>
          </w:tcPr>
          <w:p>
            <w:pPr>
              <w:spacing w:after="20"/>
              <w:jc w:val="right"/>
            </w:pPr>
            <w:r>
              <w:rPr>
                <w:color w:val="1C3A36"/>
                <w:sz w:val="16"/>
              </w:rPr>
              <w:t>15.2%</w:t>
            </w:r>
          </w:p>
        </w:tc>
        <w:tc>
          <w:tcPr>
            <w:tcW w:type="dxa" w:w="1426"/>
          </w:tcPr>
          <w:p>
            <w:pPr>
              <w:spacing w:after="20"/>
              <w:jc w:val="right"/>
            </w:pPr>
            <w:r>
              <w:rPr>
                <w:color w:val="1C3A36"/>
                <w:sz w:val="16"/>
              </w:rPr>
              <w:t>15.3%</w:t>
            </w:r>
          </w:p>
        </w:tc>
        <w:tc>
          <w:tcPr>
            <w:tcW w:type="dxa" w:w="1426"/>
          </w:tcPr>
          <w:p>
            <w:pPr>
              <w:spacing w:after="20"/>
              <w:jc w:val="right"/>
            </w:pPr>
            <w:r>
              <w:rPr>
                <w:color w:val="1C3A36"/>
                <w:sz w:val="16"/>
              </w:rPr>
              <w:t>15.7%</w:t>
            </w:r>
          </w:p>
        </w:tc>
        <w:tc>
          <w:tcPr>
            <w:tcW w:type="dxa" w:w="1426"/>
          </w:tcPr>
          <w:p>
            <w:pPr>
              <w:spacing w:after="20"/>
              <w:jc w:val="right"/>
            </w:pPr>
            <w:r>
              <w:rPr>
                <w:color w:val="1C3A36"/>
                <w:sz w:val="16"/>
              </w:rPr>
              <w:t>16.0%</w:t>
            </w:r>
          </w:p>
        </w:tc>
        <w:tc>
          <w:tcPr>
            <w:tcW w:type="dxa" w:w="1426"/>
          </w:tcPr>
          <w:p>
            <w:pPr>
              <w:spacing w:after="20"/>
              <w:jc w:val="right"/>
            </w:pPr>
            <w:r>
              <w:rPr>
                <w:color w:val="1C3A36"/>
                <w:sz w:val="16"/>
              </w:rPr>
              <w:t>16.3%</w:t>
            </w:r>
          </w:p>
        </w:tc>
      </w:tr>
      <w:tr>
        <w:tc>
          <w:tcPr>
            <w:tcW w:type="dxa" w:w="2952"/>
          </w:tcPr>
          <w:p>
            <w:pPr>
              <w:spacing w:after="20"/>
            </w:pPr>
            <w:r>
              <w:rPr>
                <w:color w:val="1C3A36"/>
                <w:sz w:val="16"/>
              </w:rPr>
              <w:t>Less operating costs, net</w:t>
            </w:r>
          </w:p>
        </w:tc>
        <w:tc>
          <w:tcPr>
            <w:tcW w:type="dxa" w:w="1426"/>
          </w:tcPr>
          <w:p>
            <w:pPr>
              <w:spacing w:after="20"/>
              <w:jc w:val="right"/>
            </w:pPr>
            <w:r>
              <w:rPr>
                <w:color w:val="1C3A36"/>
                <w:sz w:val="16"/>
              </w:rPr>
              <w:t>(14,622)</w:t>
            </w:r>
          </w:p>
        </w:tc>
        <w:tc>
          <w:tcPr>
            <w:tcW w:type="dxa" w:w="1426"/>
          </w:tcPr>
          <w:p>
            <w:pPr>
              <w:spacing w:after="20"/>
              <w:jc w:val="right"/>
            </w:pPr>
            <w:r>
              <w:rPr>
                <w:color w:val="1C3A36"/>
                <w:sz w:val="16"/>
              </w:rPr>
              <w:t>(17,566)</w:t>
            </w:r>
          </w:p>
        </w:tc>
        <w:tc>
          <w:tcPr>
            <w:tcW w:type="dxa" w:w="1426"/>
          </w:tcPr>
          <w:p>
            <w:pPr>
              <w:spacing w:after="20"/>
              <w:jc w:val="right"/>
            </w:pPr>
            <w:r>
              <w:rPr>
                <w:color w:val="1C3A36"/>
                <w:sz w:val="16"/>
              </w:rPr>
              <w:t>(20,344)</w:t>
            </w:r>
          </w:p>
        </w:tc>
        <w:tc>
          <w:tcPr>
            <w:tcW w:type="dxa" w:w="1426"/>
          </w:tcPr>
          <w:p>
            <w:pPr>
              <w:spacing w:after="20"/>
              <w:jc w:val="right"/>
            </w:pPr>
            <w:r>
              <w:rPr>
                <w:color w:val="1C3A36"/>
                <w:sz w:val="16"/>
              </w:rPr>
              <w:t>(22,906)</w:t>
            </w:r>
          </w:p>
        </w:tc>
        <w:tc>
          <w:tcPr>
            <w:tcW w:type="dxa" w:w="1426"/>
          </w:tcPr>
          <w:p>
            <w:pPr>
              <w:spacing w:after="20"/>
              <w:jc w:val="right"/>
            </w:pPr>
            <w:r>
              <w:rPr>
                <w:color w:val="1C3A36"/>
                <w:sz w:val="16"/>
              </w:rPr>
              <w:t>(25,710)</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41,094</w:t>
            </w:r>
          </w:p>
        </w:tc>
        <w:tc>
          <w:tcPr>
            <w:tcW w:type="dxa" w:w="1426"/>
            <w:shd w:val="clear" w:color="auto" w:fill="F6F1E6"/>
          </w:tcPr>
          <w:p>
            <w:pPr>
              <w:spacing w:after="20"/>
              <w:jc w:val="right"/>
            </w:pPr>
            <w:r>
              <w:rPr>
                <w:b/>
                <w:color w:val="1C3A36"/>
                <w:sz w:val="16"/>
              </w:rPr>
              <w:t>44,941</w:t>
            </w:r>
          </w:p>
        </w:tc>
        <w:tc>
          <w:tcPr>
            <w:tcW w:type="dxa" w:w="1426"/>
            <w:shd w:val="clear" w:color="auto" w:fill="F6F1E6"/>
          </w:tcPr>
          <w:p>
            <w:pPr>
              <w:spacing w:after="20"/>
              <w:jc w:val="right"/>
            </w:pPr>
            <w:r>
              <w:rPr>
                <w:b/>
                <w:color w:val="1C3A36"/>
                <w:sz w:val="16"/>
              </w:rPr>
              <w:t>48,914</w:t>
            </w:r>
          </w:p>
        </w:tc>
        <w:tc>
          <w:tcPr>
            <w:tcW w:type="dxa" w:w="1426"/>
            <w:shd w:val="clear" w:color="auto" w:fill="F6F1E6"/>
          </w:tcPr>
          <w:p>
            <w:pPr>
              <w:spacing w:after="20"/>
              <w:jc w:val="right"/>
            </w:pPr>
            <w:r>
              <w:rPr>
                <w:b/>
                <w:color w:val="1C3A36"/>
                <w:sz w:val="16"/>
              </w:rPr>
              <w:t>53,240</w:t>
            </w:r>
          </w:p>
        </w:tc>
        <w:tc>
          <w:tcPr>
            <w:tcW w:type="dxa" w:w="1426"/>
            <w:shd w:val="clear" w:color="auto" w:fill="F6F1E6"/>
          </w:tcPr>
          <w:p>
            <w:pPr>
              <w:spacing w:after="20"/>
              <w:jc w:val="right"/>
            </w:pPr>
            <w:r>
              <w:rPr>
                <w:b/>
                <w:color w:val="1C3A36"/>
                <w:sz w:val="16"/>
              </w:rPr>
              <w:t>57,882</w:t>
            </w:r>
          </w:p>
        </w:tc>
      </w:tr>
      <w:tr>
        <w:tc>
          <w:tcPr>
            <w:tcW w:type="dxa" w:w="2952"/>
            <w:shd w:val="clear" w:color="auto" w:fill="F6F1E6"/>
          </w:tcPr>
          <w:p>
            <w:pPr>
              <w:spacing w:after="20"/>
            </w:pPr>
            <w:r>
              <w:rPr>
                <w:b/>
                <w:color w:val="1C3A36"/>
                <w:sz w:val="16"/>
              </w:rPr>
              <w:t>EBITDA margin</w:t>
            </w:r>
          </w:p>
        </w:tc>
        <w:tc>
          <w:tcPr>
            <w:tcW w:type="dxa" w:w="1426"/>
            <w:shd w:val="clear" w:color="auto" w:fill="F6F1E6"/>
          </w:tcPr>
          <w:p>
            <w:pPr>
              <w:spacing w:after="20"/>
              <w:jc w:val="right"/>
            </w:pPr>
            <w:r>
              <w:rPr>
                <w:b/>
                <w:color w:val="1C3A36"/>
                <w:sz w:val="16"/>
              </w:rPr>
              <w:t>11.2%</w:t>
            </w:r>
          </w:p>
        </w:tc>
        <w:tc>
          <w:tcPr>
            <w:tcW w:type="dxa" w:w="1426"/>
            <w:shd w:val="clear" w:color="auto" w:fill="F6F1E6"/>
          </w:tcPr>
          <w:p>
            <w:pPr>
              <w:spacing w:after="20"/>
              <w:jc w:val="right"/>
            </w:pPr>
            <w:r>
              <w:rPr>
                <w:b/>
                <w:color w:val="1C3A36"/>
                <w:sz w:val="16"/>
              </w:rPr>
              <w:t>11.0%</w:t>
            </w:r>
          </w:p>
        </w:tc>
        <w:tc>
          <w:tcPr>
            <w:tcW w:type="dxa" w:w="1426"/>
            <w:shd w:val="clear" w:color="auto" w:fill="F6F1E6"/>
          </w:tcPr>
          <w:p>
            <w:pPr>
              <w:spacing w:after="20"/>
              <w:jc w:val="right"/>
            </w:pPr>
            <w:r>
              <w:rPr>
                <w:b/>
                <w:color w:val="1C3A36"/>
                <w:sz w:val="16"/>
              </w:rPr>
              <w:t>11.1%</w:t>
            </w:r>
          </w:p>
        </w:tc>
        <w:tc>
          <w:tcPr>
            <w:tcW w:type="dxa" w:w="1426"/>
            <w:shd w:val="clear" w:color="auto" w:fill="F6F1E6"/>
          </w:tcPr>
          <w:p>
            <w:pPr>
              <w:spacing w:after="20"/>
              <w:jc w:val="right"/>
            </w:pPr>
            <w:r>
              <w:rPr>
                <w:b/>
                <w:color w:val="1C3A36"/>
                <w:sz w:val="16"/>
              </w:rPr>
              <w:t>11.2%</w:t>
            </w:r>
          </w:p>
        </w:tc>
        <w:tc>
          <w:tcPr>
            <w:tcW w:type="dxa" w:w="1426"/>
            <w:shd w:val="clear" w:color="auto" w:fill="F6F1E6"/>
          </w:tcPr>
          <w:p>
            <w:pPr>
              <w:spacing w:after="20"/>
              <w:jc w:val="right"/>
            </w:pPr>
            <w:r>
              <w:rPr>
                <w:b/>
                <w:color w:val="1C3A36"/>
                <w:sz w:val="16"/>
              </w:rPr>
              <w:t>11.3%</w:t>
            </w:r>
          </w:p>
        </w:tc>
      </w:tr>
    </w:tbl>
    <w:p>
      <w:pPr>
        <w:spacing w:after="40"/>
      </w:pPr>
    </w:p>
    <w:p>
      <w:pPr>
        <w:spacing w:after="200" w:before="0"/>
      </w:pPr>
      <w:r>
        <w:rPr>
          <w:b w:val="0"/>
          <w:i/>
          <w:color w:val="6E7B77"/>
          <w:sz w:val="17"/>
        </w:rPr>
        <w:t>The FY2026 conversion margin is not assumed — it is solved so that the build reproduces the EBITDA margin implied by the disclosed first-quarter 2026 result (11.2%). That quarter reported revenue +27% and attributable profit +17% year on year, so any build showing margins collapsing in FY2026 would be contradicted by the company's own print. The solved cable gross profit per tonne sits inside the historical range and, as a share of the realised price, between the FY2025 trough and the FY2024 peak.</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build behind the margin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gross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w:t>
            </w:r>
          </w:p>
        </w:tc>
        <w:tc>
          <w:tcPr>
            <w:tcW w:type="dxa" w:w="1872"/>
          </w:tcPr>
          <w:p>
            <w:pPr>
              <w:spacing w:after="20"/>
              <w:jc w:val="right"/>
            </w:pPr>
            <w:r>
              <w:rPr>
                <w:color w:val="1C3A36"/>
                <w:sz w:val="16"/>
              </w:rPr>
              <w:t>92,138</w:t>
            </w:r>
          </w:p>
        </w:tc>
        <w:tc>
          <w:tcPr>
            <w:tcW w:type="dxa" w:w="979"/>
          </w:tcPr>
          <w:p>
            <w:pPr>
              <w:spacing w:after="20"/>
              <w:jc w:val="right"/>
            </w:pPr>
            <w:r>
              <w:rPr>
                <w:color w:val="1C3A36"/>
                <w:sz w:val="16"/>
              </w:rPr>
              <w:t>32.8%</w:t>
            </w:r>
          </w:p>
        </w:tc>
        <w:tc>
          <w:tcPr>
            <w:tcW w:type="dxa" w:w="1656"/>
          </w:tcPr>
          <w:p>
            <w:pPr>
              <w:spacing w:after="20"/>
              <w:jc w:val="right"/>
            </w:pPr>
            <w:r>
              <w:rPr>
                <w:color w:val="1C3A36"/>
                <w:sz w:val="16"/>
              </w:rPr>
              <w:t>14.8%</w:t>
            </w:r>
          </w:p>
        </w:tc>
        <w:tc>
          <w:tcPr>
            <w:tcW w:type="dxa" w:w="1872"/>
          </w:tcPr>
          <w:p>
            <w:pPr>
              <w:spacing w:after="20"/>
              <w:jc w:val="right"/>
            </w:pPr>
            <w:r>
              <w:rPr>
                <w:color w:val="1C3A36"/>
                <w:sz w:val="16"/>
              </w:rPr>
              <w:t>227,245</w:t>
            </w:r>
          </w:p>
        </w:tc>
        <w:tc>
          <w:tcPr>
            <w:tcW w:type="dxa" w:w="1181"/>
          </w:tcPr>
          <w:p>
            <w:pPr>
              <w:spacing w:after="20"/>
              <w:jc w:val="right"/>
            </w:pPr>
            <w:r>
              <w:rPr>
                <w:color w:val="1C3A36"/>
                <w:sz w:val="16"/>
              </w:rPr>
              <w:t>44.2%</w:t>
            </w:r>
          </w:p>
        </w:tc>
      </w:tr>
      <w:tr>
        <w:tc>
          <w:tcPr>
            <w:tcW w:type="dxa" w:w="2520"/>
          </w:tcPr>
          <w:p>
            <w:pPr>
              <w:spacing w:after="20"/>
            </w:pPr>
            <w:r>
              <w:rPr>
                <w:color w:val="1C3A36"/>
                <w:sz w:val="16"/>
              </w:rPr>
              <w:t>Raw material (copper rod)</w:t>
            </w:r>
          </w:p>
        </w:tc>
        <w:tc>
          <w:tcPr>
            <w:tcW w:type="dxa" w:w="1872"/>
          </w:tcPr>
          <w:p>
            <w:pPr>
              <w:spacing w:after="20"/>
              <w:jc w:val="right"/>
            </w:pPr>
            <w:r>
              <w:rPr>
                <w:color w:val="1C3A36"/>
                <w:sz w:val="16"/>
              </w:rPr>
              <w:t>60,448</w:t>
            </w:r>
          </w:p>
        </w:tc>
        <w:tc>
          <w:tcPr>
            <w:tcW w:type="dxa" w:w="979"/>
          </w:tcPr>
          <w:p>
            <w:pPr>
              <w:spacing w:after="20"/>
              <w:jc w:val="right"/>
            </w:pPr>
            <w:r>
              <w:rPr>
                <w:color w:val="1C3A36"/>
                <w:sz w:val="16"/>
              </w:rPr>
              <w:t>21.5%</w:t>
            </w:r>
          </w:p>
        </w:tc>
        <w:tc>
          <w:tcPr>
            <w:tcW w:type="dxa" w:w="1656"/>
          </w:tcPr>
          <w:p>
            <w:pPr>
              <w:spacing w:after="20"/>
              <w:jc w:val="right"/>
            </w:pPr>
            <w:r>
              <w:rPr>
                <w:color w:val="1C3A36"/>
                <w:sz w:val="16"/>
              </w:rPr>
              <w:t>12.4%</w:t>
            </w:r>
          </w:p>
        </w:tc>
        <w:tc>
          <w:tcPr>
            <w:tcW w:type="dxa" w:w="1872"/>
          </w:tcPr>
          <w:p>
            <w:pPr>
              <w:spacing w:after="20"/>
              <w:jc w:val="right"/>
            </w:pPr>
            <w:r>
              <w:rPr>
                <w:color w:val="1C3A36"/>
                <w:sz w:val="16"/>
              </w:rPr>
              <w:t>130,330</w:t>
            </w:r>
          </w:p>
        </w:tc>
        <w:tc>
          <w:tcPr>
            <w:tcW w:type="dxa" w:w="1181"/>
          </w:tcPr>
          <w:p>
            <w:pPr>
              <w:spacing w:after="20"/>
              <w:jc w:val="right"/>
            </w:pPr>
            <w:r>
              <w:rPr>
                <w:color w:val="1C3A36"/>
                <w:sz w:val="16"/>
              </w:rPr>
              <w:t>25.3%</w:t>
            </w:r>
          </w:p>
        </w:tc>
      </w:tr>
      <w:tr>
        <w:tc>
          <w:tcPr>
            <w:tcW w:type="dxa" w:w="2520"/>
          </w:tcPr>
          <w:p>
            <w:pPr>
              <w:spacing w:after="20"/>
            </w:pPr>
            <w:r>
              <w:rPr>
                <w:color w:val="1C3A36"/>
                <w:sz w:val="16"/>
              </w:rPr>
              <w:t>Engineering &amp; construction</w:t>
            </w:r>
          </w:p>
        </w:tc>
        <w:tc>
          <w:tcPr>
            <w:tcW w:type="dxa" w:w="1872"/>
          </w:tcPr>
          <w:p>
            <w:pPr>
              <w:spacing w:after="20"/>
              <w:jc w:val="right"/>
            </w:pPr>
            <w:r>
              <w:rPr>
                <w:color w:val="1C3A36"/>
                <w:sz w:val="16"/>
              </w:rPr>
              <w:t>87,101</w:t>
            </w:r>
          </w:p>
        </w:tc>
        <w:tc>
          <w:tcPr>
            <w:tcW w:type="dxa" w:w="979"/>
          </w:tcPr>
          <w:p>
            <w:pPr>
              <w:spacing w:after="20"/>
              <w:jc w:val="right"/>
            </w:pPr>
            <w:r>
              <w:rPr>
                <w:color w:val="1C3A36"/>
                <w:sz w:val="16"/>
              </w:rPr>
              <w:t>31.0%</w:t>
            </w:r>
          </w:p>
        </w:tc>
        <w:tc>
          <w:tcPr>
            <w:tcW w:type="dxa" w:w="1656"/>
          </w:tcPr>
          <w:p>
            <w:pPr>
              <w:spacing w:after="20"/>
              <w:jc w:val="right"/>
            </w:pPr>
            <w:r>
              <w:rPr>
                <w:color w:val="1C3A36"/>
                <w:sz w:val="16"/>
              </w:rPr>
              <w:t>9.0%</w:t>
            </w:r>
          </w:p>
        </w:tc>
        <w:tc>
          <w:tcPr>
            <w:tcW w:type="dxa" w:w="1872"/>
          </w:tcPr>
          <w:p>
            <w:pPr>
              <w:spacing w:after="20"/>
              <w:jc w:val="right"/>
            </w:pPr>
            <w:r>
              <w:rPr>
                <w:color w:val="1C3A36"/>
                <w:sz w:val="16"/>
              </w:rPr>
              <w:t>84,180</w:t>
            </w:r>
          </w:p>
        </w:tc>
        <w:tc>
          <w:tcPr>
            <w:tcW w:type="dxa" w:w="1181"/>
          </w:tcPr>
          <w:p>
            <w:pPr>
              <w:spacing w:after="20"/>
              <w:jc w:val="right"/>
            </w:pPr>
            <w:r>
              <w:rPr>
                <w:color w:val="1C3A36"/>
                <w:sz w:val="16"/>
              </w:rPr>
              <w:t>16.4%</w:t>
            </w:r>
          </w:p>
        </w:tc>
      </w:tr>
      <w:tr>
        <w:tc>
          <w:tcPr>
            <w:tcW w:type="dxa" w:w="2520"/>
          </w:tcPr>
          <w:p>
            <w:pPr>
              <w:spacing w:after="20"/>
            </w:pPr>
            <w:r>
              <w:rPr>
                <w:color w:val="1C3A36"/>
                <w:sz w:val="16"/>
              </w:rPr>
              <w:t>Transformers</w:t>
            </w:r>
          </w:p>
        </w:tc>
        <w:tc>
          <w:tcPr>
            <w:tcW w:type="dxa" w:w="1872"/>
          </w:tcPr>
          <w:p>
            <w:pPr>
              <w:spacing w:after="20"/>
              <w:jc w:val="right"/>
            </w:pPr>
            <w:r>
              <w:rPr>
                <w:color w:val="1C3A36"/>
                <w:sz w:val="16"/>
              </w:rPr>
              <w:t>17,704</w:t>
            </w:r>
          </w:p>
        </w:tc>
        <w:tc>
          <w:tcPr>
            <w:tcW w:type="dxa" w:w="979"/>
          </w:tcPr>
          <w:p>
            <w:pPr>
              <w:spacing w:after="20"/>
              <w:jc w:val="right"/>
            </w:pPr>
            <w:r>
              <w:rPr>
                <w:color w:val="1C3A36"/>
                <w:sz w:val="16"/>
              </w:rPr>
              <w:t>6.3%</w:t>
            </w:r>
          </w:p>
        </w:tc>
        <w:tc>
          <w:tcPr>
            <w:tcW w:type="dxa" w:w="1656"/>
          </w:tcPr>
          <w:p>
            <w:pPr>
              <w:spacing w:after="20"/>
              <w:jc w:val="right"/>
            </w:pPr>
            <w:r>
              <w:rPr>
                <w:color w:val="1C3A36"/>
                <w:sz w:val="16"/>
              </w:rPr>
              <w:t>27.7%</w:t>
            </w:r>
          </w:p>
        </w:tc>
        <w:tc>
          <w:tcPr>
            <w:tcW w:type="dxa" w:w="1872"/>
          </w:tcPr>
          <w:p>
            <w:pPr>
              <w:spacing w:after="20"/>
              <w:jc w:val="right"/>
            </w:pPr>
            <w:r>
              <w:rPr>
                <w:color w:val="1C3A36"/>
                <w:sz w:val="16"/>
              </w:rPr>
              <w:t>33,088</w:t>
            </w:r>
          </w:p>
        </w:tc>
        <w:tc>
          <w:tcPr>
            <w:tcW w:type="dxa" w:w="1181"/>
          </w:tcPr>
          <w:p>
            <w:pPr>
              <w:spacing w:after="20"/>
              <w:jc w:val="right"/>
            </w:pPr>
            <w:r>
              <w:rPr>
                <w:color w:val="1C3A36"/>
                <w:sz w:val="16"/>
              </w:rPr>
              <w:t>6.4%</w:t>
            </w:r>
          </w:p>
        </w:tc>
      </w:tr>
      <w:tr>
        <w:tc>
          <w:tcPr>
            <w:tcW w:type="dxa" w:w="2520"/>
          </w:tcPr>
          <w:p>
            <w:pPr>
              <w:spacing w:after="20"/>
            </w:pPr>
            <w:r>
              <w:rPr>
                <w:color w:val="1C3A36"/>
                <w:sz w:val="16"/>
              </w:rPr>
              <w:t>Meters &amp; digital</w:t>
            </w:r>
          </w:p>
        </w:tc>
        <w:tc>
          <w:tcPr>
            <w:tcW w:type="dxa" w:w="1872"/>
          </w:tcPr>
          <w:p>
            <w:pPr>
              <w:spacing w:after="20"/>
              <w:jc w:val="right"/>
            </w:pPr>
            <w:r>
              <w:rPr>
                <w:color w:val="1C3A36"/>
                <w:sz w:val="16"/>
              </w:rPr>
              <w:t>16,594</w:t>
            </w:r>
          </w:p>
        </w:tc>
        <w:tc>
          <w:tcPr>
            <w:tcW w:type="dxa" w:w="979"/>
          </w:tcPr>
          <w:p>
            <w:pPr>
              <w:spacing w:after="20"/>
              <w:jc w:val="right"/>
            </w:pPr>
            <w:r>
              <w:rPr>
                <w:color w:val="1C3A36"/>
                <w:sz w:val="16"/>
              </w:rPr>
              <w:t>5.9%</w:t>
            </w:r>
          </w:p>
        </w:tc>
        <w:tc>
          <w:tcPr>
            <w:tcW w:type="dxa" w:w="1656"/>
          </w:tcPr>
          <w:p>
            <w:pPr>
              <w:spacing w:after="20"/>
              <w:jc w:val="right"/>
            </w:pPr>
            <w:r>
              <w:rPr>
                <w:color w:val="1C3A36"/>
                <w:sz w:val="16"/>
              </w:rPr>
              <w:t>21.9%</w:t>
            </w:r>
          </w:p>
        </w:tc>
        <w:tc>
          <w:tcPr>
            <w:tcW w:type="dxa" w:w="1872"/>
          </w:tcPr>
          <w:p>
            <w:pPr>
              <w:spacing w:after="20"/>
              <w:jc w:val="right"/>
            </w:pPr>
            <w:r>
              <w:rPr>
                <w:color w:val="1C3A36"/>
                <w:sz w:val="16"/>
              </w:rPr>
              <w:t>27,977</w:t>
            </w:r>
          </w:p>
        </w:tc>
        <w:tc>
          <w:tcPr>
            <w:tcW w:type="dxa" w:w="1181"/>
          </w:tcPr>
          <w:p>
            <w:pPr>
              <w:spacing w:after="20"/>
              <w:jc w:val="right"/>
            </w:pPr>
            <w:r>
              <w:rPr>
                <w:color w:val="1C3A36"/>
                <w:sz w:val="16"/>
              </w:rPr>
              <w:t>5.4%</w:t>
            </w:r>
          </w:p>
        </w:tc>
      </w:tr>
      <w:tr>
        <w:tc>
          <w:tcPr>
            <w:tcW w:type="dxa" w:w="2520"/>
          </w:tcPr>
          <w:p>
            <w:pPr>
              <w:spacing w:after="20"/>
            </w:pPr>
            <w:r>
              <w:rPr>
                <w:color w:val="1C3A36"/>
                <w:sz w:val="16"/>
              </w:rPr>
              <w:t>Other electrical products</w:t>
            </w:r>
          </w:p>
        </w:tc>
        <w:tc>
          <w:tcPr>
            <w:tcW w:type="dxa" w:w="1872"/>
          </w:tcPr>
          <w:p>
            <w:pPr>
              <w:spacing w:after="20"/>
              <w:jc w:val="right"/>
            </w:pPr>
            <w:r>
              <w:rPr>
                <w:color w:val="1C3A36"/>
                <w:sz w:val="16"/>
              </w:rPr>
              <w:t>3,206</w:t>
            </w:r>
          </w:p>
        </w:tc>
        <w:tc>
          <w:tcPr>
            <w:tcW w:type="dxa" w:w="979"/>
          </w:tcPr>
          <w:p>
            <w:pPr>
              <w:spacing w:after="20"/>
              <w:jc w:val="right"/>
            </w:pPr>
            <w:r>
              <w:rPr>
                <w:color w:val="1C3A36"/>
                <w:sz w:val="16"/>
              </w:rPr>
              <w:t>1.1%</w:t>
            </w:r>
          </w:p>
        </w:tc>
        <w:tc>
          <w:tcPr>
            <w:tcW w:type="dxa" w:w="1656"/>
          </w:tcPr>
          <w:p>
            <w:pPr>
              <w:spacing w:after="20"/>
              <w:jc w:val="right"/>
            </w:pPr>
            <w:r>
              <w:rPr>
                <w:color w:val="1C3A36"/>
                <w:sz w:val="16"/>
              </w:rPr>
              <w:t>40.8%</w:t>
            </w:r>
          </w:p>
        </w:tc>
        <w:tc>
          <w:tcPr>
            <w:tcW w:type="dxa" w:w="1872"/>
          </w:tcPr>
          <w:p>
            <w:pPr>
              <w:spacing w:after="20"/>
              <w:jc w:val="right"/>
            </w:pPr>
            <w:r>
              <w:rPr>
                <w:color w:val="1C3A36"/>
                <w:sz w:val="16"/>
              </w:rPr>
              <w:t>5,162</w:t>
            </w:r>
          </w:p>
        </w:tc>
        <w:tc>
          <w:tcPr>
            <w:tcW w:type="dxa" w:w="1181"/>
          </w:tcPr>
          <w:p>
            <w:pPr>
              <w:spacing w:after="20"/>
              <w:jc w:val="right"/>
            </w:pPr>
            <w:r>
              <w:rPr>
                <w:color w:val="1C3A36"/>
                <w:sz w:val="16"/>
              </w:rPr>
              <w:t>1.0%</w:t>
            </w:r>
          </w:p>
        </w:tc>
      </w:tr>
      <w:tr>
        <w:tc>
          <w:tcPr>
            <w:tcW w:type="dxa" w:w="2520"/>
          </w:tcPr>
          <w:p>
            <w:pPr>
              <w:spacing w:after="20"/>
            </w:pPr>
            <w:r>
              <w:rPr>
                <w:color w:val="1C3A36"/>
                <w:sz w:val="16"/>
              </w:rPr>
              <w:t>Infrastructure investment</w:t>
            </w:r>
          </w:p>
        </w:tc>
        <w:tc>
          <w:tcPr>
            <w:tcW w:type="dxa" w:w="1872"/>
          </w:tcPr>
          <w:p>
            <w:pPr>
              <w:spacing w:after="20"/>
              <w:jc w:val="right"/>
            </w:pPr>
            <w:r>
              <w:rPr>
                <w:color w:val="1C3A36"/>
                <w:sz w:val="16"/>
              </w:rPr>
              <w:t>3,858</w:t>
            </w:r>
          </w:p>
        </w:tc>
        <w:tc>
          <w:tcPr>
            <w:tcW w:type="dxa" w:w="979"/>
          </w:tcPr>
          <w:p>
            <w:pPr>
              <w:spacing w:after="20"/>
              <w:jc w:val="right"/>
            </w:pPr>
            <w:r>
              <w:rPr>
                <w:color w:val="1C3A36"/>
                <w:sz w:val="16"/>
              </w:rPr>
              <w:t>1.4%</w:t>
            </w:r>
          </w:p>
        </w:tc>
        <w:tc>
          <w:tcPr>
            <w:tcW w:type="dxa" w:w="1656"/>
          </w:tcPr>
          <w:p>
            <w:pPr>
              <w:spacing w:after="20"/>
              <w:jc w:val="right"/>
            </w:pPr>
            <w:r>
              <w:rPr>
                <w:color w:val="1C3A36"/>
                <w:sz w:val="16"/>
              </w:rPr>
              <w:t>49.7%</w:t>
            </w:r>
          </w:p>
        </w:tc>
        <w:tc>
          <w:tcPr>
            <w:tcW w:type="dxa" w:w="1872"/>
          </w:tcPr>
          <w:p>
            <w:pPr>
              <w:spacing w:after="20"/>
              <w:jc w:val="right"/>
            </w:pPr>
            <w:r>
              <w:rPr>
                <w:color w:val="1C3A36"/>
                <w:sz w:val="16"/>
              </w:rPr>
              <w:t>6,211</w:t>
            </w:r>
          </w:p>
        </w:tc>
        <w:tc>
          <w:tcPr>
            <w:tcW w:type="dxa" w:w="1181"/>
          </w:tcPr>
          <w:p>
            <w:pPr>
              <w:spacing w:after="20"/>
              <w:jc w:val="right"/>
            </w:pPr>
            <w:r>
              <w:rPr>
                <w:color w:val="1C3A36"/>
                <w:sz w:val="16"/>
              </w:rPr>
              <w:t>1.2%</w:t>
            </w:r>
          </w:p>
        </w:tc>
      </w:tr>
      <w:tr>
        <w:tc>
          <w:tcPr>
            <w:tcW w:type="dxa" w:w="2520"/>
            <w:shd w:val="clear" w:color="auto" w:fill="F6F1E6"/>
          </w:tcPr>
          <w:p>
            <w:pPr>
              <w:spacing w:after="20"/>
            </w:pPr>
            <w:r>
              <w:rPr>
                <w:b/>
                <w:color w:val="1C3A36"/>
                <w:sz w:val="16"/>
              </w:rPr>
              <w:t>Group</w:t>
            </w:r>
          </w:p>
        </w:tc>
        <w:tc>
          <w:tcPr>
            <w:tcW w:type="dxa" w:w="1872"/>
            <w:shd w:val="clear" w:color="auto" w:fill="F6F1E6"/>
          </w:tcPr>
          <w:p>
            <w:pPr>
              <w:spacing w:after="20"/>
              <w:jc w:val="right"/>
            </w:pPr>
            <w:r>
              <w:rPr>
                <w:b/>
                <w:color w:val="1C3A36"/>
                <w:sz w:val="16"/>
              </w:rPr>
              <w:t>281,049</w:t>
            </w:r>
          </w:p>
        </w:tc>
        <w:tc>
          <w:tcPr>
            <w:tcW w:type="dxa" w:w="979"/>
            <w:shd w:val="clear" w:color="auto" w:fill="F6F1E6"/>
          </w:tcPr>
          <w:p>
            <w:pPr>
              <w:spacing w:after="20"/>
              <w:jc w:val="right"/>
            </w:pPr>
            <w:r>
              <w:rPr>
                <w:b/>
                <w:color w:val="1C3A36"/>
                <w:sz w:val="16"/>
              </w:rPr>
              <w:t>100.0%</w:t>
            </w:r>
          </w:p>
        </w:tc>
        <w:tc>
          <w:tcPr>
            <w:tcW w:type="dxa" w:w="1656"/>
            <w:shd w:val="clear" w:color="auto" w:fill="F6F1E6"/>
          </w:tcPr>
          <w:p>
            <w:pPr>
              <w:spacing w:after="20"/>
              <w:jc w:val="right"/>
            </w:pPr>
            <w:r>
              <w:rPr>
                <w:b/>
                <w:color w:val="1C3A36"/>
                <w:sz w:val="16"/>
              </w:rPr>
              <w:t>14.5%</w:t>
            </w:r>
          </w:p>
        </w:tc>
        <w:tc>
          <w:tcPr>
            <w:tcW w:type="dxa" w:w="1872"/>
            <w:shd w:val="clear" w:color="auto" w:fill="F6F1E6"/>
          </w:tcPr>
          <w:p>
            <w:pPr>
              <w:spacing w:after="20"/>
              <w:jc w:val="right"/>
            </w:pPr>
            <w:r>
              <w:rPr>
                <w:b/>
                <w:color w:val="1C3A36"/>
                <w:sz w:val="16"/>
              </w:rPr>
              <w:t>514,192</w:t>
            </w:r>
          </w:p>
        </w:tc>
        <w:tc>
          <w:tcPr>
            <w:tcW w:type="dxa" w:w="1181"/>
            <w:shd w:val="clear" w:color="auto" w:fill="F6F1E6"/>
          </w:tcPr>
          <w:p>
            <w:pPr>
              <w:spacing w:after="20"/>
              <w:jc w:val="right"/>
            </w:pPr>
            <w:r>
              <w:rPr>
                <w:b/>
                <w:color w:val="1C3A36"/>
                <w:sz w:val="16"/>
              </w:rPr>
              <w:t>100.0%</w:t>
            </w:r>
          </w:p>
        </w:tc>
      </w:tr>
    </w:tbl>
    <w:p>
      <w:pPr>
        <w:spacing w:after="40"/>
      </w:pPr>
    </w:p>
    <w:p>
      <w:pPr>
        <w:spacing w:after="200" w:before="0"/>
      </w:pPr>
      <w:r>
        <w:rPr>
          <w:b w:val="0"/>
          <w:i/>
          <w:color w:val="6E7B77"/>
          <w:sz w:val="17"/>
        </w:rPr>
        <w:t>FY2025 sub-segment revenue is built from the unit economics above, with cables as the residual against disclosed group revenue. FY2025 gross margins are calibrated so the total reproduces the gross profit assembled from the disclosed nine-month and fourth-quarter prints: cable gross profit is pinned to the published figure per tonne, and the remaining lines carry FY2024's margins scaled by a single solved factor of 0.804 — a roughly 20% compression across the board, which is what the disclosed prints require.</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FY2024 accounts contain the single most important number in this study. The group earned EBITDA of EGP 31,602mn and generated operating cash flow, after interest and tax, of EGP 3,979mn — about 13% of it. The difference went into working capital: inventories rose EGP 25,914mn and receivables EGP 40,144mn in a single year. Some of that was funded by customers — contract liabilities rose EGP 28,221mn — but the net absorption was still severe.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 (estimated)</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64,641</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23.0%</w:t>
            </w:r>
          </w:p>
        </w:tc>
      </w:tr>
    </w:tbl>
    <w:p>
      <w:pPr>
        <w:spacing w:after="40"/>
      </w:pPr>
    </w:p>
    <w:p>
      <w:pPr>
        <w:spacing w:after="120" w:before="0"/>
      </w:pPr>
      <w:r>
        <w:rPr>
          <w:b w:val="0"/>
          <w:i w:val="0"/>
          <w:color w:val="1C3A36"/>
          <w:sz w:val="21"/>
        </w:rPr>
        <w:t>The unit build makes a second point that a percentage-of-revenue model hides. Copper is passed through: a higher copper price raises revenue without raising the profit earned on each tonne. But working capital scales with revenue, so a copper spike CONSUMES cash while adding almost no profit. That is visible in FY2026E, where revenue rises +30% — most of it copper — and the resulting EGP 19,437mn working-capital build cuts free cash flow to the firm to just EGP 1,377mn, against EGP 13,049mn the following year once the step-up is absorbed. A rising copper price is not good news for this business in the year it happens.</w:t>
      </w:r>
    </w:p>
    <w:p>
      <w:pPr>
        <w:spacing w:after="120" w:before="0"/>
      </w:pPr>
      <w:r>
        <w:rPr>
          <w:b w:val="0"/>
          <w:i w:val="0"/>
          <w:color w:val="1C3A36"/>
          <w:sz w:val="21"/>
        </w:rPr>
        <w:t>The model holds this ratio flat at 23.0% of revenue, which is what the two audited years show. That single assumption is worth a great deal: every percentage point of revenue added to or removed from working-capital intensity is worth roughly EGP 1.05 per share. If the group ever converts its order book without funding it — collecting faster, or pushing more of the funding onto suppliers and customers — the cash-flow model reprices sharply upward. If discipline slips as the backlog is executed,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terminal built from the central bank's own stated medium-term inflation target plus a standard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netted out so sovereign default risk is not charged twice — once in the local yield and again in the country premium</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1.009</w:t>
            </w:r>
          </w:p>
        </w:tc>
        <w:tc>
          <w:tcPr>
            <w:tcW w:type="dxa" w:w="1152"/>
          </w:tcPr>
          <w:p>
            <w:pPr>
              <w:spacing w:after="20"/>
              <w:jc w:val="right"/>
            </w:pPr>
            <w:r>
              <w:rPr>
                <w:color w:val="1C3A36"/>
                <w:sz w:val="16"/>
              </w:rPr>
              <w:t>1.009</w:t>
            </w:r>
          </w:p>
        </w:tc>
        <w:tc>
          <w:tcPr>
            <w:tcW w:type="dxa" w:w="5299"/>
          </w:tcPr>
          <w:p>
            <w:pPr>
              <w:spacing w:after="20"/>
              <w:jc w:val="right"/>
            </w:pPr>
            <w:r>
              <w:rPr>
                <w:color w:val="1C3A36"/>
                <w:sz w:val="16"/>
              </w:rPr>
              <w:t>own-stock weekly regression against a 31-name equal-weight local composite over five years: R-squared 0.291, n = 258, standard error 0.098, 90% interval [0.85, 1.17]</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credit-default-swap basis;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28.4%</w:t>
            </w:r>
          </w:p>
        </w:tc>
        <w:tc>
          <w:tcPr>
            <w:tcW w:type="dxa" w:w="1152"/>
          </w:tcPr>
          <w:p>
            <w:pPr>
              <w:spacing w:after="20"/>
              <w:jc w:val="right"/>
            </w:pPr>
            <w:r>
              <w:rPr>
                <w:color w:val="1C3A36"/>
                <w:sz w:val="16"/>
              </w:rPr>
              <w:t>17.6%</w:t>
            </w:r>
          </w:p>
        </w:tc>
        <w:tc>
          <w:tcPr>
            <w:tcW w:type="dxa" w:w="5299"/>
          </w:tcPr>
          <w:p>
            <w:pPr>
              <w:spacing w:after="20"/>
              <w:jc w:val="right"/>
            </w:pPr>
            <w:r>
              <w:rPr>
                <w:color w:val="1C3A36"/>
                <w:sz w:val="16"/>
              </w:rPr>
            </w:r>
          </w:p>
        </w:tc>
      </w:tr>
      <w:tr>
        <w:tc>
          <w:tcPr>
            <w:tcW w:type="dxa" w:w="2304"/>
            <w:shd w:val="clear" w:color="auto" w:fill="F6F1E6"/>
          </w:tcPr>
          <w:p>
            <w:pPr>
              <w:spacing w:after="20"/>
            </w:pPr>
            <w:r>
              <w:rPr>
                <w:b/>
                <w:color w:val="1C3A36"/>
                <w:sz w:val="16"/>
              </w:rPr>
              <w:t>Cost of debt (blended, pre-tax)</w:t>
            </w:r>
          </w:p>
        </w:tc>
        <w:tc>
          <w:tcPr>
            <w:tcW w:type="dxa" w:w="1325"/>
            <w:shd w:val="clear" w:color="auto" w:fill="F6F1E6"/>
          </w:tcPr>
          <w:p>
            <w:pPr>
              <w:spacing w:after="20"/>
              <w:jc w:val="right"/>
            </w:pPr>
            <w:r>
              <w:rPr>
                <w:b/>
                <w:color w:val="1C3A36"/>
                <w:sz w:val="16"/>
              </w:rPr>
              <w:t>13.0%</w:t>
            </w:r>
          </w:p>
        </w:tc>
        <w:tc>
          <w:tcPr>
            <w:tcW w:type="dxa" w:w="1152"/>
            <w:shd w:val="clear" w:color="auto" w:fill="F6F1E6"/>
          </w:tcPr>
          <w:p>
            <w:pPr>
              <w:spacing w:after="20"/>
              <w:jc w:val="right"/>
            </w:pPr>
            <w:r>
              <w:rPr>
                <w:b/>
                <w:color w:val="1C3A36"/>
                <w:sz w:val="16"/>
              </w:rPr>
              <w:t>10.5%</w:t>
            </w:r>
          </w:p>
        </w:tc>
        <w:tc>
          <w:tcPr>
            <w:tcW w:type="dxa" w:w="5299"/>
            <w:shd w:val="clear" w:color="auto" w:fill="F6F1E6"/>
          </w:tcPr>
          <w:p>
            <w:pPr>
              <w:spacing w:after="20"/>
              <w:jc w:val="right"/>
            </w:pPr>
            <w:r>
              <w:rPr>
                <w:b/>
                <w:color w:val="1C3A36"/>
                <w:sz w:val="16"/>
              </w:rPr>
              <w:t>currency-blended — see the evidence immediately below</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8.1%</w:t>
            </w:r>
          </w:p>
        </w:tc>
        <w:tc>
          <w:tcPr>
            <w:tcW w:type="dxa" w:w="1152"/>
          </w:tcPr>
          <w:p>
            <w:pPr>
              <w:spacing w:after="20"/>
              <w:jc w:val="right"/>
            </w:pPr>
            <w:r>
              <w:rPr>
                <w:color w:val="1C3A36"/>
                <w:sz w:val="16"/>
              </w:rPr>
              <w:t>25.0%</w:t>
            </w:r>
          </w:p>
        </w:tc>
        <w:tc>
          <w:tcPr>
            <w:tcW w:type="dxa" w:w="5299"/>
          </w:tcPr>
          <w:p>
            <w:pPr>
              <w:spacing w:after="20"/>
              <w:jc w:val="right"/>
            </w:pPr>
            <w:r>
              <w:rPr>
                <w:color w:val="1C3A36"/>
                <w:sz w:val="16"/>
              </w:rPr>
              <w:t>net debt against market capitalisation for the explicit window; a normalised structure for the terminal, because the steady state cannot be described by today's weights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26.9%</w:t>
            </w:r>
          </w:p>
        </w:tc>
        <w:tc>
          <w:tcPr>
            <w:tcW w:type="dxa" w:w="1152"/>
          </w:tcPr>
          <w:p>
            <w:pPr>
              <w:spacing w:after="20"/>
              <w:jc w:val="right"/>
            </w:pPr>
            <w:r>
              <w:rPr>
                <w:color w:val="1C3A36"/>
                <w:sz w:val="16"/>
              </w:rPr>
              <w:t>15.1%</w:t>
            </w:r>
          </w:p>
        </w:tc>
        <w:tc>
          <w:tcPr>
            <w:tcW w:type="dxa" w:w="5299"/>
          </w:tcPr>
          <w:p>
            <w:pPr>
              <w:spacing w:after="20"/>
              <w:jc w:val="right"/>
            </w:pPr>
            <w:r>
              <w:rPr>
                <w:color w:val="1C3A36"/>
                <w:sz w:val="16"/>
              </w:rPr>
            </w:r>
          </w:p>
        </w:tc>
      </w:tr>
    </w:tbl>
    <w:p>
      <w:pPr>
        <w:spacing w:after="40"/>
      </w:pP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interest-rate note discloses average rates on financial liabilities of 28.7% in Egyptian pounds, 6.5% in US dollars and 3.9% in euros. Reconciling those against the rate actually paid implies roughly 44% of the book is in Egyptian pounds and 56% in hard currency. Treating this company as a domestic borrower would overstate its cost of debt by about 1,326 basis points.</w:t>
            </w:r>
          </w:p>
        </w:tc>
      </w:tr>
      <w:tr>
        <w:tc>
          <w:tcPr>
            <w:tcW w:type="dxa" w:w="2952"/>
          </w:tcPr>
          <w:p>
            <w:pPr>
              <w:spacing w:after="20"/>
            </w:pPr>
            <w:r>
              <w:rPr>
                <w:color w:val="1C3A36"/>
                <w:sz w:val="16"/>
              </w:rPr>
              <w:t>Independently computed effective rate, two periods</w:t>
            </w:r>
          </w:p>
        </w:tc>
        <w:tc>
          <w:tcPr>
            <w:tcW w:type="dxa" w:w="7128"/>
          </w:tcPr>
          <w:p>
            <w:pPr>
              <w:spacing w:after="20"/>
              <w:jc w:val="right"/>
            </w:pPr>
            <w:r>
              <w:rPr>
                <w:color w:val="1C3A36"/>
                <w:sz w:val="16"/>
              </w:rPr>
              <w:t>FY2024: interest expense of 7,707 against average loans and credit facilities of 49,982 = 15.4%. First quarter 2025, annualised on the same basis = 12.3%, the fall reflecting the central bank's easing.</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13.0% sits 74 basis points from the most recent effective rate and below the peak-period rate of 15.4%.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too. It is also why the balance sheet looks more leveraged than it is: the gross book is large because working capital is large, but it costs roughly 12.3% and is more than two-thirds offset by cash.</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Bold cells sit within EGP 6 of the market price of 105.20.</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23.9%</w:t>
            </w:r>
          </w:p>
        </w:tc>
        <w:tc>
          <w:tcPr>
            <w:tcW w:type="dxa" w:w="1541"/>
            <w:shd w:val="clear" w:color="auto" w:fill="EAF0EE"/>
          </w:tcPr>
          <w:p>
            <w:pPr>
              <w:spacing w:after="20"/>
            </w:pPr>
            <w:r>
              <w:rPr>
                <w:b/>
                <w:color w:val="1C3A36"/>
                <w:sz w:val="16"/>
              </w:rPr>
              <w:t>25.4%</w:t>
            </w:r>
          </w:p>
        </w:tc>
        <w:tc>
          <w:tcPr>
            <w:tcW w:type="dxa" w:w="1541"/>
            <w:shd w:val="clear" w:color="auto" w:fill="EAF0EE"/>
          </w:tcPr>
          <w:p>
            <w:pPr>
              <w:spacing w:after="20"/>
            </w:pPr>
            <w:r>
              <w:rPr>
                <w:b/>
                <w:color w:val="1C3A36"/>
                <w:sz w:val="16"/>
              </w:rPr>
              <w:t>26.9%</w:t>
            </w:r>
          </w:p>
        </w:tc>
        <w:tc>
          <w:tcPr>
            <w:tcW w:type="dxa" w:w="1541"/>
            <w:shd w:val="clear" w:color="auto" w:fill="EAF0EE"/>
          </w:tcPr>
          <w:p>
            <w:pPr>
              <w:spacing w:after="20"/>
            </w:pPr>
            <w:r>
              <w:rPr>
                <w:b/>
                <w:color w:val="1C3A36"/>
                <w:sz w:val="16"/>
              </w:rPr>
              <w:t>28.4%</w:t>
            </w:r>
          </w:p>
        </w:tc>
        <w:tc>
          <w:tcPr>
            <w:tcW w:type="dxa" w:w="1541"/>
            <w:shd w:val="clear" w:color="auto" w:fill="EAF0EE"/>
          </w:tcPr>
          <w:p>
            <w:pPr>
              <w:spacing w:after="20"/>
            </w:pPr>
            <w:r>
              <w:rPr>
                <w:b/>
                <w:color w:val="1C3A36"/>
                <w:sz w:val="16"/>
              </w:rPr>
              <w:t>29.9%</w:t>
            </w:r>
          </w:p>
        </w:tc>
      </w:tr>
      <w:tr>
        <w:tc>
          <w:tcPr>
            <w:tcW w:type="dxa" w:w="2333"/>
          </w:tcPr>
          <w:p>
            <w:pPr>
              <w:spacing w:after="20"/>
            </w:pPr>
            <w:r>
              <w:rPr>
                <w:color w:val="1C3A36"/>
                <w:sz w:val="16"/>
              </w:rPr>
              <w:t>terminal 13.1%</w:t>
            </w:r>
          </w:p>
        </w:tc>
        <w:tc>
          <w:tcPr>
            <w:tcW w:type="dxa" w:w="1541"/>
          </w:tcPr>
          <w:p>
            <w:pPr>
              <w:spacing w:after="20"/>
              <w:jc w:val="right"/>
            </w:pPr>
            <w:r>
              <w:rPr>
                <w:color w:val="1C3A36"/>
                <w:sz w:val="16"/>
              </w:rPr>
              <w:t>83.67</w:t>
            </w:r>
          </w:p>
        </w:tc>
        <w:tc>
          <w:tcPr>
            <w:tcW w:type="dxa" w:w="1541"/>
          </w:tcPr>
          <w:p>
            <w:pPr>
              <w:spacing w:after="20"/>
              <w:jc w:val="right"/>
            </w:pPr>
            <w:r>
              <w:rPr>
                <w:color w:val="1C3A36"/>
                <w:sz w:val="16"/>
              </w:rPr>
              <w:t>81.32</w:t>
            </w:r>
          </w:p>
        </w:tc>
        <w:tc>
          <w:tcPr>
            <w:tcW w:type="dxa" w:w="1541"/>
          </w:tcPr>
          <w:p>
            <w:pPr>
              <w:spacing w:after="20"/>
              <w:jc w:val="right"/>
            </w:pPr>
            <w:r>
              <w:rPr>
                <w:color w:val="1C3A36"/>
                <w:sz w:val="16"/>
              </w:rPr>
              <w:t>79.05</w:t>
            </w:r>
          </w:p>
        </w:tc>
        <w:tc>
          <w:tcPr>
            <w:tcW w:type="dxa" w:w="1541"/>
          </w:tcPr>
          <w:p>
            <w:pPr>
              <w:spacing w:after="20"/>
              <w:jc w:val="right"/>
            </w:pPr>
            <w:r>
              <w:rPr>
                <w:color w:val="1C3A36"/>
                <w:sz w:val="16"/>
              </w:rPr>
              <w:t>76.86</w:t>
            </w:r>
          </w:p>
        </w:tc>
        <w:tc>
          <w:tcPr>
            <w:tcW w:type="dxa" w:w="1541"/>
          </w:tcPr>
          <w:p>
            <w:pPr>
              <w:spacing w:after="20"/>
              <w:jc w:val="right"/>
            </w:pPr>
            <w:r>
              <w:rPr>
                <w:color w:val="1C3A36"/>
                <w:sz w:val="16"/>
              </w:rPr>
              <w:t>74.75</w:t>
            </w:r>
          </w:p>
        </w:tc>
      </w:tr>
      <w:tr>
        <w:tc>
          <w:tcPr>
            <w:tcW w:type="dxa" w:w="2333"/>
          </w:tcPr>
          <w:p>
            <w:pPr>
              <w:spacing w:after="20"/>
            </w:pPr>
            <w:r>
              <w:rPr>
                <w:color w:val="1C3A36"/>
                <w:sz w:val="16"/>
              </w:rPr>
              <w:t>terminal 14.1%</w:t>
            </w:r>
          </w:p>
        </w:tc>
        <w:tc>
          <w:tcPr>
            <w:tcW w:type="dxa" w:w="1541"/>
          </w:tcPr>
          <w:p>
            <w:pPr>
              <w:spacing w:after="20"/>
              <w:jc w:val="right"/>
            </w:pPr>
            <w:r>
              <w:rPr>
                <w:color w:val="1C3A36"/>
                <w:sz w:val="16"/>
              </w:rPr>
              <w:t>74.09</w:t>
            </w:r>
          </w:p>
        </w:tc>
        <w:tc>
          <w:tcPr>
            <w:tcW w:type="dxa" w:w="1541"/>
          </w:tcPr>
          <w:p>
            <w:pPr>
              <w:spacing w:after="20"/>
              <w:jc w:val="right"/>
            </w:pPr>
            <w:r>
              <w:rPr>
                <w:color w:val="1C3A36"/>
                <w:sz w:val="16"/>
              </w:rPr>
              <w:t>72.01</w:t>
            </w:r>
          </w:p>
        </w:tc>
        <w:tc>
          <w:tcPr>
            <w:tcW w:type="dxa" w:w="1541"/>
          </w:tcPr>
          <w:p>
            <w:pPr>
              <w:spacing w:after="20"/>
              <w:jc w:val="right"/>
            </w:pPr>
            <w:r>
              <w:rPr>
                <w:color w:val="1C3A36"/>
                <w:sz w:val="16"/>
              </w:rPr>
              <w:t>69.99</w:t>
            </w:r>
          </w:p>
        </w:tc>
        <w:tc>
          <w:tcPr>
            <w:tcW w:type="dxa" w:w="1541"/>
          </w:tcPr>
          <w:p>
            <w:pPr>
              <w:spacing w:after="20"/>
              <w:jc w:val="right"/>
            </w:pPr>
            <w:r>
              <w:rPr>
                <w:color w:val="1C3A36"/>
                <w:sz w:val="16"/>
              </w:rPr>
              <w:t>68.05</w:t>
            </w:r>
          </w:p>
        </w:tc>
        <w:tc>
          <w:tcPr>
            <w:tcW w:type="dxa" w:w="1541"/>
          </w:tcPr>
          <w:p>
            <w:pPr>
              <w:spacing w:after="20"/>
              <w:jc w:val="right"/>
            </w:pPr>
            <w:r>
              <w:rPr>
                <w:color w:val="1C3A36"/>
                <w:sz w:val="16"/>
              </w:rPr>
              <w:t>66.17</w:t>
            </w:r>
          </w:p>
        </w:tc>
      </w:tr>
      <w:tr>
        <w:tc>
          <w:tcPr>
            <w:tcW w:type="dxa" w:w="2333"/>
          </w:tcPr>
          <w:p>
            <w:pPr>
              <w:spacing w:after="20"/>
            </w:pPr>
            <w:r>
              <w:rPr>
                <w:color w:val="1C3A36"/>
                <w:sz w:val="16"/>
              </w:rPr>
              <w:t>terminal 15.1%</w:t>
            </w:r>
          </w:p>
        </w:tc>
        <w:tc>
          <w:tcPr>
            <w:tcW w:type="dxa" w:w="1541"/>
          </w:tcPr>
          <w:p>
            <w:pPr>
              <w:spacing w:after="20"/>
              <w:jc w:val="right"/>
            </w:pPr>
            <w:r>
              <w:rPr>
                <w:color w:val="1C3A36"/>
                <w:sz w:val="16"/>
              </w:rPr>
              <w:t>66.41</w:t>
            </w:r>
          </w:p>
        </w:tc>
        <w:tc>
          <w:tcPr>
            <w:tcW w:type="dxa" w:w="1541"/>
          </w:tcPr>
          <w:p>
            <w:pPr>
              <w:spacing w:after="20"/>
              <w:jc w:val="right"/>
            </w:pPr>
            <w:r>
              <w:rPr>
                <w:color w:val="1C3A36"/>
                <w:sz w:val="16"/>
              </w:rPr>
              <w:t>64.53</w:t>
            </w:r>
          </w:p>
        </w:tc>
        <w:tc>
          <w:tcPr>
            <w:tcW w:type="dxa" w:w="1541"/>
          </w:tcPr>
          <w:p>
            <w:pPr>
              <w:spacing w:after="20"/>
              <w:jc w:val="right"/>
            </w:pPr>
            <w:r>
              <w:rPr>
                <w:color w:val="1C3A36"/>
                <w:sz w:val="16"/>
              </w:rPr>
              <w:t>62.72</w:t>
            </w:r>
          </w:p>
        </w:tc>
        <w:tc>
          <w:tcPr>
            <w:tcW w:type="dxa" w:w="1541"/>
          </w:tcPr>
          <w:p>
            <w:pPr>
              <w:spacing w:after="20"/>
              <w:jc w:val="right"/>
            </w:pPr>
            <w:r>
              <w:rPr>
                <w:color w:val="1C3A36"/>
                <w:sz w:val="16"/>
              </w:rPr>
              <w:t>60.97</w:t>
            </w:r>
          </w:p>
        </w:tc>
        <w:tc>
          <w:tcPr>
            <w:tcW w:type="dxa" w:w="1541"/>
          </w:tcPr>
          <w:p>
            <w:pPr>
              <w:spacing w:after="20"/>
              <w:jc w:val="right"/>
            </w:pPr>
            <w:r>
              <w:rPr>
                <w:color w:val="1C3A36"/>
                <w:sz w:val="16"/>
              </w:rPr>
              <w:t>59.28</w:t>
            </w:r>
          </w:p>
        </w:tc>
      </w:tr>
      <w:tr>
        <w:tc>
          <w:tcPr>
            <w:tcW w:type="dxa" w:w="2333"/>
          </w:tcPr>
          <w:p>
            <w:pPr>
              <w:spacing w:after="20"/>
            </w:pPr>
            <w:r>
              <w:rPr>
                <w:color w:val="1C3A36"/>
                <w:sz w:val="16"/>
              </w:rPr>
              <w:t>terminal 16.1%</w:t>
            </w:r>
          </w:p>
        </w:tc>
        <w:tc>
          <w:tcPr>
            <w:tcW w:type="dxa" w:w="1541"/>
          </w:tcPr>
          <w:p>
            <w:pPr>
              <w:spacing w:after="20"/>
              <w:jc w:val="right"/>
            </w:pPr>
            <w:r>
              <w:rPr>
                <w:color w:val="1C3A36"/>
                <w:sz w:val="16"/>
              </w:rPr>
              <w:t>60.11</w:t>
            </w:r>
          </w:p>
        </w:tc>
        <w:tc>
          <w:tcPr>
            <w:tcW w:type="dxa" w:w="1541"/>
          </w:tcPr>
          <w:p>
            <w:pPr>
              <w:spacing w:after="20"/>
              <w:jc w:val="right"/>
            </w:pPr>
            <w:r>
              <w:rPr>
                <w:color w:val="1C3A36"/>
                <w:sz w:val="16"/>
              </w:rPr>
              <w:t>58.41</w:t>
            </w:r>
          </w:p>
        </w:tc>
        <w:tc>
          <w:tcPr>
            <w:tcW w:type="dxa" w:w="1541"/>
          </w:tcPr>
          <w:p>
            <w:pPr>
              <w:spacing w:after="20"/>
              <w:jc w:val="right"/>
            </w:pPr>
            <w:r>
              <w:rPr>
                <w:color w:val="1C3A36"/>
                <w:sz w:val="16"/>
              </w:rPr>
              <w:t>56.76</w:t>
            </w:r>
          </w:p>
        </w:tc>
        <w:tc>
          <w:tcPr>
            <w:tcW w:type="dxa" w:w="1541"/>
          </w:tcPr>
          <w:p>
            <w:pPr>
              <w:spacing w:after="20"/>
              <w:jc w:val="right"/>
            </w:pPr>
            <w:r>
              <w:rPr>
                <w:color w:val="1C3A36"/>
                <w:sz w:val="16"/>
              </w:rPr>
              <w:t>55.17</w:t>
            </w:r>
          </w:p>
        </w:tc>
        <w:tc>
          <w:tcPr>
            <w:tcW w:type="dxa" w:w="1541"/>
          </w:tcPr>
          <w:p>
            <w:pPr>
              <w:spacing w:after="20"/>
              <w:jc w:val="right"/>
            </w:pPr>
            <w:r>
              <w:rPr>
                <w:color w:val="1C3A36"/>
                <w:sz w:val="16"/>
              </w:rPr>
              <w:t>53.64</w:t>
            </w:r>
          </w:p>
        </w:tc>
      </w:tr>
      <w:tr>
        <w:tc>
          <w:tcPr>
            <w:tcW w:type="dxa" w:w="2333"/>
          </w:tcPr>
          <w:p>
            <w:pPr>
              <w:spacing w:after="20"/>
            </w:pPr>
            <w:r>
              <w:rPr>
                <w:color w:val="1C3A36"/>
                <w:sz w:val="16"/>
              </w:rPr>
              <w:t>terminal 17.1%</w:t>
            </w:r>
          </w:p>
        </w:tc>
        <w:tc>
          <w:tcPr>
            <w:tcW w:type="dxa" w:w="1541"/>
          </w:tcPr>
          <w:p>
            <w:pPr>
              <w:spacing w:after="20"/>
              <w:jc w:val="right"/>
            </w:pPr>
            <w:r>
              <w:rPr>
                <w:color w:val="1C3A36"/>
                <w:sz w:val="16"/>
              </w:rPr>
              <w:t>54.86</w:t>
            </w:r>
          </w:p>
        </w:tc>
        <w:tc>
          <w:tcPr>
            <w:tcW w:type="dxa" w:w="1541"/>
          </w:tcPr>
          <w:p>
            <w:pPr>
              <w:spacing w:after="20"/>
              <w:jc w:val="right"/>
            </w:pPr>
            <w:r>
              <w:rPr>
                <w:color w:val="1C3A36"/>
                <w:sz w:val="16"/>
              </w:rPr>
              <w:t>53.29</w:t>
            </w:r>
          </w:p>
        </w:tc>
        <w:tc>
          <w:tcPr>
            <w:tcW w:type="dxa" w:w="1541"/>
          </w:tcPr>
          <w:p>
            <w:pPr>
              <w:spacing w:after="20"/>
              <w:jc w:val="right"/>
            </w:pPr>
            <w:r>
              <w:rPr>
                <w:color w:val="1C3A36"/>
                <w:sz w:val="16"/>
              </w:rPr>
              <w:t>51.79</w:t>
            </w:r>
          </w:p>
        </w:tc>
        <w:tc>
          <w:tcPr>
            <w:tcW w:type="dxa" w:w="1541"/>
          </w:tcPr>
          <w:p>
            <w:pPr>
              <w:spacing w:after="20"/>
              <w:jc w:val="right"/>
            </w:pPr>
            <w:r>
              <w:rPr>
                <w:color w:val="1C3A36"/>
                <w:sz w:val="16"/>
              </w:rPr>
              <w:t>50.33</w:t>
            </w:r>
          </w:p>
        </w:tc>
        <w:tc>
          <w:tcPr>
            <w:tcW w:type="dxa" w:w="1541"/>
          </w:tcPr>
          <w:p>
            <w:pPr>
              <w:spacing w:after="20"/>
              <w:jc w:val="right"/>
            </w:pPr>
            <w:r>
              <w:rPr>
                <w:color w:val="1C3A36"/>
                <w:sz w:val="16"/>
              </w:rPr>
              <w:t>48.92</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51.52 – 86.16</w:t>
            </w:r>
          </w:p>
        </w:tc>
        <w:tc>
          <w:tcPr>
            <w:tcW w:type="dxa" w:w="1944"/>
          </w:tcPr>
          <w:p>
            <w:pPr>
              <w:spacing w:after="20"/>
              <w:jc w:val="right"/>
            </w:pPr>
            <w:r>
              <w:rPr>
                <w:color w:val="1C3A36"/>
                <w:sz w:val="17"/>
              </w:rPr>
              <w:t>34.64</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+20%</w:t>
            </w:r>
          </w:p>
        </w:tc>
        <w:tc>
          <w:tcPr>
            <w:tcW w:type="dxa" w:w="2736"/>
          </w:tcPr>
          <w:p>
            <w:pPr>
              <w:spacing w:after="20"/>
              <w:jc w:val="right"/>
            </w:pPr>
            <w:r>
              <w:rPr>
                <w:color w:val="1C3A36"/>
                <w:sz w:val="17"/>
              </w:rPr>
              <w:t>44.94 – 71.61</w:t>
            </w:r>
          </w:p>
        </w:tc>
        <w:tc>
          <w:tcPr>
            <w:tcW w:type="dxa" w:w="1944"/>
          </w:tcPr>
          <w:p>
            <w:pPr>
              <w:spacing w:after="20"/>
              <w:jc w:val="right"/>
            </w:pPr>
            <w:r>
              <w:rPr>
                <w:color w:val="1C3A36"/>
                <w:sz w:val="17"/>
              </w:rPr>
              <w:t>26.67</w:t>
            </w:r>
          </w:p>
        </w:tc>
      </w:tr>
      <w:tr>
        <w:tc>
          <w:tcPr>
            <w:tcW w:type="dxa" w:w="3168"/>
          </w:tcPr>
          <w:p>
            <w:pPr>
              <w:spacing w:after="20"/>
            </w:pPr>
            <w:r>
              <w:rPr>
                <w:color w:val="1C3A36"/>
                <w:sz w:val="17"/>
              </w:rPr>
              <w:t>Gross profit per unit</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41.84 – 83.60</w:t>
            </w:r>
          </w:p>
        </w:tc>
        <w:tc>
          <w:tcPr>
            <w:tcW w:type="dxa" w:w="1944"/>
          </w:tcPr>
          <w:p>
            <w:pPr>
              <w:spacing w:after="20"/>
              <w:jc w:val="right"/>
            </w:pPr>
            <w:r>
              <w:rPr>
                <w:color w:val="1C3A36"/>
                <w:sz w:val="17"/>
              </w:rPr>
              <w:t>41.76</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49.39 – 76.06</w:t>
            </w:r>
          </w:p>
        </w:tc>
        <w:tc>
          <w:tcPr>
            <w:tcW w:type="dxa" w:w="1944"/>
          </w:tcPr>
          <w:p>
            <w:pPr>
              <w:spacing w:after="20"/>
              <w:jc w:val="right"/>
            </w:pPr>
            <w:r>
              <w:rPr>
                <w:color w:val="1C3A36"/>
                <w:sz w:val="17"/>
              </w:rPr>
              <w:t>26.67</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20.0% – 26.0%</w:t>
            </w:r>
          </w:p>
        </w:tc>
        <w:tc>
          <w:tcPr>
            <w:tcW w:type="dxa" w:w="2736"/>
          </w:tcPr>
          <w:p>
            <w:pPr>
              <w:spacing w:after="20"/>
              <w:jc w:val="right"/>
            </w:pPr>
            <w:r>
              <w:rPr>
                <w:color w:val="1C3A36"/>
                <w:sz w:val="17"/>
              </w:rPr>
              <w:t>59.57 – 65.87</w:t>
            </w:r>
          </w:p>
        </w:tc>
        <w:tc>
          <w:tcPr>
            <w:tcW w:type="dxa" w:w="1944"/>
          </w:tcPr>
          <w:p>
            <w:pPr>
              <w:spacing w:after="20"/>
              <w:jc w:val="right"/>
            </w:pPr>
            <w:r>
              <w:rPr>
                <w:color w:val="1C3A36"/>
                <w:sz w:val="17"/>
              </w:rPr>
              <w:t>6.30</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56.39 – 67.79</w:t>
            </w:r>
          </w:p>
        </w:tc>
        <w:tc>
          <w:tcPr>
            <w:tcW w:type="dxa" w:w="1944"/>
          </w:tcPr>
          <w:p>
            <w:pPr>
              <w:spacing w:after="20"/>
              <w:jc w:val="right"/>
            </w:pPr>
            <w:r>
              <w:rPr>
                <w:color w:val="1C3A36"/>
                <w:sz w:val="17"/>
              </w:rPr>
              <w:t>11.40</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58.74 – 68.35</w:t>
            </w:r>
          </w:p>
        </w:tc>
        <w:tc>
          <w:tcPr>
            <w:tcW w:type="dxa" w:w="1944"/>
          </w:tcPr>
          <w:p>
            <w:pPr>
              <w:spacing w:after="20"/>
              <w:jc w:val="right"/>
            </w:pPr>
            <w:r>
              <w:rPr>
                <w:color w:val="1C3A36"/>
                <w:sz w:val="17"/>
              </w:rPr>
              <w:t>9.61</w:t>
            </w:r>
          </w:p>
        </w:tc>
      </w:tr>
    </w:tbl>
    <w:p>
      <w:pPr>
        <w:spacing w:after="40"/>
      </w:pPr>
    </w:p>
    <w:p>
      <w:pPr>
        <w:spacing w:after="200" w:before="0"/>
      </w:pPr>
      <w:r>
        <w:rPr>
          <w:b w:val="0"/>
          <w:i/>
          <w:color w:val="6E7B77"/>
          <w:sz w:val="17"/>
        </w:rPr>
        <w:t>Every row is a full re-run of the unit build, not a multiplier applied to a finished revenue line: a currency or copper move flows through the price per tonne, the working capital and the gross profit exactly as it does in the base case. Note the copper row — the swing is small and can even run the 'wrong' way, because a higher metal price raises revenue and working capital without raising the profit earned per tonne. Ranked by swing, the terminal assumptions and the cost of capital dominate every operating driver.</w:t>
      </w:r>
    </w:p>
    <w:p>
      <w:pPr>
        <w:spacing w:after="200" w:before="0"/>
      </w:pPr>
      <w:r>
        <w:rPr>
          <w:b w:val="0"/>
          <w:i w:val="0"/>
          <w:color w:val="1C3A36"/>
          <w:sz w:val="21"/>
        </w:rPr>
        <w:t>The beta deserves a note. At 1.009 with an R-squared of 0.291 over 258 weekly observations and a standard error of 0.098, this is a well-identified estimate by the standards of this market — the 90% interval spans [0.85, 1.17],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105.20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+12%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+17%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+22%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+28%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-4% from the high</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-8%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+61%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estimated from the daily range,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+37% over the last twelve months and sits -4%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rather than to any view.</w:t>
      </w:r>
    </w:p>
    <w:p>
      <w:pPr>
        <w:spacing w:after="120" w:before="0"/>
      </w:pPr>
      <w:r>
        <w:rPr>
          <w:b w:val="0"/>
          <w:i w:val="0"/>
          <w:color w:val="1C3A36"/>
          <w:sz w:val="21"/>
        </w:rPr>
        <w:t>The widths below are calibrated rather than assumed. Tested by walk-forward simulation over a full five years — 19 independent non-overlapping quarterly windows from 2021-10-05 to 2026-04-12, each one forecast using only data available before it — the model scored +1.50% better than a random-walk benchmark anchored on the same cost of carry. Outcomes fell inside the stated bands at close to the advertised rate (47% inside the 50% band, 68% inside the 80%, 84% inside the 90%), and the outcomes were spread evenly across the distribution rather than bunching at one end — a uniformity test returns p = 0.28, comfortably consistent with a well-calibrated forecast. Over the very long run the picture is more mixed: across the full 14-year history the model still beats the benchmark (+1.07%) but its bands are about 22% wider than they need to be, which is a real limitation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81.13; the dotted line is the spot of 105.20.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 and a verdict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81.13 central, -23%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62.72, -40%</w:t>
            </w:r>
          </w:p>
        </w:tc>
        <w:tc>
          <w:tcPr>
            <w:tcW w:type="dxa" w:w="4248"/>
          </w:tcPr>
          <w:p>
            <w:pPr>
              <w:spacing w:after="20"/>
              <w:jc w:val="right"/>
            </w:pPr>
            <w:r>
              <w:rPr>
                <w:color w:val="1C3A36"/>
                <w:sz w:val="17"/>
              </w:rPr>
              <w:t>a cost of capital gliding 26.9% to 15.1%</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90.38, -14%</w:t>
            </w:r>
          </w:p>
        </w:tc>
        <w:tc>
          <w:tcPr>
            <w:tcW w:type="dxa" w:w="4248"/>
          </w:tcPr>
          <w:p>
            <w:pPr>
              <w:spacing w:after="20"/>
              <w:jc w:val="right"/>
            </w:pPr>
            <w:r>
              <w:rPr>
                <w:color w:val="1C3A36"/>
                <w:sz w:val="17"/>
              </w:rPr>
              <w:t>the hard-currency cash-flow leg discounted at about 10.1%</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118.08, +12%</w:t>
            </w:r>
          </w:p>
        </w:tc>
        <w:tc>
          <w:tcPr>
            <w:tcW w:type="dxa" w:w="4248"/>
          </w:tcPr>
          <w:p>
            <w:pPr>
              <w:spacing w:after="20"/>
              <w:jc w:val="right"/>
            </w:pPr>
            <w:r>
              <w:rPr>
                <w:color w:val="1C3A36"/>
                <w:sz w:val="17"/>
              </w:rPr>
              <w:t>a discounted peer multiple is the right way to price this</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105.20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verdict is that the disagreement between the market and the cash-flow model is almost entirely a disagreement about the discount rate, and that this is a genuinely open question rather than a mistake by one side. A company that earns more than 70% of its money in hard currency, borrows more than half its book in hard currency at 6.5%,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90.38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23.0%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63%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the roughly USD 6.5bn backlog underwrites the engineering and construction forecast</w:t>
            </w:r>
          </w:p>
        </w:tc>
        <w:tc>
          <w:tcPr>
            <w:tcW w:type="dxa" w:w="4104"/>
          </w:tcPr>
          <w:p>
            <w:pPr>
              <w:spacing w:after="20"/>
              <w:jc w:val="right"/>
            </w:pPr>
            <w:r>
              <w:rPr>
                <w:color w:val="1C3A36"/>
                <w:sz w:val="16"/>
              </w:rPr>
              <w:t>new awards against burn; the geographic mix of new work</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payout has been modest against earnings; a step up would change the book and earnings lenses materially</w:t>
            </w:r>
          </w:p>
        </w:tc>
        <w:tc>
          <w:tcPr>
            <w:tcW w:type="dxa" w:w="4104"/>
          </w:tcPr>
          <w:p>
            <w:pPr>
              <w:spacing w:after="20"/>
              <w:jc w:val="right"/>
            </w:pPr>
            <w:r>
              <w:rPr>
                <w:color w:val="1C3A36"/>
                <w:sz w:val="16"/>
              </w:rPr>
              <w:t>the distribution proposed on the FY2026 result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-26% move and a +47%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81.13</w:t>
            </w:r>
          </w:p>
        </w:tc>
        <w:tc>
          <w:tcPr>
            <w:tcW w:type="dxa" w:w="5040"/>
          </w:tcPr>
          <w:p>
            <w:pPr>
              <w:spacing w:after="20"/>
              <w:jc w:val="right"/>
            </w:pPr>
            <w:r>
              <w:rPr>
                <w:color w:val="1C3A36"/>
                <w:sz w:val="17"/>
              </w:rPr>
              <w:t>below the 25th percentile of the three-month distribution — the price map and the valuation genuinely disagree, and that disagreement is the point</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The FY2025 income statement is partly derived. </w:t>
      </w:r>
      <w:r>
        <w:rPr>
          <w:color w:val="1C3A36"/>
          <w:sz w:val="21"/>
        </w:rPr>
        <w:t>Revenue, profit after tax, profit after minority interests, total assets and net bank debt for FY2025 are disclosed. Gross profit is assembled from the nine-month and fourth-quarter prints. The split of the remainder between operating costs, net finance and tax is closed arithmetically to the reported profit, which implies an effective tax rate of 25.0% against 30.1% in FY2024. The audited FY2025 statements are the falsifier. FY2023 and FY2024 are taken directly from audited statements and earnings releases and are not estimated.</w:t>
      </w:r>
    </w:p>
    <w:p>
      <w:pPr>
        <w:pStyle w:val="ListBullet"/>
        <w:spacing w:after="60"/>
      </w:pPr>
      <w:r>
        <w:rPr>
          <w:b/>
          <w:color w:val="1C3A36"/>
          <w:sz w:val="21"/>
        </w:rPr>
        <w:t xml:space="preserve">The FY2025 balance sheet beyond total assets and net debt is triangulated. </w:t>
      </w:r>
      <w:r>
        <w:rPr>
          <w:color w:val="1C3A36"/>
          <w:sz w:val="21"/>
        </w:rPr>
        <w:t>Three independent methods put gross debt between 67,105 and 76,166; the midpoint is carried. This matters far less than it sounds, because the valuation bridge subtracts only the disclosed net bank debt of 19,789, not the triangulated gross figure.</w:t>
      </w:r>
    </w:p>
    <w:p>
      <w:pPr>
        <w:pStyle w:val="ListBullet"/>
        <w:spacing w:after="60"/>
      </w:pPr>
      <w:r>
        <w:rPr>
          <w:b/>
          <w:color w:val="1C3A36"/>
          <w:sz w:val="21"/>
        </w:rPr>
        <w:t xml:space="preserve">The terminal value is a large share of the answer. </w:t>
      </w:r>
      <w:r>
        <w:rPr>
          <w:color w:val="1C3A36"/>
          <w:sz w:val="21"/>
        </w:rPr>
        <w:t>76%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margin rests on one inferred quarter. </w:t>
      </w:r>
      <w:r>
        <w:rPr>
          <w:color w:val="1C3A36"/>
          <w:sz w:val="21"/>
        </w:rPr>
        <w:t>The cable conversion margin for FY2026 is solved so the build reproduces the EBITDA margin implied by the disclosed first-quarter 2026 result. That implied margin is not itself disclosed — it is backed out of reported revenue and attributable profit using assumed tax, minority, finance and depreciation rates. The solved gross profit per tonne is a large step up on the FY2025 trough, and although it sits inside the historical range and below pure copper-cost scaling, the whole forecast margin path inherits that one calibration — and through it, THREE of the four lenses: the cash-flow model, the relative lens (which applies a multiple to FY2027 EBITDA) and the normalised-earnings lens all sit on the same foundation. Only the book lens is independent of it, and that is the lens that disagrees most. The half-year 2026 result is the near-term test.</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most of its money elsewhere. The alternative construction gives EGP 90.38. We have chosen the conservative reading and shown the other in full rather than splitting the difference silently.</w:t>
      </w:r>
    </w:p>
    <w:p>
      <w:pPr>
        <w:pStyle w:val="ListBullet"/>
        <w:spacing w:after="60"/>
      </w:pPr>
      <w:r>
        <w:rPr>
          <w:b/>
          <w:color w:val="1C3A36"/>
          <w:sz w:val="21"/>
        </w:rPr>
        <w:t xml:space="preserve">Terminal growth of 5% is roughly zero in real terms. </w:t>
      </w:r>
      <w:r>
        <w:rPr>
          <w:color w:val="1C3A36"/>
          <w:sz w:val="21"/>
        </w:rPr>
        <w:t>The terminal risk-free rate embeds 5% inflation, so a 5%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9.6% of group profit but only 7.7% of book equity. Charging them the profit share removes EGP 14,334mn from the equity value — roughly 6.70 per share more than a book-value treatment would. This is the conservative choice and is stated so a reader who prefers the other convention can add it back.</w:t>
      </w:r>
    </w:p>
    <w:p>
      <w:pPr>
        <w:pStyle w:val="ListBullet"/>
        <w:spacing w:after="60"/>
      </w:pPr>
      <w:r>
        <w:rPr>
          <w:b/>
          <w:color w:val="1C3A36"/>
          <w:sz w:val="21"/>
        </w:rPr>
        <w:t xml:space="preserve">Segment revenue for FY2025 is apportioned, not disclosed line by line. </w:t>
      </w:r>
      <w:r>
        <w:rPr>
          <w:color w:val="1C3A36"/>
          <w:sz w:val="21"/>
        </w:rPr>
        <w:t>The company disclosed that wires and cables contributed about 59% of revenue and engineering and construction about 27%; the remainder is split using the last fully disclosed quarterly segment table. Segment shares affect the blended margin, not the revenue total.</w:t>
      </w:r>
    </w:p>
    <w:p>
      <w:pPr>
        <w:pStyle w:val="ListBullet"/>
        <w:spacing w:after="60"/>
      </w:pPr>
      <w:r>
        <w:rPr>
          <w:b/>
          <w:color w:val="1C3A36"/>
          <w:sz w:val="21"/>
        </w:rPr>
        <w:t xml:space="preserve">Concentration of control. </w:t>
      </w:r>
      <w:r>
        <w:rPr>
          <w:color w:val="1C3A36"/>
          <w:sz w:val="21"/>
        </w:rPr>
        <w:t>The founding family holds 68.0% and the free float is 11.6%.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halves; a credible reduction in the perceived country risk premium; order intake materially above burn. Downward: working capital rising through 26.0% of revenue; the cable gross margin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365,556</w:t>
            </w:r>
          </w:p>
        </w:tc>
        <w:tc>
          <w:tcPr>
            <w:tcW w:type="dxa" w:w="950"/>
          </w:tcPr>
          <w:p>
            <w:pPr>
              <w:spacing w:after="20"/>
              <w:jc w:val="right"/>
            </w:pPr>
            <w:r>
              <w:rPr>
                <w:color w:val="1C3A36"/>
                <w:sz w:val="15"/>
              </w:rPr>
              <w:t>408,521</w:t>
            </w:r>
          </w:p>
        </w:tc>
        <w:tc>
          <w:tcPr>
            <w:tcW w:type="dxa" w:w="950"/>
          </w:tcPr>
          <w:p>
            <w:pPr>
              <w:spacing w:after="20"/>
              <w:jc w:val="right"/>
            </w:pPr>
            <w:r>
              <w:rPr>
                <w:color w:val="1C3A36"/>
                <w:sz w:val="15"/>
              </w:rPr>
              <w:t>442,252</w:t>
            </w:r>
          </w:p>
        </w:tc>
        <w:tc>
          <w:tcPr>
            <w:tcW w:type="dxa" w:w="950"/>
          </w:tcPr>
          <w:p>
            <w:pPr>
              <w:spacing w:after="20"/>
              <w:jc w:val="right"/>
            </w:pPr>
            <w:r>
              <w:rPr>
                <w:color w:val="1C3A36"/>
                <w:sz w:val="15"/>
              </w:rPr>
              <w:t>477,217</w:t>
            </w:r>
          </w:p>
        </w:tc>
        <w:tc>
          <w:tcPr>
            <w:tcW w:type="dxa" w:w="950"/>
          </w:tcPr>
          <w:p>
            <w:pPr>
              <w:spacing w:after="20"/>
              <w:jc w:val="right"/>
            </w:pPr>
            <w:r>
              <w:rPr>
                <w:color w:val="1C3A36"/>
                <w:sz w:val="15"/>
              </w:rPr>
              <w:t>514,192</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43,898</w:t>
            </w:r>
          </w:p>
        </w:tc>
        <w:tc>
          <w:tcPr>
            <w:tcW w:type="dxa" w:w="950"/>
          </w:tcPr>
          <w:p>
            <w:pPr>
              <w:spacing w:after="20"/>
              <w:jc w:val="right"/>
            </w:pPr>
            <w:r>
              <w:rPr>
                <w:color w:val="1C3A36"/>
                <w:sz w:val="15"/>
              </w:rPr>
              <w:t>40,720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31,602</w:t>
            </w:r>
          </w:p>
        </w:tc>
        <w:tc>
          <w:tcPr>
            <w:tcW w:type="dxa" w:w="950"/>
            <w:shd w:val="clear" w:color="auto" w:fill="F6F1E6"/>
          </w:tcPr>
          <w:p>
            <w:pPr>
              <w:spacing w:after="20"/>
              <w:jc w:val="right"/>
            </w:pPr>
            <w:r>
              <w:rPr>
                <w:b/>
                <w:color w:val="1C3A36"/>
                <w:sz w:val="15"/>
              </w:rPr>
              <w:t>30,622</w:t>
            </w:r>
          </w:p>
        </w:tc>
        <w:tc>
          <w:tcPr>
            <w:tcW w:type="dxa" w:w="950"/>
            <w:shd w:val="clear" w:color="auto" w:fill="F6F1E6"/>
          </w:tcPr>
          <w:p>
            <w:pPr>
              <w:spacing w:after="20"/>
              <w:jc w:val="right"/>
            </w:pPr>
            <w:r>
              <w:rPr>
                <w:b/>
                <w:color w:val="1C3A36"/>
                <w:sz w:val="15"/>
              </w:rPr>
              <w:t>41,094</w:t>
            </w:r>
          </w:p>
        </w:tc>
        <w:tc>
          <w:tcPr>
            <w:tcW w:type="dxa" w:w="950"/>
            <w:shd w:val="clear" w:color="auto" w:fill="F6F1E6"/>
          </w:tcPr>
          <w:p>
            <w:pPr>
              <w:spacing w:after="20"/>
              <w:jc w:val="right"/>
            </w:pPr>
            <w:r>
              <w:rPr>
                <w:b/>
                <w:color w:val="1C3A36"/>
                <w:sz w:val="15"/>
              </w:rPr>
              <w:t>44,941</w:t>
            </w:r>
          </w:p>
        </w:tc>
        <w:tc>
          <w:tcPr>
            <w:tcW w:type="dxa" w:w="950"/>
            <w:shd w:val="clear" w:color="auto" w:fill="F6F1E6"/>
          </w:tcPr>
          <w:p>
            <w:pPr>
              <w:spacing w:after="20"/>
              <w:jc w:val="right"/>
            </w:pPr>
            <w:r>
              <w:rPr>
                <w:b/>
                <w:color w:val="1C3A36"/>
                <w:sz w:val="15"/>
              </w:rPr>
              <w:t>48,914</w:t>
            </w:r>
          </w:p>
        </w:tc>
        <w:tc>
          <w:tcPr>
            <w:tcW w:type="dxa" w:w="950"/>
            <w:shd w:val="clear" w:color="auto" w:fill="F6F1E6"/>
          </w:tcPr>
          <w:p>
            <w:pPr>
              <w:spacing w:after="20"/>
              <w:jc w:val="right"/>
            </w:pPr>
            <w:r>
              <w:rPr>
                <w:b/>
                <w:color w:val="1C3A36"/>
                <w:sz w:val="15"/>
              </w:rPr>
              <w:t>53,240</w:t>
            </w:r>
          </w:p>
        </w:tc>
        <w:tc>
          <w:tcPr>
            <w:tcW w:type="dxa" w:w="950"/>
            <w:shd w:val="clear" w:color="auto" w:fill="F6F1E6"/>
          </w:tcPr>
          <w:p>
            <w:pPr>
              <w:spacing w:after="20"/>
              <w:jc w:val="right"/>
            </w:pPr>
            <w:r>
              <w:rPr>
                <w:b/>
                <w:color w:val="1C3A36"/>
                <w:sz w:val="15"/>
              </w:rPr>
              <w:t>57,882</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10.9%</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11.0%</w:t>
            </w:r>
          </w:p>
        </w:tc>
        <w:tc>
          <w:tcPr>
            <w:tcW w:type="dxa" w:w="950"/>
          </w:tcPr>
          <w:p>
            <w:pPr>
              <w:spacing w:after="20"/>
              <w:jc w:val="right"/>
            </w:pPr>
            <w:r>
              <w:rPr>
                <w:color w:val="1C3A36"/>
                <w:sz w:val="15"/>
              </w:rPr>
              <w:t>11.1%</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11.3%</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(2,951)</w:t>
            </w:r>
          </w:p>
        </w:tc>
        <w:tc>
          <w:tcPr>
            <w:tcW w:type="dxa" w:w="950"/>
          </w:tcPr>
          <w:p>
            <w:pPr>
              <w:spacing w:after="20"/>
              <w:jc w:val="right"/>
            </w:pPr>
            <w:r>
              <w:rPr>
                <w:color w:val="1C3A36"/>
                <w:sz w:val="15"/>
              </w:rPr>
              <w:t>(3,838)</w:t>
            </w:r>
          </w:p>
        </w:tc>
        <w:tc>
          <w:tcPr>
            <w:tcW w:type="dxa" w:w="950"/>
          </w:tcPr>
          <w:p>
            <w:pPr>
              <w:spacing w:after="20"/>
              <w:jc w:val="right"/>
            </w:pPr>
            <w:r>
              <w:rPr>
                <w:color w:val="1C3A36"/>
                <w:sz w:val="15"/>
              </w:rPr>
              <w:t>(4,289)</w:t>
            </w:r>
          </w:p>
        </w:tc>
        <w:tc>
          <w:tcPr>
            <w:tcW w:type="dxa" w:w="950"/>
          </w:tcPr>
          <w:p>
            <w:pPr>
              <w:spacing w:after="20"/>
              <w:jc w:val="right"/>
            </w:pPr>
            <w:r>
              <w:rPr>
                <w:color w:val="1C3A36"/>
                <w:sz w:val="15"/>
              </w:rPr>
              <w:t>(4,644)</w:t>
            </w:r>
          </w:p>
        </w:tc>
        <w:tc>
          <w:tcPr>
            <w:tcW w:type="dxa" w:w="950"/>
          </w:tcPr>
          <w:p>
            <w:pPr>
              <w:spacing w:after="20"/>
              <w:jc w:val="right"/>
            </w:pPr>
            <w:r>
              <w:rPr>
                <w:color w:val="1C3A36"/>
                <w:sz w:val="15"/>
              </w:rPr>
              <w:t>(5,011)</w:t>
            </w:r>
          </w:p>
        </w:tc>
        <w:tc>
          <w:tcPr>
            <w:tcW w:type="dxa" w:w="950"/>
          </w:tcPr>
          <w:p>
            <w:pPr>
              <w:spacing w:after="20"/>
              <w:jc w:val="right"/>
            </w:pPr>
            <w:r>
              <w:rPr>
                <w:color w:val="1C3A36"/>
                <w:sz w:val="15"/>
              </w:rPr>
              <w:t>(5,399)</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27,671</w:t>
            </w:r>
          </w:p>
        </w:tc>
        <w:tc>
          <w:tcPr>
            <w:tcW w:type="dxa" w:w="950"/>
            <w:shd w:val="clear" w:color="auto" w:fill="F6F1E6"/>
          </w:tcPr>
          <w:p>
            <w:pPr>
              <w:spacing w:after="20"/>
              <w:jc w:val="right"/>
            </w:pPr>
            <w:r>
              <w:rPr>
                <w:b/>
                <w:color w:val="1C3A36"/>
                <w:sz w:val="15"/>
              </w:rPr>
              <w:t>37,256</w:t>
            </w:r>
          </w:p>
        </w:tc>
        <w:tc>
          <w:tcPr>
            <w:tcW w:type="dxa" w:w="950"/>
            <w:shd w:val="clear" w:color="auto" w:fill="F6F1E6"/>
          </w:tcPr>
          <w:p>
            <w:pPr>
              <w:spacing w:after="20"/>
              <w:jc w:val="right"/>
            </w:pPr>
            <w:r>
              <w:rPr>
                <w:b/>
                <w:color w:val="1C3A36"/>
                <w:sz w:val="15"/>
              </w:rPr>
              <w:t>40,651</w:t>
            </w:r>
          </w:p>
        </w:tc>
        <w:tc>
          <w:tcPr>
            <w:tcW w:type="dxa" w:w="950"/>
            <w:shd w:val="clear" w:color="auto" w:fill="F6F1E6"/>
          </w:tcPr>
          <w:p>
            <w:pPr>
              <w:spacing w:after="20"/>
              <w:jc w:val="right"/>
            </w:pPr>
            <w:r>
              <w:rPr>
                <w:b/>
                <w:color w:val="1C3A36"/>
                <w:sz w:val="15"/>
              </w:rPr>
              <w:t>44,271</w:t>
            </w:r>
          </w:p>
        </w:tc>
        <w:tc>
          <w:tcPr>
            <w:tcW w:type="dxa" w:w="950"/>
            <w:shd w:val="clear" w:color="auto" w:fill="F6F1E6"/>
          </w:tcPr>
          <w:p>
            <w:pPr>
              <w:spacing w:after="20"/>
              <w:jc w:val="right"/>
            </w:pPr>
            <w:r>
              <w:rPr>
                <w:b/>
                <w:color w:val="1C3A36"/>
                <w:sz w:val="15"/>
              </w:rPr>
              <w:t>48,229</w:t>
            </w:r>
          </w:p>
        </w:tc>
        <w:tc>
          <w:tcPr>
            <w:tcW w:type="dxa" w:w="950"/>
            <w:shd w:val="clear" w:color="auto" w:fill="F6F1E6"/>
          </w:tcPr>
          <w:p>
            <w:pPr>
              <w:spacing w:after="20"/>
              <w:jc w:val="right"/>
            </w:pPr>
            <w:r>
              <w:rPr>
                <w:b/>
                <w:color w:val="1C3A36"/>
                <w:sz w:val="15"/>
              </w:rPr>
              <w:t>52,483</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(3,400)</w:t>
            </w:r>
          </w:p>
        </w:tc>
        <w:tc>
          <w:tcPr>
            <w:tcW w:type="dxa" w:w="950"/>
          </w:tcPr>
          <w:p>
            <w:pPr>
              <w:spacing w:after="20"/>
              <w:jc w:val="right"/>
            </w:pPr>
            <w:r>
              <w:rPr>
                <w:color w:val="1C3A36"/>
                <w:sz w:val="15"/>
              </w:rPr>
              <w:t>(4,127)</w:t>
            </w:r>
          </w:p>
        </w:tc>
        <w:tc>
          <w:tcPr>
            <w:tcW w:type="dxa" w:w="950"/>
          </w:tcPr>
          <w:p>
            <w:pPr>
              <w:spacing w:after="20"/>
              <w:jc w:val="right"/>
            </w:pPr>
            <w:r>
              <w:rPr>
                <w:color w:val="1C3A36"/>
                <w:sz w:val="15"/>
              </w:rPr>
              <w:t>(3,554)</w:t>
            </w:r>
          </w:p>
        </w:tc>
        <w:tc>
          <w:tcPr>
            <w:tcW w:type="dxa" w:w="950"/>
          </w:tcPr>
          <w:p>
            <w:pPr>
              <w:spacing w:after="20"/>
              <w:jc w:val="right"/>
            </w:pPr>
            <w:r>
              <w:rPr>
                <w:color w:val="1C3A36"/>
                <w:sz w:val="15"/>
              </w:rPr>
              <w:t>(3,053)</w:t>
            </w:r>
          </w:p>
        </w:tc>
        <w:tc>
          <w:tcPr>
            <w:tcW w:type="dxa" w:w="950"/>
          </w:tcPr>
          <w:p>
            <w:pPr>
              <w:spacing w:after="20"/>
              <w:jc w:val="right"/>
            </w:pPr>
            <w:r>
              <w:rPr>
                <w:color w:val="1C3A36"/>
                <w:sz w:val="15"/>
              </w:rPr>
              <w:t>(2,695)</w:t>
            </w:r>
          </w:p>
        </w:tc>
        <w:tc>
          <w:tcPr>
            <w:tcW w:type="dxa" w:w="950"/>
          </w:tcPr>
          <w:p>
            <w:pPr>
              <w:spacing w:after="20"/>
              <w:jc w:val="right"/>
            </w:pPr>
            <w:r>
              <w:rPr>
                <w:color w:val="1C3A36"/>
                <w:sz w:val="15"/>
              </w:rPr>
              <w:t>(2,409)</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1,302</w:t>
            </w:r>
          </w:p>
        </w:tc>
        <w:tc>
          <w:tcPr>
            <w:tcW w:type="dxa" w:w="950"/>
          </w:tcPr>
          <w:p>
            <w:pPr>
              <w:spacing w:after="20"/>
              <w:jc w:val="right"/>
            </w:pPr>
            <w:r>
              <w:rPr>
                <w:color w:val="1C3A36"/>
                <w:sz w:val="15"/>
              </w:rPr>
              <w:t>1,406</w:t>
            </w:r>
          </w:p>
        </w:tc>
        <w:tc>
          <w:tcPr>
            <w:tcW w:type="dxa" w:w="950"/>
          </w:tcPr>
          <w:p>
            <w:pPr>
              <w:spacing w:after="20"/>
              <w:jc w:val="right"/>
            </w:pPr>
            <w:r>
              <w:rPr>
                <w:color w:val="1C3A36"/>
                <w:sz w:val="15"/>
              </w:rPr>
              <w:t>1,519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1,772</w:t>
            </w:r>
          </w:p>
        </w:tc>
        <w:tc>
          <w:tcPr>
            <w:tcW w:type="dxa" w:w="950"/>
          </w:tcPr>
          <w:p>
            <w:pPr>
              <w:spacing w:after="20"/>
              <w:jc w:val="right"/>
            </w:pPr>
            <w:r>
              <w:rPr>
                <w:color w:val="1C3A36"/>
                <w:sz w:val="15"/>
              </w:rPr>
              <w:t>1,913</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25,573</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(6,393)</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23,403</w:t>
            </w:r>
          </w:p>
        </w:tc>
        <w:tc>
          <w:tcPr>
            <w:tcW w:type="dxa" w:w="950"/>
            <w:shd w:val="clear" w:color="auto" w:fill="F6F1E6"/>
          </w:tcPr>
          <w:p>
            <w:pPr>
              <w:spacing w:after="20"/>
              <w:jc w:val="right"/>
            </w:pPr>
            <w:r>
              <w:rPr>
                <w:b/>
                <w:color w:val="1C3A36"/>
                <w:sz w:val="15"/>
              </w:rPr>
              <w:t>25,655</w:t>
            </w:r>
          </w:p>
        </w:tc>
        <w:tc>
          <w:tcPr>
            <w:tcW w:type="dxa" w:w="950"/>
            <w:shd w:val="clear" w:color="auto" w:fill="F6F1E6"/>
          </w:tcPr>
          <w:p>
            <w:pPr>
              <w:spacing w:after="20"/>
              <w:jc w:val="right"/>
            </w:pPr>
            <w:r>
              <w:rPr>
                <w:b/>
                <w:color w:val="1C3A36"/>
                <w:sz w:val="15"/>
              </w:rPr>
              <w:t>28,761</w:t>
            </w:r>
          </w:p>
        </w:tc>
        <w:tc>
          <w:tcPr>
            <w:tcW w:type="dxa" w:w="950"/>
            <w:shd w:val="clear" w:color="auto" w:fill="F6F1E6"/>
          </w:tcPr>
          <w:p>
            <w:pPr>
              <w:spacing w:after="20"/>
              <w:jc w:val="right"/>
            </w:pPr>
            <w:r>
              <w:rPr>
                <w:b/>
                <w:color w:val="1C3A36"/>
                <w:sz w:val="15"/>
              </w:rPr>
              <w:t>32,311</w:t>
            </w:r>
          </w:p>
        </w:tc>
        <w:tc>
          <w:tcPr>
            <w:tcW w:type="dxa" w:w="950"/>
            <w:shd w:val="clear" w:color="auto" w:fill="F6F1E6"/>
          </w:tcPr>
          <w:p>
            <w:pPr>
              <w:spacing w:after="20"/>
              <w:jc w:val="right"/>
            </w:pPr>
            <w:r>
              <w:rPr>
                <w:b/>
                <w:color w:val="1C3A36"/>
                <w:sz w:val="15"/>
              </w:rPr>
              <w:t>36,224</w:t>
            </w:r>
          </w:p>
        </w:tc>
      </w:tr>
      <w:tr>
        <w:tc>
          <w:tcPr>
            <w:tcW w:type="dxa" w:w="2477"/>
          </w:tcPr>
          <w:p>
            <w:pPr>
              <w:spacing w:after="20"/>
            </w:pPr>
            <w:r>
              <w:rPr>
                <w:color w:val="1C3A36"/>
                <w:sz w:val="15"/>
              </w:rPr>
              <w:t>Earnings per share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10.93</w:t>
            </w:r>
          </w:p>
        </w:tc>
        <w:tc>
          <w:tcPr>
            <w:tcW w:type="dxa" w:w="950"/>
          </w:tcPr>
          <w:p>
            <w:pPr>
              <w:spacing w:after="20"/>
              <w:jc w:val="right"/>
            </w:pPr>
            <w:r>
              <w:rPr>
                <w:color w:val="1C3A36"/>
                <w:sz w:val="15"/>
              </w:rPr>
              <w:t>11.98</w:t>
            </w:r>
          </w:p>
        </w:tc>
        <w:tc>
          <w:tcPr>
            <w:tcW w:type="dxa" w:w="950"/>
          </w:tcPr>
          <w:p>
            <w:pPr>
              <w:spacing w:after="20"/>
              <w:jc w:val="right"/>
            </w:pPr>
            <w:r>
              <w:rPr>
                <w:color w:val="1C3A36"/>
                <w:sz w:val="15"/>
              </w:rPr>
              <w:t>13.43</w:t>
            </w:r>
          </w:p>
        </w:tc>
        <w:tc>
          <w:tcPr>
            <w:tcW w:type="dxa" w:w="950"/>
          </w:tcPr>
          <w:p>
            <w:pPr>
              <w:spacing w:after="20"/>
              <w:jc w:val="right"/>
            </w:pPr>
            <w:r>
              <w:rPr>
                <w:color w:val="1C3A36"/>
                <w:sz w:val="15"/>
              </w:rPr>
              <w:t>15.09</w:t>
            </w:r>
          </w:p>
        </w:tc>
        <w:tc>
          <w:tcPr>
            <w:tcW w:type="dxa" w:w="950"/>
          </w:tcPr>
          <w:p>
            <w:pPr>
              <w:spacing w:after="20"/>
              <w:jc w:val="right"/>
            </w:pPr>
            <w:r>
              <w:rPr>
                <w:color w:val="1C3A36"/>
                <w:sz w:val="15"/>
              </w:rPr>
              <w:t>16.92</w:t>
            </w:r>
          </w:p>
        </w:tc>
      </w:tr>
    </w:tbl>
    <w:p>
      <w:pPr>
        <w:spacing w:after="40"/>
      </w:pPr>
    </w:p>
    <w:p>
      <w:pPr>
        <w:spacing w:after="200" w:before="0"/>
      </w:pPr>
      <w:r>
        <w:rPr>
          <w:b w:val="0"/>
          <w:i/>
          <w:color w:val="6E7B77"/>
          <w:sz w:val="17"/>
        </w:rPr>
        <w:t>FY2023 and FY2024 are taken from the company's audited consolidated statements and earnings releases. FY2025 is disclosed at the revenue, profit-after-tax and profit-after-minority lines; the intermediate lines are derived as described in section 7. Forecast profit is struck after net interest on the estimated debt and cash balances and after tax and minority interests, and therefore differs slightly from the free-cash-flow waterfall in section 1.1, which is a pre-financing measure by construction. Statutory earnings per share as reported by the company is struck after the Egyptian employee and board profit-share appropriation and is accordingly lower than the figures shown here.</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 (estimated)</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33,024</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51,828</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311,090</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71,617</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70,464</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5,852</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14,768</w:t>
            </w:r>
          </w:p>
        </w:tc>
        <w:tc>
          <w:tcPr>
            <w:tcW w:type="dxa" w:w="2232"/>
            <w:shd w:val="clear" w:color="auto" w:fill="F6F1E6"/>
          </w:tcPr>
          <w:p>
            <w:pPr>
              <w:spacing w:after="20"/>
              <w:jc w:val="right"/>
            </w:pPr>
            <w:r>
              <w:rPr>
                <w:b/>
                <w:color w:val="1C3A36"/>
                <w:sz w:val="16"/>
              </w:rPr>
              <w:t>20,028</w:t>
            </w:r>
          </w:p>
        </w:tc>
        <w:tc>
          <w:tcPr>
            <w:tcW w:type="dxa" w:w="2232"/>
            <w:shd w:val="clear" w:color="auto" w:fill="F6F1E6"/>
          </w:tcPr>
          <w:p>
            <w:pPr>
              <w:spacing w:after="20"/>
              <w:jc w:val="right"/>
            </w:pPr>
            <w:r>
              <w:rPr>
                <w:b/>
                <w:color w:val="1C3A36"/>
                <w:sz w:val="16"/>
              </w:rPr>
              <w:t>19,789</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64,641</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0.74×</w:t>
            </w:r>
          </w:p>
        </w:tc>
        <w:tc>
          <w:tcPr>
            <w:tcW w:type="dxa" w:w="2232"/>
            <w:shd w:val="clear" w:color="auto" w:fill="F6F1E6"/>
          </w:tcPr>
          <w:p>
            <w:pPr>
              <w:spacing w:after="20"/>
              <w:jc w:val="right"/>
            </w:pPr>
            <w:r>
              <w:rPr>
                <w:b/>
                <w:color w:val="1C3A36"/>
                <w:sz w:val="16"/>
              </w:rPr>
              <w:t>0.63×</w:t>
            </w:r>
          </w:p>
        </w:tc>
        <w:tc>
          <w:tcPr>
            <w:tcW w:type="dxa" w:w="2232"/>
            <w:shd w:val="clear" w:color="auto" w:fill="F6F1E6"/>
          </w:tcPr>
          <w:p>
            <w:pPr>
              <w:spacing w:after="20"/>
              <w:jc w:val="right"/>
            </w:pPr>
            <w:r>
              <w:rPr>
                <w:b/>
                <w:color w:val="1C3A36"/>
                <w:sz w:val="16"/>
              </w:rPr>
              <w:t>0.65×</w:t>
            </w:r>
          </w:p>
        </w:tc>
      </w:tr>
    </w:tbl>
    <w:p>
      <w:pPr>
        <w:spacing w:after="40"/>
      </w:pPr>
    </w:p>
    <w:p>
      <w:pPr>
        <w:spacing w:after="200" w:before="0"/>
      </w:pPr>
      <w:r>
        <w:rPr>
          <w:b w:val="0"/>
          <w:i/>
          <w:color w:val="6E7B77"/>
          <w:sz w:val="17"/>
        </w:rPr>
        <w:t>FY2023 and FY2024 are audited. For FY2025 only total assets and net bank debt are disclosed; equity is rolled forward from the audited FY2024 figure for FY2025 profit less the dividend paid, and gross debt and cash are triangulated (three methods spanning 67,105 to 76,166). Only the disclosed net figure enters the valuation.</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84,078</w:t>
            </w:r>
          </w:p>
        </w:tc>
        <w:tc>
          <w:tcPr>
            <w:tcW w:type="dxa" w:w="1426"/>
          </w:tcPr>
          <w:p>
            <w:pPr>
              <w:spacing w:after="20"/>
              <w:jc w:val="right"/>
            </w:pPr>
            <w:r>
              <w:rPr>
                <w:color w:val="1C3A36"/>
                <w:sz w:val="16"/>
              </w:rPr>
              <w:t>93,960</w:t>
            </w:r>
          </w:p>
        </w:tc>
        <w:tc>
          <w:tcPr>
            <w:tcW w:type="dxa" w:w="1426"/>
          </w:tcPr>
          <w:p>
            <w:pPr>
              <w:spacing w:after="20"/>
              <w:jc w:val="right"/>
            </w:pPr>
            <w:r>
              <w:rPr>
                <w:color w:val="1C3A36"/>
                <w:sz w:val="16"/>
              </w:rPr>
              <w:t>101,718</w:t>
            </w:r>
          </w:p>
        </w:tc>
        <w:tc>
          <w:tcPr>
            <w:tcW w:type="dxa" w:w="1426"/>
          </w:tcPr>
          <w:p>
            <w:pPr>
              <w:spacing w:after="20"/>
              <w:jc w:val="right"/>
            </w:pPr>
            <w:r>
              <w:rPr>
                <w:color w:val="1C3A36"/>
                <w:sz w:val="16"/>
              </w:rPr>
              <w:t>109,760</w:t>
            </w:r>
          </w:p>
        </w:tc>
        <w:tc>
          <w:tcPr>
            <w:tcW w:type="dxa" w:w="1426"/>
          </w:tcPr>
          <w:p>
            <w:pPr>
              <w:spacing w:after="20"/>
              <w:jc w:val="right"/>
            </w:pPr>
            <w:r>
              <w:rPr>
                <w:color w:val="1C3A36"/>
                <w:sz w:val="16"/>
              </w:rPr>
              <w:t>118,264</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40,153</w:t>
            </w:r>
          </w:p>
        </w:tc>
        <w:tc>
          <w:tcPr>
            <w:tcW w:type="dxa" w:w="1426"/>
          </w:tcPr>
          <w:p>
            <w:pPr>
              <w:spacing w:after="20"/>
              <w:jc w:val="right"/>
            </w:pPr>
            <w:r>
              <w:rPr>
                <w:color w:val="1C3A36"/>
                <w:sz w:val="16"/>
              </w:rPr>
              <w:t>47,710</w:t>
            </w:r>
          </w:p>
        </w:tc>
        <w:tc>
          <w:tcPr>
            <w:tcW w:type="dxa" w:w="1426"/>
          </w:tcPr>
          <w:p>
            <w:pPr>
              <w:spacing w:after="20"/>
              <w:jc w:val="right"/>
            </w:pPr>
            <w:r>
              <w:rPr>
                <w:color w:val="1C3A36"/>
                <w:sz w:val="16"/>
              </w:rPr>
              <w:t>55,450</w:t>
            </w:r>
          </w:p>
        </w:tc>
        <w:tc>
          <w:tcPr>
            <w:tcW w:type="dxa" w:w="1426"/>
          </w:tcPr>
          <w:p>
            <w:pPr>
              <w:spacing w:after="20"/>
              <w:jc w:val="right"/>
            </w:pPr>
            <w:r>
              <w:rPr>
                <w:color w:val="1C3A36"/>
                <w:sz w:val="16"/>
              </w:rPr>
              <w:t>62,847</w:t>
            </w:r>
          </w:p>
        </w:tc>
        <w:tc>
          <w:tcPr>
            <w:tcW w:type="dxa" w:w="1426"/>
          </w:tcPr>
          <w:p>
            <w:pPr>
              <w:spacing w:after="20"/>
              <w:jc w:val="right"/>
            </w:pPr>
            <w:r>
              <w:rPr>
                <w:color w:val="1C3A36"/>
                <w:sz w:val="16"/>
              </w:rPr>
              <w:t>69,788</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125,690</w:t>
            </w:r>
          </w:p>
        </w:tc>
        <w:tc>
          <w:tcPr>
            <w:tcW w:type="dxa" w:w="1426"/>
          </w:tcPr>
          <w:p>
            <w:pPr>
              <w:spacing w:after="20"/>
              <w:jc w:val="right"/>
            </w:pPr>
            <w:r>
              <w:rPr>
                <w:color w:val="1C3A36"/>
                <w:sz w:val="16"/>
              </w:rPr>
              <w:t>143,129</w:t>
            </w:r>
          </w:p>
        </w:tc>
        <w:tc>
          <w:tcPr>
            <w:tcW w:type="dxa" w:w="1426"/>
          </w:tcPr>
          <w:p>
            <w:pPr>
              <w:spacing w:after="20"/>
              <w:jc w:val="right"/>
            </w:pPr>
            <w:r>
              <w:rPr>
                <w:color w:val="1C3A36"/>
                <w:sz w:val="16"/>
              </w:rPr>
              <w:t>158,627</w:t>
            </w:r>
          </w:p>
        </w:tc>
        <w:tc>
          <w:tcPr>
            <w:tcW w:type="dxa" w:w="1426"/>
          </w:tcPr>
          <w:p>
            <w:pPr>
              <w:spacing w:after="20"/>
              <w:jc w:val="right"/>
            </w:pPr>
            <w:r>
              <w:rPr>
                <w:color w:val="1C3A36"/>
                <w:sz w:val="16"/>
              </w:rPr>
              <w:t>174,066</w:t>
            </w:r>
          </w:p>
        </w:tc>
        <w:tc>
          <w:tcPr>
            <w:tcW w:type="dxa" w:w="1426"/>
          </w:tcPr>
          <w:p>
            <w:pPr>
              <w:spacing w:after="20"/>
              <w:jc w:val="right"/>
            </w:pPr>
            <w:r>
              <w:rPr>
                <w:color w:val="1C3A36"/>
                <w:sz w:val="16"/>
              </w:rPr>
              <w:t>189,512</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20.9%</w:t>
            </w:r>
          </w:p>
        </w:tc>
        <w:tc>
          <w:tcPr>
            <w:tcW w:type="dxa" w:w="1426"/>
          </w:tcPr>
          <w:p>
            <w:pPr>
              <w:spacing w:after="20"/>
              <w:jc w:val="right"/>
            </w:pPr>
            <w:r>
              <w:rPr>
                <w:color w:val="1C3A36"/>
                <w:sz w:val="16"/>
              </w:rPr>
              <w:t>20.8%</w:t>
            </w:r>
          </w:p>
        </w:tc>
        <w:tc>
          <w:tcPr>
            <w:tcW w:type="dxa" w:w="1426"/>
          </w:tcPr>
          <w:p>
            <w:pPr>
              <w:spacing w:after="20"/>
              <w:jc w:val="right"/>
            </w:pPr>
            <w:r>
              <w:rPr>
                <w:color w:val="1C3A36"/>
                <w:sz w:val="16"/>
              </w:rPr>
              <w:t>20.8%</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(10,967)</w:t>
            </w:r>
          </w:p>
        </w:tc>
        <w:tc>
          <w:tcPr>
            <w:tcW w:type="dxa" w:w="1426"/>
          </w:tcPr>
          <w:p>
            <w:pPr>
              <w:spacing w:after="20"/>
              <w:jc w:val="right"/>
            </w:pPr>
            <w:r>
              <w:rPr>
                <w:color w:val="1C3A36"/>
                <w:sz w:val="16"/>
              </w:rPr>
              <w:t>(11,847)</w:t>
            </w:r>
          </w:p>
        </w:tc>
        <w:tc>
          <w:tcPr>
            <w:tcW w:type="dxa" w:w="1426"/>
          </w:tcPr>
          <w:p>
            <w:pPr>
              <w:spacing w:after="20"/>
              <w:jc w:val="right"/>
            </w:pPr>
            <w:r>
              <w:rPr>
                <w:color w:val="1C3A36"/>
                <w:sz w:val="16"/>
              </w:rPr>
              <w:t>(12,383)</w:t>
            </w:r>
          </w:p>
        </w:tc>
        <w:tc>
          <w:tcPr>
            <w:tcW w:type="dxa" w:w="1426"/>
          </w:tcPr>
          <w:p>
            <w:pPr>
              <w:spacing w:after="20"/>
              <w:jc w:val="right"/>
            </w:pPr>
            <w:r>
              <w:rPr>
                <w:color w:val="1C3A36"/>
                <w:sz w:val="16"/>
              </w:rPr>
              <w:t>(12,408)</w:t>
            </w:r>
          </w:p>
        </w:tc>
        <w:tc>
          <w:tcPr>
            <w:tcW w:type="dxa" w:w="1426"/>
          </w:tcPr>
          <w:p>
            <w:pPr>
              <w:spacing w:after="20"/>
              <w:jc w:val="right"/>
            </w:pPr>
            <w:r>
              <w:rPr>
                <w:color w:val="1C3A36"/>
                <w:sz w:val="16"/>
              </w:rPr>
              <w:t>(12,341)</w:t>
            </w:r>
          </w:p>
        </w:tc>
      </w:tr>
      <w:tr>
        <w:tc>
          <w:tcPr>
            <w:tcW w:type="dxa" w:w="2952"/>
          </w:tcPr>
          <w:p>
            <w:pPr>
              <w:spacing w:after="20"/>
            </w:pPr>
            <w:r>
              <w:rPr>
                <w:color w:val="1C3A36"/>
                <w:sz w:val="16"/>
              </w:rPr>
              <w:t>Change in working capital</w:t>
            </w:r>
          </w:p>
        </w:tc>
        <w:tc>
          <w:tcPr>
            <w:tcW w:type="dxa" w:w="1426"/>
          </w:tcPr>
          <w:p>
            <w:pPr>
              <w:spacing w:after="20"/>
              <w:jc w:val="right"/>
            </w:pPr>
            <w:r>
              <w:rPr>
                <w:color w:val="1C3A36"/>
                <w:sz w:val="16"/>
              </w:rPr>
              <w:t>(19,437)</w:t>
            </w:r>
          </w:p>
        </w:tc>
        <w:tc>
          <w:tcPr>
            <w:tcW w:type="dxa" w:w="1426"/>
          </w:tcPr>
          <w:p>
            <w:pPr>
              <w:spacing w:after="20"/>
              <w:jc w:val="right"/>
            </w:pPr>
            <w:r>
              <w:rPr>
                <w:color w:val="1C3A36"/>
                <w:sz w:val="16"/>
              </w:rPr>
              <w:t>(9,882)</w:t>
            </w:r>
          </w:p>
        </w:tc>
        <w:tc>
          <w:tcPr>
            <w:tcW w:type="dxa" w:w="1426"/>
          </w:tcPr>
          <w:p>
            <w:pPr>
              <w:spacing w:after="20"/>
              <w:jc w:val="right"/>
            </w:pPr>
            <w:r>
              <w:rPr>
                <w:color w:val="1C3A36"/>
                <w:sz w:val="16"/>
              </w:rPr>
              <w:t>(7,758)</w:t>
            </w:r>
          </w:p>
        </w:tc>
        <w:tc>
          <w:tcPr>
            <w:tcW w:type="dxa" w:w="1426"/>
          </w:tcPr>
          <w:p>
            <w:pPr>
              <w:spacing w:after="20"/>
              <w:jc w:val="right"/>
            </w:pPr>
            <w:r>
              <w:rPr>
                <w:color w:val="1C3A36"/>
                <w:sz w:val="16"/>
              </w:rPr>
              <w:t>(8,042)</w:t>
            </w:r>
          </w:p>
        </w:tc>
        <w:tc>
          <w:tcPr>
            <w:tcW w:type="dxa" w:w="1426"/>
          </w:tcPr>
          <w:p>
            <w:pPr>
              <w:spacing w:after="20"/>
              <w:jc w:val="right"/>
            </w:pPr>
            <w:r>
              <w:rPr>
                <w:color w:val="1C3A36"/>
                <w:sz w:val="16"/>
              </w:rPr>
              <w:t>(8,504)</w:t>
            </w:r>
          </w:p>
        </w:tc>
      </w:tr>
      <w:t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1,377</w:t>
            </w:r>
          </w:p>
        </w:tc>
        <w:tc>
          <w:tcPr>
            <w:tcW w:type="dxa" w:w="1426"/>
            <w:shd w:val="clear" w:color="auto" w:fill="F6F1E6"/>
          </w:tcPr>
          <w:p>
            <w:pPr>
              <w:spacing w:after="20"/>
              <w:jc w:val="right"/>
            </w:pPr>
            <w:r>
              <w:rPr>
                <w:b/>
                <w:color w:val="1C3A36"/>
                <w:sz w:val="16"/>
              </w:rPr>
              <w:t>13,049</w:t>
            </w:r>
          </w:p>
        </w:tc>
        <w:tc>
          <w:tcPr>
            <w:tcW w:type="dxa" w:w="1426"/>
            <w:shd w:val="clear" w:color="auto" w:fill="F6F1E6"/>
          </w:tcPr>
          <w:p>
            <w:pPr>
              <w:spacing w:after="20"/>
              <w:jc w:val="right"/>
            </w:pPr>
            <w:r>
              <w:rPr>
                <w:b/>
                <w:color w:val="1C3A36"/>
                <w:sz w:val="16"/>
              </w:rPr>
              <w:t>17,706</w:t>
            </w:r>
          </w:p>
        </w:tc>
        <w:tc>
          <w:tcPr>
            <w:tcW w:type="dxa" w:w="1426"/>
            <w:shd w:val="clear" w:color="auto" w:fill="F6F1E6"/>
          </w:tcPr>
          <w:p>
            <w:pPr>
              <w:spacing w:after="20"/>
              <w:jc w:val="right"/>
            </w:pPr>
            <w:r>
              <w:rPr>
                <w:b/>
                <w:color w:val="1C3A36"/>
                <w:sz w:val="16"/>
              </w:rPr>
              <w:t>20,733</w:t>
            </w:r>
          </w:p>
        </w:tc>
        <w:tc>
          <w:tcPr>
            <w:tcW w:type="dxa" w:w="1426"/>
            <w:shd w:val="clear" w:color="auto" w:fill="F6F1E6"/>
          </w:tcPr>
          <w:p>
            <w:pPr>
              <w:spacing w:after="20"/>
              <w:jc w:val="right"/>
            </w:pPr>
            <w:r>
              <w:rPr>
                <w:b/>
                <w:color w:val="1C3A36"/>
                <w:sz w:val="16"/>
              </w:rPr>
              <w:t>23,917</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88,016</w:t>
            </w:r>
          </w:p>
        </w:tc>
        <w:tc>
          <w:tcPr>
            <w:tcW w:type="dxa" w:w="1426"/>
          </w:tcPr>
          <w:p>
            <w:pPr>
              <w:spacing w:after="20"/>
              <w:jc w:val="right"/>
            </w:pPr>
            <w:r>
              <w:rPr>
                <w:color w:val="1C3A36"/>
                <w:sz w:val="16"/>
              </w:rPr>
              <w:t>107,258</w:t>
            </w:r>
          </w:p>
        </w:tc>
        <w:tc>
          <w:tcPr>
            <w:tcW w:type="dxa" w:w="1426"/>
          </w:tcPr>
          <w:p>
            <w:pPr>
              <w:spacing w:after="20"/>
              <w:jc w:val="right"/>
            </w:pPr>
            <w:r>
              <w:rPr>
                <w:color w:val="1C3A36"/>
                <w:sz w:val="16"/>
              </w:rPr>
              <w:t>128,828</w:t>
            </w:r>
          </w:p>
        </w:tc>
        <w:tc>
          <w:tcPr>
            <w:tcW w:type="dxa" w:w="1426"/>
          </w:tcPr>
          <w:p>
            <w:pPr>
              <w:spacing w:after="20"/>
              <w:jc w:val="right"/>
            </w:pPr>
            <w:r>
              <w:rPr>
                <w:color w:val="1C3A36"/>
                <w:sz w:val="16"/>
              </w:rPr>
              <w:t>153,062</w:t>
            </w:r>
          </w:p>
        </w:tc>
        <w:tc>
          <w:tcPr>
            <w:tcW w:type="dxa" w:w="1426"/>
          </w:tcPr>
          <w:p>
            <w:pPr>
              <w:spacing w:after="20"/>
              <w:jc w:val="right"/>
            </w:pPr>
            <w:r>
              <w:rPr>
                <w:color w:val="1C3A36"/>
                <w:sz w:val="16"/>
              </w:rPr>
              <w:t>180,230</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27,358</w:t>
            </w:r>
          </w:p>
        </w:tc>
        <w:tc>
          <w:tcPr>
            <w:tcW w:type="dxa" w:w="1426"/>
          </w:tcPr>
          <w:p>
            <w:pPr>
              <w:spacing w:after="20"/>
              <w:jc w:val="right"/>
            </w:pPr>
            <w:r>
              <w:rPr>
                <w:color w:val="1C3A36"/>
                <w:sz w:val="16"/>
              </w:rPr>
              <w:t>23,957</w:t>
            </w:r>
          </w:p>
        </w:tc>
        <w:tc>
          <w:tcPr>
            <w:tcW w:type="dxa" w:w="1426"/>
          </w:tcPr>
          <w:p>
            <w:pPr>
              <w:spacing w:after="20"/>
              <w:jc w:val="right"/>
            </w:pPr>
            <w:r>
              <w:rPr>
                <w:color w:val="1C3A36"/>
                <w:sz w:val="16"/>
              </w:rPr>
              <w:t>16,044</w:t>
            </w:r>
          </w:p>
        </w:tc>
        <w:tc>
          <w:tcPr>
            <w:tcW w:type="dxa" w:w="1426"/>
          </w:tcPr>
          <w:p>
            <w:pPr>
              <w:spacing w:after="20"/>
              <w:jc w:val="right"/>
            </w:pPr>
            <w:r>
              <w:rPr>
                <w:color w:val="1C3A36"/>
                <w:sz w:val="16"/>
              </w:rPr>
              <w:t>5,129</w:t>
            </w:r>
          </w:p>
        </w:tc>
        <w:tc>
          <w:tcPr>
            <w:tcW w:type="dxa" w:w="1426"/>
          </w:tcPr>
          <w:p>
            <w:pPr>
              <w:spacing w:after="20"/>
              <w:jc w:val="right"/>
            </w:pPr>
            <w:r>
              <w:rPr>
                <w:color w:val="1C3A36"/>
                <w:sz w:val="16"/>
              </w:rPr>
              <w:t>-9,025</w:t>
            </w:r>
          </w:p>
        </w:tc>
      </w:tr>
    </w:tbl>
    <w:p>
      <w:pPr>
        <w:spacing w:after="40"/>
      </w:pPr>
    </w:p>
    <w:p>
      <w:pPr>
        <w:spacing w:after="120" w:before="0"/>
      </w:pPr>
      <w:r>
        <w:rPr>
          <w:b w:val="0"/>
          <w:i w:val="0"/>
          <w:color w:val="1C3A36"/>
          <w:sz w:val="21"/>
        </w:rPr>
        <w:t>The FY2024 accounts are the reason the free-cash-flow line above should be read carefully. That year the group turned EGP 31,602mn of EBITDA into EGP 3,979mn of operating cash after interest of EGP 7,707mn and tax of EGP 4,891mn, then spent EGP 8,766mn on capital expenditure. The forecast assumes working-capital intensity stops rising,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27% of revenue that is turnkey project work</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most of its revenue elsewhere.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26.67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34.74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6.30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cable margins fail to stabilise after the currency windfall unwinds</w:t>
            </w:r>
          </w:p>
        </w:tc>
        <w:tc>
          <w:tcPr>
            <w:tcW w:type="dxa" w:w="3672"/>
          </w:tcPr>
          <w:p>
            <w:pPr>
              <w:spacing w:after="20"/>
              <w:jc w:val="right"/>
            </w:pPr>
            <w:r>
              <w:rPr>
                <w:color w:val="1C3A36"/>
                <w:sz w:val="16"/>
              </w:rPr>
              <w:t>41.76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11.40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11.6%;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 in the order book</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engineering and construction margin assumption</w:t>
            </w:r>
          </w:p>
        </w:tc>
      </w:tr>
      <w:tr>
        <w:tc>
          <w:tcPr>
            <w:tcW w:type="dxa" w:w="2664"/>
          </w:tcPr>
          <w:p>
            <w:pPr>
              <w:spacing w:after="20"/>
            </w:pPr>
            <w:r>
              <w:rPr>
                <w:color w:val="1C3A36"/>
                <w:sz w:val="16"/>
              </w:rPr>
              <w:t>Disclosure lag</w:t>
            </w:r>
          </w:p>
        </w:tc>
        <w:tc>
          <w:tcPr>
            <w:tcW w:type="dxa" w:w="3744"/>
          </w:tcPr>
          <w:p>
            <w:pPr>
              <w:spacing w:after="20"/>
              <w:jc w:val="right"/>
            </w:pPr>
            <w:r>
              <w:rPr>
                <w:color w:val="1C3A36"/>
                <w:sz w:val="16"/>
              </w:rPr>
              <w:t>the FY2025 audited statements were not reachable at the time of writing; several FY2025 lines are derived</w:t>
            </w:r>
          </w:p>
        </w:tc>
        <w:tc>
          <w:tcPr>
            <w:tcW w:type="dxa" w:w="3672"/>
          </w:tcPr>
          <w:p>
            <w:pPr>
              <w:spacing w:after="20"/>
              <w:jc w:val="right"/>
            </w:pPr>
            <w:r>
              <w:rPr>
                <w:color w:val="1C3A36"/>
                <w:sz w:val="16"/>
              </w:rPr>
              <w:t>stated in full in section 7; falsified or confirmed by the audited FY2025 accounts</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Two negative results are recorded here because they shaped what could and could not be asserted.</w:t>
      </w:r>
    </w:p>
    <w:p>
      <w:pPr>
        <w:pStyle w:val="ListBullet"/>
        <w:spacing w:after="60"/>
      </w:pPr>
      <w:r>
        <w:rPr>
          <w:b/>
          <w:color w:val="1C3A36"/>
          <w:sz w:val="21"/>
        </w:rPr>
        <w:t xml:space="preserve">The audited FY2025 consolidated statements could not be retrieved. </w:t>
      </w:r>
      <w:r>
        <w:rPr>
          <w:color w:val="1C3A36"/>
          <w:sz w:val="21"/>
        </w:rPr>
        <w:t>The company's investor-relations site and the exchange's filing archive were unreachable from the research environment. FY2025 is therefore built from disclosed headline figures reported by financial press covering the exchange filing, cross-checked against each other and against the quarterly path. Every derived line is labelled.</w:t>
      </w:r>
    </w:p>
    <w:p>
      <w:pPr>
        <w:pStyle w:val="ListBullet"/>
        <w:spacing w:after="60"/>
      </w:pPr>
      <w:r>
        <w:rPr>
          <w:b/>
          <w:color w:val="1C3A36"/>
          <w:sz w:val="21"/>
        </w:rPr>
        <w:t xml:space="preserve">No FY2025 or Q1-2026 segment table was obtainable. </w:t>
      </w:r>
      <w:r>
        <w:rPr>
          <w:color w:val="1C3A36"/>
          <w:sz w:val="21"/>
        </w:rPr>
        <w:t>The last fully disclosed segment table is the first quarter of 2025. Segment shares for FY2025 are apportioned from company commentary and that table.</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 approaches are run against the same disclosed facts by three notional experts, each committed to a different method and each required to state what would prove them wrong. They are not asked to agree, and they do not.</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442,252</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11.8%</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47,542</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(3,053)</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14.50</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137.70</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101.47 – 173.94</w:t>
            </w:r>
          </w:p>
        </w:tc>
      </w:tr>
    </w:tbl>
    <w:p>
      <w:pPr>
        <w:spacing w:after="40"/>
      </w:pPr>
    </w:p>
    <w:p>
      <w:pPr>
        <w:spacing w:after="120" w:before="0"/>
      </w:pPr>
      <w:r>
        <w:rPr>
          <w:b w:val="0"/>
          <w:i w:val="0"/>
          <w:color w:val="1C3A36"/>
          <w:sz w:val="21"/>
        </w:rPr>
        <w:t>Named sensitivity: each one-turn change in the multiple is worth EGP 14.50 per share, and each percentage point of mid-cycle EBITDA margin is worth roughly EGP 1.05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20,785</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(2,021)</w:t>
            </w:r>
          </w:p>
        </w:tc>
      </w:tr>
      <w:tr>
        <w:tc>
          <w:tcPr>
            <w:tcW w:type="dxa" w:w="6264"/>
          </w:tcPr>
          <w:p>
            <w:pPr>
              <w:spacing w:after="20"/>
            </w:pPr>
            <w:r>
              <w:rPr>
                <w:color w:val="1C3A36"/>
                <w:sz w:val="17"/>
              </w:rPr>
              <w:t>Less minority share (9.6%)</w:t>
            </w:r>
          </w:p>
        </w:tc>
        <w:tc>
          <w:tcPr>
            <w:tcW w:type="dxa" w:w="2232"/>
          </w:tcPr>
          <w:p>
            <w:pPr>
              <w:spacing w:after="20"/>
              <w:jc w:val="right"/>
            </w:pPr>
            <w:r>
              <w:rPr>
                <w:color w:val="1C3A36"/>
                <w:sz w:val="17"/>
              </w:rPr>
              <w:t>(1,810)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16,954</w:t>
            </w:r>
          </w:p>
        </w:tc>
      </w:tr>
      <w:tr>
        <w:tc>
          <w:tcPr>
            <w:tcW w:type="dxa" w:w="6264"/>
          </w:tcPr>
          <w:p>
            <w:pPr>
              <w:spacing w:after="20"/>
            </w:pPr>
            <w:r>
              <w:rPr>
                <w:color w:val="1C3A36"/>
                <w:sz w:val="17"/>
              </w:rPr>
              <w:t>Capitalised at cost of equity less growth</w:t>
            </w:r>
          </w:p>
        </w:tc>
        <w:tc>
          <w:tcPr>
            <w:tcW w:type="dxa" w:w="2232"/>
          </w:tcPr>
          <w:p>
            <w:pPr>
              <w:spacing w:after="20"/>
              <w:jc w:val="right"/>
            </w:pPr>
            <w:r>
              <w:rPr>
                <w:color w:val="1C3A36"/>
                <w:sz w:val="17"/>
              </w:rPr>
              <w:t>23.0% − 5%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46.24</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32.11 – 66.19</w:t>
            </w:r>
          </w:p>
        </w:tc>
      </w:tr>
    </w:tbl>
    <w:p>
      <w:pPr>
        <w:spacing w:after="40"/>
      </w:pPr>
    </w:p>
    <w:p>
      <w:pPr>
        <w:spacing w:after="120" w:before="0"/>
      </w:pPr>
      <w:r>
        <w:rPr>
          <w:b w:val="0"/>
          <w:i w:val="0"/>
          <w:color w:val="1C3A36"/>
          <w:sz w:val="21"/>
        </w:rPr>
        <w:t>This is the harshest of the three readings, at EGP 46.24, and the reason is specific and defensible: it takes the FY2024 evidence — EGP 31,602mn of EBITDA converting to EGP 3,979mn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the order book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99,125</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2,187</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43,913</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145,225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56.08</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47.37 – 90.38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20.9%</w:t>
            </w:r>
          </w:p>
        </w:tc>
        <w:tc>
          <w:tcPr>
            <w:tcW w:type="dxa" w:w="1426"/>
          </w:tcPr>
          <w:p>
            <w:pPr>
              <w:spacing w:after="20"/>
              <w:jc w:val="right"/>
            </w:pPr>
            <w:r>
              <w:rPr>
                <w:color w:val="1C3A36"/>
                <w:sz w:val="16"/>
              </w:rPr>
              <w:t>20.8%</w:t>
            </w:r>
          </w:p>
        </w:tc>
        <w:tc>
          <w:tcPr>
            <w:tcW w:type="dxa" w:w="1426"/>
          </w:tcPr>
          <w:p>
            <w:pPr>
              <w:spacing w:after="20"/>
              <w:jc w:val="right"/>
            </w:pPr>
            <w:r>
              <w:rPr>
                <w:color w:val="1C3A36"/>
                <w:sz w:val="16"/>
              </w:rPr>
              <w:t>20.8%</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26.9%</w:t>
            </w:r>
          </w:p>
        </w:tc>
        <w:tc>
          <w:tcPr>
            <w:tcW w:type="dxa" w:w="1426"/>
          </w:tcPr>
          <w:p>
            <w:pPr>
              <w:spacing w:after="20"/>
              <w:jc w:val="right"/>
            </w:pPr>
            <w:r>
              <w:rPr>
                <w:color w:val="1C3A36"/>
                <w:sz w:val="16"/>
              </w:rPr>
              <w:t>23.0%</w:t>
            </w:r>
          </w:p>
        </w:tc>
        <w:tc>
          <w:tcPr>
            <w:tcW w:type="dxa" w:w="1426"/>
          </w:tcPr>
          <w:p>
            <w:pPr>
              <w:spacing w:after="20"/>
              <w:jc w:val="right"/>
            </w:pPr>
            <w:r>
              <w:rPr>
                <w:color w:val="1C3A36"/>
                <w:sz w:val="16"/>
              </w:rPr>
              <w:t>19.5%</w:t>
            </w:r>
          </w:p>
        </w:tc>
        <w:tc>
          <w:tcPr>
            <w:tcW w:type="dxa" w:w="1426"/>
          </w:tcPr>
          <w:p>
            <w:pPr>
              <w:spacing w:after="20"/>
              <w:jc w:val="right"/>
            </w:pPr>
            <w:r>
              <w:rPr>
                <w:color w:val="1C3A36"/>
                <w:sz w:val="16"/>
              </w:rPr>
              <w:t>17.1%</w:t>
            </w:r>
          </w:p>
        </w:tc>
        <w:tc>
          <w:tcPr>
            <w:tcW w:type="dxa" w:w="1426"/>
          </w:tcPr>
          <w:p>
            <w:pPr>
              <w:spacing w:after="20"/>
              <w:jc w:val="right"/>
            </w:pPr>
            <w:r>
              <w:rPr>
                <w:color w:val="1C3A36"/>
                <w:sz w:val="16"/>
              </w:rPr>
              <w:t>15.1%</w:t>
            </w:r>
          </w:p>
        </w:tc>
      </w:tr>
      <w:tr>
        <w:tc>
          <w:tcPr>
            <w:tcW w:type="dxa" w:w="2952"/>
          </w:tcPr>
          <w:p>
            <w:pPr>
              <w:spacing w:after="20"/>
            </w:pPr>
            <w:r>
              <w:rPr>
                <w:color w:val="1C3A36"/>
                <w:sz w:val="16"/>
              </w:rPr>
              <w:t>Spread</w:t>
            </w:r>
          </w:p>
        </w:tc>
        <w:tc>
          <w:tcPr>
            <w:tcW w:type="dxa" w:w="1426"/>
          </w:tcPr>
          <w:p>
            <w:pPr>
              <w:spacing w:after="20"/>
              <w:jc w:val="right"/>
            </w:pPr>
            <w:r>
              <w:rPr>
                <w:color w:val="1C3A36"/>
                <w:sz w:val="16"/>
              </w:rPr>
              <w:t>-4.7pp</w:t>
            </w:r>
          </w:p>
        </w:tc>
        <w:tc>
          <w:tcPr>
            <w:tcW w:type="dxa" w:w="1426"/>
          </w:tcPr>
          <w:p>
            <w:pPr>
              <w:spacing w:after="20"/>
              <w:jc w:val="right"/>
            </w:pPr>
            <w:r>
              <w:rPr>
                <w:color w:val="1C3A36"/>
                <w:sz w:val="16"/>
              </w:rPr>
              <w:t>-1.7pp</w:t>
            </w:r>
          </w:p>
        </w:tc>
        <w:tc>
          <w:tcPr>
            <w:tcW w:type="dxa" w:w="1426"/>
          </w:tcPr>
          <w:p>
            <w:pPr>
              <w:spacing w:after="20"/>
              <w:jc w:val="right"/>
            </w:pPr>
            <w:r>
              <w:rPr>
                <w:color w:val="1C3A36"/>
                <w:sz w:val="16"/>
              </w:rPr>
              <w:t>+1.4pp</w:t>
            </w:r>
          </w:p>
        </w:tc>
        <w:tc>
          <w:tcPr>
            <w:tcW w:type="dxa" w:w="1426"/>
          </w:tcPr>
          <w:p>
            <w:pPr>
              <w:spacing w:after="20"/>
              <w:jc w:val="right"/>
            </w:pPr>
            <w:r>
              <w:rPr>
                <w:color w:val="1C3A36"/>
                <w:sz w:val="16"/>
              </w:rPr>
              <w:t>+3.7pp</w:t>
            </w:r>
          </w:p>
        </w:tc>
        <w:tc>
          <w:tcPr>
            <w:tcW w:type="dxa" w:w="1426"/>
          </w:tcPr>
          <w:p>
            <w:pPr>
              <w:spacing w:after="20"/>
              <w:jc w:val="right"/>
            </w:pPr>
            <w:r>
              <w:rPr>
                <w:color w:val="1C3A36"/>
                <w:sz w:val="16"/>
              </w:rPr>
              <w:t>+5.6pp</w:t>
            </w:r>
          </w:p>
        </w:tc>
      </w:tr>
      <w:tr>
        <w:tc>
          <w:tcPr>
            <w:tcW w:type="dxa" w:w="2952"/>
            <w:shd w:val="clear" w:color="auto" w:fill="F6F1E6"/>
          </w:tcPr>
          <w:p>
            <w:pPr>
              <w:spacing w:after="20"/>
            </w:pPr>
            <w:r>
              <w:rPr>
                <w:b/>
                <w:color w:val="1C3A36"/>
                <w:sz w:val="16"/>
              </w:rPr>
              <w:t>Economic profit (EGP mn)</w:t>
            </w:r>
          </w:p>
        </w:tc>
        <w:tc>
          <w:tcPr>
            <w:tcW w:type="dxa" w:w="1426"/>
            <w:shd w:val="clear" w:color="auto" w:fill="F6F1E6"/>
          </w:tcPr>
          <w:p>
            <w:pPr>
              <w:spacing w:after="20"/>
              <w:jc w:val="right"/>
            </w:pPr>
            <w:r>
              <w:rPr>
                <w:b/>
                <w:color w:val="1C3A36"/>
                <w:sz w:val="16"/>
              </w:rPr>
              <w:t>-5,866</w:t>
            </w:r>
          </w:p>
        </w:tc>
        <w:tc>
          <w:tcPr>
            <w:tcW w:type="dxa" w:w="1426"/>
            <w:shd w:val="clear" w:color="auto" w:fill="F6F1E6"/>
          </w:tcPr>
          <w:p>
            <w:pPr>
              <w:spacing w:after="20"/>
              <w:jc w:val="right"/>
            </w:pPr>
            <w:r>
              <w:rPr>
                <w:b/>
                <w:color w:val="1C3A36"/>
                <w:sz w:val="16"/>
              </w:rPr>
              <w:t>-2,401</w:t>
            </w:r>
          </w:p>
        </w:tc>
        <w:tc>
          <w:tcPr>
            <w:tcW w:type="dxa" w:w="1426"/>
            <w:shd w:val="clear" w:color="auto" w:fill="F6F1E6"/>
          </w:tcPr>
          <w:p>
            <w:pPr>
              <w:spacing w:after="20"/>
              <w:jc w:val="right"/>
            </w:pPr>
            <w:r>
              <w:rPr>
                <w:b/>
                <w:color w:val="1C3A36"/>
                <w:sz w:val="16"/>
              </w:rPr>
              <w:t>2,192</w:t>
            </w:r>
          </w:p>
        </w:tc>
        <w:tc>
          <w:tcPr>
            <w:tcW w:type="dxa" w:w="1426"/>
            <w:shd w:val="clear" w:color="auto" w:fill="F6F1E6"/>
          </w:tcPr>
          <w:p>
            <w:pPr>
              <w:spacing w:after="20"/>
              <w:jc w:val="right"/>
            </w:pPr>
            <w:r>
              <w:rPr>
                <w:b/>
                <w:color w:val="1C3A36"/>
                <w:sz w:val="16"/>
              </w:rPr>
              <w:t>6,406</w:t>
            </w:r>
          </w:p>
        </w:tc>
        <w:tc>
          <w:tcPr>
            <w:tcW w:type="dxa" w:w="1426"/>
            <w:shd w:val="clear" w:color="auto" w:fill="F6F1E6"/>
          </w:tcPr>
          <w:p>
            <w:pPr>
              <w:spacing w:after="20"/>
              <w:jc w:val="right"/>
            </w:pPr>
            <w:r>
              <w:rPr>
                <w:b/>
                <w:color w:val="1C3A36"/>
                <w:sz w:val="16"/>
              </w:rPr>
              <w:t>10,669</w:t>
            </w:r>
          </w:p>
        </w:tc>
      </w:tr>
    </w:tbl>
    <w:p>
      <w:pPr>
        <w:spacing w:after="40"/>
      </w:pP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an order book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Rejected. Two audited years show working capital rising with revenue, not converting. Until a year shows conversion, treating it as permanent is the evidence-led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70% of its money elsewhere."</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56.08; the vertical line is the market price of 105.20.</w:t>
      </w:r>
    </w:p>
    <w:p>
      <w:pPr>
        <w:spacing w:after="120" w:before="0"/>
      </w:pPr>
      <w:r>
        <w:rPr>
          <w:b w:val="0"/>
          <w:i w:val="0"/>
          <w:color w:val="1C3A36"/>
          <w:sz w:val="21"/>
        </w:rPr>
        <w:t>The panel spans EGP 46.24 to 137.70 — a factor of 3.0 between the most and least generous reading. That is a wide disagreement and it is not noise. Expert 1 values earnings and finds the company reasonably priced. Expert 2 values cash and finds it expensive by a wide margin. Expert 3 values the spread between returns and the cost of capital and finds that the answer depends entirely on which cost of capital applies. The panel median of 56.08 sits -47% against the market price and close to the study's own weighted central of 81.13.</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23.0%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5%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76%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