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60" w:type="dxa"/>
          <w:bottom w:w="90" w:type="dxa"/>
          <w:right w:w="160" w:type="dxa"/>
        </w:tblCellMar>
      </w:tblPr>
      <w:tblGrid>
        <w:gridCol w:w="10080"/>
      </w:tblGrid>
      <w:tr>
        <w:tc>
          <w:tcPr>
            <w:tcW w:type="dxa" w:w="10080"/>
            <w:shd w:val="clear" w:color="auto" w:fill="1C3A36"/>
          </w:tcPr>
          <w:p>
            <w:r>
              <w:rPr>
                <w:b/>
                <w:color w:val="FFFFFF"/>
                <w:sz w:val="22"/>
              </w:rPr>
              <w:t>Testahil · Independent Valuation Study — Educational Analysis</w:t>
            </w:r>
            <w:r>
              <w:rPr>
                <w:color w:val="9FB0AC"/>
                <w:sz w:val="19"/>
              </w:rPr>
              <w:t xml:space="preserve">   Not investment advice</w:t>
            </w:r>
          </w:p>
        </w:tc>
      </w:tr>
    </w:tbl>
    <w:p>
      <w:pPr>
        <w:spacing w:after="0"/>
      </w:pPr>
    </w:p>
    <w:p>
      <w:pPr>
        <w:spacing w:after="0" w:before="0"/>
      </w:pPr>
      <w:r>
        <w:rPr>
          <w:b/>
          <w:i w:val="0"/>
          <w:color w:val="1C3A36"/>
          <w:sz w:val="48"/>
        </w:rPr>
        <w:t>Modon Holding PSC</w:t>
      </w:r>
    </w:p>
    <w:p>
      <w:pPr>
        <w:spacing w:after="40" w:before="0"/>
      </w:pPr>
      <w:r>
        <w:rPr>
          <w:b w:val="0"/>
          <w:i w:val="0"/>
          <w:color w:val="6E7B77"/>
          <w:sz w:val="22"/>
        </w:rPr>
        <w:t>ADX: MODON · Abu Dhabi Securities Exchange · United Arab Emirates dirham (AED)</w:t>
      </w:r>
    </w:p>
    <w:p>
      <w:pPr>
        <w:spacing w:after="200" w:before="0"/>
      </w:pPr>
      <w:r>
        <w:rPr>
          <w:b w:val="0"/>
          <w:i w:val="0"/>
          <w:color w:val="6E7B77"/>
          <w:sz w:val="20"/>
        </w:rPr>
        <w:t>Independent valuation study · 9 August 2026 · price anchor AED 2.83 (close 7 August 2026)</w:t>
      </w:r>
    </w:p>
    <w:tbl>
      <w:tblPr>
        <w:tblW w:type="auto" w:w="0"/>
        <w:tblLook w:firstColumn="1" w:firstRow="1" w:lastColumn="0" w:lastRow="0" w:noHBand="0" w:noVBand="1" w:val="04A0"/>
        <w:tblBorders>
          <w:top w:val="single" w:sz="6" w:space="0" w:color="C0A45F"/>
          <w:left w:val="single" w:sz="6" w:space="0" w:color="C0A45F"/>
          <w:bottom w:val="single" w:sz="6" w:space="0" w:color="C0A45F"/>
          <w:right w:val="single" w:sz="6" w:space="0" w:color="C0A45F"/>
          <w:insideH w:val="single" w:sz="6" w:space="0" w:color="C0A45F"/>
          <w:insideV w:val="single" w:sz="6" w:space="0" w:color="C0A45F"/>
        </w:tblBorders>
        <w:tblCellMar>
          <w:top w:w="120" w:type="dxa"/>
          <w:left w:w="160" w:type="dxa"/>
          <w:bottom w:w="120" w:type="dxa"/>
          <w:right w:w="160" w:type="dxa"/>
        </w:tblCellMar>
      </w:tblPr>
      <w:tblGrid>
        <w:gridCol w:w="10080"/>
      </w:tblGrid>
      <w:tr>
        <w:tc>
          <w:tcPr>
            <w:tcW w:type="dxa" w:w="10080"/>
            <w:shd w:val="clear" w:color="auto" w:fill="F6F1E6"/>
          </w:tcPr>
          <w:p>
            <w:pPr>
              <w:spacing w:after="100"/>
            </w:pPr>
            <w:r>
              <w:rPr>
                <w:b/>
                <w:color w:val="1C3A36"/>
                <w:sz w:val="19"/>
              </w:rPr>
              <w:t xml:space="preserve">READ FIRST. </w:t>
            </w:r>
            <w:r>
              <w:rPr>
                <w:color w:val="1C3A36"/>
                <w:sz w:val="19"/>
              </w:rPr>
              <w:t>This study is an independent, educational analysis of Modon Holding PSC. It is not investment advice, not a recommendation, and it contains no price target. Every value in it is a model output presented as a range with its assumptions shown.</w:t>
            </w:r>
          </w:p>
          <w:p>
            <w:pPr>
              <w:spacing w:after="100"/>
            </w:pPr>
            <w:r>
              <w:rPr>
                <w:b/>
                <w:color w:val="1C3A36"/>
                <w:sz w:val="19"/>
              </w:rPr>
              <w:t xml:space="preserve">Sources. </w:t>
            </w:r>
            <w:r>
              <w:rPr>
                <w:color w:val="1C3A36"/>
                <w:sz w:val="19"/>
              </w:rPr>
              <w:t>Every historical figure is taken from the company's own audited consolidated financial statements and reviewed interims, retrieved from the company's investor-relations library, or from its own results announcements — never from a data vendor. Peer figures are cross-checks only and are labelled where they appear. A companion bibliography document lists every input with its value, source and date.</w:t>
            </w:r>
          </w:p>
          <w:p>
            <w:pPr>
              <w:spacing w:after="100"/>
            </w:pPr>
            <w:r>
              <w:rPr>
                <w:b/>
                <w:color w:val="1C3A36"/>
                <w:sz w:val="19"/>
              </w:rPr>
              <w:t xml:space="preserve">The one judgement that matters most. </w:t>
            </w:r>
            <w:r>
              <w:rPr>
                <w:color w:val="1C3A36"/>
                <w:sz w:val="19"/>
              </w:rPr>
              <w:t>Whether the record 2025–26 development sales surge persists or fades to backlog run-off moves this valuation more than any other input. Both readings are computed in full and shown side by side. They are never averaged.</w:t>
            </w:r>
          </w:p>
          <w:p>
            <w:pPr>
              <w:spacing w:after="100"/>
            </w:pPr>
            <w:r>
              <w:rPr>
                <w:b/>
                <w:color w:val="1C3A36"/>
                <w:sz w:val="19"/>
              </w:rPr>
              <w:t xml:space="preserve">Companion files. </w:t>
            </w:r>
            <w:r>
              <w:rPr>
                <w:color w:val="1C3A36"/>
                <w:sz w:val="19"/>
              </w:rPr>
              <w:t>A formula-driven Excel model (change a blue driver and the valuation reprices) and a standalone bibliography ship with this document.</w:t>
            </w:r>
          </w:p>
        </w:tc>
      </w:tr>
    </w:tbl>
    <w:p>
      <w:pPr>
        <w:spacing w:after="40"/>
      </w:pPr>
    </w:p>
    <w:p>
      <w:pPr>
        <w:spacing w:after="120" w:before="280"/>
      </w:pPr>
      <w:r>
        <w:rPr>
          <w:b/>
          <w:i w:val="0"/>
          <w:color w:val="1C3A36"/>
          <w:sz w:val="30"/>
        </w:rPr>
        <w:t>Headline</w:t>
      </w:r>
    </w:p>
    <w:p>
      <w:pPr>
        <w:spacing w:after="160" w:before="0"/>
      </w:pPr>
      <w:r>
        <w:rPr>
          <w:b/>
          <w:i w:val="0"/>
          <w:color w:val="1C3A36"/>
          <w:sz w:val="24"/>
        </w:rPr>
        <w:t xml:space="preserve">Fair value AED 0.96–7.39 per share, weighted central AED 3.71, against a market price of AED 2.83 (+31%). </w:t>
      </w:r>
    </w:p>
    <w:p>
      <w:pPr>
        <w:spacing w:after="120" w:before="0"/>
      </w:pPr>
      <w:r>
        <w:rPr>
          <w:b w:val="0"/>
          <w:i w:val="0"/>
          <w:color w:val="1C3A36"/>
          <w:sz w:val="21"/>
        </w:rPr>
        <w:t>Modon Holding is Abu Dhabi's government-owned city-builder: a AED 13.8bn-revenue, four-leg group spanning real-estate development (Hudayriyat Island, Reem Island, Ras El Hekma in Egypt), an asset-management platform, a hospitality portfolio of 27 hotels, and the ADNEC events business. In FY2025 — its first clean year in the combined perimeter — it earned AED 3.9bn after tax, and its half-year 2026 revenue is running +40% year on year with a AED 46.0bn revenue backlog, 93% of it contracted development sales.</w:t>
      </w:r>
    </w:p>
    <w:p>
      <w:pPr>
        <w:spacing w:after="120" w:before="0"/>
      </w:pPr>
      <w:r>
        <w:rPr>
          <w:b w:val="0"/>
          <w:i w:val="0"/>
          <w:color w:val="1C3A36"/>
          <w:sz w:val="21"/>
        </w:rPr>
        <w:t>The tension in this name is unusually clean. A cash-flow reading of the backlog and the four legs is worth AED 6.02 per share on the base path — and still AED 4.18 if new sales halve and fade to run-off. The market lenses cluster far lower: peer multiples imply about AED 2.60, normalised mid-cycle earnings about AED 1.36, and book value at a justified multiple about AED 2.56. The market prices Modon at 11.8x trailing earnings against 7.5x for Aldar — a premium multiple on earnings the market does not yet treat as durable. Section 4 prices exactly what discount rate the market is charging; section 1.7 shows both sales paths in full.</w:t>
      </w:r>
    </w:p>
    <w:p>
      <w:pPr>
        <w:spacing w:after="120" w:before="0"/>
      </w:pPr>
      <w:r>
        <w:rPr>
          <w:b w:val="0"/>
          <w:i w:val="0"/>
          <w:color w:val="1C3A36"/>
          <w:sz w:val="21"/>
        </w:rPr>
        <w:t>Over the next three months the price map is symmetric and modest: the central band runs AED 2.64–3.09 with 5th–95th percentiles at AED 2.32–3.52. A fundamental verdict of this size, if right, plays out over years, not a quarter.</w:t>
      </w:r>
    </w:p>
    <w:p>
      <w:pPr>
        <w:spacing w:after="120" w:before="280"/>
      </w:pPr>
      <w:r>
        <w:rPr>
          <w:b/>
          <w:i w:val="0"/>
          <w:color w:val="1C3A36"/>
          <w:sz w:val="30"/>
        </w:rPr>
        <w:t>Valuation summary</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72"/>
        <w:gridCol w:w="1181"/>
        <w:gridCol w:w="1181"/>
        <w:gridCol w:w="1181"/>
        <w:gridCol w:w="1123"/>
        <w:gridCol w:w="1224"/>
      </w:tblGrid>
      <w:tr>
        <w:tc>
          <w:tcPr>
            <w:tcW w:type="dxa" w:w="3672"/>
            <w:shd w:val="clear" w:color="auto" w:fill="EAF0EE"/>
          </w:tcPr>
          <w:p>
            <w:pPr>
              <w:spacing w:after="20"/>
            </w:pPr>
            <w:r>
              <w:rPr>
                <w:b/>
                <w:color w:val="1C3A36"/>
                <w:sz w:val="18"/>
              </w:rPr>
              <w:t>Lens</w:t>
            </w:r>
          </w:p>
        </w:tc>
        <w:tc>
          <w:tcPr>
            <w:tcW w:type="dxa" w:w="1181"/>
            <w:shd w:val="clear" w:color="auto" w:fill="EAF0EE"/>
          </w:tcPr>
          <w:p>
            <w:pPr>
              <w:spacing w:after="20"/>
            </w:pPr>
            <w:r>
              <w:rPr>
                <w:b/>
                <w:color w:val="1C3A36"/>
                <w:sz w:val="18"/>
              </w:rPr>
              <w:t>Bear</w:t>
            </w:r>
          </w:p>
        </w:tc>
        <w:tc>
          <w:tcPr>
            <w:tcW w:type="dxa" w:w="1181"/>
            <w:shd w:val="clear" w:color="auto" w:fill="EAF0EE"/>
          </w:tcPr>
          <w:p>
            <w:pPr>
              <w:spacing w:after="20"/>
            </w:pPr>
            <w:r>
              <w:rPr>
                <w:b/>
                <w:color w:val="1C3A36"/>
                <w:sz w:val="18"/>
              </w:rPr>
              <w:t>Base</w:t>
            </w:r>
          </w:p>
        </w:tc>
        <w:tc>
          <w:tcPr>
            <w:tcW w:type="dxa" w:w="1181"/>
            <w:shd w:val="clear" w:color="auto" w:fill="EAF0EE"/>
          </w:tcPr>
          <w:p>
            <w:pPr>
              <w:spacing w:after="20"/>
            </w:pPr>
            <w:r>
              <w:rPr>
                <w:b/>
                <w:color w:val="1C3A36"/>
                <w:sz w:val="18"/>
              </w:rPr>
              <w:t>Bull</w:t>
            </w:r>
          </w:p>
        </w:tc>
        <w:tc>
          <w:tcPr>
            <w:tcW w:type="dxa" w:w="1123"/>
            <w:shd w:val="clear" w:color="auto" w:fill="EAF0EE"/>
          </w:tcPr>
          <w:p>
            <w:pPr>
              <w:spacing w:after="20"/>
            </w:pPr>
            <w:r>
              <w:rPr>
                <w:b/>
                <w:color w:val="1C3A36"/>
                <w:sz w:val="18"/>
              </w:rPr>
              <w:t>Weight</w:t>
            </w:r>
          </w:p>
        </w:tc>
        <w:tc>
          <w:tcPr>
            <w:tcW w:type="dxa" w:w="1224"/>
            <w:shd w:val="clear" w:color="auto" w:fill="EAF0EE"/>
          </w:tcPr>
          <w:p>
            <w:pPr>
              <w:spacing w:after="20"/>
            </w:pPr>
            <w:r>
              <w:rPr>
                <w:b/>
                <w:color w:val="1C3A36"/>
                <w:sz w:val="18"/>
              </w:rPr>
              <w:t>vs price</w:t>
            </w:r>
          </w:p>
        </w:tc>
      </w:tr>
      <w:tr>
        <w:tc>
          <w:tcPr>
            <w:tcW w:type="dxa" w:w="3672"/>
          </w:tcPr>
          <w:p>
            <w:pPr>
              <w:spacing w:after="20"/>
            </w:pPr>
            <w:r>
              <w:rPr>
                <w:color w:val="1C3A36"/>
                <w:sz w:val="18"/>
              </w:rPr>
              <w:t>Discounted cash flow (primary)</w:t>
            </w:r>
          </w:p>
        </w:tc>
        <w:tc>
          <w:tcPr>
            <w:tcW w:type="dxa" w:w="1181"/>
          </w:tcPr>
          <w:p>
            <w:pPr>
              <w:spacing w:after="20"/>
              <w:jc w:val="right"/>
            </w:pPr>
            <w:r>
              <w:rPr>
                <w:color w:val="1C3A36"/>
                <w:sz w:val="18"/>
              </w:rPr>
              <w:t>4.18</w:t>
            </w:r>
          </w:p>
        </w:tc>
        <w:tc>
          <w:tcPr>
            <w:tcW w:type="dxa" w:w="1181"/>
          </w:tcPr>
          <w:p>
            <w:pPr>
              <w:spacing w:after="20"/>
              <w:jc w:val="right"/>
            </w:pPr>
            <w:r>
              <w:rPr>
                <w:color w:val="1C3A36"/>
                <w:sz w:val="18"/>
              </w:rPr>
              <w:t>6.02</w:t>
            </w:r>
          </w:p>
        </w:tc>
        <w:tc>
          <w:tcPr>
            <w:tcW w:type="dxa" w:w="1181"/>
          </w:tcPr>
          <w:p>
            <w:pPr>
              <w:spacing w:after="20"/>
              <w:jc w:val="right"/>
            </w:pPr>
            <w:r>
              <w:rPr>
                <w:color w:val="1C3A36"/>
                <w:sz w:val="18"/>
              </w:rPr>
              <w:t>7.39</w:t>
            </w:r>
          </w:p>
        </w:tc>
        <w:tc>
          <w:tcPr>
            <w:tcW w:type="dxa" w:w="1123"/>
          </w:tcPr>
          <w:p>
            <w:pPr>
              <w:spacing w:after="20"/>
              <w:jc w:val="right"/>
            </w:pPr>
            <w:r>
              <w:rPr>
                <w:color w:val="1C3A36"/>
                <w:sz w:val="18"/>
              </w:rPr>
              <w:t>40%</w:t>
            </w:r>
          </w:p>
        </w:tc>
        <w:tc>
          <w:tcPr>
            <w:tcW w:type="dxa" w:w="1224"/>
          </w:tcPr>
          <w:p>
            <w:pPr>
              <w:spacing w:after="20"/>
              <w:jc w:val="right"/>
            </w:pPr>
            <w:r>
              <w:rPr>
                <w:color w:val="1C3A36"/>
                <w:sz w:val="18"/>
              </w:rPr>
              <w:t>+113%</w:t>
            </w:r>
          </w:p>
        </w:tc>
      </w:tr>
      <w:tr>
        <w:tc>
          <w:tcPr>
            <w:tcW w:type="dxa" w:w="3672"/>
          </w:tcPr>
          <w:p>
            <w:pPr>
              <w:spacing w:after="20"/>
            </w:pPr>
            <w:r>
              <w:rPr>
                <w:color w:val="1C3A36"/>
                <w:sz w:val="18"/>
              </w:rPr>
              <w:t>Relative multiples</w:t>
            </w:r>
          </w:p>
        </w:tc>
        <w:tc>
          <w:tcPr>
            <w:tcW w:type="dxa" w:w="1181"/>
          </w:tcPr>
          <w:p>
            <w:pPr>
              <w:spacing w:after="20"/>
              <w:jc w:val="right"/>
            </w:pPr>
            <w:r>
              <w:rPr>
                <w:color w:val="1C3A36"/>
                <w:sz w:val="18"/>
              </w:rPr>
              <w:t>1.32</w:t>
            </w:r>
          </w:p>
        </w:tc>
        <w:tc>
          <w:tcPr>
            <w:tcW w:type="dxa" w:w="1181"/>
          </w:tcPr>
          <w:p>
            <w:pPr>
              <w:spacing w:after="20"/>
              <w:jc w:val="right"/>
            </w:pPr>
            <w:r>
              <w:rPr>
                <w:color w:val="1C3A36"/>
                <w:sz w:val="18"/>
              </w:rPr>
              <w:t>2.60</w:t>
            </w:r>
          </w:p>
        </w:tc>
        <w:tc>
          <w:tcPr>
            <w:tcW w:type="dxa" w:w="1181"/>
          </w:tcPr>
          <w:p>
            <w:pPr>
              <w:spacing w:after="20"/>
              <w:jc w:val="right"/>
            </w:pPr>
            <w:r>
              <w:rPr>
                <w:color w:val="1C3A36"/>
                <w:sz w:val="18"/>
              </w:rPr>
              <w:t>3.08</w:t>
            </w:r>
          </w:p>
        </w:tc>
        <w:tc>
          <w:tcPr>
            <w:tcW w:type="dxa" w:w="1123"/>
          </w:tcPr>
          <w:p>
            <w:pPr>
              <w:spacing w:after="20"/>
              <w:jc w:val="right"/>
            </w:pPr>
            <w:r>
              <w:rPr>
                <w:color w:val="1C3A36"/>
                <w:sz w:val="18"/>
              </w:rPr>
              <w:t>20%</w:t>
            </w:r>
          </w:p>
        </w:tc>
        <w:tc>
          <w:tcPr>
            <w:tcW w:type="dxa" w:w="1224"/>
          </w:tcPr>
          <w:p>
            <w:pPr>
              <w:spacing w:after="20"/>
              <w:jc w:val="right"/>
            </w:pPr>
            <w:r>
              <w:rPr>
                <w:color w:val="1C3A36"/>
                <w:sz w:val="18"/>
              </w:rPr>
              <w:t>-8%</w:t>
            </w:r>
          </w:p>
        </w:tc>
      </w:tr>
      <w:tr>
        <w:tc>
          <w:tcPr>
            <w:tcW w:type="dxa" w:w="3672"/>
          </w:tcPr>
          <w:p>
            <w:pPr>
              <w:spacing w:after="20"/>
            </w:pPr>
            <w:r>
              <w:rPr>
                <w:color w:val="1C3A36"/>
                <w:sz w:val="18"/>
              </w:rPr>
              <w:t>Normalised earnings power</w:t>
            </w:r>
          </w:p>
        </w:tc>
        <w:tc>
          <w:tcPr>
            <w:tcW w:type="dxa" w:w="1181"/>
          </w:tcPr>
          <w:p>
            <w:pPr>
              <w:spacing w:after="20"/>
              <w:jc w:val="right"/>
            </w:pPr>
            <w:r>
              <w:rPr>
                <w:color w:val="1C3A36"/>
                <w:sz w:val="18"/>
              </w:rPr>
              <w:t>0.96</w:t>
            </w:r>
          </w:p>
        </w:tc>
        <w:tc>
          <w:tcPr>
            <w:tcW w:type="dxa" w:w="1181"/>
          </w:tcPr>
          <w:p>
            <w:pPr>
              <w:spacing w:after="20"/>
              <w:jc w:val="right"/>
            </w:pPr>
            <w:r>
              <w:rPr>
                <w:color w:val="1C3A36"/>
                <w:sz w:val="18"/>
              </w:rPr>
              <w:t>1.36</w:t>
            </w:r>
          </w:p>
        </w:tc>
        <w:tc>
          <w:tcPr>
            <w:tcW w:type="dxa" w:w="1181"/>
          </w:tcPr>
          <w:p>
            <w:pPr>
              <w:spacing w:after="20"/>
              <w:jc w:val="right"/>
            </w:pPr>
            <w:r>
              <w:rPr>
                <w:color w:val="1C3A36"/>
                <w:sz w:val="18"/>
              </w:rPr>
              <w:t>1.68</w:t>
            </w:r>
          </w:p>
        </w:tc>
        <w:tc>
          <w:tcPr>
            <w:tcW w:type="dxa" w:w="1123"/>
          </w:tcPr>
          <w:p>
            <w:pPr>
              <w:spacing w:after="20"/>
              <w:jc w:val="right"/>
            </w:pPr>
            <w:r>
              <w:rPr>
                <w:color w:val="1C3A36"/>
                <w:sz w:val="18"/>
              </w:rPr>
              <w:t>20%</w:t>
            </w:r>
          </w:p>
        </w:tc>
        <w:tc>
          <w:tcPr>
            <w:tcW w:type="dxa" w:w="1224"/>
          </w:tcPr>
          <w:p>
            <w:pPr>
              <w:spacing w:after="20"/>
              <w:jc w:val="right"/>
            </w:pPr>
            <w:r>
              <w:rPr>
                <w:color w:val="1C3A36"/>
                <w:sz w:val="18"/>
              </w:rPr>
              <w:t>-52%</w:t>
            </w:r>
          </w:p>
        </w:tc>
      </w:tr>
      <w:tr>
        <w:tc>
          <w:tcPr>
            <w:tcW w:type="dxa" w:w="3672"/>
          </w:tcPr>
          <w:p>
            <w:pPr>
              <w:spacing w:after="20"/>
            </w:pPr>
            <w:r>
              <w:rPr>
                <w:color w:val="1C3A36"/>
                <w:sz w:val="18"/>
              </w:rPr>
              <w:t>Book value &amp; sustainable return</w:t>
            </w:r>
          </w:p>
        </w:tc>
        <w:tc>
          <w:tcPr>
            <w:tcW w:type="dxa" w:w="1181"/>
          </w:tcPr>
          <w:p>
            <w:pPr>
              <w:spacing w:after="20"/>
              <w:jc w:val="right"/>
            </w:pPr>
            <w:r>
              <w:rPr>
                <w:color w:val="1C3A36"/>
                <w:sz w:val="18"/>
              </w:rPr>
              <w:t>1.54</w:t>
            </w:r>
          </w:p>
        </w:tc>
        <w:tc>
          <w:tcPr>
            <w:tcW w:type="dxa" w:w="1181"/>
          </w:tcPr>
          <w:p>
            <w:pPr>
              <w:spacing w:after="20"/>
              <w:jc w:val="right"/>
            </w:pPr>
            <w:r>
              <w:rPr>
                <w:color w:val="1C3A36"/>
                <w:sz w:val="18"/>
              </w:rPr>
              <w:t>2.56</w:t>
            </w:r>
          </w:p>
        </w:tc>
        <w:tc>
          <w:tcPr>
            <w:tcW w:type="dxa" w:w="1181"/>
          </w:tcPr>
          <w:p>
            <w:pPr>
              <w:spacing w:after="20"/>
              <w:jc w:val="right"/>
            </w:pPr>
            <w:r>
              <w:rPr>
                <w:color w:val="1C3A36"/>
                <w:sz w:val="18"/>
              </w:rPr>
              <w:t>3.59</w:t>
            </w:r>
          </w:p>
        </w:tc>
        <w:tc>
          <w:tcPr>
            <w:tcW w:type="dxa" w:w="1123"/>
          </w:tcPr>
          <w:p>
            <w:pPr>
              <w:spacing w:after="20"/>
              <w:jc w:val="right"/>
            </w:pPr>
            <w:r>
              <w:rPr>
                <w:color w:val="1C3A36"/>
                <w:sz w:val="18"/>
              </w:rPr>
              <w:t>20%</w:t>
            </w:r>
          </w:p>
        </w:tc>
        <w:tc>
          <w:tcPr>
            <w:tcW w:type="dxa" w:w="1224"/>
          </w:tcPr>
          <w:p>
            <w:pPr>
              <w:spacing w:after="20"/>
              <w:jc w:val="right"/>
            </w:pPr>
            <w:r>
              <w:rPr>
                <w:color w:val="1C3A36"/>
                <w:sz w:val="18"/>
              </w:rPr>
              <w:t>-9%</w:t>
            </w:r>
          </w:p>
        </w:tc>
      </w:tr>
      <w:tr>
        <w:tc>
          <w:tcPr>
            <w:tcW w:type="dxa" w:w="3672"/>
            <w:shd w:val="clear" w:color="auto" w:fill="F6F1E6"/>
          </w:tcPr>
          <w:p>
            <w:pPr>
              <w:spacing w:after="20"/>
            </w:pPr>
            <w:r>
              <w:rPr>
                <w:b/>
                <w:color w:val="1C3A36"/>
                <w:sz w:val="18"/>
              </w:rPr>
              <w:t>Weighted central</w:t>
            </w:r>
          </w:p>
        </w:tc>
        <w:tc>
          <w:tcPr>
            <w:tcW w:type="dxa" w:w="1181"/>
            <w:shd w:val="clear" w:color="auto" w:fill="F6F1E6"/>
          </w:tcPr>
          <w:p>
            <w:pPr>
              <w:spacing w:after="20"/>
              <w:jc w:val="right"/>
            </w:pPr>
            <w:r>
              <w:rPr>
                <w:b/>
                <w:color w:val="1C3A36"/>
                <w:sz w:val="18"/>
              </w:rPr>
              <w:t>0.96</w:t>
            </w:r>
          </w:p>
        </w:tc>
        <w:tc>
          <w:tcPr>
            <w:tcW w:type="dxa" w:w="1181"/>
            <w:shd w:val="clear" w:color="auto" w:fill="F6F1E6"/>
          </w:tcPr>
          <w:p>
            <w:pPr>
              <w:spacing w:after="20"/>
              <w:jc w:val="right"/>
            </w:pPr>
            <w:r>
              <w:rPr>
                <w:b/>
                <w:color w:val="1C3A36"/>
                <w:sz w:val="18"/>
              </w:rPr>
              <w:t>3.71</w:t>
            </w:r>
          </w:p>
        </w:tc>
        <w:tc>
          <w:tcPr>
            <w:tcW w:type="dxa" w:w="1181"/>
            <w:shd w:val="clear" w:color="auto" w:fill="F6F1E6"/>
          </w:tcPr>
          <w:p>
            <w:pPr>
              <w:spacing w:after="20"/>
              <w:jc w:val="right"/>
            </w:pPr>
            <w:r>
              <w:rPr>
                <w:b/>
                <w:color w:val="1C3A36"/>
                <w:sz w:val="18"/>
              </w:rPr>
              <w:t>7.39</w:t>
            </w:r>
          </w:p>
        </w:tc>
        <w:tc>
          <w:tcPr>
            <w:tcW w:type="dxa" w:w="1123"/>
            <w:shd w:val="clear" w:color="auto" w:fill="F6F1E6"/>
          </w:tcPr>
          <w:p>
            <w:pPr>
              <w:spacing w:after="20"/>
              <w:jc w:val="right"/>
            </w:pPr>
            <w:r>
              <w:rPr>
                <w:b/>
                <w:color w:val="1C3A36"/>
                <w:sz w:val="18"/>
              </w:rPr>
              <w:t>100%</w:t>
            </w:r>
          </w:p>
        </w:tc>
        <w:tc>
          <w:tcPr>
            <w:tcW w:type="dxa" w:w="1224"/>
            <w:shd w:val="clear" w:color="auto" w:fill="F6F1E6"/>
          </w:tcPr>
          <w:p>
            <w:pPr>
              <w:spacing w:after="20"/>
              <w:jc w:val="right"/>
            </w:pPr>
            <w:r>
              <w:rPr>
                <w:b/>
                <w:color w:val="1C3A36"/>
                <w:sz w:val="18"/>
              </w:rPr>
              <w:t>+31%</w:t>
            </w:r>
          </w:p>
        </w:tc>
      </w:tr>
      <w:tr>
        <w:tc>
          <w:tcPr>
            <w:tcW w:type="dxa" w:w="3672"/>
          </w:tcPr>
          <w:p>
            <w:pPr>
              <w:spacing w:after="20"/>
            </w:pPr>
            <w:r>
              <w:rPr>
                <w:color w:val="1C3A36"/>
                <w:sz w:val="18"/>
              </w:rPr>
              <w:t>DCF terminal value share of enterprise value: 71.4%</w:t>
            </w:r>
          </w:p>
        </w:tc>
        <w:tc>
          <w:tcPr>
            <w:tcW w:type="dxa" w:w="1181"/>
          </w:tcPr>
          <w:p>
            <w:pPr>
              <w:spacing w:after="20"/>
              <w:jc w:val="right"/>
            </w:pPr>
            <w:r>
              <w:rPr>
                <w:color w:val="1C3A36"/>
                <w:sz w:val="18"/>
              </w:rPr>
            </w:r>
          </w:p>
        </w:tc>
        <w:tc>
          <w:tcPr>
            <w:tcW w:type="dxa" w:w="1181"/>
          </w:tcPr>
          <w:p>
            <w:pPr>
              <w:spacing w:after="20"/>
              <w:jc w:val="right"/>
            </w:pPr>
            <w:r>
              <w:rPr>
                <w:color w:val="1C3A36"/>
                <w:sz w:val="18"/>
              </w:rPr>
            </w:r>
          </w:p>
        </w:tc>
        <w:tc>
          <w:tcPr>
            <w:tcW w:type="dxa" w:w="1181"/>
          </w:tcPr>
          <w:p>
            <w:pPr>
              <w:spacing w:after="20"/>
              <w:jc w:val="right"/>
            </w:pPr>
            <w:r>
              <w:rPr>
                <w:color w:val="1C3A36"/>
                <w:sz w:val="18"/>
              </w:rPr>
            </w:r>
          </w:p>
        </w:tc>
        <w:tc>
          <w:tcPr>
            <w:tcW w:type="dxa" w:w="1123"/>
          </w:tcPr>
          <w:p>
            <w:pPr>
              <w:spacing w:after="20"/>
              <w:jc w:val="right"/>
            </w:pPr>
            <w:r>
              <w:rPr>
                <w:color w:val="1C3A36"/>
                <w:sz w:val="18"/>
              </w:rPr>
            </w:r>
          </w:p>
        </w:tc>
        <w:tc>
          <w:tcPr>
            <w:tcW w:type="dxa" w:w="1224"/>
          </w:tcPr>
          <w:p>
            <w:pPr>
              <w:spacing w:after="20"/>
              <w:jc w:val="right"/>
            </w:pPr>
            <w:r>
              <w:rPr>
                <w:color w:val="1C3A36"/>
                <w:sz w:val="18"/>
              </w:rPr>
            </w:r>
          </w:p>
        </w:tc>
      </w:tr>
      <w:tr>
        <w:tc>
          <w:tcPr>
            <w:tcW w:type="dxa" w:w="3672"/>
          </w:tcPr>
          <w:p>
            <w:pPr>
              <w:spacing w:after="20"/>
            </w:pPr>
            <w:r>
              <w:rPr>
                <w:color w:val="1C3A36"/>
                <w:sz w:val="18"/>
              </w:rPr>
              <w:t>Market price (7 Aug 2026)</w:t>
            </w:r>
          </w:p>
        </w:tc>
        <w:tc>
          <w:tcPr>
            <w:tcW w:type="dxa" w:w="1181"/>
          </w:tcPr>
          <w:p>
            <w:pPr>
              <w:spacing w:after="20"/>
              <w:jc w:val="right"/>
            </w:pPr>
            <w:r>
              <w:rPr>
                <w:color w:val="1C3A36"/>
                <w:sz w:val="18"/>
              </w:rPr>
            </w:r>
          </w:p>
        </w:tc>
        <w:tc>
          <w:tcPr>
            <w:tcW w:type="dxa" w:w="1181"/>
          </w:tcPr>
          <w:p>
            <w:pPr>
              <w:spacing w:after="20"/>
              <w:jc w:val="right"/>
            </w:pPr>
            <w:r>
              <w:rPr>
                <w:color w:val="1C3A36"/>
                <w:sz w:val="18"/>
              </w:rPr>
              <w:t>2.83</w:t>
            </w:r>
          </w:p>
        </w:tc>
        <w:tc>
          <w:tcPr>
            <w:tcW w:type="dxa" w:w="1181"/>
          </w:tcPr>
          <w:p>
            <w:pPr>
              <w:spacing w:after="20"/>
              <w:jc w:val="right"/>
            </w:pPr>
            <w:r>
              <w:rPr>
                <w:color w:val="1C3A36"/>
                <w:sz w:val="18"/>
              </w:rPr>
            </w:r>
          </w:p>
        </w:tc>
        <w:tc>
          <w:tcPr>
            <w:tcW w:type="dxa" w:w="1123"/>
          </w:tcPr>
          <w:p>
            <w:pPr>
              <w:spacing w:after="20"/>
              <w:jc w:val="right"/>
            </w:pPr>
            <w:r>
              <w:rPr>
                <w:color w:val="1C3A36"/>
                <w:sz w:val="18"/>
              </w:rPr>
            </w:r>
          </w:p>
        </w:tc>
        <w:tc>
          <w:tcPr>
            <w:tcW w:type="dxa" w:w="1224"/>
          </w:tcPr>
          <w:p>
            <w:pPr>
              <w:spacing w:after="20"/>
              <w:jc w:val="right"/>
            </w:pPr>
            <w:r>
              <w:rPr>
                <w:color w:val="1C3A36"/>
                <w:sz w:val="18"/>
              </w:rPr>
            </w:r>
          </w:p>
        </w:tc>
      </w:tr>
    </w:tbl>
    <w:p>
      <w:pPr>
        <w:spacing w:after="40"/>
      </w:pPr>
    </w:p>
    <w:p>
      <w:pPr>
        <w:spacing w:after="200" w:before="0"/>
      </w:pPr>
      <w:r>
        <w:rPr>
          <w:b w:val="0"/>
          <w:i/>
          <w:color w:val="6E7B77"/>
          <w:sz w:val="17"/>
        </w:rPr>
        <w:t>All figures AED per share. The DCF bear and bull are the backlog run-off and growth-hold scenarios of section 1.7, not cosmetic haircuts. The terminal value share is stated beside the lens it belongs to; the same figure is linked live in the Excel bridge.</w:t>
      </w:r>
    </w:p>
    <w:p>
      <w:pPr>
        <w:spacing w:after="200" w:before="0"/>
      </w:pPr>
      <w:r>
        <w:rPr>
          <w:b/>
          <w:i w:val="0"/>
          <w:color w:val="1C3A36"/>
          <w:sz w:val="21"/>
        </w:rPr>
        <w:t xml:space="preserve">The contested judgement, both ways: </w:t>
      </w:r>
      <w:r>
        <w:rPr>
          <w:b w:val="0"/>
          <w:i w:val="0"/>
          <w:color w:val="1C3A36"/>
          <w:sz w:val="21"/>
        </w:rPr>
        <w:t>base path AED 6.02 · backlog run-off AED 4.18. Both are complete valuations of the same balance sheet; the difference is only the sales path. They are shown side by side wherever either appears.</w:t>
      </w:r>
    </w:p>
    <w:p>
      <w:pPr>
        <w:spacing w:after="120" w:before="280"/>
      </w:pPr>
      <w:r>
        <w:rPr>
          <w:b/>
          <w:i w:val="0"/>
          <w:color w:val="1C3A36"/>
          <w:sz w:val="30"/>
        </w:rPr>
        <w:t>Company overview</w:t>
      </w:r>
    </w:p>
    <w:p>
      <w:pPr>
        <w:spacing w:after="120" w:before="0"/>
      </w:pPr>
      <w:r>
        <w:rPr>
          <w:b w:val="0"/>
          <w:i w:val="0"/>
          <w:color w:val="1C3A36"/>
          <w:sz w:val="21"/>
        </w:rPr>
        <w:t>Modon Holding PSC is the Abu Dhabi government's listed city-development platform. The listed vehicle began as Al Qudra Holding, became Q Holding, and in 2024 absorbed Modon Properties and the ADNEC Group in a share-financed combination that multiplied the balance sheet roughly four-fold and reset the perimeter — FY2024 income carries a AED 9.2bn accounting gain from that combination and is treated as a transition year throughout this study. On 30 October 2025 IHC and ADQ sold their entire stakes to L'imad Holding Company PJSC, wholly owned by the Abu Dhabi Government, which now holds about 85% of the shares. The stock trades on ADX's growth market with a correspondingly thin free float.</w:t>
      </w:r>
    </w:p>
    <w:p>
      <w:pPr>
        <w:spacing w:after="120" w:before="0"/>
      </w:pPr>
      <w:r>
        <w:rPr>
          <w:b w:val="0"/>
          <w:i w:val="0"/>
          <w:color w:val="1C3A36"/>
          <w:sz w:val="21"/>
        </w:rPr>
        <w:t>The group reports four operating segments. Real Estate Development (54% of FY2025 revenue) masterplans and sells land and homes on Hudayriyat Island (&gt;50mn sqm, 40,000 planned units), Reem Island and Al Ain, and is lead developer of phase 1 of Ras El Hekma on Egypt's north coast (170.8mn sqm gross, 500,000+ planned units) alongside La Zagaleta in Spain. Events, Catering &amp; Tourism (36%) is the ADNEC platform: exhibition venues in Abu Dhabi and London (ExCeL), event infrastructure (Arena Group, acquired May 2025), catering and tourism. Hospitality (6%) runs 27 hotels with 7,137 keys. Asset &amp; Investment Management (5%) holds the recurring-income portfolio (97% occupancy) and the group's financial investments, including a 50% stake in 2 Finsbury Avenue in London.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1368"/>
        <w:gridCol w:w="1368"/>
        <w:gridCol w:w="1037"/>
        <w:gridCol w:w="1512"/>
        <w:gridCol w:w="1368"/>
      </w:tblGrid>
      <w:tr>
        <w:tc>
          <w:tcPr>
            <w:tcW w:type="dxa" w:w="3096"/>
            <w:shd w:val="clear" w:color="auto" w:fill="EAF0EE"/>
          </w:tcPr>
          <w:p>
            <w:pPr>
              <w:spacing w:after="20"/>
            </w:pPr>
            <w:r>
              <w:rPr>
                <w:b/>
                <w:color w:val="1C3A36"/>
                <w:sz w:val="18"/>
              </w:rPr>
              <w:t>Segment</w:t>
            </w:r>
          </w:p>
        </w:tc>
        <w:tc>
          <w:tcPr>
            <w:tcW w:type="dxa" w:w="1368"/>
            <w:shd w:val="clear" w:color="auto" w:fill="EAF0EE"/>
          </w:tcPr>
          <w:p>
            <w:pPr>
              <w:spacing w:after="20"/>
            </w:pPr>
            <w:r>
              <w:rPr>
                <w:b/>
                <w:color w:val="1C3A36"/>
                <w:sz w:val="18"/>
              </w:rPr>
              <w:t>Revenue</w:t>
            </w:r>
          </w:p>
        </w:tc>
        <w:tc>
          <w:tcPr>
            <w:tcW w:type="dxa" w:w="1368"/>
            <w:shd w:val="clear" w:color="auto" w:fill="EAF0EE"/>
          </w:tcPr>
          <w:p>
            <w:pPr>
              <w:spacing w:after="20"/>
            </w:pPr>
            <w:r>
              <w:rPr>
                <w:b/>
                <w:color w:val="1C3A36"/>
                <w:sz w:val="18"/>
              </w:rPr>
              <w:t>Gross profit</w:t>
            </w:r>
          </w:p>
        </w:tc>
        <w:tc>
          <w:tcPr>
            <w:tcW w:type="dxa" w:w="1037"/>
            <w:shd w:val="clear" w:color="auto" w:fill="EAF0EE"/>
          </w:tcPr>
          <w:p>
            <w:pPr>
              <w:spacing w:after="20"/>
            </w:pPr>
            <w:r>
              <w:rPr>
                <w:b/>
                <w:color w:val="1C3A36"/>
                <w:sz w:val="18"/>
              </w:rPr>
              <w:t>Margin</w:t>
            </w:r>
          </w:p>
        </w:tc>
        <w:tc>
          <w:tcPr>
            <w:tcW w:type="dxa" w:w="1512"/>
            <w:shd w:val="clear" w:color="auto" w:fill="EAF0EE"/>
          </w:tcPr>
          <w:p>
            <w:pPr>
              <w:spacing w:after="20"/>
            </w:pPr>
            <w:r>
              <w:rPr>
                <w:b/>
                <w:color w:val="1C3A36"/>
                <w:sz w:val="18"/>
              </w:rPr>
              <w:t>Profit before tax</w:t>
            </w:r>
          </w:p>
        </w:tc>
        <w:tc>
          <w:tcPr>
            <w:tcW w:type="dxa" w:w="1368"/>
            <w:shd w:val="clear" w:color="auto" w:fill="EAF0EE"/>
          </w:tcPr>
          <w:p>
            <w:pPr>
              <w:spacing w:after="20"/>
            </w:pPr>
            <w:r>
              <w:rPr>
                <w:b/>
                <w:color w:val="1C3A36"/>
                <w:sz w:val="18"/>
              </w:rPr>
              <w:t>Assets</w:t>
            </w:r>
          </w:p>
        </w:tc>
      </w:tr>
      <w:tr>
        <w:tc>
          <w:tcPr>
            <w:tcW w:type="dxa" w:w="3096"/>
          </w:tcPr>
          <w:p>
            <w:pPr>
              <w:spacing w:after="20"/>
            </w:pPr>
            <w:r>
              <w:rPr>
                <w:color w:val="1C3A36"/>
                <w:sz w:val="18"/>
              </w:rPr>
              <w:t>Real Estate Development</w:t>
            </w:r>
          </w:p>
        </w:tc>
        <w:tc>
          <w:tcPr>
            <w:tcW w:type="dxa" w:w="1368"/>
          </w:tcPr>
          <w:p>
            <w:pPr>
              <w:spacing w:after="20"/>
              <w:jc w:val="right"/>
            </w:pPr>
            <w:r>
              <w:rPr>
                <w:color w:val="1C3A36"/>
                <w:sz w:val="18"/>
              </w:rPr>
              <w:t>7,403</w:t>
            </w:r>
          </w:p>
        </w:tc>
        <w:tc>
          <w:tcPr>
            <w:tcW w:type="dxa" w:w="1368"/>
          </w:tcPr>
          <w:p>
            <w:pPr>
              <w:spacing w:after="20"/>
              <w:jc w:val="right"/>
            </w:pPr>
            <w:r>
              <w:rPr>
                <w:color w:val="1C3A36"/>
                <w:sz w:val="18"/>
              </w:rPr>
              <w:t>3,233</w:t>
            </w:r>
          </w:p>
        </w:tc>
        <w:tc>
          <w:tcPr>
            <w:tcW w:type="dxa" w:w="1037"/>
          </w:tcPr>
          <w:p>
            <w:pPr>
              <w:spacing w:after="20"/>
              <w:jc w:val="right"/>
            </w:pPr>
            <w:r>
              <w:rPr>
                <w:color w:val="1C3A36"/>
                <w:sz w:val="18"/>
              </w:rPr>
              <w:t>43.7%</w:t>
            </w:r>
          </w:p>
        </w:tc>
        <w:tc>
          <w:tcPr>
            <w:tcW w:type="dxa" w:w="1512"/>
          </w:tcPr>
          <w:p>
            <w:pPr>
              <w:spacing w:after="20"/>
              <w:jc w:val="right"/>
            </w:pPr>
            <w:r>
              <w:rPr>
                <w:color w:val="1C3A36"/>
                <w:sz w:val="18"/>
              </w:rPr>
              <w:t>2,548</w:t>
            </w:r>
          </w:p>
        </w:tc>
        <w:tc>
          <w:tcPr>
            <w:tcW w:type="dxa" w:w="1368"/>
          </w:tcPr>
          <w:p>
            <w:pPr>
              <w:spacing w:after="20"/>
              <w:jc w:val="right"/>
            </w:pPr>
            <w:r>
              <w:rPr>
                <w:color w:val="1C3A36"/>
                <w:sz w:val="18"/>
              </w:rPr>
              <w:t>55,739</w:t>
            </w:r>
          </w:p>
        </w:tc>
      </w:tr>
      <w:tr>
        <w:tc>
          <w:tcPr>
            <w:tcW w:type="dxa" w:w="3096"/>
          </w:tcPr>
          <w:p>
            <w:pPr>
              <w:spacing w:after="20"/>
            </w:pPr>
            <w:r>
              <w:rPr>
                <w:color w:val="1C3A36"/>
                <w:sz w:val="18"/>
              </w:rPr>
              <w:t>Asset &amp; Investment Mgmt</w:t>
            </w:r>
          </w:p>
        </w:tc>
        <w:tc>
          <w:tcPr>
            <w:tcW w:type="dxa" w:w="1368"/>
          </w:tcPr>
          <w:p>
            <w:pPr>
              <w:spacing w:after="20"/>
              <w:jc w:val="right"/>
            </w:pPr>
            <w:r>
              <w:rPr>
                <w:color w:val="1C3A36"/>
                <w:sz w:val="18"/>
              </w:rPr>
              <w:t>655</w:t>
            </w:r>
          </w:p>
        </w:tc>
        <w:tc>
          <w:tcPr>
            <w:tcW w:type="dxa" w:w="1368"/>
          </w:tcPr>
          <w:p>
            <w:pPr>
              <w:spacing w:after="20"/>
              <w:jc w:val="right"/>
            </w:pPr>
            <w:r>
              <w:rPr>
                <w:color w:val="1C3A36"/>
                <w:sz w:val="18"/>
              </w:rPr>
              <w:t>421</w:t>
            </w:r>
          </w:p>
        </w:tc>
        <w:tc>
          <w:tcPr>
            <w:tcW w:type="dxa" w:w="1037"/>
          </w:tcPr>
          <w:p>
            <w:pPr>
              <w:spacing w:after="20"/>
              <w:jc w:val="right"/>
            </w:pPr>
            <w:r>
              <w:rPr>
                <w:color w:val="1C3A36"/>
                <w:sz w:val="18"/>
              </w:rPr>
              <w:t>64.3%</w:t>
            </w:r>
          </w:p>
        </w:tc>
        <w:tc>
          <w:tcPr>
            <w:tcW w:type="dxa" w:w="1512"/>
          </w:tcPr>
          <w:p>
            <w:pPr>
              <w:spacing w:after="20"/>
              <w:jc w:val="right"/>
            </w:pPr>
            <w:r>
              <w:rPr>
                <w:color w:val="1C3A36"/>
                <w:sz w:val="18"/>
              </w:rPr>
              <w:t>685</w:t>
            </w:r>
          </w:p>
        </w:tc>
        <w:tc>
          <w:tcPr>
            <w:tcW w:type="dxa" w:w="1368"/>
          </w:tcPr>
          <w:p>
            <w:pPr>
              <w:spacing w:after="20"/>
              <w:jc w:val="right"/>
            </w:pPr>
            <w:r>
              <w:rPr>
                <w:color w:val="1C3A36"/>
                <w:sz w:val="18"/>
              </w:rPr>
              <w:t>11,096</w:t>
            </w:r>
          </w:p>
        </w:tc>
      </w:tr>
      <w:tr>
        <w:tc>
          <w:tcPr>
            <w:tcW w:type="dxa" w:w="3096"/>
          </w:tcPr>
          <w:p>
            <w:pPr>
              <w:spacing w:after="20"/>
            </w:pPr>
            <w:r>
              <w:rPr>
                <w:color w:val="1C3A36"/>
                <w:sz w:val="18"/>
              </w:rPr>
              <w:t>Hospitality</w:t>
            </w:r>
          </w:p>
        </w:tc>
        <w:tc>
          <w:tcPr>
            <w:tcW w:type="dxa" w:w="1368"/>
          </w:tcPr>
          <w:p>
            <w:pPr>
              <w:spacing w:after="20"/>
              <w:jc w:val="right"/>
            </w:pPr>
            <w:r>
              <w:rPr>
                <w:color w:val="1C3A36"/>
                <w:sz w:val="18"/>
              </w:rPr>
              <w:t>792</w:t>
            </w:r>
          </w:p>
        </w:tc>
        <w:tc>
          <w:tcPr>
            <w:tcW w:type="dxa" w:w="1368"/>
          </w:tcPr>
          <w:p>
            <w:pPr>
              <w:spacing w:after="20"/>
              <w:jc w:val="right"/>
            </w:pPr>
            <w:r>
              <w:rPr>
                <w:color w:val="1C3A36"/>
                <w:sz w:val="18"/>
              </w:rPr>
              <w:t>211</w:t>
            </w:r>
          </w:p>
        </w:tc>
        <w:tc>
          <w:tcPr>
            <w:tcW w:type="dxa" w:w="1037"/>
          </w:tcPr>
          <w:p>
            <w:pPr>
              <w:spacing w:after="20"/>
              <w:jc w:val="right"/>
            </w:pPr>
            <w:r>
              <w:rPr>
                <w:color w:val="1C3A36"/>
                <w:sz w:val="18"/>
              </w:rPr>
              <w:t>26.6%</w:t>
            </w:r>
          </w:p>
        </w:tc>
        <w:tc>
          <w:tcPr>
            <w:tcW w:type="dxa" w:w="1512"/>
          </w:tcPr>
          <w:p>
            <w:pPr>
              <w:spacing w:after="20"/>
              <w:jc w:val="right"/>
            </w:pPr>
            <w:r>
              <w:rPr>
                <w:color w:val="1C3A36"/>
                <w:sz w:val="18"/>
              </w:rPr>
              <w:t>-69</w:t>
            </w:r>
          </w:p>
        </w:tc>
        <w:tc>
          <w:tcPr>
            <w:tcW w:type="dxa" w:w="1368"/>
          </w:tcPr>
          <w:p>
            <w:pPr>
              <w:spacing w:after="20"/>
              <w:jc w:val="right"/>
            </w:pPr>
            <w:r>
              <w:rPr>
                <w:color w:val="1C3A36"/>
                <w:sz w:val="18"/>
              </w:rPr>
              <w:t>4,602</w:t>
            </w:r>
          </w:p>
        </w:tc>
      </w:tr>
      <w:tr>
        <w:tc>
          <w:tcPr>
            <w:tcW w:type="dxa" w:w="3096"/>
          </w:tcPr>
          <w:p>
            <w:pPr>
              <w:spacing w:after="20"/>
            </w:pPr>
            <w:r>
              <w:rPr>
                <w:color w:val="1C3A36"/>
                <w:sz w:val="18"/>
              </w:rPr>
              <w:t>Events, Catering &amp; Tourism</w:t>
            </w:r>
          </w:p>
        </w:tc>
        <w:tc>
          <w:tcPr>
            <w:tcW w:type="dxa" w:w="1368"/>
          </w:tcPr>
          <w:p>
            <w:pPr>
              <w:spacing w:after="20"/>
              <w:jc w:val="right"/>
            </w:pPr>
            <w:r>
              <w:rPr>
                <w:color w:val="1C3A36"/>
                <w:sz w:val="18"/>
              </w:rPr>
              <w:t>5,009</w:t>
            </w:r>
          </w:p>
        </w:tc>
        <w:tc>
          <w:tcPr>
            <w:tcW w:type="dxa" w:w="1368"/>
          </w:tcPr>
          <w:p>
            <w:pPr>
              <w:spacing w:after="20"/>
              <w:jc w:val="right"/>
            </w:pPr>
            <w:r>
              <w:rPr>
                <w:color w:val="1C3A36"/>
                <w:sz w:val="18"/>
              </w:rPr>
              <w:t>1,325</w:t>
            </w:r>
          </w:p>
        </w:tc>
        <w:tc>
          <w:tcPr>
            <w:tcW w:type="dxa" w:w="1037"/>
          </w:tcPr>
          <w:p>
            <w:pPr>
              <w:spacing w:after="20"/>
              <w:jc w:val="right"/>
            </w:pPr>
            <w:r>
              <w:rPr>
                <w:color w:val="1C3A36"/>
                <w:sz w:val="18"/>
              </w:rPr>
              <w:t>26.5%</w:t>
            </w:r>
          </w:p>
        </w:tc>
        <w:tc>
          <w:tcPr>
            <w:tcW w:type="dxa" w:w="1512"/>
          </w:tcPr>
          <w:p>
            <w:pPr>
              <w:spacing w:after="20"/>
              <w:jc w:val="right"/>
            </w:pPr>
            <w:r>
              <w:rPr>
                <w:color w:val="1C3A36"/>
                <w:sz w:val="18"/>
              </w:rPr>
              <w:t>1,062</w:t>
            </w:r>
          </w:p>
        </w:tc>
        <w:tc>
          <w:tcPr>
            <w:tcW w:type="dxa" w:w="1368"/>
          </w:tcPr>
          <w:p>
            <w:pPr>
              <w:spacing w:after="20"/>
              <w:jc w:val="right"/>
            </w:pPr>
            <w:r>
              <w:rPr>
                <w:color w:val="1C3A36"/>
                <w:sz w:val="18"/>
              </w:rPr>
              <w:t>14,118</w:t>
            </w:r>
          </w:p>
        </w:tc>
      </w:tr>
      <w:tr>
        <w:tc>
          <w:tcPr>
            <w:tcW w:type="dxa" w:w="3096"/>
            <w:shd w:val="clear" w:color="auto" w:fill="F6F1E6"/>
          </w:tcPr>
          <w:p>
            <w:pPr>
              <w:spacing w:after="20"/>
            </w:pPr>
            <w:r>
              <w:rPr>
                <w:b/>
                <w:color w:val="1C3A36"/>
                <w:sz w:val="18"/>
              </w:rPr>
              <w:t>Group (incl. others/eliminations)</w:t>
            </w:r>
          </w:p>
        </w:tc>
        <w:tc>
          <w:tcPr>
            <w:tcW w:type="dxa" w:w="1368"/>
            <w:shd w:val="clear" w:color="auto" w:fill="F6F1E6"/>
          </w:tcPr>
          <w:p>
            <w:pPr>
              <w:spacing w:after="20"/>
              <w:jc w:val="right"/>
            </w:pPr>
            <w:r>
              <w:rPr>
                <w:b/>
                <w:color w:val="1C3A36"/>
                <w:sz w:val="18"/>
              </w:rPr>
              <w:t>13,829</w:t>
            </w:r>
          </w:p>
        </w:tc>
        <w:tc>
          <w:tcPr>
            <w:tcW w:type="dxa" w:w="1368"/>
            <w:shd w:val="clear" w:color="auto" w:fill="F6F1E6"/>
          </w:tcPr>
          <w:p>
            <w:pPr>
              <w:spacing w:after="20"/>
              <w:jc w:val="right"/>
            </w:pPr>
            <w:r>
              <w:rPr>
                <w:b/>
                <w:color w:val="1C3A36"/>
                <w:sz w:val="18"/>
              </w:rPr>
              <w:t>5,025</w:t>
            </w:r>
          </w:p>
        </w:tc>
        <w:tc>
          <w:tcPr>
            <w:tcW w:type="dxa" w:w="1037"/>
            <w:shd w:val="clear" w:color="auto" w:fill="F6F1E6"/>
          </w:tcPr>
          <w:p>
            <w:pPr>
              <w:spacing w:after="20"/>
              <w:jc w:val="right"/>
            </w:pPr>
            <w:r>
              <w:rPr>
                <w:b/>
                <w:color w:val="1C3A36"/>
                <w:sz w:val="18"/>
              </w:rPr>
              <w:t>36.3%</w:t>
            </w:r>
          </w:p>
        </w:tc>
        <w:tc>
          <w:tcPr>
            <w:tcW w:type="dxa" w:w="1512"/>
            <w:shd w:val="clear" w:color="auto" w:fill="F6F1E6"/>
          </w:tcPr>
          <w:p>
            <w:pPr>
              <w:spacing w:after="20"/>
              <w:jc w:val="right"/>
            </w:pPr>
            <w:r>
              <w:rPr>
                <w:b/>
                <w:color w:val="1C3A36"/>
                <w:sz w:val="18"/>
              </w:rPr>
              <w:t>4,421</w:t>
            </w:r>
          </w:p>
        </w:tc>
        <w:tc>
          <w:tcPr>
            <w:tcW w:type="dxa" w:w="1368"/>
            <w:shd w:val="clear" w:color="auto" w:fill="F6F1E6"/>
          </w:tcPr>
          <w:p>
            <w:pPr>
              <w:spacing w:after="20"/>
              <w:jc w:val="right"/>
            </w:pPr>
            <w:r>
              <w:rPr>
                <w:b/>
                <w:color w:val="1C3A36"/>
                <w:sz w:val="18"/>
              </w:rPr>
              <w:t>87,031</w:t>
            </w:r>
          </w:p>
        </w:tc>
      </w:tr>
    </w:tbl>
    <w:p>
      <w:pPr>
        <w:spacing w:after="40"/>
      </w:pPr>
    </w:p>
    <w:p>
      <w:pPr>
        <w:spacing w:after="200" w:before="0"/>
      </w:pPr>
      <w:r>
        <w:rPr>
          <w:b w:val="0"/>
          <w:i/>
          <w:color w:val="6E7B77"/>
          <w:sz w:val="17"/>
        </w:rPr>
        <w:t>FY2025 segments, AED mn, audited consolidated financial statements. Hospitality's pre-tax loss reflects financing and depreciation on a young portfolio; its gross profit is positive.</w:t>
      </w:r>
    </w:p>
    <w:p>
      <w:pPr>
        <w:spacing w:after="120" w:before="280"/>
      </w:pPr>
      <w:r>
        <w:rPr>
          <w:b/>
          <w:i w:val="0"/>
          <w:color w:val="1C3A36"/>
          <w:sz w:val="30"/>
        </w:rPr>
        <w:t>1 · Fundamental valuation</w:t>
      </w:r>
    </w:p>
    <w:p>
      <w:pPr>
        <w:spacing w:after="80" w:before="200"/>
      </w:pPr>
      <w:r>
        <w:rPr>
          <w:b/>
          <w:i w:val="0"/>
          <w:color w:val="1C3A36"/>
          <w:sz w:val="24"/>
        </w:rPr>
        <w:t>1.1 · Cash-flow model — the full waterfall</w:t>
      </w:r>
    </w:p>
    <w:p>
      <w:pPr>
        <w:spacing w:after="120" w:before="0"/>
      </w:pPr>
      <w:r>
        <w:rPr>
          <w:b w:val="0"/>
          <w:i w:val="0"/>
          <w:color w:val="1C3A36"/>
          <w:sz w:val="21"/>
        </w:rPr>
        <w:t>Revenue is built leg by leg, not as one growth rate. Development revenue converts the disclosed AED 42.6bn development backlog at a visible conversion rate — anchored to the pace actually recognised in the first half of 2026 — plus point-in-time land sales; new launches roll the backlog forward. The other three legs grow on their own operating drivers (section 1.6). Margins are outputs of that build. The model is deliberately conservative in two places: fair-value gains, bargain-purchase and disposal gains are all set to zero across the forecast, and 2026 working capital absorbs cash, as the half-year statements say it is doing, before land-bank collections turn positive from 2027.</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84"/>
        <w:gridCol w:w="1339"/>
        <w:gridCol w:w="1339"/>
        <w:gridCol w:w="1339"/>
        <w:gridCol w:w="1339"/>
        <w:gridCol w:w="1339"/>
      </w:tblGrid>
      <w:tr>
        <w:tc>
          <w:tcPr>
            <w:tcW w:type="dxa" w:w="3384"/>
            <w:shd w:val="clear" w:color="auto" w:fill="EAF0EE"/>
          </w:tcPr>
          <w:p>
            <w:pPr>
              <w:spacing w:after="20"/>
            </w:pPr>
            <w:r>
              <w:rPr>
                <w:b/>
                <w:color w:val="1C3A36"/>
                <w:sz w:val="18"/>
              </w:rPr>
              <w:t>AED mn</w:t>
            </w:r>
          </w:p>
        </w:tc>
        <w:tc>
          <w:tcPr>
            <w:tcW w:type="dxa" w:w="1339"/>
            <w:shd w:val="clear" w:color="auto" w:fill="EAF0EE"/>
          </w:tcPr>
          <w:p>
            <w:pPr>
              <w:spacing w:after="20"/>
            </w:pPr>
            <w:r>
              <w:rPr>
                <w:b/>
                <w:color w:val="1C3A36"/>
                <w:sz w:val="18"/>
              </w:rPr>
              <w:t>FY2026E</w:t>
            </w:r>
          </w:p>
        </w:tc>
        <w:tc>
          <w:tcPr>
            <w:tcW w:type="dxa" w:w="1339"/>
            <w:shd w:val="clear" w:color="auto" w:fill="EAF0EE"/>
          </w:tcPr>
          <w:p>
            <w:pPr>
              <w:spacing w:after="20"/>
            </w:pPr>
            <w:r>
              <w:rPr>
                <w:b/>
                <w:color w:val="1C3A36"/>
                <w:sz w:val="18"/>
              </w:rPr>
              <w:t>FY2027E</w:t>
            </w:r>
          </w:p>
        </w:tc>
        <w:tc>
          <w:tcPr>
            <w:tcW w:type="dxa" w:w="1339"/>
            <w:shd w:val="clear" w:color="auto" w:fill="EAF0EE"/>
          </w:tcPr>
          <w:p>
            <w:pPr>
              <w:spacing w:after="20"/>
            </w:pPr>
            <w:r>
              <w:rPr>
                <w:b/>
                <w:color w:val="1C3A36"/>
                <w:sz w:val="18"/>
              </w:rPr>
              <w:t>FY2028E</w:t>
            </w:r>
          </w:p>
        </w:tc>
        <w:tc>
          <w:tcPr>
            <w:tcW w:type="dxa" w:w="1339"/>
            <w:shd w:val="clear" w:color="auto" w:fill="EAF0EE"/>
          </w:tcPr>
          <w:p>
            <w:pPr>
              <w:spacing w:after="20"/>
            </w:pPr>
            <w:r>
              <w:rPr>
                <w:b/>
                <w:color w:val="1C3A36"/>
                <w:sz w:val="18"/>
              </w:rPr>
              <w:t>FY2029E</w:t>
            </w:r>
          </w:p>
        </w:tc>
        <w:tc>
          <w:tcPr>
            <w:tcW w:type="dxa" w:w="1339"/>
            <w:shd w:val="clear" w:color="auto" w:fill="EAF0EE"/>
          </w:tcPr>
          <w:p>
            <w:pPr>
              <w:spacing w:after="20"/>
            </w:pPr>
            <w:r>
              <w:rPr>
                <w:b/>
                <w:color w:val="1C3A36"/>
                <w:sz w:val="18"/>
              </w:rPr>
              <w:t>FY2030E</w:t>
            </w:r>
          </w:p>
        </w:tc>
      </w:tr>
      <w:tr>
        <w:tc>
          <w:tcPr>
            <w:tcW w:type="dxa" w:w="3384"/>
          </w:tcPr>
          <w:p>
            <w:pPr>
              <w:spacing w:after="20"/>
            </w:pPr>
            <w:r>
              <w:rPr>
                <w:color w:val="1C3A36"/>
                <w:sz w:val="18"/>
              </w:rPr>
              <w:t>Revenue</w:t>
            </w:r>
          </w:p>
        </w:tc>
        <w:tc>
          <w:tcPr>
            <w:tcW w:type="dxa" w:w="1339"/>
          </w:tcPr>
          <w:p>
            <w:pPr>
              <w:spacing w:after="20"/>
              <w:jc w:val="right"/>
            </w:pPr>
            <w:r>
              <w:rPr>
                <w:color w:val="1C3A36"/>
                <w:sz w:val="18"/>
              </w:rPr>
              <w:t>19,153</w:t>
            </w:r>
          </w:p>
        </w:tc>
        <w:tc>
          <w:tcPr>
            <w:tcW w:type="dxa" w:w="1339"/>
          </w:tcPr>
          <w:p>
            <w:pPr>
              <w:spacing w:after="20"/>
              <w:jc w:val="right"/>
            </w:pPr>
            <w:r>
              <w:rPr>
                <w:color w:val="1C3A36"/>
                <w:sz w:val="18"/>
              </w:rPr>
              <w:t>24,863</w:t>
            </w:r>
          </w:p>
        </w:tc>
        <w:tc>
          <w:tcPr>
            <w:tcW w:type="dxa" w:w="1339"/>
          </w:tcPr>
          <w:p>
            <w:pPr>
              <w:spacing w:after="20"/>
              <w:jc w:val="right"/>
            </w:pPr>
            <w:r>
              <w:rPr>
                <w:color w:val="1C3A36"/>
                <w:sz w:val="18"/>
              </w:rPr>
              <w:t>28,600</w:t>
            </w:r>
          </w:p>
        </w:tc>
        <w:tc>
          <w:tcPr>
            <w:tcW w:type="dxa" w:w="1339"/>
          </w:tcPr>
          <w:p>
            <w:pPr>
              <w:spacing w:after="20"/>
              <w:jc w:val="right"/>
            </w:pPr>
            <w:r>
              <w:rPr>
                <w:color w:val="1C3A36"/>
                <w:sz w:val="18"/>
              </w:rPr>
              <w:t>30,940</w:t>
            </w:r>
          </w:p>
        </w:tc>
        <w:tc>
          <w:tcPr>
            <w:tcW w:type="dxa" w:w="1339"/>
          </w:tcPr>
          <w:p>
            <w:pPr>
              <w:spacing w:after="20"/>
              <w:jc w:val="right"/>
            </w:pPr>
            <w:r>
              <w:rPr>
                <w:color w:val="1C3A36"/>
                <w:sz w:val="18"/>
              </w:rPr>
              <w:t>32,184</w:t>
            </w:r>
          </w:p>
        </w:tc>
      </w:tr>
      <w:tr>
        <w:tc>
          <w:tcPr>
            <w:tcW w:type="dxa" w:w="3384"/>
          </w:tcPr>
          <w:p>
            <w:pPr>
              <w:spacing w:after="20"/>
            </w:pPr>
            <w:r>
              <w:rPr>
                <w:color w:val="1C3A36"/>
                <w:sz w:val="18"/>
              </w:rPr>
              <w:t>Gross profit</w:t>
            </w:r>
          </w:p>
        </w:tc>
        <w:tc>
          <w:tcPr>
            <w:tcW w:type="dxa" w:w="1339"/>
          </w:tcPr>
          <w:p>
            <w:pPr>
              <w:spacing w:after="20"/>
              <w:jc w:val="right"/>
            </w:pPr>
            <w:r>
              <w:rPr>
                <w:color w:val="1C3A36"/>
                <w:sz w:val="18"/>
              </w:rPr>
              <w:t>6,981</w:t>
            </w:r>
          </w:p>
        </w:tc>
        <w:tc>
          <w:tcPr>
            <w:tcW w:type="dxa" w:w="1339"/>
          </w:tcPr>
          <w:p>
            <w:pPr>
              <w:spacing w:after="20"/>
              <w:jc w:val="right"/>
            </w:pPr>
            <w:r>
              <w:rPr>
                <w:color w:val="1C3A36"/>
                <w:sz w:val="18"/>
              </w:rPr>
              <w:t>9,156</w:t>
            </w:r>
          </w:p>
        </w:tc>
        <w:tc>
          <w:tcPr>
            <w:tcW w:type="dxa" w:w="1339"/>
          </w:tcPr>
          <w:p>
            <w:pPr>
              <w:spacing w:after="20"/>
              <w:jc w:val="right"/>
            </w:pPr>
            <w:r>
              <w:rPr>
                <w:color w:val="1C3A36"/>
                <w:sz w:val="18"/>
              </w:rPr>
              <w:t>10,460</w:t>
            </w:r>
          </w:p>
        </w:tc>
        <w:tc>
          <w:tcPr>
            <w:tcW w:type="dxa" w:w="1339"/>
          </w:tcPr>
          <w:p>
            <w:pPr>
              <w:spacing w:after="20"/>
              <w:jc w:val="right"/>
            </w:pPr>
            <w:r>
              <w:rPr>
                <w:color w:val="1C3A36"/>
                <w:sz w:val="18"/>
              </w:rPr>
              <w:t>11,283</w:t>
            </w:r>
          </w:p>
        </w:tc>
        <w:tc>
          <w:tcPr>
            <w:tcW w:type="dxa" w:w="1339"/>
          </w:tcPr>
          <w:p>
            <w:pPr>
              <w:spacing w:after="20"/>
              <w:jc w:val="right"/>
            </w:pPr>
            <w:r>
              <w:rPr>
                <w:color w:val="1C3A36"/>
                <w:sz w:val="18"/>
              </w:rPr>
              <w:t>11,632</w:t>
            </w:r>
          </w:p>
        </w:tc>
      </w:tr>
      <w:tr>
        <w:tc>
          <w:tcPr>
            <w:tcW w:type="dxa" w:w="3384"/>
          </w:tcPr>
          <w:p>
            <w:pPr>
              <w:spacing w:after="20"/>
            </w:pPr>
            <w:r>
              <w:rPr>
                <w:color w:val="1C3A36"/>
                <w:sz w:val="18"/>
              </w:rPr>
              <w:t>General &amp; administrative</w:t>
            </w:r>
          </w:p>
        </w:tc>
        <w:tc>
          <w:tcPr>
            <w:tcW w:type="dxa" w:w="1339"/>
          </w:tcPr>
          <w:p>
            <w:pPr>
              <w:spacing w:after="20"/>
              <w:jc w:val="right"/>
            </w:pPr>
            <w:r>
              <w:rPr>
                <w:color w:val="1C3A36"/>
                <w:sz w:val="18"/>
              </w:rPr>
              <w:t>-1,685</w:t>
            </w:r>
          </w:p>
        </w:tc>
        <w:tc>
          <w:tcPr>
            <w:tcW w:type="dxa" w:w="1339"/>
          </w:tcPr>
          <w:p>
            <w:pPr>
              <w:spacing w:after="20"/>
              <w:jc w:val="right"/>
            </w:pPr>
            <w:r>
              <w:rPr>
                <w:color w:val="1C3A36"/>
                <w:sz w:val="18"/>
              </w:rPr>
              <w:t>-2,188</w:t>
            </w:r>
          </w:p>
        </w:tc>
        <w:tc>
          <w:tcPr>
            <w:tcW w:type="dxa" w:w="1339"/>
          </w:tcPr>
          <w:p>
            <w:pPr>
              <w:spacing w:after="20"/>
              <w:jc w:val="right"/>
            </w:pPr>
            <w:r>
              <w:rPr>
                <w:color w:val="1C3A36"/>
                <w:sz w:val="18"/>
              </w:rPr>
              <w:t>-2,488</w:t>
            </w:r>
          </w:p>
        </w:tc>
        <w:tc>
          <w:tcPr>
            <w:tcW w:type="dxa" w:w="1339"/>
          </w:tcPr>
          <w:p>
            <w:pPr>
              <w:spacing w:after="20"/>
              <w:jc w:val="right"/>
            </w:pPr>
            <w:r>
              <w:rPr>
                <w:color w:val="1C3A36"/>
                <w:sz w:val="18"/>
              </w:rPr>
              <w:t>-2,661</w:t>
            </w:r>
          </w:p>
        </w:tc>
        <w:tc>
          <w:tcPr>
            <w:tcW w:type="dxa" w:w="1339"/>
          </w:tcPr>
          <w:p>
            <w:pPr>
              <w:spacing w:after="20"/>
              <w:jc w:val="right"/>
            </w:pPr>
            <w:r>
              <w:rPr>
                <w:color w:val="1C3A36"/>
                <w:sz w:val="18"/>
              </w:rPr>
              <w:t>-2,736</w:t>
            </w:r>
          </w:p>
        </w:tc>
      </w:tr>
      <w:tr>
        <w:tc>
          <w:tcPr>
            <w:tcW w:type="dxa" w:w="3384"/>
          </w:tcPr>
          <w:p>
            <w:pPr>
              <w:spacing w:after="20"/>
            </w:pPr>
            <w:r>
              <w:rPr>
                <w:color w:val="1C3A36"/>
                <w:sz w:val="18"/>
              </w:rPr>
              <w:t>Selling &amp; marketing</w:t>
            </w:r>
          </w:p>
        </w:tc>
        <w:tc>
          <w:tcPr>
            <w:tcW w:type="dxa" w:w="1339"/>
          </w:tcPr>
          <w:p>
            <w:pPr>
              <w:spacing w:after="20"/>
              <w:jc w:val="right"/>
            </w:pPr>
            <w:r>
              <w:rPr>
                <w:color w:val="1C3A36"/>
                <w:sz w:val="18"/>
              </w:rPr>
              <w:t>-345</w:t>
            </w:r>
          </w:p>
        </w:tc>
        <w:tc>
          <w:tcPr>
            <w:tcW w:type="dxa" w:w="1339"/>
          </w:tcPr>
          <w:p>
            <w:pPr>
              <w:spacing w:after="20"/>
              <w:jc w:val="right"/>
            </w:pPr>
            <w:r>
              <w:rPr>
                <w:color w:val="1C3A36"/>
                <w:sz w:val="18"/>
              </w:rPr>
              <w:t>-448</w:t>
            </w:r>
          </w:p>
        </w:tc>
        <w:tc>
          <w:tcPr>
            <w:tcW w:type="dxa" w:w="1339"/>
          </w:tcPr>
          <w:p>
            <w:pPr>
              <w:spacing w:after="20"/>
              <w:jc w:val="right"/>
            </w:pPr>
            <w:r>
              <w:rPr>
                <w:color w:val="1C3A36"/>
                <w:sz w:val="18"/>
              </w:rPr>
              <w:t>-486</w:t>
            </w:r>
          </w:p>
        </w:tc>
        <w:tc>
          <w:tcPr>
            <w:tcW w:type="dxa" w:w="1339"/>
          </w:tcPr>
          <w:p>
            <w:pPr>
              <w:spacing w:after="20"/>
              <w:jc w:val="right"/>
            </w:pPr>
            <w:r>
              <w:rPr>
                <w:color w:val="1C3A36"/>
                <w:sz w:val="18"/>
              </w:rPr>
              <w:t>-526</w:t>
            </w:r>
          </w:p>
        </w:tc>
        <w:tc>
          <w:tcPr>
            <w:tcW w:type="dxa" w:w="1339"/>
          </w:tcPr>
          <w:p>
            <w:pPr>
              <w:spacing w:after="20"/>
              <w:jc w:val="right"/>
            </w:pPr>
            <w:r>
              <w:rPr>
                <w:color w:val="1C3A36"/>
                <w:sz w:val="18"/>
              </w:rPr>
              <w:t>-515</w:t>
            </w:r>
          </w:p>
        </w:tc>
      </w:tr>
      <w:tr>
        <w:tc>
          <w:tcPr>
            <w:tcW w:type="dxa" w:w="3384"/>
          </w:tcPr>
          <w:p>
            <w:pPr>
              <w:spacing w:after="20"/>
            </w:pPr>
            <w:r>
              <w:rPr>
                <w:color w:val="1C3A36"/>
                <w:sz w:val="18"/>
              </w:rPr>
              <w:t>Investment and other income</w:t>
            </w:r>
          </w:p>
        </w:tc>
        <w:tc>
          <w:tcPr>
            <w:tcW w:type="dxa" w:w="1339"/>
          </w:tcPr>
          <w:p>
            <w:pPr>
              <w:spacing w:after="20"/>
              <w:jc w:val="right"/>
            </w:pPr>
            <w:r>
              <w:rPr>
                <w:color w:val="1C3A36"/>
                <w:sz w:val="18"/>
              </w:rPr>
              <w:t>160</w:t>
            </w:r>
          </w:p>
        </w:tc>
        <w:tc>
          <w:tcPr>
            <w:tcW w:type="dxa" w:w="1339"/>
          </w:tcPr>
          <w:p>
            <w:pPr>
              <w:spacing w:after="20"/>
              <w:jc w:val="right"/>
            </w:pPr>
            <w:r>
              <w:rPr>
                <w:color w:val="1C3A36"/>
                <w:sz w:val="18"/>
              </w:rPr>
              <w:t>165</w:t>
            </w:r>
          </w:p>
        </w:tc>
        <w:tc>
          <w:tcPr>
            <w:tcW w:type="dxa" w:w="1339"/>
          </w:tcPr>
          <w:p>
            <w:pPr>
              <w:spacing w:after="20"/>
              <w:jc w:val="right"/>
            </w:pPr>
            <w:r>
              <w:rPr>
                <w:color w:val="1C3A36"/>
                <w:sz w:val="18"/>
              </w:rPr>
              <w:t>170</w:t>
            </w:r>
          </w:p>
        </w:tc>
        <w:tc>
          <w:tcPr>
            <w:tcW w:type="dxa" w:w="1339"/>
          </w:tcPr>
          <w:p>
            <w:pPr>
              <w:spacing w:after="20"/>
              <w:jc w:val="right"/>
            </w:pPr>
            <w:r>
              <w:rPr>
                <w:color w:val="1C3A36"/>
                <w:sz w:val="18"/>
              </w:rPr>
              <w:t>175</w:t>
            </w:r>
          </w:p>
        </w:tc>
        <w:tc>
          <w:tcPr>
            <w:tcW w:type="dxa" w:w="1339"/>
          </w:tcPr>
          <w:p>
            <w:pPr>
              <w:spacing w:after="20"/>
              <w:jc w:val="right"/>
            </w:pPr>
            <w:r>
              <w:rPr>
                <w:color w:val="1C3A36"/>
                <w:sz w:val="18"/>
              </w:rPr>
              <w:t>180</w:t>
            </w:r>
          </w:p>
        </w:tc>
      </w:tr>
      <w:tr>
        <w:tc>
          <w:tcPr>
            <w:tcW w:type="dxa" w:w="3384"/>
            <w:shd w:val="clear" w:color="auto" w:fill="F6F1E6"/>
          </w:tcPr>
          <w:p>
            <w:pPr>
              <w:spacing w:after="20"/>
            </w:pPr>
            <w:r>
              <w:rPr>
                <w:b/>
                <w:color w:val="1C3A36"/>
                <w:sz w:val="18"/>
              </w:rPr>
              <w:t>EBITDA</w:t>
            </w:r>
          </w:p>
        </w:tc>
        <w:tc>
          <w:tcPr>
            <w:tcW w:type="dxa" w:w="1339"/>
            <w:shd w:val="clear" w:color="auto" w:fill="F6F1E6"/>
          </w:tcPr>
          <w:p>
            <w:pPr>
              <w:spacing w:after="20"/>
              <w:jc w:val="right"/>
            </w:pPr>
            <w:r>
              <w:rPr>
                <w:b/>
                <w:color w:val="1C3A36"/>
                <w:sz w:val="18"/>
              </w:rPr>
              <w:t>5,915</w:t>
            </w:r>
          </w:p>
        </w:tc>
        <w:tc>
          <w:tcPr>
            <w:tcW w:type="dxa" w:w="1339"/>
            <w:shd w:val="clear" w:color="auto" w:fill="F6F1E6"/>
          </w:tcPr>
          <w:p>
            <w:pPr>
              <w:spacing w:after="20"/>
              <w:jc w:val="right"/>
            </w:pPr>
            <w:r>
              <w:rPr>
                <w:b/>
                <w:color w:val="1C3A36"/>
                <w:sz w:val="18"/>
              </w:rPr>
              <w:t>7,730</w:t>
            </w:r>
          </w:p>
        </w:tc>
        <w:tc>
          <w:tcPr>
            <w:tcW w:type="dxa" w:w="1339"/>
            <w:shd w:val="clear" w:color="auto" w:fill="F6F1E6"/>
          </w:tcPr>
          <w:p>
            <w:pPr>
              <w:spacing w:after="20"/>
              <w:jc w:val="right"/>
            </w:pPr>
            <w:r>
              <w:rPr>
                <w:b/>
                <w:color w:val="1C3A36"/>
                <w:sz w:val="18"/>
              </w:rPr>
              <w:t>8,857</w:t>
            </w:r>
          </w:p>
        </w:tc>
        <w:tc>
          <w:tcPr>
            <w:tcW w:type="dxa" w:w="1339"/>
            <w:shd w:val="clear" w:color="auto" w:fill="F6F1E6"/>
          </w:tcPr>
          <w:p>
            <w:pPr>
              <w:spacing w:after="20"/>
              <w:jc w:val="right"/>
            </w:pPr>
            <w:r>
              <w:rPr>
                <w:b/>
                <w:color w:val="1C3A36"/>
                <w:sz w:val="18"/>
              </w:rPr>
              <w:t>9,571</w:t>
            </w:r>
          </w:p>
        </w:tc>
        <w:tc>
          <w:tcPr>
            <w:tcW w:type="dxa" w:w="1339"/>
            <w:shd w:val="clear" w:color="auto" w:fill="F6F1E6"/>
          </w:tcPr>
          <w:p>
            <w:pPr>
              <w:spacing w:after="20"/>
              <w:jc w:val="right"/>
            </w:pPr>
            <w:r>
              <w:rPr>
                <w:b/>
                <w:color w:val="1C3A36"/>
                <w:sz w:val="18"/>
              </w:rPr>
              <w:t>9,913</w:t>
            </w:r>
          </w:p>
        </w:tc>
      </w:tr>
      <w:tr>
        <w:tc>
          <w:tcPr>
            <w:tcW w:type="dxa" w:w="3384"/>
          </w:tcPr>
          <w:p>
            <w:pPr>
              <w:spacing w:after="20"/>
            </w:pPr>
            <w:r>
              <w:rPr>
                <w:color w:val="1C3A36"/>
                <w:sz w:val="18"/>
              </w:rPr>
              <w:t>EBITDA margin</w:t>
            </w:r>
          </w:p>
        </w:tc>
        <w:tc>
          <w:tcPr>
            <w:tcW w:type="dxa" w:w="1339"/>
          </w:tcPr>
          <w:p>
            <w:pPr>
              <w:spacing w:after="20"/>
              <w:jc w:val="right"/>
            </w:pPr>
            <w:r>
              <w:rPr>
                <w:color w:val="1C3A36"/>
                <w:sz w:val="18"/>
              </w:rPr>
              <w:t>30.9%</w:t>
            </w:r>
          </w:p>
        </w:tc>
        <w:tc>
          <w:tcPr>
            <w:tcW w:type="dxa" w:w="1339"/>
          </w:tcPr>
          <w:p>
            <w:pPr>
              <w:spacing w:after="20"/>
              <w:jc w:val="right"/>
            </w:pPr>
            <w:r>
              <w:rPr>
                <w:color w:val="1C3A36"/>
                <w:sz w:val="18"/>
              </w:rPr>
              <w:t>31.1%</w:t>
            </w:r>
          </w:p>
        </w:tc>
        <w:tc>
          <w:tcPr>
            <w:tcW w:type="dxa" w:w="1339"/>
          </w:tcPr>
          <w:p>
            <w:pPr>
              <w:spacing w:after="20"/>
              <w:jc w:val="right"/>
            </w:pPr>
            <w:r>
              <w:rPr>
                <w:color w:val="1C3A36"/>
                <w:sz w:val="18"/>
              </w:rPr>
              <w:t>31.0%</w:t>
            </w:r>
          </w:p>
        </w:tc>
        <w:tc>
          <w:tcPr>
            <w:tcW w:type="dxa" w:w="1339"/>
          </w:tcPr>
          <w:p>
            <w:pPr>
              <w:spacing w:after="20"/>
              <w:jc w:val="right"/>
            </w:pPr>
            <w:r>
              <w:rPr>
                <w:color w:val="1C3A36"/>
                <w:sz w:val="18"/>
              </w:rPr>
              <w:t>30.9%</w:t>
            </w:r>
          </w:p>
        </w:tc>
        <w:tc>
          <w:tcPr>
            <w:tcW w:type="dxa" w:w="1339"/>
          </w:tcPr>
          <w:p>
            <w:pPr>
              <w:spacing w:after="20"/>
              <w:jc w:val="right"/>
            </w:pPr>
            <w:r>
              <w:rPr>
                <w:color w:val="1C3A36"/>
                <w:sz w:val="18"/>
              </w:rPr>
              <w:t>30.8%</w:t>
            </w:r>
          </w:p>
        </w:tc>
      </w:tr>
      <w:tr>
        <w:tc>
          <w:tcPr>
            <w:tcW w:type="dxa" w:w="3384"/>
          </w:tcPr>
          <w:p>
            <w:pPr>
              <w:spacing w:after="20"/>
            </w:pPr>
            <w:r>
              <w:rPr>
                <w:color w:val="1C3A36"/>
                <w:sz w:val="18"/>
              </w:rPr>
              <w:t>less depreciation &amp; amortisation</w:t>
            </w:r>
          </w:p>
        </w:tc>
        <w:tc>
          <w:tcPr>
            <w:tcW w:type="dxa" w:w="1339"/>
          </w:tcPr>
          <w:p>
            <w:pPr>
              <w:spacing w:after="20"/>
              <w:jc w:val="right"/>
            </w:pPr>
            <w:r>
              <w:rPr>
                <w:color w:val="1C3A36"/>
                <w:sz w:val="18"/>
              </w:rPr>
              <w:t>804</w:t>
            </w:r>
          </w:p>
        </w:tc>
        <w:tc>
          <w:tcPr>
            <w:tcW w:type="dxa" w:w="1339"/>
          </w:tcPr>
          <w:p>
            <w:pPr>
              <w:spacing w:after="20"/>
              <w:jc w:val="right"/>
            </w:pPr>
            <w:r>
              <w:rPr>
                <w:color w:val="1C3A36"/>
                <w:sz w:val="18"/>
              </w:rPr>
              <w:t>1,044</w:t>
            </w:r>
          </w:p>
        </w:tc>
        <w:tc>
          <w:tcPr>
            <w:tcW w:type="dxa" w:w="1339"/>
          </w:tcPr>
          <w:p>
            <w:pPr>
              <w:spacing w:after="20"/>
              <w:jc w:val="right"/>
            </w:pPr>
            <w:r>
              <w:rPr>
                <w:color w:val="1C3A36"/>
                <w:sz w:val="18"/>
              </w:rPr>
              <w:t>1,201</w:t>
            </w:r>
          </w:p>
        </w:tc>
        <w:tc>
          <w:tcPr>
            <w:tcW w:type="dxa" w:w="1339"/>
          </w:tcPr>
          <w:p>
            <w:pPr>
              <w:spacing w:after="20"/>
              <w:jc w:val="right"/>
            </w:pPr>
            <w:r>
              <w:rPr>
                <w:color w:val="1C3A36"/>
                <w:sz w:val="18"/>
              </w:rPr>
              <w:t>1,299</w:t>
            </w:r>
          </w:p>
        </w:tc>
        <w:tc>
          <w:tcPr>
            <w:tcW w:type="dxa" w:w="1339"/>
          </w:tcPr>
          <w:p>
            <w:pPr>
              <w:spacing w:after="20"/>
              <w:jc w:val="right"/>
            </w:pPr>
            <w:r>
              <w:rPr>
                <w:color w:val="1C3A36"/>
                <w:sz w:val="18"/>
              </w:rPr>
              <w:t>1,352</w:t>
            </w:r>
          </w:p>
        </w:tc>
      </w:tr>
      <w:tr>
        <w:tc>
          <w:tcPr>
            <w:tcW w:type="dxa" w:w="3384"/>
          </w:tcPr>
          <w:p>
            <w:pPr>
              <w:spacing w:after="20"/>
            </w:pPr>
            <w:r>
              <w:rPr>
                <w:color w:val="1C3A36"/>
                <w:sz w:val="18"/>
              </w:rPr>
              <w:t>EBIT</w:t>
            </w:r>
          </w:p>
        </w:tc>
        <w:tc>
          <w:tcPr>
            <w:tcW w:type="dxa" w:w="1339"/>
          </w:tcPr>
          <w:p>
            <w:pPr>
              <w:spacing w:after="20"/>
              <w:jc w:val="right"/>
            </w:pPr>
            <w:r>
              <w:rPr>
                <w:color w:val="1C3A36"/>
                <w:sz w:val="18"/>
              </w:rPr>
              <w:t>5,111</w:t>
            </w:r>
          </w:p>
        </w:tc>
        <w:tc>
          <w:tcPr>
            <w:tcW w:type="dxa" w:w="1339"/>
          </w:tcPr>
          <w:p>
            <w:pPr>
              <w:spacing w:after="20"/>
              <w:jc w:val="right"/>
            </w:pPr>
            <w:r>
              <w:rPr>
                <w:color w:val="1C3A36"/>
                <w:sz w:val="18"/>
              </w:rPr>
              <w:t>6,686</w:t>
            </w:r>
          </w:p>
        </w:tc>
        <w:tc>
          <w:tcPr>
            <w:tcW w:type="dxa" w:w="1339"/>
          </w:tcPr>
          <w:p>
            <w:pPr>
              <w:spacing w:after="20"/>
              <w:jc w:val="right"/>
            </w:pPr>
            <w:r>
              <w:rPr>
                <w:color w:val="1C3A36"/>
                <w:sz w:val="18"/>
              </w:rPr>
              <w:t>7,655</w:t>
            </w:r>
          </w:p>
        </w:tc>
        <w:tc>
          <w:tcPr>
            <w:tcW w:type="dxa" w:w="1339"/>
          </w:tcPr>
          <w:p>
            <w:pPr>
              <w:spacing w:after="20"/>
              <w:jc w:val="right"/>
            </w:pPr>
            <w:r>
              <w:rPr>
                <w:color w:val="1C3A36"/>
                <w:sz w:val="18"/>
              </w:rPr>
              <w:t>8,271</w:t>
            </w:r>
          </w:p>
        </w:tc>
        <w:tc>
          <w:tcPr>
            <w:tcW w:type="dxa" w:w="1339"/>
          </w:tcPr>
          <w:p>
            <w:pPr>
              <w:spacing w:after="20"/>
              <w:jc w:val="right"/>
            </w:pPr>
            <w:r>
              <w:rPr>
                <w:color w:val="1C3A36"/>
                <w:sz w:val="18"/>
              </w:rPr>
              <w:t>8,561</w:t>
            </w:r>
          </w:p>
        </w:tc>
      </w:tr>
      <w:tr>
        <w:tc>
          <w:tcPr>
            <w:tcW w:type="dxa" w:w="3384"/>
          </w:tcPr>
          <w:p>
            <w:pPr>
              <w:spacing w:after="20"/>
            </w:pPr>
            <w:r>
              <w:rPr>
                <w:color w:val="1C3A36"/>
                <w:sz w:val="18"/>
              </w:rPr>
              <w:t>NOPAT = EBIT × (1 − 15.5%)</w:t>
            </w:r>
          </w:p>
        </w:tc>
        <w:tc>
          <w:tcPr>
            <w:tcW w:type="dxa" w:w="1339"/>
          </w:tcPr>
          <w:p>
            <w:pPr>
              <w:spacing w:after="20"/>
              <w:jc w:val="right"/>
            </w:pPr>
            <w:r>
              <w:rPr>
                <w:color w:val="1C3A36"/>
                <w:sz w:val="18"/>
              </w:rPr>
              <w:t>4,319</w:t>
            </w:r>
          </w:p>
        </w:tc>
        <w:tc>
          <w:tcPr>
            <w:tcW w:type="dxa" w:w="1339"/>
          </w:tcPr>
          <w:p>
            <w:pPr>
              <w:spacing w:after="20"/>
              <w:jc w:val="right"/>
            </w:pPr>
            <w:r>
              <w:rPr>
                <w:color w:val="1C3A36"/>
                <w:sz w:val="18"/>
              </w:rPr>
              <w:t>5,649</w:t>
            </w:r>
          </w:p>
        </w:tc>
        <w:tc>
          <w:tcPr>
            <w:tcW w:type="dxa" w:w="1339"/>
          </w:tcPr>
          <w:p>
            <w:pPr>
              <w:spacing w:after="20"/>
              <w:jc w:val="right"/>
            </w:pPr>
            <w:r>
              <w:rPr>
                <w:color w:val="1C3A36"/>
                <w:sz w:val="18"/>
              </w:rPr>
              <w:t>6,469</w:t>
            </w:r>
          </w:p>
        </w:tc>
        <w:tc>
          <w:tcPr>
            <w:tcW w:type="dxa" w:w="1339"/>
          </w:tcPr>
          <w:p>
            <w:pPr>
              <w:spacing w:after="20"/>
              <w:jc w:val="right"/>
            </w:pPr>
            <w:r>
              <w:rPr>
                <w:color w:val="1C3A36"/>
                <w:sz w:val="18"/>
              </w:rPr>
              <w:t>6,989</w:t>
            </w:r>
          </w:p>
        </w:tc>
        <w:tc>
          <w:tcPr>
            <w:tcW w:type="dxa" w:w="1339"/>
          </w:tcPr>
          <w:p>
            <w:pPr>
              <w:spacing w:after="20"/>
              <w:jc w:val="right"/>
            </w:pPr>
            <w:r>
              <w:rPr>
                <w:color w:val="1C3A36"/>
                <w:sz w:val="18"/>
              </w:rPr>
              <w:t>7,234</w:t>
            </w:r>
          </w:p>
        </w:tc>
      </w:tr>
      <w:tr>
        <w:tc>
          <w:tcPr>
            <w:tcW w:type="dxa" w:w="3384"/>
          </w:tcPr>
          <w:p>
            <w:pPr>
              <w:spacing w:after="20"/>
            </w:pPr>
            <w:r>
              <w:rPr>
                <w:color w:val="1C3A36"/>
                <w:sz w:val="18"/>
              </w:rPr>
              <w:t>+ depreciation &amp; amortisation</w:t>
            </w:r>
          </w:p>
        </w:tc>
        <w:tc>
          <w:tcPr>
            <w:tcW w:type="dxa" w:w="1339"/>
          </w:tcPr>
          <w:p>
            <w:pPr>
              <w:spacing w:after="20"/>
              <w:jc w:val="right"/>
            </w:pPr>
            <w:r>
              <w:rPr>
                <w:color w:val="1C3A36"/>
                <w:sz w:val="18"/>
              </w:rPr>
              <w:t>804</w:t>
            </w:r>
          </w:p>
        </w:tc>
        <w:tc>
          <w:tcPr>
            <w:tcW w:type="dxa" w:w="1339"/>
          </w:tcPr>
          <w:p>
            <w:pPr>
              <w:spacing w:after="20"/>
              <w:jc w:val="right"/>
            </w:pPr>
            <w:r>
              <w:rPr>
                <w:color w:val="1C3A36"/>
                <w:sz w:val="18"/>
              </w:rPr>
              <w:t>1,044</w:t>
            </w:r>
          </w:p>
        </w:tc>
        <w:tc>
          <w:tcPr>
            <w:tcW w:type="dxa" w:w="1339"/>
          </w:tcPr>
          <w:p>
            <w:pPr>
              <w:spacing w:after="20"/>
              <w:jc w:val="right"/>
            </w:pPr>
            <w:r>
              <w:rPr>
                <w:color w:val="1C3A36"/>
                <w:sz w:val="18"/>
              </w:rPr>
              <w:t>1,201</w:t>
            </w:r>
          </w:p>
        </w:tc>
        <w:tc>
          <w:tcPr>
            <w:tcW w:type="dxa" w:w="1339"/>
          </w:tcPr>
          <w:p>
            <w:pPr>
              <w:spacing w:after="20"/>
              <w:jc w:val="right"/>
            </w:pPr>
            <w:r>
              <w:rPr>
                <w:color w:val="1C3A36"/>
                <w:sz w:val="18"/>
              </w:rPr>
              <w:t>1,299</w:t>
            </w:r>
          </w:p>
        </w:tc>
        <w:tc>
          <w:tcPr>
            <w:tcW w:type="dxa" w:w="1339"/>
          </w:tcPr>
          <w:p>
            <w:pPr>
              <w:spacing w:after="20"/>
              <w:jc w:val="right"/>
            </w:pPr>
            <w:r>
              <w:rPr>
                <w:color w:val="1C3A36"/>
                <w:sz w:val="18"/>
              </w:rPr>
              <w:t>1,352</w:t>
            </w:r>
          </w:p>
        </w:tc>
      </w:tr>
      <w:tr>
        <w:tc>
          <w:tcPr>
            <w:tcW w:type="dxa" w:w="3384"/>
          </w:tcPr>
          <w:p>
            <w:pPr>
              <w:spacing w:after="20"/>
            </w:pPr>
            <w:r>
              <w:rPr>
                <w:color w:val="1C3A36"/>
                <w:sz w:val="18"/>
              </w:rPr>
              <w:t>− capital expenditure</w:t>
            </w:r>
          </w:p>
        </w:tc>
        <w:tc>
          <w:tcPr>
            <w:tcW w:type="dxa" w:w="1339"/>
          </w:tcPr>
          <w:p>
            <w:pPr>
              <w:spacing w:after="20"/>
              <w:jc w:val="right"/>
            </w:pPr>
            <w:r>
              <w:rPr>
                <w:color w:val="1C3A36"/>
                <w:sz w:val="18"/>
              </w:rPr>
              <w:t>-1,400</w:t>
            </w:r>
          </w:p>
        </w:tc>
        <w:tc>
          <w:tcPr>
            <w:tcW w:type="dxa" w:w="1339"/>
          </w:tcPr>
          <w:p>
            <w:pPr>
              <w:spacing w:after="20"/>
              <w:jc w:val="right"/>
            </w:pPr>
            <w:r>
              <w:rPr>
                <w:color w:val="1C3A36"/>
                <w:sz w:val="18"/>
              </w:rPr>
              <w:t>-1,500</w:t>
            </w:r>
          </w:p>
        </w:tc>
        <w:tc>
          <w:tcPr>
            <w:tcW w:type="dxa" w:w="1339"/>
          </w:tcPr>
          <w:p>
            <w:pPr>
              <w:spacing w:after="20"/>
              <w:jc w:val="right"/>
            </w:pPr>
            <w:r>
              <w:rPr>
                <w:color w:val="1C3A36"/>
                <w:sz w:val="18"/>
              </w:rPr>
              <w:t>-1,550</w:t>
            </w:r>
          </w:p>
        </w:tc>
        <w:tc>
          <w:tcPr>
            <w:tcW w:type="dxa" w:w="1339"/>
          </w:tcPr>
          <w:p>
            <w:pPr>
              <w:spacing w:after="20"/>
              <w:jc w:val="right"/>
            </w:pPr>
            <w:r>
              <w:rPr>
                <w:color w:val="1C3A36"/>
                <w:sz w:val="18"/>
              </w:rPr>
              <w:t>-1,600</w:t>
            </w:r>
          </w:p>
        </w:tc>
        <w:tc>
          <w:tcPr>
            <w:tcW w:type="dxa" w:w="1339"/>
          </w:tcPr>
          <w:p>
            <w:pPr>
              <w:spacing w:after="20"/>
              <w:jc w:val="right"/>
            </w:pPr>
            <w:r>
              <w:rPr>
                <w:color w:val="1C3A36"/>
                <w:sz w:val="18"/>
              </w:rPr>
              <w:t>-1,650</w:t>
            </w:r>
          </w:p>
        </w:tc>
      </w:tr>
      <w:tr>
        <w:tc>
          <w:tcPr>
            <w:tcW w:type="dxa" w:w="3384"/>
          </w:tcPr>
          <w:p>
            <w:pPr>
              <w:spacing w:after="20"/>
            </w:pPr>
            <w:r>
              <w:rPr>
                <w:color w:val="1C3A36"/>
                <w:sz w:val="18"/>
              </w:rPr>
              <w:t>− Δ working capital (release −)</w:t>
            </w:r>
          </w:p>
        </w:tc>
        <w:tc>
          <w:tcPr>
            <w:tcW w:type="dxa" w:w="1339"/>
          </w:tcPr>
          <w:p>
            <w:pPr>
              <w:spacing w:after="20"/>
              <w:jc w:val="right"/>
            </w:pPr>
            <w:r>
              <w:rPr>
                <w:color w:val="1C3A36"/>
                <w:sz w:val="18"/>
              </w:rPr>
              <w:t>1,500</w:t>
            </w:r>
          </w:p>
        </w:tc>
        <w:tc>
          <w:tcPr>
            <w:tcW w:type="dxa" w:w="1339"/>
          </w:tcPr>
          <w:p>
            <w:pPr>
              <w:spacing w:after="20"/>
              <w:jc w:val="right"/>
            </w:pPr>
            <w:r>
              <w:rPr>
                <w:color w:val="1C3A36"/>
                <w:sz w:val="18"/>
              </w:rPr>
              <w:t>-800</w:t>
            </w:r>
          </w:p>
        </w:tc>
        <w:tc>
          <w:tcPr>
            <w:tcW w:type="dxa" w:w="1339"/>
          </w:tcPr>
          <w:p>
            <w:pPr>
              <w:spacing w:after="20"/>
              <w:jc w:val="right"/>
            </w:pPr>
            <w:r>
              <w:rPr>
                <w:color w:val="1C3A36"/>
                <w:sz w:val="18"/>
              </w:rPr>
              <w:t>-1,200</w:t>
            </w:r>
          </w:p>
        </w:tc>
        <w:tc>
          <w:tcPr>
            <w:tcW w:type="dxa" w:w="1339"/>
          </w:tcPr>
          <w:p>
            <w:pPr>
              <w:spacing w:after="20"/>
              <w:jc w:val="right"/>
            </w:pPr>
            <w:r>
              <w:rPr>
                <w:color w:val="1C3A36"/>
                <w:sz w:val="18"/>
              </w:rPr>
              <w:t>-1,400</w:t>
            </w:r>
          </w:p>
        </w:tc>
        <w:tc>
          <w:tcPr>
            <w:tcW w:type="dxa" w:w="1339"/>
          </w:tcPr>
          <w:p>
            <w:pPr>
              <w:spacing w:after="20"/>
              <w:jc w:val="right"/>
            </w:pPr>
            <w:r>
              <w:rPr>
                <w:color w:val="1C3A36"/>
                <w:sz w:val="18"/>
              </w:rPr>
              <w:t>-1,400</w:t>
            </w:r>
          </w:p>
        </w:tc>
      </w:tr>
      <w:tr>
        <w:tc>
          <w:tcPr>
            <w:tcW w:type="dxa" w:w="3384"/>
            <w:shd w:val="clear" w:color="auto" w:fill="F6F1E6"/>
          </w:tcPr>
          <w:p>
            <w:pPr>
              <w:spacing w:after="20"/>
            </w:pPr>
            <w:r>
              <w:rPr>
                <w:b/>
                <w:color w:val="1C3A36"/>
                <w:sz w:val="18"/>
              </w:rPr>
              <w:t>Free cash flow to firm</w:t>
            </w:r>
          </w:p>
        </w:tc>
        <w:tc>
          <w:tcPr>
            <w:tcW w:type="dxa" w:w="1339"/>
            <w:shd w:val="clear" w:color="auto" w:fill="F6F1E6"/>
          </w:tcPr>
          <w:p>
            <w:pPr>
              <w:spacing w:after="20"/>
              <w:jc w:val="right"/>
            </w:pPr>
            <w:r>
              <w:rPr>
                <w:b/>
                <w:color w:val="1C3A36"/>
                <w:sz w:val="18"/>
              </w:rPr>
              <w:t>2,223</w:t>
            </w:r>
          </w:p>
        </w:tc>
        <w:tc>
          <w:tcPr>
            <w:tcW w:type="dxa" w:w="1339"/>
            <w:shd w:val="clear" w:color="auto" w:fill="F6F1E6"/>
          </w:tcPr>
          <w:p>
            <w:pPr>
              <w:spacing w:after="20"/>
              <w:jc w:val="right"/>
            </w:pPr>
            <w:r>
              <w:rPr>
                <w:b/>
                <w:color w:val="1C3A36"/>
                <w:sz w:val="18"/>
              </w:rPr>
              <w:t>5,994</w:t>
            </w:r>
          </w:p>
        </w:tc>
        <w:tc>
          <w:tcPr>
            <w:tcW w:type="dxa" w:w="1339"/>
            <w:shd w:val="clear" w:color="auto" w:fill="F6F1E6"/>
          </w:tcPr>
          <w:p>
            <w:pPr>
              <w:spacing w:after="20"/>
              <w:jc w:val="right"/>
            </w:pPr>
            <w:r>
              <w:rPr>
                <w:b/>
                <w:color w:val="1C3A36"/>
                <w:sz w:val="18"/>
              </w:rPr>
              <w:t>7,320</w:t>
            </w:r>
          </w:p>
        </w:tc>
        <w:tc>
          <w:tcPr>
            <w:tcW w:type="dxa" w:w="1339"/>
            <w:shd w:val="clear" w:color="auto" w:fill="F6F1E6"/>
          </w:tcPr>
          <w:p>
            <w:pPr>
              <w:spacing w:after="20"/>
              <w:jc w:val="right"/>
            </w:pPr>
            <w:r>
              <w:rPr>
                <w:b/>
                <w:color w:val="1C3A36"/>
                <w:sz w:val="18"/>
              </w:rPr>
              <w:t>8,089</w:t>
            </w:r>
          </w:p>
        </w:tc>
        <w:tc>
          <w:tcPr>
            <w:tcW w:type="dxa" w:w="1339"/>
            <w:shd w:val="clear" w:color="auto" w:fill="F6F1E6"/>
          </w:tcPr>
          <w:p>
            <w:pPr>
              <w:spacing w:after="20"/>
              <w:jc w:val="right"/>
            </w:pPr>
            <w:r>
              <w:rPr>
                <w:b/>
                <w:color w:val="1C3A36"/>
                <w:sz w:val="18"/>
              </w:rPr>
              <w:t>8,336</w:t>
            </w:r>
          </w:p>
        </w:tc>
      </w:tr>
      <w:tr>
        <w:tc>
          <w:tcPr>
            <w:tcW w:type="dxa" w:w="3384"/>
          </w:tcPr>
          <w:p>
            <w:pPr>
              <w:spacing w:after="20"/>
            </w:pPr>
            <w:r>
              <w:rPr>
                <w:color w:val="1C3A36"/>
                <w:sz w:val="18"/>
              </w:rPr>
              <w:t>Discount factor</w:t>
            </w:r>
          </w:p>
        </w:tc>
        <w:tc>
          <w:tcPr>
            <w:tcW w:type="dxa" w:w="1339"/>
          </w:tcPr>
          <w:p>
            <w:pPr>
              <w:spacing w:after="20"/>
              <w:jc w:val="right"/>
            </w:pPr>
            <w:r>
              <w:rPr>
                <w:color w:val="1C3A36"/>
                <w:sz w:val="18"/>
              </w:rPr>
              <w:t>0.9228</w:t>
            </w:r>
          </w:p>
        </w:tc>
        <w:tc>
          <w:tcPr>
            <w:tcW w:type="dxa" w:w="1339"/>
          </w:tcPr>
          <w:p>
            <w:pPr>
              <w:spacing w:after="20"/>
              <w:jc w:val="right"/>
            </w:pPr>
            <w:r>
              <w:rPr>
                <w:color w:val="1C3A36"/>
                <w:sz w:val="18"/>
              </w:rPr>
              <w:t>0.8515</w:t>
            </w:r>
          </w:p>
        </w:tc>
        <w:tc>
          <w:tcPr>
            <w:tcW w:type="dxa" w:w="1339"/>
          </w:tcPr>
          <w:p>
            <w:pPr>
              <w:spacing w:after="20"/>
              <w:jc w:val="right"/>
            </w:pPr>
            <w:r>
              <w:rPr>
                <w:color w:val="1C3A36"/>
                <w:sz w:val="18"/>
              </w:rPr>
              <w:t>0.7858</w:t>
            </w:r>
          </w:p>
        </w:tc>
        <w:tc>
          <w:tcPr>
            <w:tcW w:type="dxa" w:w="1339"/>
          </w:tcPr>
          <w:p>
            <w:pPr>
              <w:spacing w:after="20"/>
              <w:jc w:val="right"/>
            </w:pPr>
            <w:r>
              <w:rPr>
                <w:color w:val="1C3A36"/>
                <w:sz w:val="18"/>
              </w:rPr>
              <w:t>0.7251</w:t>
            </w:r>
          </w:p>
        </w:tc>
        <w:tc>
          <w:tcPr>
            <w:tcW w:type="dxa" w:w="1339"/>
          </w:tcPr>
          <w:p>
            <w:pPr>
              <w:spacing w:after="20"/>
              <w:jc w:val="right"/>
            </w:pPr>
            <w:r>
              <w:rPr>
                <w:color w:val="1C3A36"/>
                <w:sz w:val="18"/>
              </w:rPr>
              <w:t>0.6691</w:t>
            </w:r>
          </w:p>
        </w:tc>
      </w:tr>
      <w:tr>
        <w:tc>
          <w:tcPr>
            <w:tcW w:type="dxa" w:w="3384"/>
          </w:tcPr>
          <w:p>
            <w:pPr>
              <w:spacing w:after="20"/>
            </w:pPr>
            <w:r>
              <w:rPr>
                <w:color w:val="1C3A36"/>
                <w:sz w:val="18"/>
              </w:rPr>
              <w:t>PV of FCFF</w:t>
            </w:r>
          </w:p>
        </w:tc>
        <w:tc>
          <w:tcPr>
            <w:tcW w:type="dxa" w:w="1339"/>
          </w:tcPr>
          <w:p>
            <w:pPr>
              <w:spacing w:after="20"/>
              <w:jc w:val="right"/>
            </w:pPr>
            <w:r>
              <w:rPr>
                <w:color w:val="1C3A36"/>
                <w:sz w:val="18"/>
              </w:rPr>
              <w:t>2,052</w:t>
            </w:r>
          </w:p>
        </w:tc>
        <w:tc>
          <w:tcPr>
            <w:tcW w:type="dxa" w:w="1339"/>
          </w:tcPr>
          <w:p>
            <w:pPr>
              <w:spacing w:after="20"/>
              <w:jc w:val="right"/>
            </w:pPr>
            <w:r>
              <w:rPr>
                <w:color w:val="1C3A36"/>
                <w:sz w:val="18"/>
              </w:rPr>
              <w:t>5,104</w:t>
            </w:r>
          </w:p>
        </w:tc>
        <w:tc>
          <w:tcPr>
            <w:tcW w:type="dxa" w:w="1339"/>
          </w:tcPr>
          <w:p>
            <w:pPr>
              <w:spacing w:after="20"/>
              <w:jc w:val="right"/>
            </w:pPr>
            <w:r>
              <w:rPr>
                <w:color w:val="1C3A36"/>
                <w:sz w:val="18"/>
              </w:rPr>
              <w:t>5,752</w:t>
            </w:r>
          </w:p>
        </w:tc>
        <w:tc>
          <w:tcPr>
            <w:tcW w:type="dxa" w:w="1339"/>
          </w:tcPr>
          <w:p>
            <w:pPr>
              <w:spacing w:after="20"/>
              <w:jc w:val="right"/>
            </w:pPr>
            <w:r>
              <w:rPr>
                <w:color w:val="1C3A36"/>
                <w:sz w:val="18"/>
              </w:rPr>
              <w:t>5,865</w:t>
            </w:r>
          </w:p>
        </w:tc>
        <w:tc>
          <w:tcPr>
            <w:tcW w:type="dxa" w:w="1339"/>
          </w:tcPr>
          <w:p>
            <w:pPr>
              <w:spacing w:after="20"/>
              <w:jc w:val="right"/>
            </w:pPr>
            <w:r>
              <w:rPr>
                <w:color w:val="1C3A36"/>
                <w:sz w:val="18"/>
              </w:rPr>
              <w:t>5,578</w:t>
            </w:r>
          </w:p>
        </w:tc>
      </w:tr>
    </w:tbl>
    <w:p>
      <w:pPr>
        <w:spacing w:after="40"/>
      </w:pPr>
    </w:p>
    <w:p>
      <w:pPr>
        <w:spacing w:after="200" w:before="0"/>
      </w:pPr>
      <w:r>
        <w:rPr>
          <w:b w:val="0"/>
          <w:i/>
          <w:color w:val="6E7B77"/>
          <w:sz w:val="17"/>
        </w:rPr>
        <w:t>The explicit window sums to a present value of AED 24,351mn at the 8.37% cost of capital built in section 1.8.</w:t>
      </w:r>
    </w:p>
    <w:p>
      <w:pPr>
        <w:spacing w:after="120" w:before="0"/>
      </w:pPr>
      <w:r>
        <w:rPr>
          <w:b w:val="0"/>
          <w:i w:val="0"/>
          <w:color w:val="1C3A36"/>
          <w:sz w:val="21"/>
        </w:rPr>
        <w:t>Terminal block. Terminal growth of 2.5% requires reinvestment of 29.4% of NOPAT at a terminal return on capital of 8.5% — the reinvestment rate is derived, never assumed. Terminal value: AED 90,716mn, worth AED 60,702mn today — 71.4% of enterprise value, a share the reader should see and judge. FY2025's return on invested capital is only 6.1%: the terminal 8.5% embeds the at-cost land bank converting to recognised profit across the window, and section 1.9 prices the case where it does not.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624"/>
        <w:gridCol w:w="2304"/>
      </w:tblGrid>
      <w:tr>
        <w:tc>
          <w:tcPr>
            <w:tcW w:type="dxa" w:w="6624"/>
            <w:shd w:val="clear" w:color="auto" w:fill="EAF0EE"/>
          </w:tcPr>
          <w:p>
            <w:pPr>
              <w:spacing w:after="20"/>
            </w:pPr>
            <w:r>
              <w:rPr>
                <w:b/>
                <w:color w:val="1C3A36"/>
                <w:sz w:val="18"/>
              </w:rPr>
              <w:t>Enterprise value → equity per share</w:t>
            </w:r>
          </w:p>
        </w:tc>
        <w:tc>
          <w:tcPr>
            <w:tcW w:type="dxa" w:w="2304"/>
            <w:shd w:val="clear" w:color="auto" w:fill="EAF0EE"/>
          </w:tcPr>
          <w:p>
            <w:pPr>
              <w:spacing w:after="20"/>
            </w:pPr>
            <w:r>
              <w:rPr>
                <w:b/>
                <w:color w:val="1C3A36"/>
                <w:sz w:val="18"/>
              </w:rPr>
              <w:t>AED mn</w:t>
            </w:r>
          </w:p>
        </w:tc>
      </w:tr>
      <w:tr>
        <w:tc>
          <w:tcPr>
            <w:tcW w:type="dxa" w:w="6624"/>
          </w:tcPr>
          <w:p>
            <w:pPr>
              <w:spacing w:after="20"/>
            </w:pPr>
            <w:r>
              <w:rPr>
                <w:color w:val="1C3A36"/>
                <w:sz w:val="18"/>
              </w:rPr>
              <w:t>PV of explicit years</w:t>
            </w:r>
          </w:p>
        </w:tc>
        <w:tc>
          <w:tcPr>
            <w:tcW w:type="dxa" w:w="2304"/>
          </w:tcPr>
          <w:p>
            <w:pPr>
              <w:spacing w:after="20"/>
              <w:jc w:val="right"/>
            </w:pPr>
            <w:r>
              <w:rPr>
                <w:color w:val="1C3A36"/>
                <w:sz w:val="18"/>
              </w:rPr>
              <w:t>24,351</w:t>
            </w:r>
          </w:p>
        </w:tc>
      </w:tr>
      <w:tr>
        <w:tc>
          <w:tcPr>
            <w:tcW w:type="dxa" w:w="6624"/>
          </w:tcPr>
          <w:p>
            <w:pPr>
              <w:spacing w:after="20"/>
            </w:pPr>
            <w:r>
              <w:rPr>
                <w:color w:val="1C3A36"/>
                <w:sz w:val="18"/>
              </w:rPr>
              <w:t>PV of terminal value</w:t>
            </w:r>
          </w:p>
        </w:tc>
        <w:tc>
          <w:tcPr>
            <w:tcW w:type="dxa" w:w="2304"/>
          </w:tcPr>
          <w:p>
            <w:pPr>
              <w:spacing w:after="20"/>
              <w:jc w:val="right"/>
            </w:pPr>
            <w:r>
              <w:rPr>
                <w:color w:val="1C3A36"/>
                <w:sz w:val="18"/>
              </w:rPr>
              <w:t>60,702</w:t>
            </w:r>
          </w:p>
        </w:tc>
      </w:tr>
      <w:tr>
        <w:tc>
          <w:tcPr>
            <w:tcW w:type="dxa" w:w="6624"/>
            <w:shd w:val="clear" w:color="auto" w:fill="F6F1E6"/>
          </w:tcPr>
          <w:p>
            <w:pPr>
              <w:spacing w:after="20"/>
            </w:pPr>
            <w:r>
              <w:rPr>
                <w:b/>
                <w:color w:val="1C3A36"/>
                <w:sz w:val="18"/>
              </w:rPr>
              <w:t>Enterprise value</w:t>
            </w:r>
          </w:p>
        </w:tc>
        <w:tc>
          <w:tcPr>
            <w:tcW w:type="dxa" w:w="2304"/>
            <w:shd w:val="clear" w:color="auto" w:fill="F6F1E6"/>
          </w:tcPr>
          <w:p>
            <w:pPr>
              <w:spacing w:after="20"/>
              <w:jc w:val="right"/>
            </w:pPr>
            <w:r>
              <w:rPr>
                <w:b/>
                <w:color w:val="1C3A36"/>
                <w:sz w:val="18"/>
              </w:rPr>
              <w:t>85,052</w:t>
            </w:r>
          </w:p>
        </w:tc>
      </w:tr>
      <w:tr>
        <w:tc>
          <w:tcPr>
            <w:tcW w:type="dxa" w:w="6624"/>
          </w:tcPr>
          <w:p>
            <w:pPr>
              <w:spacing w:after="20"/>
            </w:pPr>
            <w:r>
              <w:rPr>
                <w:color w:val="1C3A36"/>
                <w:sz w:val="18"/>
              </w:rPr>
              <w:t xml:space="preserve">  of which terminal value: 71.4%</w:t>
            </w:r>
          </w:p>
        </w:tc>
        <w:tc>
          <w:tcPr>
            <w:tcW w:type="dxa" w:w="2304"/>
          </w:tcPr>
          <w:p>
            <w:pPr>
              <w:spacing w:after="20"/>
              <w:jc w:val="right"/>
            </w:pPr>
            <w:r>
              <w:rPr>
                <w:color w:val="1C3A36"/>
                <w:sz w:val="18"/>
              </w:rPr>
            </w:r>
          </w:p>
        </w:tc>
      </w:tr>
      <w:tr>
        <w:tc>
          <w:tcPr>
            <w:tcW w:type="dxa" w:w="6624"/>
          </w:tcPr>
          <w:p>
            <w:pPr>
              <w:spacing w:after="20"/>
            </w:pPr>
            <w:r>
              <w:rPr>
                <w:color w:val="1C3A36"/>
                <w:sz w:val="18"/>
              </w:rPr>
              <w:t>+ cash and bank balances (incl. escrow)</w:t>
            </w:r>
          </w:p>
        </w:tc>
        <w:tc>
          <w:tcPr>
            <w:tcW w:type="dxa" w:w="2304"/>
          </w:tcPr>
          <w:p>
            <w:pPr>
              <w:spacing w:after="20"/>
              <w:jc w:val="right"/>
            </w:pPr>
            <w:r>
              <w:rPr>
                <w:color w:val="1C3A36"/>
                <w:sz w:val="18"/>
              </w:rPr>
              <w:t>12,642</w:t>
            </w:r>
          </w:p>
        </w:tc>
      </w:tr>
      <w:tr>
        <w:tc>
          <w:tcPr>
            <w:tcW w:type="dxa" w:w="6624"/>
          </w:tcPr>
          <w:p>
            <w:pPr>
              <w:spacing w:after="20"/>
            </w:pPr>
            <w:r>
              <w:rPr>
                <w:color w:val="1C3A36"/>
                <w:sz w:val="18"/>
              </w:rPr>
              <w:t>− debt incl. the related-party loan</w:t>
            </w:r>
          </w:p>
        </w:tc>
        <w:tc>
          <w:tcPr>
            <w:tcW w:type="dxa" w:w="2304"/>
          </w:tcPr>
          <w:p>
            <w:pPr>
              <w:spacing w:after="20"/>
              <w:jc w:val="right"/>
            </w:pPr>
            <w:r>
              <w:rPr>
                <w:color w:val="1C3A36"/>
                <w:sz w:val="18"/>
              </w:rPr>
              <w:t>-6,789</w:t>
            </w:r>
          </w:p>
        </w:tc>
      </w:tr>
      <w:tr>
        <w:tc>
          <w:tcPr>
            <w:tcW w:type="dxa" w:w="6624"/>
          </w:tcPr>
          <w:p>
            <w:pPr>
              <w:spacing w:after="20"/>
            </w:pPr>
            <w:r>
              <w:rPr>
                <w:color w:val="1C3A36"/>
                <w:sz w:val="18"/>
              </w:rPr>
              <w:t>− lease liabilities</w:t>
            </w:r>
          </w:p>
        </w:tc>
        <w:tc>
          <w:tcPr>
            <w:tcW w:type="dxa" w:w="2304"/>
          </w:tcPr>
          <w:p>
            <w:pPr>
              <w:spacing w:after="20"/>
              <w:jc w:val="right"/>
            </w:pPr>
            <w:r>
              <w:rPr>
                <w:color w:val="1C3A36"/>
                <w:sz w:val="18"/>
              </w:rPr>
              <w:t>-624</w:t>
            </w:r>
          </w:p>
        </w:tc>
      </w:tr>
      <w:tr>
        <w:tc>
          <w:tcPr>
            <w:tcW w:type="dxa" w:w="6624"/>
          </w:tcPr>
          <w:p>
            <w:pPr>
              <w:spacing w:after="20"/>
            </w:pPr>
            <w:r>
              <w:rPr>
                <w:color w:val="1C3A36"/>
                <w:sz w:val="18"/>
              </w:rPr>
              <w:t>+ associates &amp; joint ventures at book</w:t>
            </w:r>
          </w:p>
        </w:tc>
        <w:tc>
          <w:tcPr>
            <w:tcW w:type="dxa" w:w="2304"/>
          </w:tcPr>
          <w:p>
            <w:pPr>
              <w:spacing w:after="20"/>
              <w:jc w:val="right"/>
            </w:pPr>
            <w:r>
              <w:rPr>
                <w:color w:val="1C3A36"/>
                <w:sz w:val="18"/>
              </w:rPr>
              <w:t>3,724</w:t>
            </w:r>
          </w:p>
        </w:tc>
      </w:tr>
      <w:tr>
        <w:tc>
          <w:tcPr>
            <w:tcW w:type="dxa" w:w="6624"/>
          </w:tcPr>
          <w:p>
            <w:pPr>
              <w:spacing w:after="20"/>
            </w:pPr>
            <w:r>
              <w:rPr>
                <w:color w:val="1C3A36"/>
                <w:sz w:val="18"/>
              </w:rPr>
              <w:t>+ financial assets</w:t>
            </w:r>
          </w:p>
        </w:tc>
        <w:tc>
          <w:tcPr>
            <w:tcW w:type="dxa" w:w="2304"/>
          </w:tcPr>
          <w:p>
            <w:pPr>
              <w:spacing w:after="20"/>
              <w:jc w:val="right"/>
            </w:pPr>
            <w:r>
              <w:rPr>
                <w:color w:val="1C3A36"/>
                <w:sz w:val="18"/>
              </w:rPr>
              <w:t>394</w:t>
            </w:r>
          </w:p>
        </w:tc>
      </w:tr>
      <w:tr>
        <w:tc>
          <w:tcPr>
            <w:tcW w:type="dxa" w:w="6624"/>
          </w:tcPr>
          <w:p>
            <w:pPr>
              <w:spacing w:after="20"/>
            </w:pPr>
            <w:r>
              <w:rPr>
                <w:color w:val="1C3A36"/>
                <w:sz w:val="18"/>
              </w:rPr>
              <w:t>− non-controlling interests (book)</w:t>
            </w:r>
          </w:p>
        </w:tc>
        <w:tc>
          <w:tcPr>
            <w:tcW w:type="dxa" w:w="2304"/>
          </w:tcPr>
          <w:p>
            <w:pPr>
              <w:spacing w:after="20"/>
              <w:jc w:val="right"/>
            </w:pPr>
            <w:r>
              <w:rPr>
                <w:color w:val="1C3A36"/>
                <w:sz w:val="18"/>
              </w:rPr>
              <w:t>-847</w:t>
            </w:r>
          </w:p>
        </w:tc>
      </w:tr>
      <w:tr>
        <w:tc>
          <w:tcPr>
            <w:tcW w:type="dxa" w:w="6624"/>
            <w:shd w:val="clear" w:color="auto" w:fill="F6F1E6"/>
          </w:tcPr>
          <w:p>
            <w:pPr>
              <w:spacing w:after="20"/>
            </w:pPr>
            <w:r>
              <w:rPr>
                <w:b/>
                <w:color w:val="1C3A36"/>
                <w:sz w:val="18"/>
              </w:rPr>
              <w:t>Equity attributable, 31 Dec 2025</w:t>
            </w:r>
          </w:p>
        </w:tc>
        <w:tc>
          <w:tcPr>
            <w:tcW w:type="dxa" w:w="2304"/>
            <w:shd w:val="clear" w:color="auto" w:fill="F6F1E6"/>
          </w:tcPr>
          <w:p>
            <w:pPr>
              <w:spacing w:after="20"/>
              <w:jc w:val="right"/>
            </w:pPr>
            <w:r>
              <w:rPr>
                <w:b/>
                <w:color w:val="1C3A36"/>
                <w:sz w:val="18"/>
              </w:rPr>
              <w:t>93,552</w:t>
            </w:r>
          </w:p>
        </w:tc>
      </w:tr>
      <w:tr>
        <w:tc>
          <w:tcPr>
            <w:tcW w:type="dxa" w:w="6624"/>
          </w:tcPr>
          <w:p>
            <w:pPr>
              <w:spacing w:after="20"/>
            </w:pPr>
            <w:r>
              <w:rPr>
                <w:color w:val="1C3A36"/>
                <w:sz w:val="18"/>
              </w:rPr>
              <w:t>Per share (16,347mn shares)</w:t>
            </w:r>
          </w:p>
        </w:tc>
        <w:tc>
          <w:tcPr>
            <w:tcW w:type="dxa" w:w="2304"/>
          </w:tcPr>
          <w:p>
            <w:pPr>
              <w:spacing w:after="20"/>
              <w:jc w:val="right"/>
            </w:pPr>
            <w:r>
              <w:rPr>
                <w:color w:val="1C3A36"/>
                <w:sz w:val="18"/>
              </w:rPr>
              <w:t>5.72</w:t>
            </w:r>
          </w:p>
        </w:tc>
      </w:tr>
      <w:tr>
        <w:tc>
          <w:tcPr>
            <w:tcW w:type="dxa" w:w="6624"/>
            <w:shd w:val="clear" w:color="auto" w:fill="F6F1E6"/>
          </w:tcPr>
          <w:p>
            <w:pPr>
              <w:spacing w:after="20"/>
            </w:pPr>
            <w:r>
              <w:rPr>
                <w:b/>
                <w:color w:val="1C3A36"/>
                <w:sz w:val="18"/>
              </w:rPr>
              <w:t>Rolled 219 days to the 7 Aug 2026 anchor at the cost of equity</w:t>
            </w:r>
          </w:p>
        </w:tc>
        <w:tc>
          <w:tcPr>
            <w:tcW w:type="dxa" w:w="2304"/>
            <w:shd w:val="clear" w:color="auto" w:fill="F6F1E6"/>
          </w:tcPr>
          <w:p>
            <w:pPr>
              <w:spacing w:after="20"/>
              <w:jc w:val="right"/>
            </w:pPr>
            <w:r>
              <w:rPr>
                <w:b/>
                <w:color w:val="1C3A36"/>
                <w:sz w:val="18"/>
              </w:rPr>
              <w:t>6.02</w:t>
            </w:r>
          </w:p>
        </w:tc>
      </w:tr>
    </w:tbl>
    <w:p>
      <w:pPr>
        <w:spacing w:after="40"/>
      </w:pPr>
    </w:p>
    <w:p>
      <w:pPr>
        <w:spacing w:after="200" w:before="0"/>
      </w:pPr>
      <w:r>
        <w:rPr>
          <w:b w:val="0"/>
          <w:i/>
          <w:color w:val="6E7B77"/>
          <w:sz w:val="17"/>
        </w:rPr>
        <w:t>The bridge uses the audited 31-Dec-2025 balance sheet. Cash includes AED 4.0bn of escrow and project-restricted balances — the strict all-cash basis; the company's own "net cash" definition (AED 1.8bn) restricts to available cash. Both framings are stated; the bridge deducts all debt either way.</w:t>
      </w:r>
    </w:p>
    <w:p>
      <w:pPr>
        <w:spacing w:after="80" w:before="200"/>
      </w:pPr>
      <w:r>
        <w:rPr>
          <w:b/>
          <w:i w:val="0"/>
          <w:color w:val="1C3A36"/>
          <w:sz w:val="24"/>
        </w:rPr>
        <w:t>1.2 · Book value and sustainable return</w:t>
      </w:r>
    </w:p>
    <w:p>
      <w:pPr>
        <w:spacing w:after="120" w:before="0"/>
      </w:pPr>
      <w:r>
        <w:rPr>
          <w:b w:val="0"/>
          <w:i w:val="0"/>
          <w:color w:val="1C3A36"/>
          <w:sz w:val="21"/>
        </w:rPr>
        <w:t>Audited attributable equity is AED 53,903mn — AED 3.30 per share, so the market prices the group at 0.86x book. FY2025 attributable return on average equity was 7.8%; cleaned of fair-value and disposal gains it is nearer 7.5%, and that is the sustainable level this lens capitalises: a justified price-to-book of (7.5% − 2.5%) / (8.93% − 2.5%) = 0.78x, worth AED 2.56 per share. A group earning below its cost of equity on a large equity base is worth less than book — that arithmetic, not sentiment, is why this lens sits below the market price.</w:t>
      </w:r>
    </w:p>
    <w:p>
      <w:pPr>
        <w:spacing w:after="80" w:before="200"/>
      </w:pPr>
      <w:r>
        <w:rPr>
          <w:b/>
          <w:i w:val="0"/>
          <w:color w:val="1C3A36"/>
          <w:sz w:val="24"/>
        </w:rPr>
        <w:t>1.3 · Relative multiples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600"/>
        <w:gridCol w:w="1800"/>
        <w:gridCol w:w="1512"/>
        <w:gridCol w:w="1440"/>
        <w:gridCol w:w="1584"/>
      </w:tblGrid>
      <w:tr>
        <w:tc>
          <w:tcPr>
            <w:tcW w:type="dxa" w:w="3600"/>
            <w:shd w:val="clear" w:color="auto" w:fill="EAF0EE"/>
          </w:tcPr>
          <w:p>
            <w:pPr>
              <w:spacing w:after="20"/>
            </w:pPr>
            <w:r>
              <w:rPr>
                <w:b/>
                <w:color w:val="1C3A36"/>
                <w:sz w:val="18"/>
              </w:rPr>
              <w:t>Peer (own FY2025 disclosures)</w:t>
            </w:r>
          </w:p>
        </w:tc>
        <w:tc>
          <w:tcPr>
            <w:tcW w:type="dxa" w:w="1800"/>
            <w:shd w:val="clear" w:color="auto" w:fill="EAF0EE"/>
          </w:tcPr>
          <w:p>
            <w:pPr>
              <w:spacing w:after="20"/>
            </w:pPr>
            <w:r>
              <w:rPr>
                <w:b/>
                <w:color w:val="1C3A36"/>
                <w:sz w:val="18"/>
              </w:rPr>
              <w:t>Mkt cap, AED mn</w:t>
            </w:r>
          </w:p>
        </w:tc>
        <w:tc>
          <w:tcPr>
            <w:tcW w:type="dxa" w:w="1512"/>
            <w:shd w:val="clear" w:color="auto" w:fill="EAF0EE"/>
          </w:tcPr>
          <w:p>
            <w:pPr>
              <w:spacing w:after="20"/>
            </w:pPr>
            <w:r>
              <w:rPr>
                <w:b/>
                <w:color w:val="1C3A36"/>
                <w:sz w:val="18"/>
              </w:rPr>
              <w:t>Net profit</w:t>
            </w:r>
          </w:p>
        </w:tc>
        <w:tc>
          <w:tcPr>
            <w:tcW w:type="dxa" w:w="1440"/>
            <w:shd w:val="clear" w:color="auto" w:fill="EAF0EE"/>
          </w:tcPr>
          <w:p>
            <w:pPr>
              <w:spacing w:after="20"/>
            </w:pPr>
            <w:r>
              <w:rPr>
                <w:b/>
                <w:color w:val="1C3A36"/>
                <w:sz w:val="18"/>
              </w:rPr>
              <w:t>Trailing P/E</w:t>
            </w:r>
          </w:p>
        </w:tc>
        <w:tc>
          <w:tcPr>
            <w:tcW w:type="dxa" w:w="1584"/>
            <w:shd w:val="clear" w:color="auto" w:fill="EAF0EE"/>
          </w:tcPr>
          <w:p>
            <w:pPr>
              <w:spacing w:after="20"/>
            </w:pPr>
            <w:r>
              <w:rPr>
                <w:b/>
                <w:color w:val="1C3A36"/>
                <w:sz w:val="18"/>
              </w:rPr>
              <w:t>Backlog</w:t>
            </w:r>
          </w:p>
        </w:tc>
      </w:tr>
      <w:tr>
        <w:tc>
          <w:tcPr>
            <w:tcW w:type="dxa" w:w="3600"/>
          </w:tcPr>
          <w:p>
            <w:pPr>
              <w:spacing w:after="20"/>
            </w:pPr>
            <w:r>
              <w:rPr>
                <w:color w:val="1C3A36"/>
                <w:sz w:val="18"/>
              </w:rPr>
              <w:t>Aldar Properties (ADX)</w:t>
            </w:r>
          </w:p>
        </w:tc>
        <w:tc>
          <w:tcPr>
            <w:tcW w:type="dxa" w:w="1800"/>
          </w:tcPr>
          <w:p>
            <w:pPr>
              <w:spacing w:after="20"/>
              <w:jc w:val="right"/>
            </w:pPr>
            <w:r>
              <w:rPr>
                <w:color w:val="1C3A36"/>
                <w:sz w:val="18"/>
              </w:rPr>
              <w:t>61,170</w:t>
            </w:r>
          </w:p>
        </w:tc>
        <w:tc>
          <w:tcPr>
            <w:tcW w:type="dxa" w:w="1512"/>
          </w:tcPr>
          <w:p>
            <w:pPr>
              <w:spacing w:after="20"/>
              <w:jc w:val="right"/>
            </w:pPr>
            <w:r>
              <w:rPr>
                <w:color w:val="1C3A36"/>
                <w:sz w:val="18"/>
              </w:rPr>
              <w:t>8,800</w:t>
            </w:r>
          </w:p>
        </w:tc>
        <w:tc>
          <w:tcPr>
            <w:tcW w:type="dxa" w:w="1440"/>
          </w:tcPr>
          <w:p>
            <w:pPr>
              <w:spacing w:after="20"/>
              <w:jc w:val="right"/>
            </w:pPr>
            <w:r>
              <w:rPr>
                <w:color w:val="1C3A36"/>
                <w:sz w:val="18"/>
              </w:rPr>
              <w:t>7.5x</w:t>
            </w:r>
          </w:p>
        </w:tc>
        <w:tc>
          <w:tcPr>
            <w:tcW w:type="dxa" w:w="1584"/>
          </w:tcPr>
          <w:p>
            <w:pPr>
              <w:spacing w:after="20"/>
              <w:jc w:val="right"/>
            </w:pPr>
            <w:r>
              <w:rPr>
                <w:color w:val="1C3A36"/>
                <w:sz w:val="18"/>
              </w:rPr>
              <w:t>66,500</w:t>
            </w:r>
          </w:p>
        </w:tc>
      </w:tr>
      <w:tr>
        <w:tc>
          <w:tcPr>
            <w:tcW w:type="dxa" w:w="3600"/>
          </w:tcPr>
          <w:p>
            <w:pPr>
              <w:spacing w:after="20"/>
            </w:pPr>
            <w:r>
              <w:rPr>
                <w:color w:val="1C3A36"/>
                <w:sz w:val="18"/>
              </w:rPr>
              <w:t>Emaar Properties (DFM)</w:t>
            </w:r>
          </w:p>
        </w:tc>
        <w:tc>
          <w:tcPr>
            <w:tcW w:type="dxa" w:w="1800"/>
          </w:tcPr>
          <w:p>
            <w:pPr>
              <w:spacing w:after="20"/>
              <w:jc w:val="right"/>
            </w:pPr>
            <w:r>
              <w:rPr>
                <w:color w:val="1C3A36"/>
                <w:sz w:val="18"/>
              </w:rPr>
              <w:t>101,650</w:t>
            </w:r>
          </w:p>
        </w:tc>
        <w:tc>
          <w:tcPr>
            <w:tcW w:type="dxa" w:w="1512"/>
          </w:tcPr>
          <w:p>
            <w:pPr>
              <w:spacing w:after="20"/>
              <w:jc w:val="right"/>
            </w:pPr>
            <w:r>
              <w:rPr>
                <w:color w:val="1C3A36"/>
                <w:sz w:val="18"/>
              </w:rPr>
              <w:t>n/d</w:t>
            </w:r>
          </w:p>
        </w:tc>
        <w:tc>
          <w:tcPr>
            <w:tcW w:type="dxa" w:w="1440"/>
          </w:tcPr>
          <w:p>
            <w:pPr>
              <w:spacing w:after="20"/>
              <w:jc w:val="right"/>
            </w:pPr>
            <w:r>
              <w:rPr>
                <w:color w:val="1C3A36"/>
                <w:sz w:val="18"/>
              </w:rPr>
              <w:t>5.3x</w:t>
            </w:r>
          </w:p>
        </w:tc>
        <w:tc>
          <w:tcPr>
            <w:tcW w:type="dxa" w:w="1584"/>
          </w:tcPr>
          <w:p>
            <w:pPr>
              <w:spacing w:after="20"/>
              <w:jc w:val="right"/>
            </w:pPr>
            <w:r>
              <w:rPr>
                <w:color w:val="1C3A36"/>
                <w:sz w:val="18"/>
              </w:rPr>
              <w:t>155,000</w:t>
            </w:r>
          </w:p>
        </w:tc>
      </w:tr>
      <w:tr>
        <w:tc>
          <w:tcPr>
            <w:tcW w:type="dxa" w:w="3600"/>
          </w:tcPr>
          <w:p>
            <w:pPr>
              <w:spacing w:after="20"/>
            </w:pPr>
            <w:r>
              <w:rPr>
                <w:color w:val="1C3A36"/>
                <w:sz w:val="18"/>
              </w:rPr>
              <w:t>Emaar Development (DFM)</w:t>
            </w:r>
          </w:p>
        </w:tc>
        <w:tc>
          <w:tcPr>
            <w:tcW w:type="dxa" w:w="1800"/>
          </w:tcPr>
          <w:p>
            <w:pPr>
              <w:spacing w:after="20"/>
              <w:jc w:val="right"/>
            </w:pPr>
            <w:r>
              <w:rPr>
                <w:color w:val="1C3A36"/>
                <w:sz w:val="18"/>
              </w:rPr>
              <w:t>53,520</w:t>
            </w:r>
          </w:p>
        </w:tc>
        <w:tc>
          <w:tcPr>
            <w:tcW w:type="dxa" w:w="1512"/>
          </w:tcPr>
          <w:p>
            <w:pPr>
              <w:spacing w:after="20"/>
              <w:jc w:val="right"/>
            </w:pPr>
            <w:r>
              <w:rPr>
                <w:color w:val="1C3A36"/>
                <w:sz w:val="18"/>
              </w:rPr>
              <w:t>11,320</w:t>
            </w:r>
          </w:p>
        </w:tc>
        <w:tc>
          <w:tcPr>
            <w:tcW w:type="dxa" w:w="1440"/>
          </w:tcPr>
          <w:p>
            <w:pPr>
              <w:spacing w:after="20"/>
              <w:jc w:val="right"/>
            </w:pPr>
            <w:r>
              <w:rPr>
                <w:color w:val="1C3A36"/>
                <w:sz w:val="18"/>
              </w:rPr>
              <w:t>4.1x</w:t>
            </w:r>
          </w:p>
        </w:tc>
        <w:tc>
          <w:tcPr>
            <w:tcW w:type="dxa" w:w="1584"/>
          </w:tcPr>
          <w:p>
            <w:pPr>
              <w:spacing w:after="20"/>
              <w:jc w:val="right"/>
            </w:pPr>
            <w:r>
              <w:rPr>
                <w:color w:val="1C3A36"/>
                <w:sz w:val="18"/>
              </w:rPr>
              <w:t>134,300</w:t>
            </w:r>
          </w:p>
        </w:tc>
      </w:tr>
      <w:tr>
        <w:tc>
          <w:tcPr>
            <w:tcW w:type="dxa" w:w="3600"/>
            <w:shd w:val="clear" w:color="auto" w:fill="F6F1E6"/>
          </w:tcPr>
          <w:p>
            <w:pPr>
              <w:spacing w:after="20"/>
            </w:pPr>
            <w:r>
              <w:rPr>
                <w:b/>
                <w:color w:val="1C3A36"/>
                <w:sz w:val="18"/>
              </w:rPr>
              <w:t>Modon Holding</w:t>
            </w:r>
          </w:p>
        </w:tc>
        <w:tc>
          <w:tcPr>
            <w:tcW w:type="dxa" w:w="1800"/>
            <w:shd w:val="clear" w:color="auto" w:fill="F6F1E6"/>
          </w:tcPr>
          <w:p>
            <w:pPr>
              <w:spacing w:after="20"/>
              <w:jc w:val="right"/>
            </w:pPr>
            <w:r>
              <w:rPr>
                <w:b/>
                <w:color w:val="1C3A36"/>
                <w:sz w:val="18"/>
              </w:rPr>
              <w:t>46,262</w:t>
            </w:r>
          </w:p>
        </w:tc>
        <w:tc>
          <w:tcPr>
            <w:tcW w:type="dxa" w:w="1512"/>
            <w:shd w:val="clear" w:color="auto" w:fill="F6F1E6"/>
          </w:tcPr>
          <w:p>
            <w:pPr>
              <w:spacing w:after="20"/>
              <w:jc w:val="right"/>
            </w:pPr>
            <w:r>
              <w:rPr>
                <w:b/>
                <w:color w:val="1C3A36"/>
                <w:sz w:val="18"/>
              </w:rPr>
              <w:t>3,926</w:t>
            </w:r>
          </w:p>
        </w:tc>
        <w:tc>
          <w:tcPr>
            <w:tcW w:type="dxa" w:w="1440"/>
            <w:shd w:val="clear" w:color="auto" w:fill="F6F1E6"/>
          </w:tcPr>
          <w:p>
            <w:pPr>
              <w:spacing w:after="20"/>
              <w:jc w:val="right"/>
            </w:pPr>
            <w:r>
              <w:rPr>
                <w:b/>
                <w:color w:val="1C3A36"/>
                <w:sz w:val="18"/>
              </w:rPr>
              <w:t>11.8x</w:t>
            </w:r>
          </w:p>
        </w:tc>
        <w:tc>
          <w:tcPr>
            <w:tcW w:type="dxa" w:w="1584"/>
            <w:shd w:val="clear" w:color="auto" w:fill="F6F1E6"/>
          </w:tcPr>
          <w:p>
            <w:pPr>
              <w:spacing w:after="20"/>
              <w:jc w:val="right"/>
            </w:pPr>
            <w:r>
              <w:rPr>
                <w:b/>
                <w:color w:val="1C3A36"/>
                <w:sz w:val="18"/>
              </w:rPr>
              <w:t>46,000</w:t>
            </w:r>
          </w:p>
        </w:tc>
      </w:tr>
    </w:tbl>
    <w:p>
      <w:pPr>
        <w:spacing w:after="40"/>
      </w:pPr>
    </w:p>
    <w:p>
      <w:pPr>
        <w:spacing w:after="200" w:before="0"/>
      </w:pPr>
      <w:r>
        <w:rPr>
          <w:b w:val="0"/>
          <w:i/>
          <w:color w:val="6E7B77"/>
          <w:sz w:val="17"/>
        </w:rPr>
        <w:t>Peer fundamentals from each company's own results releases; market prices and trailing multiples cross-checked on a market-data aggregator, 7 Aug 2026 — cross-checks only, labelled as such.</w:t>
      </w:r>
    </w:p>
    <w:p>
      <w:pPr>
        <w:spacing w:after="120" w:before="0"/>
      </w:pPr>
      <w:r>
        <w:rPr>
          <w:b w:val="0"/>
          <w:i w:val="0"/>
          <w:color w:val="1C3A36"/>
          <w:sz w:val="21"/>
        </w:rPr>
        <w:t>The UAE developer set trades at 4.1–7.5x trailing earnings. This study grants Modon a justified 8.0x on FY2026E attributable profit — a premium to Aldar for the recurring-income mix and backlog growth, tempered for the ~15% free float and the related-party concentration of its land sales — and 7.0x EV/EBITDA on FY2026E through the same bridge as the DCF. The two methods average to AED 2.60 per share. The span AED 1.32–3.08 scales the blended lens between the cheapest and richest multiples in the peer set.</w:t>
      </w:r>
    </w:p>
    <w:p>
      <w:pPr>
        <w:spacing w:after="80" w:before="200"/>
      </w:pPr>
      <w:r>
        <w:rPr>
          <w:b/>
          <w:i w:val="0"/>
          <w:color w:val="1C3A36"/>
          <w:sz w:val="24"/>
        </w:rPr>
        <w:t>1.4 · Normalised earnings power</w:t>
      </w:r>
    </w:p>
    <w:p>
      <w:pPr>
        <w:spacing w:after="120" w:before="0"/>
      </w:pPr>
      <w:r>
        <w:rPr>
          <w:b w:val="0"/>
          <w:i w:val="0"/>
          <w:color w:val="1C3A36"/>
          <w:sz w:val="21"/>
        </w:rPr>
        <w:t>Through a full cycle this study assumes development sales settle near AED 18.0bn a year — between the base path's terminal year and the run-off tail — with the recurring legs grown moderately, giving normalised revenue of about AED 22.7bn and a through-cycle net margin of 11.5% (FY2025 cleaned of one-offs earned 23.9%). That is normalised earnings of AED 2,613mn, or AED 0.160 per share, worth AED 1.36 at a through-cycle 8.5x. This is the harshest lens: it treats 2025–26 as the top of a cycle, not a new base.</w:t>
      </w:r>
    </w:p>
    <w:p>
      <w:pPr>
        <w:spacing w:after="80" w:before="200"/>
      </w:pPr>
      <w:r>
        <w:rPr>
          <w:b/>
          <w:i w:val="0"/>
          <w:color w:val="1C3A36"/>
          <w:sz w:val="24"/>
        </w:rPr>
        <w:t>1.5 · Synthesis — four lenses, one field</w:t>
      </w:r>
    </w:p>
    <w:p>
      <w:pPr>
        <w:spacing w:after="40"/>
        <w:jc w:val="center"/>
      </w:pPr>
      <w:r>
        <w:drawing>
          <wp:inline xmlns:a="http://schemas.openxmlformats.org/drawingml/2006/main" xmlns:pic="http://schemas.openxmlformats.org/drawingml/2006/picture">
            <wp:extent cx="6309360" cy="2731888"/>
            <wp:docPr id="1" name="Picture 1"/>
            <wp:cNvGraphicFramePr>
              <a:graphicFrameLocks noChangeAspect="1"/>
            </wp:cNvGraphicFramePr>
            <a:graphic>
              <a:graphicData uri="http://schemas.openxmlformats.org/drawingml/2006/picture">
                <pic:pic>
                  <pic:nvPicPr>
                    <pic:cNvPr id="0" name="fig1_football.png"/>
                    <pic:cNvPicPr/>
                  </pic:nvPicPr>
                  <pic:blipFill>
                    <a:blip r:embed="rId9"/>
                    <a:stretch>
                      <a:fillRect/>
                    </a:stretch>
                  </pic:blipFill>
                  <pic:spPr>
                    <a:xfrm>
                      <a:off x="0" y="0"/>
                      <a:ext cx="6309360" cy="2731888"/>
                    </a:xfrm>
                    <a:prstGeom prst="rect"/>
                  </pic:spPr>
                </pic:pic>
              </a:graphicData>
            </a:graphic>
          </wp:inline>
        </w:drawing>
      </w:r>
    </w:p>
    <w:p>
      <w:pPr>
        <w:spacing w:after="200" w:before="0"/>
      </w:pPr>
      <w:r>
        <w:rPr>
          <w:b w:val="0"/>
          <w:i/>
          <w:color w:val="6E7B77"/>
          <w:sz w:val="17"/>
        </w:rPr>
        <w:t>Figure 1 — the four lenses and the weighted central against the market price. The DCF span is the run-off-to-growth-hold scenario spread.</w:t>
      </w:r>
    </w:p>
    <w:p>
      <w:pPr>
        <w:spacing w:after="120" w:before="0"/>
      </w:pPr>
      <w:r>
        <w:rPr>
          <w:b w:val="0"/>
          <w:i w:val="0"/>
          <w:color w:val="1C3A36"/>
          <w:sz w:val="21"/>
        </w:rPr>
        <w:t>The weights are a judgement, stated: DCF 40% because the contracted backlog gives unusual forward visibility for a developer; relative, normalised and book 20% each because the market lenses are real evidence — a cheap, liquid peer set against a tightly-held stock — not decoration. The result, AED 3.71, sits +31% above the market. Section 4 confronts that gap directly.</w:t>
      </w:r>
    </w:p>
    <w:p>
      <w:pPr>
        <w:spacing w:after="80" w:before="200"/>
      </w:pPr>
      <w:r>
        <w:rPr>
          <w:b/>
          <w:i w:val="0"/>
          <w:color w:val="1C3A36"/>
          <w:sz w:val="24"/>
        </w:rPr>
        <w:t>1.6 · Drivers — each leg on its own driver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232"/>
        <w:gridCol w:w="5184"/>
        <w:gridCol w:w="2448"/>
      </w:tblGrid>
      <w:tr>
        <w:tc>
          <w:tcPr>
            <w:tcW w:type="dxa" w:w="2232"/>
            <w:shd w:val="clear" w:color="auto" w:fill="EAF0EE"/>
          </w:tcPr>
          <w:p>
            <w:pPr>
              <w:spacing w:after="20"/>
            </w:pPr>
            <w:r>
              <w:rPr>
                <w:b/>
                <w:color w:val="1C3A36"/>
                <w:sz w:val="17"/>
              </w:rPr>
              <w:t>Leg</w:t>
            </w:r>
          </w:p>
        </w:tc>
        <w:tc>
          <w:tcPr>
            <w:tcW w:type="dxa" w:w="5184"/>
            <w:shd w:val="clear" w:color="auto" w:fill="EAF0EE"/>
          </w:tcPr>
          <w:p>
            <w:pPr>
              <w:spacing w:after="20"/>
            </w:pPr>
            <w:r>
              <w:rPr>
                <w:b/>
                <w:color w:val="1C3A36"/>
                <w:sz w:val="17"/>
              </w:rPr>
              <w:t>Driver build</w:t>
            </w:r>
          </w:p>
        </w:tc>
        <w:tc>
          <w:tcPr>
            <w:tcW w:type="dxa" w:w="2448"/>
            <w:shd w:val="clear" w:color="auto" w:fill="EAF0EE"/>
          </w:tcPr>
          <w:p>
            <w:pPr>
              <w:spacing w:after="20"/>
            </w:pPr>
            <w:r>
              <w:rPr>
                <w:b/>
                <w:color w:val="1C3A36"/>
                <w:sz w:val="17"/>
              </w:rPr>
              <w:t>FY2026E→FY2030E</w:t>
            </w:r>
          </w:p>
        </w:tc>
      </w:tr>
      <w:tr>
        <w:tc>
          <w:tcPr>
            <w:tcW w:type="dxa" w:w="2232"/>
          </w:tcPr>
          <w:p>
            <w:pPr>
              <w:spacing w:after="20"/>
            </w:pPr>
            <w:r>
              <w:rPr>
                <w:color w:val="1C3A36"/>
                <w:sz w:val="17"/>
              </w:rPr>
              <w:t>Development</w:t>
            </w:r>
          </w:p>
        </w:tc>
        <w:tc>
          <w:tcPr>
            <w:tcW w:type="dxa" w:w="5184"/>
          </w:tcPr>
          <w:p>
            <w:pPr>
              <w:spacing w:after="20"/>
              <w:jc w:val="right"/>
            </w:pPr>
            <w:r>
              <w:rPr>
                <w:color w:val="1C3A36"/>
                <w:sz w:val="17"/>
              </w:rPr>
              <w:t>conversion of opening backlog (24%→33%) + land sales; new sales AED 26.0bn→19.0bn/yr roll the backlog</w:t>
            </w:r>
          </w:p>
        </w:tc>
        <w:tc>
          <w:tcPr>
            <w:tcW w:type="dxa" w:w="2448"/>
          </w:tcPr>
          <w:p>
            <w:pPr>
              <w:spacing w:after="20"/>
              <w:jc w:val="right"/>
            </w:pPr>
            <w:r>
              <w:rPr>
                <w:color w:val="1C3A36"/>
                <w:sz w:val="17"/>
              </w:rPr>
              <w:t>revenue AED 12.0bn→23.5bn</w:t>
            </w:r>
          </w:p>
        </w:tc>
      </w:tr>
      <w:tr>
        <w:tc>
          <w:tcPr>
            <w:tcW w:type="dxa" w:w="2232"/>
          </w:tcPr>
          <w:p>
            <w:pPr>
              <w:spacing w:after="20"/>
            </w:pPr>
            <w:r>
              <w:rPr>
                <w:color w:val="1C3A36"/>
                <w:sz w:val="17"/>
              </w:rPr>
              <w:t xml:space="preserve">  margin</w:t>
            </w:r>
          </w:p>
        </w:tc>
        <w:tc>
          <w:tcPr>
            <w:tcW w:type="dxa" w:w="5184"/>
          </w:tcPr>
          <w:p>
            <w:pPr>
              <w:spacing w:after="20"/>
              <w:jc w:val="right"/>
            </w:pPr>
            <w:r>
              <w:rPr>
                <w:color w:val="1C3A36"/>
                <w:sz w:val="17"/>
              </w:rPr>
              <w:t>gross margin 41.0%→38.0% as related-party land mix fades and construction costs (~4%/yr, its own escalator) outrun realised-price escalation (~2%)</w:t>
            </w:r>
          </w:p>
        </w:tc>
        <w:tc>
          <w:tcPr>
            <w:tcW w:type="dxa" w:w="2448"/>
          </w:tcPr>
          <w:p>
            <w:pPr>
              <w:spacing w:after="20"/>
              <w:jc w:val="right"/>
            </w:pPr>
            <w:r>
              <w:rPr>
                <w:color w:val="1C3A36"/>
                <w:sz w:val="17"/>
              </w:rPr>
              <w:t>output, not input</w:t>
            </w:r>
          </w:p>
        </w:tc>
      </w:tr>
      <w:tr>
        <w:tc>
          <w:tcPr>
            <w:tcW w:type="dxa" w:w="2232"/>
          </w:tcPr>
          <w:p>
            <w:pPr>
              <w:spacing w:after="20"/>
            </w:pPr>
            <w:r>
              <w:rPr>
                <w:color w:val="1C3A36"/>
                <w:sz w:val="17"/>
              </w:rPr>
              <w:t>Asset &amp; investment mgmt</w:t>
            </w:r>
          </w:p>
        </w:tc>
        <w:tc>
          <w:tcPr>
            <w:tcW w:type="dxa" w:w="5184"/>
          </w:tcPr>
          <w:p>
            <w:pPr>
              <w:spacing w:after="20"/>
              <w:jc w:val="right"/>
            </w:pPr>
            <w:r>
              <w:rPr>
                <w:color w:val="1C3A36"/>
                <w:sz w:val="17"/>
              </w:rPr>
              <w:t>10.0% then ~8%/yr on contracted occupancy (97%) and GLA additions; margin held at the disclosed 64.0%</w:t>
            </w:r>
          </w:p>
        </w:tc>
        <w:tc>
          <w:tcPr>
            <w:tcW w:type="dxa" w:w="2448"/>
          </w:tcPr>
          <w:p>
            <w:pPr>
              <w:spacing w:after="20"/>
              <w:jc w:val="right"/>
            </w:pPr>
            <w:r>
              <w:rPr>
                <w:color w:val="1C3A36"/>
                <w:sz w:val="17"/>
              </w:rPr>
              <w:t>AED 720mn→989mn</w:t>
            </w:r>
          </w:p>
        </w:tc>
      </w:tr>
      <w:tr>
        <w:tc>
          <w:tcPr>
            <w:tcW w:type="dxa" w:w="2232"/>
          </w:tcPr>
          <w:p>
            <w:pPr>
              <w:spacing w:after="20"/>
            </w:pPr>
            <w:r>
              <w:rPr>
                <w:color w:val="1C3A36"/>
                <w:sz w:val="17"/>
              </w:rPr>
              <w:t>Hospitality</w:t>
            </w:r>
          </w:p>
        </w:tc>
        <w:tc>
          <w:tcPr>
            <w:tcW w:type="dxa" w:w="5184"/>
          </w:tcPr>
          <w:p>
            <w:pPr>
              <w:spacing w:after="20"/>
              <w:jc w:val="right"/>
            </w:pPr>
            <w:r>
              <w:rPr>
                <w:color w:val="1C3A36"/>
                <w:sz w:val="17"/>
              </w:rPr>
              <w:t>7,137 keys; occupancy 71%→~75% plus the Olympia resort ramp; margin 26.6%→30.0%</w:t>
            </w:r>
          </w:p>
        </w:tc>
        <w:tc>
          <w:tcPr>
            <w:tcW w:type="dxa" w:w="2448"/>
          </w:tcPr>
          <w:p>
            <w:pPr>
              <w:spacing w:after="20"/>
              <w:jc w:val="right"/>
            </w:pPr>
            <w:r>
              <w:rPr>
                <w:color w:val="1C3A36"/>
                <w:sz w:val="17"/>
              </w:rPr>
              <w:t>AED 839mn→1,080mn</w:t>
            </w:r>
          </w:p>
        </w:tc>
      </w:tr>
      <w:tr>
        <w:tc>
          <w:tcPr>
            <w:tcW w:type="dxa" w:w="2232"/>
          </w:tcPr>
          <w:p>
            <w:pPr>
              <w:spacing w:after="20"/>
            </w:pPr>
            <w:r>
              <w:rPr>
                <w:color w:val="1C3A36"/>
                <w:sz w:val="17"/>
              </w:rPr>
              <w:t>Events, catering &amp; tourism</w:t>
            </w:r>
          </w:p>
        </w:tc>
        <w:tc>
          <w:tcPr>
            <w:tcW w:type="dxa" w:w="5184"/>
          </w:tcPr>
          <w:p>
            <w:pPr>
              <w:spacing w:after="20"/>
              <w:jc w:val="right"/>
            </w:pPr>
            <w:r>
              <w:rPr>
                <w:color w:val="1C3A36"/>
                <w:sz w:val="17"/>
              </w:rPr>
              <w:t>first year anchored on the actual first half plus the events-heavy second half; ~4%/yr thereafter; wage-led costs on their own escalator</w:t>
            </w:r>
          </w:p>
        </w:tc>
        <w:tc>
          <w:tcPr>
            <w:tcW w:type="dxa" w:w="2448"/>
          </w:tcPr>
          <w:p>
            <w:pPr>
              <w:spacing w:after="20"/>
              <w:jc w:val="right"/>
            </w:pPr>
            <w:r>
              <w:rPr>
                <w:color w:val="1C3A36"/>
                <w:sz w:val="17"/>
              </w:rPr>
              <w:t>AED 5.6bn→6.6bn</w:t>
            </w:r>
          </w:p>
        </w:tc>
      </w:tr>
      <w:tr>
        <w:tc>
          <w:tcPr>
            <w:tcW w:type="dxa" w:w="2232"/>
          </w:tcPr>
          <w:p>
            <w:pPr>
              <w:spacing w:after="20"/>
            </w:pPr>
            <w:r>
              <w:rPr>
                <w:color w:val="1C3A36"/>
                <w:sz w:val="17"/>
              </w:rPr>
              <w:t>Working capital</w:t>
            </w:r>
          </w:p>
        </w:tc>
        <w:tc>
          <w:tcPr>
            <w:tcW w:type="dxa" w:w="5184"/>
          </w:tcPr>
          <w:p>
            <w:pPr>
              <w:spacing w:after="20"/>
              <w:jc w:val="right"/>
            </w:pPr>
            <w:r>
              <w:rPr>
                <w:color w:val="1C3A36"/>
                <w:sz w:val="17"/>
              </w:rPr>
              <w:t>absorbs AED 1.5bn in 2026 (the half-year statements show receivable build-up), then releases 0.8–1.4bn/yr as the land bank converts and escrows collect</w:t>
            </w:r>
          </w:p>
        </w:tc>
        <w:tc>
          <w:tcPr>
            <w:tcW w:type="dxa" w:w="2448"/>
          </w:tcPr>
          <w:p>
            <w:pPr>
              <w:spacing w:after="20"/>
              <w:jc w:val="right"/>
            </w:pPr>
            <w:r>
              <w:rPr>
                <w:color w:val="1C3A36"/>
                <w:sz w:val="17"/>
              </w:rPr>
              <w:t>release funds the growth</w:t>
            </w:r>
          </w:p>
        </w:tc>
      </w:tr>
      <w:tr>
        <w:tc>
          <w:tcPr>
            <w:tcW w:type="dxa" w:w="2232"/>
          </w:tcPr>
          <w:p>
            <w:pPr>
              <w:spacing w:after="20"/>
            </w:pPr>
            <w:r>
              <w:rPr>
                <w:color w:val="1C3A36"/>
                <w:sz w:val="17"/>
              </w:rPr>
              <w:t>Tax</w:t>
            </w:r>
          </w:p>
        </w:tc>
        <w:tc>
          <w:tcPr>
            <w:tcW w:type="dxa" w:w="5184"/>
          </w:tcPr>
          <w:p>
            <w:pPr>
              <w:spacing w:after="20"/>
              <w:jc w:val="right"/>
            </w:pPr>
            <w:r>
              <w:rPr>
                <w:color w:val="1C3A36"/>
                <w:sz w:val="17"/>
              </w:rPr>
              <w:t>the 15% domestic minimum top-up floor plus the observed UK/Spain uplift (first-half 2026 effective rate 15.4%)</w:t>
            </w:r>
          </w:p>
        </w:tc>
        <w:tc>
          <w:tcPr>
            <w:tcW w:type="dxa" w:w="2448"/>
          </w:tcPr>
          <w:p>
            <w:pPr>
              <w:spacing w:after="20"/>
              <w:jc w:val="right"/>
            </w:pPr>
            <w:r>
              <w:rPr>
                <w:color w:val="1C3A36"/>
                <w:sz w:val="17"/>
              </w:rPr>
              <w:t>15.5%</w:t>
            </w:r>
          </w:p>
        </w:tc>
      </w:tr>
    </w:tbl>
    <w:p>
      <w:pPr>
        <w:spacing w:after="40"/>
      </w:pPr>
    </w:p>
    <w:p>
      <w:pPr>
        <w:spacing w:after="200" w:before="0"/>
      </w:pPr>
      <w:r>
        <w:rPr>
          <w:b w:val="0"/>
          <w:i/>
          <w:color w:val="6E7B77"/>
          <w:sz w:val="17"/>
        </w:rPr>
        <w:t>Unit anchors, disclosed: FY2025 sales of AED 36.3bn across 6,358 units — AED 7.0mn per unit in Abu Dhabi, AED 3.1mn internationally. Per-project volumes and prices are not disclosed, so the build stops at the segment level with unit-level anchors — that gap is flagged, not papered over.</w:t>
      </w:r>
    </w:p>
    <w:p>
      <w:pPr>
        <w:spacing w:after="80" w:before="200"/>
      </w:pPr>
      <w:r>
        <w:rPr>
          <w:b/>
          <w:i w:val="0"/>
          <w:color w:val="1C3A36"/>
          <w:sz w:val="24"/>
        </w:rPr>
        <w:t>1.7 · The crux — the sales path, priced both ways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944"/>
        <w:gridCol w:w="3960"/>
        <w:gridCol w:w="3960"/>
      </w:tblGrid>
      <w:tr>
        <w:tc>
          <w:tcPr>
            <w:tcW w:type="dxa" w:w="1944"/>
            <w:shd w:val="clear" w:color="auto" w:fill="EAF0EE"/>
          </w:tcPr>
          <w:p>
            <w:pPr>
              <w:spacing w:after="20"/>
            </w:pPr>
            <w:r>
              <w:rPr>
                <w:b/>
                <w:color w:val="1C3A36"/>
                <w:sz w:val="17"/>
              </w:rPr>
            </w:r>
          </w:p>
        </w:tc>
        <w:tc>
          <w:tcPr>
            <w:tcW w:type="dxa" w:w="3960"/>
            <w:shd w:val="clear" w:color="auto" w:fill="EAF0EE"/>
          </w:tcPr>
          <w:p>
            <w:pPr>
              <w:spacing w:after="20"/>
            </w:pPr>
            <w:r>
              <w:rPr>
                <w:b/>
                <w:color w:val="1C3A36"/>
                <w:sz w:val="17"/>
              </w:rPr>
              <w:t>Base: normalising-but-sustained</w:t>
            </w:r>
          </w:p>
        </w:tc>
        <w:tc>
          <w:tcPr>
            <w:tcW w:type="dxa" w:w="3960"/>
            <w:shd w:val="clear" w:color="auto" w:fill="EAF0EE"/>
          </w:tcPr>
          <w:p>
            <w:pPr>
              <w:spacing w:after="20"/>
            </w:pPr>
            <w:r>
              <w:rPr>
                <w:b/>
                <w:color w:val="1C3A36"/>
                <w:sz w:val="17"/>
              </w:rPr>
              <w:t>Alternative: backlog run-off</w:t>
            </w:r>
          </w:p>
        </w:tc>
      </w:tr>
      <w:tr>
        <w:tc>
          <w:tcPr>
            <w:tcW w:type="dxa" w:w="1944"/>
          </w:tcPr>
          <w:p>
            <w:pPr>
              <w:spacing w:after="20"/>
            </w:pPr>
            <w:r>
              <w:rPr>
                <w:color w:val="1C3A36"/>
                <w:sz w:val="17"/>
              </w:rPr>
              <w:t>New development sales</w:t>
            </w:r>
          </w:p>
        </w:tc>
        <w:tc>
          <w:tcPr>
            <w:tcW w:type="dxa" w:w="3960"/>
          </w:tcPr>
          <w:p>
            <w:pPr>
              <w:spacing w:after="20"/>
              <w:jc w:val="right"/>
            </w:pPr>
            <w:r>
              <w:rPr>
                <w:color w:val="1C3A36"/>
                <w:sz w:val="17"/>
              </w:rPr>
              <w:t>AED 26.0bn falling to 19.0bn/yr</w:t>
            </w:r>
          </w:p>
        </w:tc>
        <w:tc>
          <w:tcPr>
            <w:tcW w:type="dxa" w:w="3960"/>
          </w:tcPr>
          <w:p>
            <w:pPr>
              <w:spacing w:after="20"/>
              <w:jc w:val="right"/>
            </w:pPr>
            <w:r>
              <w:rPr>
                <w:color w:val="1C3A36"/>
                <w:sz w:val="17"/>
              </w:rPr>
              <w:t>AED 15.0bn falling to 8.0bn/yr</w:t>
            </w:r>
          </w:p>
        </w:tc>
      </w:tr>
      <w:tr>
        <w:tc>
          <w:tcPr>
            <w:tcW w:type="dxa" w:w="1944"/>
          </w:tcPr>
          <w:p>
            <w:pPr>
              <w:spacing w:after="20"/>
            </w:pPr>
            <w:r>
              <w:rPr>
                <w:color w:val="1C3A36"/>
                <w:sz w:val="17"/>
              </w:rPr>
              <w:t>Development margin</w:t>
            </w:r>
          </w:p>
        </w:tc>
        <w:tc>
          <w:tcPr>
            <w:tcW w:type="dxa" w:w="3960"/>
          </w:tcPr>
          <w:p>
            <w:pPr>
              <w:spacing w:after="20"/>
              <w:jc w:val="right"/>
            </w:pPr>
            <w:r>
              <w:rPr>
                <w:color w:val="1C3A36"/>
                <w:sz w:val="17"/>
              </w:rPr>
              <w:t>41.0%→38.0%</w:t>
            </w:r>
          </w:p>
        </w:tc>
        <w:tc>
          <w:tcPr>
            <w:tcW w:type="dxa" w:w="3960"/>
          </w:tcPr>
          <w:p>
            <w:pPr>
              <w:spacing w:after="20"/>
              <w:jc w:val="right"/>
            </w:pPr>
            <w:r>
              <w:rPr>
                <w:color w:val="1C3A36"/>
                <w:sz w:val="17"/>
              </w:rPr>
              <w:t>40.0%→35.0%</w:t>
            </w:r>
          </w:p>
        </w:tc>
      </w:tr>
      <w:tr>
        <w:tc>
          <w:tcPr>
            <w:tcW w:type="dxa" w:w="1944"/>
          </w:tcPr>
          <w:p>
            <w:pPr>
              <w:spacing w:after="20"/>
            </w:pPr>
            <w:r>
              <w:rPr>
                <w:color w:val="1C3A36"/>
                <w:sz w:val="17"/>
              </w:rPr>
              <w:t>FY2030E group revenue</w:t>
            </w:r>
          </w:p>
        </w:tc>
        <w:tc>
          <w:tcPr>
            <w:tcW w:type="dxa" w:w="3960"/>
          </w:tcPr>
          <w:p>
            <w:pPr>
              <w:spacing w:after="20"/>
              <w:jc w:val="right"/>
            </w:pPr>
            <w:r>
              <w:rPr>
                <w:color w:val="1C3A36"/>
                <w:sz w:val="17"/>
              </w:rPr>
              <w:t>AED 32.2bn</w:t>
            </w:r>
          </w:p>
        </w:tc>
        <w:tc>
          <w:tcPr>
            <w:tcW w:type="dxa" w:w="3960"/>
          </w:tcPr>
          <w:p>
            <w:pPr>
              <w:spacing w:after="20"/>
              <w:jc w:val="right"/>
            </w:pPr>
            <w:r>
              <w:rPr>
                <w:color w:val="1C3A36"/>
                <w:sz w:val="17"/>
              </w:rPr>
              <w:t>AED 22.4bn</w:t>
            </w:r>
          </w:p>
        </w:tc>
      </w:tr>
      <w:tr>
        <w:tc>
          <w:tcPr>
            <w:tcW w:type="dxa" w:w="1944"/>
            <w:shd w:val="clear" w:color="auto" w:fill="F6F1E6"/>
          </w:tcPr>
          <w:p>
            <w:pPr>
              <w:spacing w:after="20"/>
            </w:pPr>
            <w:r>
              <w:rPr>
                <w:b/>
                <w:color w:val="1C3A36"/>
                <w:sz w:val="17"/>
              </w:rPr>
              <w:t>Value per share</w:t>
            </w:r>
          </w:p>
        </w:tc>
        <w:tc>
          <w:tcPr>
            <w:tcW w:type="dxa" w:w="3960"/>
            <w:shd w:val="clear" w:color="auto" w:fill="F6F1E6"/>
          </w:tcPr>
          <w:p>
            <w:pPr>
              <w:spacing w:after="20"/>
              <w:jc w:val="right"/>
            </w:pPr>
            <w:r>
              <w:rPr>
                <w:b/>
                <w:color w:val="1C3A36"/>
                <w:sz w:val="17"/>
              </w:rPr>
              <w:t>AED 6.02</w:t>
            </w:r>
          </w:p>
        </w:tc>
        <w:tc>
          <w:tcPr>
            <w:tcW w:type="dxa" w:w="3960"/>
            <w:shd w:val="clear" w:color="auto" w:fill="F6F1E6"/>
          </w:tcPr>
          <w:p>
            <w:pPr>
              <w:spacing w:after="20"/>
              <w:jc w:val="right"/>
            </w:pPr>
            <w:r>
              <w:rPr>
                <w:b/>
                <w:color w:val="1C3A36"/>
                <w:sz w:val="17"/>
              </w:rPr>
              <w:t>AED 4.18</w:t>
            </w:r>
          </w:p>
        </w:tc>
      </w:tr>
      <w:tr>
        <w:tc>
          <w:tcPr>
            <w:tcW w:type="dxa" w:w="1944"/>
          </w:tcPr>
          <w:p>
            <w:pPr>
              <w:spacing w:after="20"/>
            </w:pPr>
            <w:r>
              <w:rPr>
                <w:color w:val="1C3A36"/>
                <w:sz w:val="17"/>
              </w:rPr>
              <w:t>What it assumes</w:t>
            </w:r>
          </w:p>
        </w:tc>
        <w:tc>
          <w:tcPr>
            <w:tcW w:type="dxa" w:w="3960"/>
          </w:tcPr>
          <w:p>
            <w:pPr>
              <w:spacing w:after="20"/>
              <w:jc w:val="right"/>
            </w:pPr>
            <w:r>
              <w:rPr>
                <w:color w:val="1C3A36"/>
                <w:sz w:val="17"/>
              </w:rPr>
              <w:t>Abu Dhabi's structural demand (record AED 76bn residential sales in 2025, 62% of growth foreign-led) persists; Modon holds share; Ras El Hekma phases deliver</w:t>
            </w:r>
          </w:p>
        </w:tc>
        <w:tc>
          <w:tcPr>
            <w:tcW w:type="dxa" w:w="3960"/>
          </w:tcPr>
          <w:p>
            <w:pPr>
              <w:spacing w:after="20"/>
              <w:jc w:val="right"/>
            </w:pPr>
            <w:r>
              <w:rPr>
                <w:color w:val="1C3A36"/>
                <w:sz w:val="17"/>
              </w:rPr>
              <w:t>the 2025 surge was the cycle top; launches halve and keep fading; pricing power goes with volume</w:t>
            </w:r>
          </w:p>
        </w:tc>
      </w:tr>
    </w:tbl>
    <w:p>
      <w:pPr>
        <w:spacing w:after="40"/>
      </w:pPr>
    </w:p>
    <w:p>
      <w:pPr>
        <w:spacing w:after="120" w:before="0"/>
      </w:pPr>
      <w:r>
        <w:rPr>
          <w:b w:val="0"/>
          <w:i w:val="0"/>
          <w:color w:val="1C3A36"/>
          <w:sz w:val="21"/>
        </w:rPr>
        <w:t>Even the run-off reading values the group +48% against the market price — the balance sheet (net cash on the strict basis, an at-cost land bank) does much of the work. What separates the two readings is AED 1.84 per share of launch-dependent value. The growth-hold upper reading (sales held at AED 30bn) reaches AED 7.39. This study weights neither to zero: the base path already normalises sales ~30–45% below 2025's record.</w:t>
      </w:r>
    </w:p>
    <w:p>
      <w:pPr>
        <w:spacing w:after="80" w:before="200"/>
      </w:pPr>
      <w:r>
        <w:rPr>
          <w:b/>
          <w:i w:val="0"/>
          <w:color w:val="1C3A36"/>
          <w:sz w:val="24"/>
        </w:rPr>
        <w:t>1.8 · Macro and country — the cost of capital, built and priced</w:t>
      </w:r>
    </w:p>
    <w:p>
      <w:pPr>
        <w:spacing w:after="120" w:before="0"/>
      </w:pPr>
      <w:r>
        <w:rPr>
          <w:b w:val="0"/>
          <w:i w:val="0"/>
          <w:color w:val="1C3A36"/>
          <w:sz w:val="21"/>
        </w:rPr>
        <w:t>Every rate is sourced and each risk is charged once. The AED government curve gives 4.48% (the January-2031 dirham treasury tranche auctioned in July 2026, about 4bp over comparable US Treasuries); netting the UAE's own 0.42% sovereign default spread — which is already inside the equity premium — leaves a normalised risk-free rate of 4.06%. The UAE equity risk premium on the rating basis is 4.87%; no traded sovereign CDS series exists for the UAE, so a CDS-basis alternative cannot be constructed and the rating basis stands alone, stated as such. Beta could not be regressed: no downloadable history of the exchange's index proved obtainable from seven independent sources (the bibliography lists each attempt), so beta is set to 1.0 — the standing fallback — flagged as interim and sensitised 0.8–1.2 in section 1.9, a ±12% swing on the DCF.</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312"/>
        <w:gridCol w:w="1872"/>
        <w:gridCol w:w="4680"/>
      </w:tblGrid>
      <w:tr>
        <w:tc>
          <w:tcPr>
            <w:tcW w:type="dxa" w:w="3312"/>
            <w:shd w:val="clear" w:color="auto" w:fill="EAF0EE"/>
          </w:tcPr>
          <w:p>
            <w:pPr>
              <w:spacing w:after="20"/>
            </w:pPr>
            <w:r>
              <w:rPr>
                <w:b/>
                <w:color w:val="1C3A36"/>
                <w:sz w:val="18"/>
              </w:rPr>
              <w:t>Cost of capital</w:t>
            </w:r>
          </w:p>
        </w:tc>
        <w:tc>
          <w:tcPr>
            <w:tcW w:type="dxa" w:w="1872"/>
            <w:shd w:val="clear" w:color="auto" w:fill="EAF0EE"/>
          </w:tcPr>
          <w:p>
            <w:pPr>
              <w:spacing w:after="20"/>
            </w:pPr>
            <w:r>
              <w:rPr>
                <w:b/>
                <w:color w:val="1C3A36"/>
                <w:sz w:val="18"/>
              </w:rPr>
              <w:t>Value</w:t>
            </w:r>
          </w:p>
        </w:tc>
        <w:tc>
          <w:tcPr>
            <w:tcW w:type="dxa" w:w="4680"/>
            <w:shd w:val="clear" w:color="auto" w:fill="EAF0EE"/>
          </w:tcPr>
          <w:p>
            <w:pPr>
              <w:spacing w:after="20"/>
            </w:pPr>
            <w:r>
              <w:rPr>
                <w:b/>
                <w:color w:val="1C3A36"/>
                <w:sz w:val="18"/>
              </w:rPr>
              <w:t>Construction</w:t>
            </w:r>
          </w:p>
        </w:tc>
      </w:tr>
      <w:tr>
        <w:tc>
          <w:tcPr>
            <w:tcW w:type="dxa" w:w="3312"/>
          </w:tcPr>
          <w:p>
            <w:pPr>
              <w:spacing w:after="20"/>
            </w:pPr>
            <w:r>
              <w:rPr>
                <w:color w:val="1C3A36"/>
                <w:sz w:val="18"/>
              </w:rPr>
              <w:t>Risk-free rate, normalised</w:t>
            </w:r>
          </w:p>
        </w:tc>
        <w:tc>
          <w:tcPr>
            <w:tcW w:type="dxa" w:w="1872"/>
          </w:tcPr>
          <w:p>
            <w:pPr>
              <w:spacing w:after="20"/>
              <w:jc w:val="right"/>
            </w:pPr>
            <w:r>
              <w:rPr>
                <w:color w:val="1C3A36"/>
                <w:sz w:val="18"/>
              </w:rPr>
              <w:t>4.06%</w:t>
            </w:r>
          </w:p>
        </w:tc>
        <w:tc>
          <w:tcPr>
            <w:tcW w:type="dxa" w:w="4680"/>
          </w:tcPr>
          <w:p>
            <w:pPr>
              <w:spacing w:after="20"/>
              <w:jc w:val="right"/>
            </w:pPr>
            <w:r>
              <w:rPr>
                <w:color w:val="1C3A36"/>
                <w:sz w:val="18"/>
              </w:rPr>
              <w:t>4.48% AED sovereign − 0.42% default spread</w:t>
            </w:r>
          </w:p>
        </w:tc>
      </w:tr>
      <w:tr>
        <w:tc>
          <w:tcPr>
            <w:tcW w:type="dxa" w:w="3312"/>
          </w:tcPr>
          <w:p>
            <w:pPr>
              <w:spacing w:after="20"/>
            </w:pPr>
            <w:r>
              <w:rPr>
                <w:color w:val="1C3A36"/>
                <w:sz w:val="18"/>
              </w:rPr>
              <w:t>Cost of equity</w:t>
            </w:r>
          </w:p>
        </w:tc>
        <w:tc>
          <w:tcPr>
            <w:tcW w:type="dxa" w:w="1872"/>
          </w:tcPr>
          <w:p>
            <w:pPr>
              <w:spacing w:after="20"/>
              <w:jc w:val="right"/>
            </w:pPr>
            <w:r>
              <w:rPr>
                <w:color w:val="1C3A36"/>
                <w:sz w:val="18"/>
              </w:rPr>
              <w:t>8.93%</w:t>
            </w:r>
          </w:p>
        </w:tc>
        <w:tc>
          <w:tcPr>
            <w:tcW w:type="dxa" w:w="4680"/>
          </w:tcPr>
          <w:p>
            <w:pPr>
              <w:spacing w:after="20"/>
              <w:jc w:val="right"/>
            </w:pPr>
            <w:r>
              <w:rPr>
                <w:color w:val="1C3A36"/>
                <w:sz w:val="18"/>
              </w:rPr>
              <w:t>rf* + 1.0 × 4.87%</w:t>
            </w:r>
          </w:p>
        </w:tc>
      </w:tr>
      <w:tr>
        <w:tc>
          <w:tcPr>
            <w:tcW w:type="dxa" w:w="3312"/>
          </w:tcPr>
          <w:p>
            <w:pPr>
              <w:spacing w:after="20"/>
            </w:pPr>
            <w:r>
              <w:rPr>
                <w:color w:val="1C3A36"/>
                <w:sz w:val="18"/>
              </w:rPr>
              <w:t>Marginal cost of debt</w:t>
            </w:r>
          </w:p>
        </w:tc>
        <w:tc>
          <w:tcPr>
            <w:tcW w:type="dxa" w:w="1872"/>
          </w:tcPr>
          <w:p>
            <w:pPr>
              <w:spacing w:after="20"/>
              <w:jc w:val="right"/>
            </w:pPr>
            <w:r>
              <w:rPr>
                <w:color w:val="1C3A36"/>
                <w:sz w:val="18"/>
              </w:rPr>
              <w:t>5.36%</w:t>
            </w:r>
          </w:p>
        </w:tc>
        <w:tc>
          <w:tcPr>
            <w:tcW w:type="dxa" w:w="4680"/>
          </w:tcPr>
          <w:p>
            <w:pPr>
              <w:spacing w:after="20"/>
              <w:jc w:val="right"/>
            </w:pPr>
            <w:r>
              <w:rPr>
                <w:color w:val="1C3A36"/>
                <w:sz w:val="18"/>
              </w:rPr>
              <w:t>6M EIBOR 3.71% + 1.65% blended margin</w:t>
            </w:r>
          </w:p>
        </w:tc>
      </w:tr>
      <w:tr>
        <w:tc>
          <w:tcPr>
            <w:tcW w:type="dxa" w:w="3312"/>
          </w:tcPr>
          <w:p>
            <w:pPr>
              <w:spacing w:after="20"/>
            </w:pPr>
            <w:r>
              <w:rPr>
                <w:color w:val="1C3A36"/>
                <w:sz w:val="18"/>
              </w:rPr>
              <w:t xml:space="preserve">  after tax</w:t>
            </w:r>
          </w:p>
        </w:tc>
        <w:tc>
          <w:tcPr>
            <w:tcW w:type="dxa" w:w="1872"/>
          </w:tcPr>
          <w:p>
            <w:pPr>
              <w:spacing w:after="20"/>
              <w:jc w:val="right"/>
            </w:pPr>
            <w:r>
              <w:rPr>
                <w:color w:val="1C3A36"/>
                <w:sz w:val="18"/>
              </w:rPr>
              <w:t>4.53%</w:t>
            </w:r>
          </w:p>
        </w:tc>
        <w:tc>
          <w:tcPr>
            <w:tcW w:type="dxa" w:w="4680"/>
          </w:tcPr>
          <w:p>
            <w:pPr>
              <w:spacing w:after="20"/>
              <w:jc w:val="right"/>
            </w:pPr>
            <w:r>
              <w:rPr>
                <w:color w:val="1C3A36"/>
                <w:sz w:val="18"/>
              </w:rPr>
              <w:t>× (1 − 15.5%)</w:t>
            </w:r>
          </w:p>
        </w:tc>
      </w:tr>
      <w:tr>
        <w:tc>
          <w:tcPr>
            <w:tcW w:type="dxa" w:w="3312"/>
          </w:tcPr>
          <w:p>
            <w:pPr>
              <w:spacing w:after="20"/>
            </w:pPr>
            <w:r>
              <w:rPr>
                <w:color w:val="1C3A36"/>
                <w:sz w:val="18"/>
              </w:rPr>
              <w:t>Weights</w:t>
            </w:r>
          </w:p>
        </w:tc>
        <w:tc>
          <w:tcPr>
            <w:tcW w:type="dxa" w:w="1872"/>
          </w:tcPr>
          <w:p>
            <w:pPr>
              <w:spacing w:after="20"/>
              <w:jc w:val="right"/>
            </w:pPr>
            <w:r>
              <w:rPr>
                <w:color w:val="1C3A36"/>
                <w:sz w:val="18"/>
              </w:rPr>
              <w:t>87.2% / 12.8%</w:t>
            </w:r>
          </w:p>
        </w:tc>
        <w:tc>
          <w:tcPr>
            <w:tcW w:type="dxa" w:w="4680"/>
          </w:tcPr>
          <w:p>
            <w:pPr>
              <w:spacing w:after="20"/>
              <w:jc w:val="right"/>
            </w:pPr>
            <w:r>
              <w:rPr>
                <w:color w:val="1C3A36"/>
                <w:sz w:val="18"/>
              </w:rPr>
              <w:t>market equity AED 46,262mn; book debt AED 6,789mn</w:t>
            </w:r>
          </w:p>
        </w:tc>
      </w:tr>
      <w:tr>
        <w:tc>
          <w:tcPr>
            <w:tcW w:type="dxa" w:w="3312"/>
            <w:shd w:val="clear" w:color="auto" w:fill="F6F1E6"/>
          </w:tcPr>
          <w:p>
            <w:pPr>
              <w:spacing w:after="20"/>
            </w:pPr>
            <w:r>
              <w:rPr>
                <w:b/>
                <w:color w:val="1C3A36"/>
                <w:sz w:val="18"/>
              </w:rPr>
              <w:t>Cost of capital, explicit window</w:t>
            </w:r>
          </w:p>
        </w:tc>
        <w:tc>
          <w:tcPr>
            <w:tcW w:type="dxa" w:w="1872"/>
            <w:shd w:val="clear" w:color="auto" w:fill="F6F1E6"/>
          </w:tcPr>
          <w:p>
            <w:pPr>
              <w:spacing w:after="20"/>
              <w:jc w:val="right"/>
            </w:pPr>
            <w:r>
              <w:rPr>
                <w:b/>
                <w:color w:val="1C3A36"/>
                <w:sz w:val="18"/>
              </w:rPr>
              <w:t>8.37%</w:t>
            </w:r>
          </w:p>
        </w:tc>
        <w:tc>
          <w:tcPr>
            <w:tcW w:type="dxa" w:w="4680"/>
            <w:shd w:val="clear" w:color="auto" w:fill="F6F1E6"/>
          </w:tcPr>
          <w:p>
            <w:pPr>
              <w:spacing w:after="20"/>
              <w:jc w:val="right"/>
            </w:pPr>
            <w:r>
              <w:rPr>
                <w:b/>
                <w:color w:val="1C3A36"/>
                <w:sz w:val="18"/>
              </w:rPr>
              <w:t>weighted</w:t>
            </w:r>
          </w:p>
        </w:tc>
      </w:tr>
      <w:tr>
        <w:tc>
          <w:tcPr>
            <w:tcW w:type="dxa" w:w="3312"/>
          </w:tcPr>
          <w:p>
            <w:pPr>
              <w:spacing w:after="20"/>
            </w:pPr>
            <w:r>
              <w:rPr>
                <w:color w:val="1C3A36"/>
                <w:sz w:val="18"/>
              </w:rPr>
              <w:t>Cost of capital, terminal</w:t>
            </w:r>
          </w:p>
        </w:tc>
        <w:tc>
          <w:tcPr>
            <w:tcW w:type="dxa" w:w="1872"/>
          </w:tcPr>
          <w:p>
            <w:pPr>
              <w:spacing w:after="20"/>
              <w:jc w:val="right"/>
            </w:pPr>
            <w:r>
              <w:rPr>
                <w:color w:val="1C3A36"/>
                <w:sz w:val="18"/>
              </w:rPr>
              <w:t>8.27%</w:t>
            </w:r>
          </w:p>
        </w:tc>
        <w:tc>
          <w:tcPr>
            <w:tcW w:type="dxa" w:w="4680"/>
          </w:tcPr>
          <w:p>
            <w:pPr>
              <w:spacing w:after="20"/>
              <w:jc w:val="right"/>
            </w:pPr>
            <w:r>
              <w:rPr>
                <w:color w:val="1C3A36"/>
                <w:sz w:val="18"/>
              </w:rPr>
              <w:t>85%/15% normalised weights</w:t>
            </w:r>
          </w:p>
        </w:tc>
      </w:tr>
    </w:tbl>
    <w:p>
      <w:pPr>
        <w:spacing w:after="40"/>
      </w:pP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4896"/>
        <w:gridCol w:w="2736"/>
        <w:gridCol w:w="2232"/>
      </w:tblGrid>
      <w:tr>
        <w:tc>
          <w:tcPr>
            <w:tcW w:type="dxa" w:w="4896"/>
            <w:shd w:val="clear" w:color="auto" w:fill="EAF0EE"/>
          </w:tcPr>
          <w:p>
            <w:pPr>
              <w:spacing w:after="20"/>
            </w:pPr>
            <w:r>
              <w:rPr>
                <w:b/>
                <w:color w:val="1C3A36"/>
                <w:sz w:val="17"/>
              </w:rPr>
              <w:t>Cost-of-debt evidence (loan note, FY2025)</w:t>
            </w:r>
          </w:p>
        </w:tc>
        <w:tc>
          <w:tcPr>
            <w:tcW w:type="dxa" w:w="2736"/>
            <w:shd w:val="clear" w:color="auto" w:fill="EAF0EE"/>
          </w:tcPr>
          <w:p>
            <w:pPr>
              <w:spacing w:after="20"/>
            </w:pPr>
            <w:r>
              <w:rPr>
                <w:b/>
                <w:color w:val="1C3A36"/>
                <w:sz w:val="17"/>
              </w:rPr>
              <w:t>Rate</w:t>
            </w:r>
          </w:p>
        </w:tc>
        <w:tc>
          <w:tcPr>
            <w:tcW w:type="dxa" w:w="2232"/>
            <w:shd w:val="clear" w:color="auto" w:fill="EAF0EE"/>
          </w:tcPr>
          <w:p>
            <w:pPr>
              <w:spacing w:after="20"/>
            </w:pPr>
            <w:r>
              <w:rPr>
                <w:b/>
                <w:color w:val="1C3A36"/>
                <w:sz w:val="17"/>
              </w:rPr>
              <w:t>Maturity</w:t>
            </w:r>
          </w:p>
        </w:tc>
      </w:tr>
      <w:tr>
        <w:tc>
          <w:tcPr>
            <w:tcW w:type="dxa" w:w="4896"/>
          </w:tcPr>
          <w:p>
            <w:pPr>
              <w:spacing w:after="20"/>
            </w:pPr>
            <w:r>
              <w:rPr>
                <w:color w:val="1C3A36"/>
                <w:sz w:val="17"/>
              </w:rPr>
              <w:t>Largest new AED tranche (AED 1,415mn, general purpose)</w:t>
            </w:r>
          </w:p>
        </w:tc>
        <w:tc>
          <w:tcPr>
            <w:tcW w:type="dxa" w:w="2736"/>
          </w:tcPr>
          <w:p>
            <w:pPr>
              <w:spacing w:after="20"/>
              <w:jc w:val="right"/>
            </w:pPr>
            <w:r>
              <w:rPr>
                <w:color w:val="1C3A36"/>
                <w:sz w:val="17"/>
              </w:rPr>
              <w:t>6M EIBOR + 0.60%</w:t>
            </w:r>
          </w:p>
        </w:tc>
        <w:tc>
          <w:tcPr>
            <w:tcW w:type="dxa" w:w="2232"/>
          </w:tcPr>
          <w:p>
            <w:pPr>
              <w:spacing w:after="20"/>
              <w:jc w:val="right"/>
            </w:pPr>
            <w:r>
              <w:rPr>
                <w:color w:val="1C3A36"/>
                <w:sz w:val="17"/>
              </w:rPr>
              <w:t>Jan-2027</w:t>
            </w:r>
          </w:p>
        </w:tc>
      </w:tr>
      <w:tr>
        <w:tc>
          <w:tcPr>
            <w:tcW w:type="dxa" w:w="4896"/>
          </w:tcPr>
          <w:p>
            <w:pPr>
              <w:spacing w:after="20"/>
            </w:pPr>
            <w:r>
              <w:rPr>
                <w:color w:val="1C3A36"/>
                <w:sz w:val="17"/>
              </w:rPr>
              <w:t>AED construction tranches</w:t>
            </w:r>
          </w:p>
        </w:tc>
        <w:tc>
          <w:tcPr>
            <w:tcW w:type="dxa" w:w="2736"/>
          </w:tcPr>
          <w:p>
            <w:pPr>
              <w:spacing w:after="20"/>
              <w:jc w:val="right"/>
            </w:pPr>
            <w:r>
              <w:rPr>
                <w:color w:val="1C3A36"/>
                <w:sz w:val="17"/>
              </w:rPr>
              <w:t>3M EIBOR + 0.85% to + 2.5%</w:t>
            </w:r>
          </w:p>
        </w:tc>
        <w:tc>
          <w:tcPr>
            <w:tcW w:type="dxa" w:w="2232"/>
          </w:tcPr>
          <w:p>
            <w:pPr>
              <w:spacing w:after="20"/>
              <w:jc w:val="right"/>
            </w:pPr>
            <w:r>
              <w:rPr>
                <w:color w:val="1C3A36"/>
                <w:sz w:val="17"/>
              </w:rPr>
              <w:t>2028–2030</w:t>
            </w:r>
          </w:p>
        </w:tc>
      </w:tr>
      <w:tr>
        <w:tc>
          <w:tcPr>
            <w:tcW w:type="dxa" w:w="4896"/>
          </w:tcPr>
          <w:p>
            <w:pPr>
              <w:spacing w:after="20"/>
            </w:pPr>
            <w:r>
              <w:rPr>
                <w:color w:val="1C3A36"/>
                <w:sz w:val="17"/>
              </w:rPr>
              <w:t>GBP venue debt (ExCeL London, hotels)</w:t>
            </w:r>
          </w:p>
        </w:tc>
        <w:tc>
          <w:tcPr>
            <w:tcW w:type="dxa" w:w="2736"/>
          </w:tcPr>
          <w:p>
            <w:pPr>
              <w:spacing w:after="20"/>
              <w:jc w:val="right"/>
            </w:pPr>
            <w:r>
              <w:rPr>
                <w:color w:val="1C3A36"/>
                <w:sz w:val="17"/>
              </w:rPr>
              <w:t>SONIA + 0.95% to + 2.05%</w:t>
            </w:r>
          </w:p>
        </w:tc>
        <w:tc>
          <w:tcPr>
            <w:tcW w:type="dxa" w:w="2232"/>
          </w:tcPr>
          <w:p>
            <w:pPr>
              <w:spacing w:after="20"/>
              <w:jc w:val="right"/>
            </w:pPr>
            <w:r>
              <w:rPr>
                <w:color w:val="1C3A36"/>
                <w:sz w:val="17"/>
              </w:rPr>
              <w:t>2028–2029</w:t>
            </w:r>
          </w:p>
        </w:tc>
      </w:tr>
      <w:tr>
        <w:tc>
          <w:tcPr>
            <w:tcW w:type="dxa" w:w="4896"/>
          </w:tcPr>
          <w:p>
            <w:pPr>
              <w:spacing w:after="20"/>
            </w:pPr>
            <w:r>
              <w:rPr>
                <w:color w:val="1C3A36"/>
                <w:sz w:val="17"/>
              </w:rPr>
              <w:t>USD project tranches</w:t>
            </w:r>
          </w:p>
        </w:tc>
        <w:tc>
          <w:tcPr>
            <w:tcW w:type="dxa" w:w="2736"/>
          </w:tcPr>
          <w:p>
            <w:pPr>
              <w:spacing w:after="20"/>
              <w:jc w:val="right"/>
            </w:pPr>
            <w:r>
              <w:rPr>
                <w:color w:val="1C3A36"/>
                <w:sz w:val="17"/>
              </w:rPr>
              <w:t>SOFR + margin (to + 4.98%)</w:t>
            </w:r>
          </w:p>
        </w:tc>
        <w:tc>
          <w:tcPr>
            <w:tcW w:type="dxa" w:w="2232"/>
          </w:tcPr>
          <w:p>
            <w:pPr>
              <w:spacing w:after="20"/>
              <w:jc w:val="right"/>
            </w:pPr>
            <w:r>
              <w:rPr>
                <w:color w:val="1C3A36"/>
                <w:sz w:val="17"/>
              </w:rPr>
              <w:t>2026–2027</w:t>
            </w:r>
          </w:p>
        </w:tc>
      </w:tr>
      <w:tr>
        <w:tc>
          <w:tcPr>
            <w:tcW w:type="dxa" w:w="4896"/>
          </w:tcPr>
          <w:p>
            <w:pPr>
              <w:spacing w:after="20"/>
            </w:pPr>
            <w:r>
              <w:rPr>
                <w:color w:val="1C3A36"/>
                <w:sz w:val="17"/>
              </w:rPr>
              <w:t>Fixed AED tranches</w:t>
            </w:r>
          </w:p>
        </w:tc>
        <w:tc>
          <w:tcPr>
            <w:tcW w:type="dxa" w:w="2736"/>
          </w:tcPr>
          <w:p>
            <w:pPr>
              <w:spacing w:after="20"/>
              <w:jc w:val="right"/>
            </w:pPr>
            <w:r>
              <w:rPr>
                <w:color w:val="1C3A36"/>
                <w:sz w:val="17"/>
              </w:rPr>
              <w:t>3.32% – 4.36%</w:t>
            </w:r>
          </w:p>
        </w:tc>
        <w:tc>
          <w:tcPr>
            <w:tcW w:type="dxa" w:w="2232"/>
          </w:tcPr>
          <w:p>
            <w:pPr>
              <w:spacing w:after="20"/>
              <w:jc w:val="right"/>
            </w:pPr>
            <w:r>
              <w:rPr>
                <w:color w:val="1C3A36"/>
                <w:sz w:val="17"/>
              </w:rPr>
              <w:t>2028–2033</w:t>
            </w:r>
          </w:p>
        </w:tc>
      </w:tr>
      <w:tr>
        <w:tc>
          <w:tcPr>
            <w:tcW w:type="dxa" w:w="4896"/>
            <w:shd w:val="clear" w:color="auto" w:fill="F6F1E6"/>
          </w:tcPr>
          <w:p>
            <w:pPr>
              <w:spacing w:after="20"/>
            </w:pPr>
            <w:r>
              <w:rPr>
                <w:b/>
                <w:color w:val="1C3A36"/>
                <w:sz w:val="17"/>
              </w:rPr>
              <w:t>Blended marginal rate used</w:t>
            </w:r>
          </w:p>
        </w:tc>
        <w:tc>
          <w:tcPr>
            <w:tcW w:type="dxa" w:w="2736"/>
            <w:shd w:val="clear" w:color="auto" w:fill="F6F1E6"/>
          </w:tcPr>
          <w:p>
            <w:pPr>
              <w:spacing w:after="20"/>
              <w:jc w:val="right"/>
            </w:pPr>
            <w:r>
              <w:rPr>
                <w:b/>
                <w:color w:val="1C3A36"/>
                <w:sz w:val="17"/>
              </w:rPr>
              <w:t>5.36%</w:t>
            </w:r>
          </w:p>
        </w:tc>
        <w:tc>
          <w:tcPr>
            <w:tcW w:type="dxa" w:w="2232"/>
            <w:shd w:val="clear" w:color="auto" w:fill="F6F1E6"/>
          </w:tcPr>
          <w:p>
            <w:pPr>
              <w:spacing w:after="20"/>
              <w:jc w:val="right"/>
            </w:pPr>
            <w:r>
              <w:rPr>
                <w:b/>
                <w:color w:val="1C3A36"/>
                <w:sz w:val="17"/>
              </w:rPr>
              <w:t>above the 4.48% sovereign, as it must be</w:t>
            </w:r>
          </w:p>
        </w:tc>
      </w:tr>
      <w:tr>
        <w:tc>
          <w:tcPr>
            <w:tcW w:type="dxa" w:w="4896"/>
          </w:tcPr>
          <w:p>
            <w:pPr>
              <w:spacing w:after="20"/>
            </w:pPr>
            <w:r>
              <w:rPr>
                <w:color w:val="1C3A36"/>
                <w:sz w:val="17"/>
              </w:rPr>
              <w:t>Realised effective rate on average borrowings, FY2025</w:t>
            </w:r>
          </w:p>
        </w:tc>
        <w:tc>
          <w:tcPr>
            <w:tcW w:type="dxa" w:w="2736"/>
          </w:tcPr>
          <w:p>
            <w:pPr>
              <w:spacing w:after="20"/>
              <w:jc w:val="right"/>
            </w:pPr>
            <w:r>
              <w:rPr>
                <w:color w:val="1C3A36"/>
                <w:sz w:val="17"/>
              </w:rPr>
              <w:t>5.9%</w:t>
            </w:r>
          </w:p>
        </w:tc>
        <w:tc>
          <w:tcPr>
            <w:tcW w:type="dxa" w:w="2232"/>
          </w:tcPr>
          <w:p>
            <w:pPr>
              <w:spacing w:after="20"/>
              <w:jc w:val="right"/>
            </w:pPr>
            <w:r>
              <w:rPr>
                <w:color w:val="1C3A36"/>
                <w:sz w:val="17"/>
              </w:rPr>
              <w:t>interest charge over average loan book</w:t>
            </w:r>
          </w:p>
        </w:tc>
      </w:tr>
    </w:tbl>
    <w:p>
      <w:pPr>
        <w:spacing w:after="40"/>
      </w:pPr>
    </w:p>
    <w:p>
      <w:pPr>
        <w:spacing w:after="120" w:before="0"/>
      </w:pPr>
      <w:r>
        <w:rPr>
          <w:b w:val="0"/>
          <w:i w:val="0"/>
          <w:color w:val="1C3A36"/>
          <w:sz w:val="21"/>
        </w:rPr>
        <w:t>Debt currency, split and carried honestly: of the AED 5,136mn loan book, roughly a third is sterling and dollar project debt against the London venues; the dollar legs cost what AED legs cost through the peg, and the sterling legs are secured on sterling-earning assets — a natural hedge, noted rather than modelled away. Two priced stress readings sit on top: charging the ~17% of revenue earned outside the UAE with Egypt's country premium cuts the DCF to AED 5.09; and the 1-point conflict adder that regional studies carried in mid-2026 is retired here on the auction evidence (4bp over Treasuries), but adding a full point back to the cost of equity appears in the sensitivity strip below. Tax is modelled at the 15% domestic-minimum floor with the observed foreign uplift, not the 9% headline.</w:t>
      </w:r>
    </w:p>
    <w:p>
      <w:pPr>
        <w:spacing w:after="80" w:before="200"/>
      </w:pPr>
      <w:r>
        <w:rPr>
          <w:b/>
          <w:i w:val="0"/>
          <w:color w:val="1C3A36"/>
          <w:sz w:val="24"/>
        </w:rPr>
        <w:t>1.9 · Sensitivity</w:t>
      </w:r>
    </w:p>
    <w:p>
      <w:pPr>
        <w:spacing w:after="40"/>
        <w:jc w:val="center"/>
      </w:pPr>
      <w:r>
        <w:drawing>
          <wp:inline xmlns:a="http://schemas.openxmlformats.org/drawingml/2006/main" xmlns:pic="http://schemas.openxmlformats.org/drawingml/2006/picture">
            <wp:extent cx="5852160" cy="2814963"/>
            <wp:docPr id="2" name="Picture 2"/>
            <wp:cNvGraphicFramePr>
              <a:graphicFrameLocks noChangeAspect="1"/>
            </wp:cNvGraphicFramePr>
            <a:graphic>
              <a:graphicData uri="http://schemas.openxmlformats.org/drawingml/2006/picture">
                <pic:pic>
                  <pic:nvPicPr>
                    <pic:cNvPr id="0" name="fig2_sens.png"/>
                    <pic:cNvPicPr/>
                  </pic:nvPicPr>
                  <pic:blipFill>
                    <a:blip r:embed="rId10"/>
                    <a:stretch>
                      <a:fillRect/>
                    </a:stretch>
                  </pic:blipFill>
                  <pic:spPr>
                    <a:xfrm>
                      <a:off x="0" y="0"/>
                      <a:ext cx="5852160" cy="2814963"/>
                    </a:xfrm>
                    <a:prstGeom prst="rect"/>
                  </pic:spPr>
                </pic:pic>
              </a:graphicData>
            </a:graphic>
          </wp:inline>
        </w:drawing>
      </w:r>
    </w:p>
    <w:p>
      <w:pPr>
        <w:spacing w:after="200" w:before="0"/>
      </w:pPr>
      <w:r>
        <w:rPr>
          <w:b w:val="0"/>
          <w:i/>
          <w:color w:val="6E7B77"/>
          <w:sz w:val="17"/>
        </w:rPr>
        <w:t>Figure 2 — DCF fair value across the cost of capital and terminal growth. Note the flat rows near the top-right: at a terminal return on capital close to the cost of capital, growth adds almost nothing — the valuation is carried by the cash flows, not by the growth assumption.</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1224"/>
        <w:gridCol w:w="1224"/>
        <w:gridCol w:w="1224"/>
        <w:gridCol w:w="1224"/>
        <w:gridCol w:w="1224"/>
      </w:tblGrid>
      <w:tr>
        <w:tc>
          <w:tcPr>
            <w:tcW w:type="dxa" w:w="3744"/>
            <w:shd w:val="clear" w:color="auto" w:fill="EAF0EE"/>
          </w:tcPr>
          <w:p>
            <w:pPr>
              <w:spacing w:after="20"/>
            </w:pPr>
            <w:r>
              <w:rPr>
                <w:b/>
                <w:color w:val="1C3A36"/>
                <w:sz w:val="18"/>
              </w:rPr>
              <w:t>One-way strip (DCF per share)</w:t>
            </w:r>
          </w:p>
        </w:tc>
        <w:tc>
          <w:tcPr>
            <w:tcW w:type="dxa" w:w="1224"/>
            <w:shd w:val="clear" w:color="auto" w:fill="EAF0EE"/>
          </w:tcPr>
          <w:p>
            <w:pPr>
              <w:spacing w:after="20"/>
            </w:pPr>
            <w:r>
              <w:rPr>
                <w:b/>
                <w:color w:val="1C3A36"/>
                <w:sz w:val="18"/>
              </w:rPr>
              <w:t>−2</w:t>
            </w:r>
          </w:p>
        </w:tc>
        <w:tc>
          <w:tcPr>
            <w:tcW w:type="dxa" w:w="1224"/>
            <w:shd w:val="clear" w:color="auto" w:fill="EAF0EE"/>
          </w:tcPr>
          <w:p>
            <w:pPr>
              <w:spacing w:after="20"/>
            </w:pPr>
            <w:r>
              <w:rPr>
                <w:b/>
                <w:color w:val="1C3A36"/>
                <w:sz w:val="18"/>
              </w:rPr>
              <w:t>−1</w:t>
            </w:r>
          </w:p>
        </w:tc>
        <w:tc>
          <w:tcPr>
            <w:tcW w:type="dxa" w:w="1224"/>
            <w:shd w:val="clear" w:color="auto" w:fill="EAF0EE"/>
          </w:tcPr>
          <w:p>
            <w:pPr>
              <w:spacing w:after="20"/>
            </w:pPr>
            <w:r>
              <w:rPr>
                <w:b/>
                <w:color w:val="1C3A36"/>
                <w:sz w:val="18"/>
              </w:rPr>
              <w:t>base</w:t>
            </w:r>
          </w:p>
        </w:tc>
        <w:tc>
          <w:tcPr>
            <w:tcW w:type="dxa" w:w="1224"/>
            <w:shd w:val="clear" w:color="auto" w:fill="EAF0EE"/>
          </w:tcPr>
          <w:p>
            <w:pPr>
              <w:spacing w:after="20"/>
            </w:pPr>
            <w:r>
              <w:rPr>
                <w:b/>
                <w:color w:val="1C3A36"/>
                <w:sz w:val="18"/>
              </w:rPr>
              <w:t>+1</w:t>
            </w:r>
          </w:p>
        </w:tc>
        <w:tc>
          <w:tcPr>
            <w:tcW w:type="dxa" w:w="1224"/>
            <w:shd w:val="clear" w:color="auto" w:fill="EAF0EE"/>
          </w:tcPr>
          <w:p>
            <w:pPr>
              <w:spacing w:after="20"/>
            </w:pPr>
            <w:r>
              <w:rPr>
                <w:b/>
                <w:color w:val="1C3A36"/>
                <w:sz w:val="18"/>
              </w:rPr>
              <w:t>+2</w:t>
            </w:r>
          </w:p>
        </w:tc>
      </w:tr>
      <w:tr>
        <w:tc>
          <w:tcPr>
            <w:tcW w:type="dxa" w:w="3744"/>
          </w:tcPr>
          <w:p>
            <w:pPr>
              <w:spacing w:after="20"/>
            </w:pPr>
            <w:r>
              <w:rPr>
                <w:color w:val="1C3A36"/>
                <w:sz w:val="18"/>
              </w:rPr>
              <w:t>Beta 0.8 → 1.2</w:t>
            </w:r>
          </w:p>
        </w:tc>
        <w:tc>
          <w:tcPr>
            <w:tcW w:type="dxa" w:w="1224"/>
          </w:tcPr>
          <w:p>
            <w:pPr>
              <w:spacing w:after="20"/>
              <w:jc w:val="right"/>
            </w:pPr>
            <w:r>
              <w:rPr>
                <w:color w:val="1C3A36"/>
                <w:sz w:val="18"/>
              </w:rPr>
              <w:t>6.87</w:t>
            </w:r>
          </w:p>
        </w:tc>
        <w:tc>
          <w:tcPr>
            <w:tcW w:type="dxa" w:w="1224"/>
          </w:tcPr>
          <w:p>
            <w:pPr>
              <w:spacing w:after="20"/>
              <w:jc w:val="right"/>
            </w:pPr>
            <w:r>
              <w:rPr>
                <w:color w:val="1C3A36"/>
                <w:sz w:val="18"/>
              </w:rPr>
              <w:t>6.41</w:t>
            </w:r>
          </w:p>
        </w:tc>
        <w:tc>
          <w:tcPr>
            <w:tcW w:type="dxa" w:w="1224"/>
          </w:tcPr>
          <w:p>
            <w:pPr>
              <w:spacing w:after="20"/>
              <w:jc w:val="right"/>
            </w:pPr>
            <w:r>
              <w:rPr>
                <w:color w:val="1C3A36"/>
                <w:sz w:val="18"/>
              </w:rPr>
              <w:t>6.02</w:t>
            </w:r>
          </w:p>
        </w:tc>
        <w:tc>
          <w:tcPr>
            <w:tcW w:type="dxa" w:w="1224"/>
          </w:tcPr>
          <w:p>
            <w:pPr>
              <w:spacing w:after="20"/>
              <w:jc w:val="right"/>
            </w:pPr>
            <w:r>
              <w:rPr>
                <w:color w:val="1C3A36"/>
                <w:sz w:val="18"/>
              </w:rPr>
              <w:t>5.69</w:t>
            </w:r>
          </w:p>
        </w:tc>
        <w:tc>
          <w:tcPr>
            <w:tcW w:type="dxa" w:w="1224"/>
          </w:tcPr>
          <w:p>
            <w:pPr>
              <w:spacing w:after="20"/>
              <w:jc w:val="right"/>
            </w:pPr>
            <w:r>
              <w:rPr>
                <w:color w:val="1C3A36"/>
                <w:sz w:val="18"/>
              </w:rPr>
              <w:t>5.39</w:t>
            </w:r>
          </w:p>
        </w:tc>
      </w:tr>
      <w:tr>
        <w:tc>
          <w:tcPr>
            <w:tcW w:type="dxa" w:w="3744"/>
          </w:tcPr>
          <w:p>
            <w:pPr>
              <w:spacing w:after="20"/>
            </w:pPr>
            <w:r>
              <w:rPr>
                <w:color w:val="1C3A36"/>
                <w:sz w:val="18"/>
              </w:rPr>
              <w:t>Development margin ±4pts</w:t>
            </w:r>
          </w:p>
        </w:tc>
        <w:tc>
          <w:tcPr>
            <w:tcW w:type="dxa" w:w="1224"/>
          </w:tcPr>
          <w:p>
            <w:pPr>
              <w:spacing w:after="20"/>
              <w:jc w:val="right"/>
            </w:pPr>
            <w:r>
              <w:rPr>
                <w:color w:val="1C3A36"/>
                <w:sz w:val="18"/>
              </w:rPr>
              <w:t>5.43</w:t>
            </w:r>
          </w:p>
        </w:tc>
        <w:tc>
          <w:tcPr>
            <w:tcW w:type="dxa" w:w="1224"/>
          </w:tcPr>
          <w:p>
            <w:pPr>
              <w:spacing w:after="20"/>
              <w:jc w:val="right"/>
            </w:pPr>
            <w:r>
              <w:rPr>
                <w:color w:val="1C3A36"/>
                <w:sz w:val="18"/>
              </w:rPr>
              <w:t>5.73</w:t>
            </w:r>
          </w:p>
        </w:tc>
        <w:tc>
          <w:tcPr>
            <w:tcW w:type="dxa" w:w="1224"/>
          </w:tcPr>
          <w:p>
            <w:pPr>
              <w:spacing w:after="20"/>
              <w:jc w:val="right"/>
            </w:pPr>
            <w:r>
              <w:rPr>
                <w:color w:val="1C3A36"/>
                <w:sz w:val="18"/>
              </w:rPr>
              <w:t>6.02</w:t>
            </w:r>
          </w:p>
        </w:tc>
        <w:tc>
          <w:tcPr>
            <w:tcW w:type="dxa" w:w="1224"/>
          </w:tcPr>
          <w:p>
            <w:pPr>
              <w:spacing w:after="20"/>
              <w:jc w:val="right"/>
            </w:pPr>
            <w:r>
              <w:rPr>
                <w:color w:val="1C3A36"/>
                <w:sz w:val="18"/>
              </w:rPr>
              <w:t>6.32</w:t>
            </w:r>
          </w:p>
        </w:tc>
        <w:tc>
          <w:tcPr>
            <w:tcW w:type="dxa" w:w="1224"/>
          </w:tcPr>
          <w:p>
            <w:pPr>
              <w:spacing w:after="20"/>
              <w:jc w:val="right"/>
            </w:pPr>
            <w:r>
              <w:rPr>
                <w:color w:val="1C3A36"/>
                <w:sz w:val="18"/>
              </w:rPr>
              <w:t>6.62</w:t>
            </w:r>
          </w:p>
        </w:tc>
      </w:tr>
      <w:tr>
        <w:tc>
          <w:tcPr>
            <w:tcW w:type="dxa" w:w="3744"/>
          </w:tcPr>
          <w:p>
            <w:pPr>
              <w:spacing w:after="20"/>
            </w:pPr>
            <w:r>
              <w:rPr>
                <w:color w:val="1C3A36"/>
                <w:sz w:val="18"/>
              </w:rPr>
              <w:t>Conversion rate ±6pts</w:t>
            </w:r>
          </w:p>
        </w:tc>
        <w:tc>
          <w:tcPr>
            <w:tcW w:type="dxa" w:w="1224"/>
          </w:tcPr>
          <w:p>
            <w:pPr>
              <w:spacing w:after="20"/>
              <w:jc w:val="right"/>
            </w:pPr>
            <w:r>
              <w:rPr>
                <w:color w:val="1C3A36"/>
                <w:sz w:val="18"/>
              </w:rPr>
              <w:t>5.68</w:t>
            </w:r>
          </w:p>
        </w:tc>
        <w:tc>
          <w:tcPr>
            <w:tcW w:type="dxa" w:w="1224"/>
          </w:tcPr>
          <w:p>
            <w:pPr>
              <w:spacing w:after="20"/>
              <w:jc w:val="right"/>
            </w:pPr>
            <w:r>
              <w:rPr>
                <w:color w:val="1C3A36"/>
                <w:sz w:val="18"/>
              </w:rPr>
              <w:t>5.87</w:t>
            </w:r>
          </w:p>
        </w:tc>
        <w:tc>
          <w:tcPr>
            <w:tcW w:type="dxa" w:w="1224"/>
          </w:tcPr>
          <w:p>
            <w:pPr>
              <w:spacing w:after="20"/>
              <w:jc w:val="right"/>
            </w:pPr>
            <w:r>
              <w:rPr>
                <w:color w:val="1C3A36"/>
                <w:sz w:val="18"/>
              </w:rPr>
              <w:t>6.02</w:t>
            </w:r>
          </w:p>
        </w:tc>
        <w:tc>
          <w:tcPr>
            <w:tcW w:type="dxa" w:w="1224"/>
          </w:tcPr>
          <w:p>
            <w:pPr>
              <w:spacing w:after="20"/>
              <w:jc w:val="right"/>
            </w:pPr>
            <w:r>
              <w:rPr>
                <w:color w:val="1C3A36"/>
                <w:sz w:val="18"/>
              </w:rPr>
              <w:t>6.15</w:t>
            </w:r>
          </w:p>
        </w:tc>
        <w:tc>
          <w:tcPr>
            <w:tcW w:type="dxa" w:w="1224"/>
          </w:tcPr>
          <w:p>
            <w:pPr>
              <w:spacing w:after="20"/>
              <w:jc w:val="right"/>
            </w:pPr>
            <w:r>
              <w:rPr>
                <w:color w:val="1C3A36"/>
                <w:sz w:val="18"/>
              </w:rPr>
              <w:t>6.25</w:t>
            </w:r>
          </w:p>
        </w:tc>
      </w:tr>
      <w:tr>
        <w:tc>
          <w:tcPr>
            <w:tcW w:type="dxa" w:w="3744"/>
          </w:tcPr>
          <w:p>
            <w:pPr>
              <w:spacing w:after="20"/>
            </w:pPr>
            <w:r>
              <w:rPr>
                <w:color w:val="1C3A36"/>
                <w:sz w:val="18"/>
              </w:rPr>
              <w:t>New sales 50%→150% of base</w:t>
            </w:r>
          </w:p>
        </w:tc>
        <w:tc>
          <w:tcPr>
            <w:tcW w:type="dxa" w:w="1224"/>
          </w:tcPr>
          <w:p>
            <w:pPr>
              <w:spacing w:after="20"/>
              <w:jc w:val="right"/>
            </w:pPr>
            <w:r>
              <w:rPr>
                <w:color w:val="1C3A36"/>
                <w:sz w:val="18"/>
              </w:rPr>
              <w:t>4.47</w:t>
            </w:r>
          </w:p>
        </w:tc>
        <w:tc>
          <w:tcPr>
            <w:tcW w:type="dxa" w:w="1224"/>
          </w:tcPr>
          <w:p>
            <w:pPr>
              <w:spacing w:after="20"/>
              <w:jc w:val="right"/>
            </w:pPr>
            <w:r>
              <w:rPr>
                <w:color w:val="1C3A36"/>
                <w:sz w:val="18"/>
              </w:rPr>
              <w:t>5.25</w:t>
            </w:r>
          </w:p>
        </w:tc>
        <w:tc>
          <w:tcPr>
            <w:tcW w:type="dxa" w:w="1224"/>
          </w:tcPr>
          <w:p>
            <w:pPr>
              <w:spacing w:after="20"/>
              <w:jc w:val="right"/>
            </w:pPr>
            <w:r>
              <w:rPr>
                <w:color w:val="1C3A36"/>
                <w:sz w:val="18"/>
              </w:rPr>
              <w:t>6.02</w:t>
            </w:r>
          </w:p>
        </w:tc>
        <w:tc>
          <w:tcPr>
            <w:tcW w:type="dxa" w:w="1224"/>
          </w:tcPr>
          <w:p>
            <w:pPr>
              <w:spacing w:after="20"/>
              <w:jc w:val="right"/>
            </w:pPr>
            <w:r>
              <w:rPr>
                <w:color w:val="1C3A36"/>
                <w:sz w:val="18"/>
              </w:rPr>
              <w:t>6.80</w:t>
            </w:r>
          </w:p>
        </w:tc>
        <w:tc>
          <w:tcPr>
            <w:tcW w:type="dxa" w:w="1224"/>
          </w:tcPr>
          <w:p>
            <w:pPr>
              <w:spacing w:after="20"/>
              <w:jc w:val="right"/>
            </w:pPr>
            <w:r>
              <w:rPr>
                <w:color w:val="1C3A36"/>
                <w:sz w:val="18"/>
              </w:rPr>
              <w:t>7.58</w:t>
            </w:r>
          </w:p>
        </w:tc>
      </w:tr>
      <w:tr>
        <w:tc>
          <w:tcPr>
            <w:tcW w:type="dxa" w:w="3744"/>
          </w:tcPr>
          <w:p>
            <w:pPr>
              <w:spacing w:after="20"/>
            </w:pPr>
            <w:r>
              <w:rPr>
                <w:color w:val="1C3A36"/>
                <w:sz w:val="18"/>
              </w:rPr>
              <w:t>Working-capital release ±AED 1bn/yr</w:t>
            </w:r>
          </w:p>
        </w:tc>
        <w:tc>
          <w:tcPr>
            <w:tcW w:type="dxa" w:w="1224"/>
          </w:tcPr>
          <w:p>
            <w:pPr>
              <w:spacing w:after="20"/>
              <w:jc w:val="right"/>
            </w:pPr>
            <w:r>
              <w:rPr>
                <w:color w:val="1C3A36"/>
                <w:sz w:val="18"/>
              </w:rPr>
              <w:t>5.77</w:t>
            </w:r>
          </w:p>
        </w:tc>
        <w:tc>
          <w:tcPr>
            <w:tcW w:type="dxa" w:w="1224"/>
          </w:tcPr>
          <w:p>
            <w:pPr>
              <w:spacing w:after="20"/>
              <w:jc w:val="right"/>
            </w:pPr>
            <w:r>
              <w:rPr>
                <w:color w:val="1C3A36"/>
                <w:sz w:val="18"/>
              </w:rPr>
              <w:t>5.90</w:t>
            </w:r>
          </w:p>
        </w:tc>
        <w:tc>
          <w:tcPr>
            <w:tcW w:type="dxa" w:w="1224"/>
          </w:tcPr>
          <w:p>
            <w:pPr>
              <w:spacing w:after="20"/>
              <w:jc w:val="right"/>
            </w:pPr>
            <w:r>
              <w:rPr>
                <w:color w:val="1C3A36"/>
                <w:sz w:val="18"/>
              </w:rPr>
              <w:t>6.02</w:t>
            </w:r>
          </w:p>
        </w:tc>
        <w:tc>
          <w:tcPr>
            <w:tcW w:type="dxa" w:w="1224"/>
          </w:tcPr>
          <w:p>
            <w:pPr>
              <w:spacing w:after="20"/>
              <w:jc w:val="right"/>
            </w:pPr>
            <w:r>
              <w:rPr>
                <w:color w:val="1C3A36"/>
                <w:sz w:val="18"/>
              </w:rPr>
              <w:t>6.15</w:t>
            </w:r>
          </w:p>
        </w:tc>
        <w:tc>
          <w:tcPr>
            <w:tcW w:type="dxa" w:w="1224"/>
          </w:tcPr>
          <w:p>
            <w:pPr>
              <w:spacing w:after="20"/>
              <w:jc w:val="right"/>
            </w:pPr>
            <w:r>
              <w:rPr>
                <w:color w:val="1C3A36"/>
                <w:sz w:val="18"/>
              </w:rPr>
              <w:t>6.28</w:t>
            </w:r>
          </w:p>
        </w:tc>
      </w:tr>
      <w:tr>
        <w:tc>
          <w:tcPr>
            <w:tcW w:type="dxa" w:w="3744"/>
          </w:tcPr>
          <w:p>
            <w:pPr>
              <w:spacing w:after="20"/>
            </w:pPr>
            <w:r>
              <w:rPr>
                <w:color w:val="1C3A36"/>
                <w:sz w:val="18"/>
              </w:rPr>
              <w:t>Cost of equity +0 → +2pts</w:t>
            </w:r>
          </w:p>
        </w:tc>
        <w:tc>
          <w:tcPr>
            <w:tcW w:type="dxa" w:w="1224"/>
          </w:tcPr>
          <w:p>
            <w:pPr>
              <w:spacing w:after="20"/>
              <w:jc w:val="right"/>
            </w:pPr>
            <w:r>
              <w:rPr>
                <w:color w:val="1C3A36"/>
                <w:sz w:val="18"/>
              </w:rPr>
              <w:t>6.02</w:t>
            </w:r>
          </w:p>
        </w:tc>
        <w:tc>
          <w:tcPr>
            <w:tcW w:type="dxa" w:w="1224"/>
          </w:tcPr>
          <w:p>
            <w:pPr>
              <w:spacing w:after="20"/>
              <w:jc w:val="right"/>
            </w:pPr>
            <w:r>
              <w:rPr>
                <w:color w:val="1C3A36"/>
                <w:sz w:val="18"/>
              </w:rPr>
              <w:t>5.68</w:t>
            </w:r>
          </w:p>
        </w:tc>
        <w:tc>
          <w:tcPr>
            <w:tcW w:type="dxa" w:w="1224"/>
          </w:tcPr>
          <w:p>
            <w:pPr>
              <w:spacing w:after="20"/>
              <w:jc w:val="right"/>
            </w:pPr>
            <w:r>
              <w:rPr>
                <w:color w:val="1C3A36"/>
                <w:sz w:val="18"/>
              </w:rPr>
              <w:t>5.38</w:t>
            </w:r>
          </w:p>
        </w:tc>
        <w:tc>
          <w:tcPr>
            <w:tcW w:type="dxa" w:w="1224"/>
          </w:tcPr>
          <w:p>
            <w:pPr>
              <w:spacing w:after="20"/>
              <w:jc w:val="right"/>
            </w:pPr>
            <w:r>
              <w:rPr>
                <w:color w:val="1C3A36"/>
                <w:sz w:val="18"/>
              </w:rPr>
              <w:t>5.11</w:t>
            </w:r>
          </w:p>
        </w:tc>
        <w:tc>
          <w:tcPr>
            <w:tcW w:type="dxa" w:w="1224"/>
          </w:tcPr>
          <w:p>
            <w:pPr>
              <w:spacing w:after="20"/>
              <w:jc w:val="right"/>
            </w:pPr>
            <w:r>
              <w:rPr>
                <w:color w:val="1C3A36"/>
                <w:sz w:val="18"/>
              </w:rPr>
              <w:t>4.88</w:t>
            </w:r>
          </w:p>
        </w:tc>
      </w:tr>
    </w:tbl>
    <w:p>
      <w:pPr>
        <w:spacing w:after="40"/>
      </w:pPr>
    </w:p>
    <w:p>
      <w:pPr>
        <w:spacing w:after="200" w:before="0"/>
      </w:pPr>
      <w:r>
        <w:rPr>
          <w:b w:val="0"/>
          <w:i/>
          <w:color w:val="6E7B77"/>
          <w:sz w:val="17"/>
        </w:rPr>
        <w:t>Each strip cell is a complete revaluation. The crux is sensitised in its own units: sales in dirhams per year, margins in points, conversion in points of backlog. One artifact is worth naming: a faster conversion rate slightly LOWERS the total value here, because it drains the backlog that feeds the terminal year while the explicit-window gain is smaller — a conservative property of anchoring the terminal value on the final forecast year.</w:t>
      </w:r>
    </w:p>
    <w:p>
      <w:pPr>
        <w:spacing w:after="120" w:before="280"/>
      </w:pPr>
      <w:r>
        <w:rPr>
          <w:b/>
          <w:i w:val="0"/>
          <w:color w:val="1C3A36"/>
          <w:sz w:val="30"/>
        </w:rPr>
        <w:t>2 · Technical and price structure</w:t>
      </w:r>
    </w:p>
    <w:p>
      <w:pPr>
        <w:spacing w:after="40"/>
        <w:jc w:val="center"/>
      </w:pPr>
      <w:r>
        <w:drawing>
          <wp:inline xmlns:a="http://schemas.openxmlformats.org/drawingml/2006/main" xmlns:pic="http://schemas.openxmlformats.org/drawingml/2006/picture">
            <wp:extent cx="6309360" cy="2463654"/>
            <wp:docPr id="3" name="Picture 3"/>
            <wp:cNvGraphicFramePr>
              <a:graphicFrameLocks noChangeAspect="1"/>
            </wp:cNvGraphicFramePr>
            <a:graphic>
              <a:graphicData uri="http://schemas.openxmlformats.org/drawingml/2006/picture">
                <pic:pic>
                  <pic:nvPicPr>
                    <pic:cNvPr id="0" name="fig3_ma.png"/>
                    <pic:cNvPicPr/>
                  </pic:nvPicPr>
                  <pic:blipFill>
                    <a:blip r:embed="rId11"/>
                    <a:stretch>
                      <a:fillRect/>
                    </a:stretch>
                  </pic:blipFill>
                  <pic:spPr>
                    <a:xfrm>
                      <a:off x="0" y="0"/>
                      <a:ext cx="6309360" cy="2463654"/>
                    </a:xfrm>
                    <a:prstGeom prst="rect"/>
                  </pic:spPr>
                </pic:pic>
              </a:graphicData>
            </a:graphic>
          </wp:inline>
        </w:drawing>
      </w:r>
    </w:p>
    <w:p>
      <w:pPr>
        <w:spacing w:after="200" w:before="0"/>
      </w:pPr>
      <w:r>
        <w:rPr>
          <w:b w:val="0"/>
          <w:i/>
          <w:color w:val="6E7B77"/>
          <w:sz w:val="17"/>
        </w:rPr>
        <w:t>Figure 3 — the last 260 sessions against the 20/50/100/200-day moving averages.</w:t>
      </w:r>
    </w:p>
    <w:p>
      <w:pPr>
        <w:spacing w:after="120" w:before="0"/>
      </w:pPr>
      <w:r>
        <w:rPr>
          <w:b w:val="0"/>
          <w:i w:val="0"/>
          <w:color w:val="1C3A36"/>
          <w:sz w:val="21"/>
        </w:rPr>
        <w:t>The price closed 2.83 below a falling 20-day (2.88), a falling 50-day (2.95) and a falling 200-day (3.21). Momentum is soft: RSI(14) is ~39 and the daily ATR near 0.05 (~1.8%) points to a normal tape. MACD (12·26·9) is below zero but turning up (−0.04 / −0.04 / +0.00). Over the last year it has ranged 2.76–3.82; the last close sits 26% below that high and 3% above that low.</w:t>
      </w:r>
    </w:p>
    <w:p>
      <w:pPr>
        <w:spacing w:after="120" w:before="0"/>
      </w:pPr>
      <w:r>
        <w:rPr>
          <w:b w:val="0"/>
          <w:i w:val="0"/>
          <w:color w:val="1C3A36"/>
          <w:sz w:val="21"/>
        </w:rPr>
        <w:t>Trading below the whole moving-average stack, under a falling 200-day. A daily close back above 2.88 would clear the nearest resistance and open the 3.57 zone. A close below 2.76 would break the nearest support and open the 2.40 zone.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336"/>
        <w:gridCol w:w="2016"/>
      </w:tblGrid>
      <w:tr>
        <w:tc>
          <w:tcPr>
            <w:tcW w:type="dxa" w:w="6336"/>
            <w:shd w:val="clear" w:color="auto" w:fill="EAF0EE"/>
          </w:tcPr>
          <w:p>
            <w:pPr>
              <w:spacing w:after="20"/>
            </w:pPr>
            <w:r>
              <w:rPr>
                <w:b/>
                <w:color w:val="1C3A36"/>
                <w:sz w:val="18"/>
              </w:rPr>
              <w:t>Nearest levels (computed from swing-point clusters)</w:t>
            </w:r>
          </w:p>
        </w:tc>
        <w:tc>
          <w:tcPr>
            <w:tcW w:type="dxa" w:w="2016"/>
            <w:shd w:val="clear" w:color="auto" w:fill="EAF0EE"/>
          </w:tcPr>
          <w:p>
            <w:pPr>
              <w:spacing w:after="20"/>
            </w:pPr>
            <w:r>
              <w:rPr>
                <w:b/>
                <w:color w:val="1C3A36"/>
                <w:sz w:val="18"/>
              </w:rPr>
              <w:t>AED</w:t>
            </w:r>
          </w:p>
        </w:tc>
      </w:tr>
      <w:tr>
        <w:tc>
          <w:tcPr>
            <w:tcW w:type="dxa" w:w="6336"/>
          </w:tcPr>
          <w:p>
            <w:pPr>
              <w:spacing w:after="20"/>
            </w:pPr>
            <w:r>
              <w:rPr>
                <w:color w:val="1C3A36"/>
                <w:sz w:val="18"/>
              </w:rPr>
              <w:t>Resistance 3</w:t>
            </w:r>
          </w:p>
        </w:tc>
        <w:tc>
          <w:tcPr>
            <w:tcW w:type="dxa" w:w="2016"/>
          </w:tcPr>
          <w:p>
            <w:pPr>
              <w:spacing w:after="20"/>
              <w:jc w:val="right"/>
            </w:pPr>
            <w:r>
              <w:rPr>
                <w:color w:val="1C3A36"/>
                <w:sz w:val="18"/>
              </w:rPr>
              <w:t>3.57</w:t>
            </w:r>
          </w:p>
        </w:tc>
      </w:tr>
      <w:tr>
        <w:tc>
          <w:tcPr>
            <w:tcW w:type="dxa" w:w="6336"/>
          </w:tcPr>
          <w:p>
            <w:pPr>
              <w:spacing w:after="20"/>
            </w:pPr>
            <w:r>
              <w:rPr>
                <w:color w:val="1C3A36"/>
                <w:sz w:val="18"/>
              </w:rPr>
              <w:t>Resistance 2</w:t>
            </w:r>
          </w:p>
        </w:tc>
        <w:tc>
          <w:tcPr>
            <w:tcW w:type="dxa" w:w="2016"/>
          </w:tcPr>
          <w:p>
            <w:pPr>
              <w:spacing w:after="20"/>
              <w:jc w:val="right"/>
            </w:pPr>
            <w:r>
              <w:rPr>
                <w:color w:val="1C3A36"/>
                <w:sz w:val="18"/>
              </w:rPr>
              <w:t>3.30</w:t>
            </w:r>
          </w:p>
        </w:tc>
      </w:tr>
      <w:tr>
        <w:tc>
          <w:tcPr>
            <w:tcW w:type="dxa" w:w="6336"/>
          </w:tcPr>
          <w:p>
            <w:pPr>
              <w:spacing w:after="20"/>
            </w:pPr>
            <w:r>
              <w:rPr>
                <w:color w:val="1C3A36"/>
                <w:sz w:val="18"/>
              </w:rPr>
              <w:t>Resistance 1 (nearest)</w:t>
            </w:r>
          </w:p>
        </w:tc>
        <w:tc>
          <w:tcPr>
            <w:tcW w:type="dxa" w:w="2016"/>
          </w:tcPr>
          <w:p>
            <w:pPr>
              <w:spacing w:after="20"/>
              <w:jc w:val="right"/>
            </w:pPr>
            <w:r>
              <w:rPr>
                <w:color w:val="1C3A36"/>
                <w:sz w:val="18"/>
              </w:rPr>
              <w:t>2.88</w:t>
            </w:r>
          </w:p>
        </w:tc>
      </w:tr>
      <w:tr>
        <w:tc>
          <w:tcPr>
            <w:tcW w:type="dxa" w:w="6336"/>
            <w:shd w:val="clear" w:color="auto" w:fill="F6F1E6"/>
          </w:tcPr>
          <w:p>
            <w:pPr>
              <w:spacing w:after="20"/>
            </w:pPr>
            <w:r>
              <w:rPr>
                <w:b/>
                <w:color w:val="1C3A36"/>
                <w:sz w:val="18"/>
              </w:rPr>
              <w:t>Last close (7 Aug 2026)</w:t>
            </w:r>
          </w:p>
        </w:tc>
        <w:tc>
          <w:tcPr>
            <w:tcW w:type="dxa" w:w="2016"/>
            <w:shd w:val="clear" w:color="auto" w:fill="F6F1E6"/>
          </w:tcPr>
          <w:p>
            <w:pPr>
              <w:spacing w:after="20"/>
              <w:jc w:val="right"/>
            </w:pPr>
            <w:r>
              <w:rPr>
                <w:b/>
                <w:color w:val="1C3A36"/>
                <w:sz w:val="18"/>
              </w:rPr>
              <w:t>2.83</w:t>
            </w:r>
          </w:p>
        </w:tc>
      </w:tr>
      <w:tr>
        <w:tc>
          <w:tcPr>
            <w:tcW w:type="dxa" w:w="6336"/>
          </w:tcPr>
          <w:p>
            <w:pPr>
              <w:spacing w:after="20"/>
            </w:pPr>
            <w:r>
              <w:rPr>
                <w:color w:val="1C3A36"/>
                <w:sz w:val="18"/>
              </w:rPr>
              <w:t>Support 1 (nearest)</w:t>
            </w:r>
          </w:p>
        </w:tc>
        <w:tc>
          <w:tcPr>
            <w:tcW w:type="dxa" w:w="2016"/>
          </w:tcPr>
          <w:p>
            <w:pPr>
              <w:spacing w:after="20"/>
              <w:jc w:val="right"/>
            </w:pPr>
            <w:r>
              <w:rPr>
                <w:color w:val="1C3A36"/>
                <w:sz w:val="18"/>
              </w:rPr>
              <w:t>2.76</w:t>
            </w:r>
          </w:p>
        </w:tc>
      </w:tr>
      <w:tr>
        <w:tc>
          <w:tcPr>
            <w:tcW w:type="dxa" w:w="6336"/>
          </w:tcPr>
          <w:p>
            <w:pPr>
              <w:spacing w:after="20"/>
            </w:pPr>
            <w:r>
              <w:rPr>
                <w:color w:val="1C3A36"/>
                <w:sz w:val="18"/>
              </w:rPr>
              <w:t>Support 2</w:t>
            </w:r>
          </w:p>
        </w:tc>
        <w:tc>
          <w:tcPr>
            <w:tcW w:type="dxa" w:w="2016"/>
          </w:tcPr>
          <w:p>
            <w:pPr>
              <w:spacing w:after="20"/>
              <w:jc w:val="right"/>
            </w:pPr>
            <w:r>
              <w:rPr>
                <w:color w:val="1C3A36"/>
                <w:sz w:val="18"/>
              </w:rPr>
              <w:t>2.70</w:t>
            </w:r>
          </w:p>
        </w:tc>
      </w:tr>
      <w:tr>
        <w:tc>
          <w:tcPr>
            <w:tcW w:type="dxa" w:w="6336"/>
          </w:tcPr>
          <w:p>
            <w:pPr>
              <w:spacing w:after="20"/>
            </w:pPr>
            <w:r>
              <w:rPr>
                <w:color w:val="1C3A36"/>
                <w:sz w:val="18"/>
              </w:rPr>
              <w:t>Support 3</w:t>
            </w:r>
          </w:p>
        </w:tc>
        <w:tc>
          <w:tcPr>
            <w:tcW w:type="dxa" w:w="2016"/>
          </w:tcPr>
          <w:p>
            <w:pPr>
              <w:spacing w:after="20"/>
              <w:jc w:val="right"/>
            </w:pPr>
            <w:r>
              <w:rPr>
                <w:color w:val="1C3A36"/>
                <w:sz w:val="18"/>
              </w:rPr>
              <w:t>2.40</w:t>
            </w:r>
          </w:p>
        </w:tc>
      </w:tr>
    </w:tbl>
    <w:p>
      <w:pPr>
        <w:spacing w:after="40"/>
      </w:pPr>
    </w:p>
    <w:p>
      <w:pPr>
        <w:spacing w:after="200" w:before="0"/>
      </w:pPr>
      <w:r>
        <w:rPr>
          <w:b w:val="0"/>
          <w:i/>
          <w:color w:val="6E7B77"/>
          <w:sz w:val="17"/>
        </w:rPr>
        <w:t>Levels are recency-weighted swing-point clusters computed from the full price history; nearest levels are listed first. The read is computed, not drawn by hand, and refreshes with the data.</w:t>
      </w:r>
    </w:p>
    <w:p>
      <w:pPr>
        <w:spacing w:after="120" w:before="280"/>
      </w:pPr>
      <w:r>
        <w:rPr>
          <w:b/>
          <w:i w:val="0"/>
          <w:color w:val="1C3A36"/>
          <w:sz w:val="30"/>
        </w:rPr>
        <w:t>3 · Probabilistic price map</w:t>
      </w:r>
    </w:p>
    <w:p>
      <w:pPr>
        <w:spacing w:after="120" w:before="0"/>
      </w:pPr>
      <w:r>
        <w:rPr>
          <w:b w:val="0"/>
          <w:i w:val="0"/>
          <w:color w:val="1C3A36"/>
          <w:sz w:val="21"/>
        </w:rPr>
        <w:t>The map below is struck from the 7 August 2026 close of AED 2.83 using a volatility model fitted to this market's panel of ADX/DFM names, with drift set to the short-term dirham interest rate (no dividend is paid or proposed, a sourced zero, not an assumption) and 50,000 simulated paths. Percentiles are read off the simulated distribution; the touch rows ask whether a level trades at any point inside the window, not only at its end.</w:t>
      </w:r>
    </w:p>
    <w:p>
      <w:pPr>
        <w:spacing w:after="120" w:before="0"/>
      </w:pPr>
      <w:r>
        <w:rPr>
          <w:b w:val="0"/>
          <w:i w:val="0"/>
          <w:color w:val="1C3A36"/>
          <w:sz w:val="21"/>
        </w:rPr>
        <w:t>How much to trust it: tested on 17 non-overlapping three-month windows walked forward over the post-2022 trading regime (with earlier windows from 2020–21 excluded because the UAE changed its trading week in January 2022), this method's probability forecasts beat a drift-adjusted random walk by 4.2% on a proper scoring rule, an edge that holds across every resampling scheme tried; the 80% band contained 94% of outcomes and the 90% band 94%, and the forecast percentile of realised prices is statistically indistinguishable from uniform — on a sample this size those are healthy, not perfect, marks. Treat the bands as calibrated ranges, not promises.</w:t>
      </w:r>
    </w:p>
    <w:p>
      <w:pPr>
        <w:spacing w:after="40"/>
        <w:jc w:val="center"/>
      </w:pPr>
      <w:r>
        <w:drawing>
          <wp:inline xmlns:a="http://schemas.openxmlformats.org/drawingml/2006/main" xmlns:pic="http://schemas.openxmlformats.org/drawingml/2006/picture">
            <wp:extent cx="6309360" cy="2704011"/>
            <wp:docPr id="4" name="Picture 4"/>
            <wp:cNvGraphicFramePr>
              <a:graphicFrameLocks noChangeAspect="1"/>
            </wp:cNvGraphicFramePr>
            <a:graphic>
              <a:graphicData uri="http://schemas.openxmlformats.org/drawingml/2006/picture">
                <pic:pic>
                  <pic:nvPicPr>
                    <pic:cNvPr id="0" name="fig4_fan.png"/>
                    <pic:cNvPicPr/>
                  </pic:nvPicPr>
                  <pic:blipFill>
                    <a:blip r:embed="rId12"/>
                    <a:stretch>
                      <a:fillRect/>
                    </a:stretch>
                  </pic:blipFill>
                  <pic:spPr>
                    <a:xfrm>
                      <a:off x="0" y="0"/>
                      <a:ext cx="6309360" cy="2704011"/>
                    </a:xfrm>
                    <a:prstGeom prst="rect"/>
                  </pic:spPr>
                </pic:pic>
              </a:graphicData>
            </a:graphic>
          </wp:inline>
        </w:drawing>
      </w:r>
    </w:p>
    <w:p>
      <w:pPr>
        <w:spacing w:after="200" w:before="0"/>
      </w:pPr>
      <w:r>
        <w:rPr>
          <w:b w:val="0"/>
          <w:i/>
          <w:color w:val="6E7B77"/>
          <w:sz w:val="17"/>
        </w:rPr>
        <w:t>Figure 4 — the three-month price cone: median, central 50% band and 5–95% band across 50,000 paths.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744"/>
        <w:gridCol w:w="2664"/>
        <w:gridCol w:w="2664"/>
      </w:tblGrid>
      <w:tr>
        <w:tc>
          <w:tcPr>
            <w:tcW w:type="dxa" w:w="3744"/>
            <w:shd w:val="clear" w:color="auto" w:fill="EAF0EE"/>
          </w:tcPr>
          <w:p>
            <w:pPr>
              <w:spacing w:after="20"/>
            </w:pPr>
            <w:r>
              <w:rPr>
                <w:b/>
                <w:color w:val="1C3A36"/>
                <w:sz w:val="18"/>
              </w:rPr>
            </w:r>
          </w:p>
        </w:tc>
        <w:tc>
          <w:tcPr>
            <w:tcW w:type="dxa" w:w="2664"/>
            <w:shd w:val="clear" w:color="auto" w:fill="EAF0EE"/>
          </w:tcPr>
          <w:p>
            <w:pPr>
              <w:spacing w:after="20"/>
            </w:pPr>
            <w:r>
              <w:rPr>
                <w:b/>
                <w:color w:val="1C3A36"/>
                <w:sz w:val="18"/>
              </w:rPr>
              <w:t>1 month (to 2026-09-07)</w:t>
            </w:r>
          </w:p>
        </w:tc>
        <w:tc>
          <w:tcPr>
            <w:tcW w:type="dxa" w:w="2664"/>
            <w:shd w:val="clear" w:color="auto" w:fill="EAF0EE"/>
          </w:tcPr>
          <w:p>
            <w:pPr>
              <w:spacing w:after="20"/>
            </w:pPr>
            <w:r>
              <w:rPr>
                <w:b/>
                <w:color w:val="1C3A36"/>
                <w:sz w:val="18"/>
              </w:rPr>
              <w:t>3 months (to 2026-11-09)</w:t>
            </w:r>
          </w:p>
        </w:tc>
      </w:tr>
      <w:tr>
        <w:tc>
          <w:tcPr>
            <w:tcW w:type="dxa" w:w="3744"/>
          </w:tcPr>
          <w:p>
            <w:pPr>
              <w:spacing w:after="20"/>
            </w:pPr>
            <w:r>
              <w:rPr>
                <w:color w:val="1C3A36"/>
                <w:sz w:val="18"/>
              </w:rPr>
              <w:t>5th percentile</w:t>
            </w:r>
          </w:p>
        </w:tc>
        <w:tc>
          <w:tcPr>
            <w:tcW w:type="dxa" w:w="2664"/>
          </w:tcPr>
          <w:p>
            <w:pPr>
              <w:spacing w:after="20"/>
              <w:jc w:val="right"/>
            </w:pPr>
            <w:r>
              <w:rPr>
                <w:color w:val="1C3A36"/>
                <w:sz w:val="18"/>
              </w:rPr>
              <w:t>2.54</w:t>
            </w:r>
          </w:p>
        </w:tc>
        <w:tc>
          <w:tcPr>
            <w:tcW w:type="dxa" w:w="2664"/>
          </w:tcPr>
          <w:p>
            <w:pPr>
              <w:spacing w:after="20"/>
              <w:jc w:val="right"/>
            </w:pPr>
            <w:r>
              <w:rPr>
                <w:color w:val="1C3A36"/>
                <w:sz w:val="18"/>
              </w:rPr>
              <w:t>2.32</w:t>
            </w:r>
          </w:p>
        </w:tc>
      </w:tr>
      <w:tr>
        <w:tc>
          <w:tcPr>
            <w:tcW w:type="dxa" w:w="3744"/>
          </w:tcPr>
          <w:p>
            <w:pPr>
              <w:spacing w:after="20"/>
            </w:pPr>
            <w:r>
              <w:rPr>
                <w:color w:val="1C3A36"/>
                <w:sz w:val="18"/>
              </w:rPr>
              <w:t>25th percentile</w:t>
            </w:r>
          </w:p>
        </w:tc>
        <w:tc>
          <w:tcPr>
            <w:tcW w:type="dxa" w:w="2664"/>
          </w:tcPr>
          <w:p>
            <w:pPr>
              <w:spacing w:after="20"/>
              <w:jc w:val="right"/>
            </w:pPr>
            <w:r>
              <w:rPr>
                <w:color w:val="1C3A36"/>
                <w:sz w:val="18"/>
              </w:rPr>
              <w:t>2.72</w:t>
            </w:r>
          </w:p>
        </w:tc>
        <w:tc>
          <w:tcPr>
            <w:tcW w:type="dxa" w:w="2664"/>
          </w:tcPr>
          <w:p>
            <w:pPr>
              <w:spacing w:after="20"/>
              <w:jc w:val="right"/>
            </w:pPr>
            <w:r>
              <w:rPr>
                <w:color w:val="1C3A36"/>
                <w:sz w:val="18"/>
              </w:rPr>
              <w:t>2.64</w:t>
            </w:r>
          </w:p>
        </w:tc>
      </w:tr>
      <w:tr>
        <w:tc>
          <w:tcPr>
            <w:tcW w:type="dxa" w:w="3744"/>
          </w:tcPr>
          <w:p>
            <w:pPr>
              <w:spacing w:after="20"/>
            </w:pPr>
            <w:r>
              <w:rPr>
                <w:color w:val="1C3A36"/>
                <w:sz w:val="18"/>
              </w:rPr>
              <w:t>Median</w:t>
            </w:r>
          </w:p>
        </w:tc>
        <w:tc>
          <w:tcPr>
            <w:tcW w:type="dxa" w:w="2664"/>
          </w:tcPr>
          <w:p>
            <w:pPr>
              <w:spacing w:after="20"/>
              <w:jc w:val="right"/>
            </w:pPr>
            <w:r>
              <w:rPr>
                <w:color w:val="1C3A36"/>
                <w:sz w:val="18"/>
              </w:rPr>
              <w:t>2.84</w:t>
            </w:r>
          </w:p>
        </w:tc>
        <w:tc>
          <w:tcPr>
            <w:tcW w:type="dxa" w:w="2664"/>
          </w:tcPr>
          <w:p>
            <w:pPr>
              <w:spacing w:after="20"/>
              <w:jc w:val="right"/>
            </w:pPr>
            <w:r>
              <w:rPr>
                <w:color w:val="1C3A36"/>
                <w:sz w:val="18"/>
              </w:rPr>
              <w:t>2.86</w:t>
            </w:r>
          </w:p>
        </w:tc>
      </w:tr>
      <w:tr>
        <w:tc>
          <w:tcPr>
            <w:tcW w:type="dxa" w:w="3744"/>
          </w:tcPr>
          <w:p>
            <w:pPr>
              <w:spacing w:after="20"/>
            </w:pPr>
            <w:r>
              <w:rPr>
                <w:color w:val="1C3A36"/>
                <w:sz w:val="18"/>
              </w:rPr>
              <w:t>75th percentile</w:t>
            </w:r>
          </w:p>
        </w:tc>
        <w:tc>
          <w:tcPr>
            <w:tcW w:type="dxa" w:w="2664"/>
          </w:tcPr>
          <w:p>
            <w:pPr>
              <w:spacing w:after="20"/>
              <w:jc w:val="right"/>
            </w:pPr>
            <w:r>
              <w:rPr>
                <w:color w:val="1C3A36"/>
                <w:sz w:val="18"/>
              </w:rPr>
              <w:t>2.96</w:t>
            </w:r>
          </w:p>
        </w:tc>
        <w:tc>
          <w:tcPr>
            <w:tcW w:type="dxa" w:w="2664"/>
          </w:tcPr>
          <w:p>
            <w:pPr>
              <w:spacing w:after="20"/>
              <w:jc w:val="right"/>
            </w:pPr>
            <w:r>
              <w:rPr>
                <w:color w:val="1C3A36"/>
                <w:sz w:val="18"/>
              </w:rPr>
              <w:t>3.09</w:t>
            </w:r>
          </w:p>
        </w:tc>
      </w:tr>
      <w:tr>
        <w:tc>
          <w:tcPr>
            <w:tcW w:type="dxa" w:w="3744"/>
          </w:tcPr>
          <w:p>
            <w:pPr>
              <w:spacing w:after="20"/>
            </w:pPr>
            <w:r>
              <w:rPr>
                <w:color w:val="1C3A36"/>
                <w:sz w:val="18"/>
              </w:rPr>
              <w:t>95th percentile</w:t>
            </w:r>
          </w:p>
        </w:tc>
        <w:tc>
          <w:tcPr>
            <w:tcW w:type="dxa" w:w="2664"/>
          </w:tcPr>
          <w:p>
            <w:pPr>
              <w:spacing w:after="20"/>
              <w:jc w:val="right"/>
            </w:pPr>
            <w:r>
              <w:rPr>
                <w:color w:val="1C3A36"/>
                <w:sz w:val="18"/>
              </w:rPr>
              <w:t>3.17</w:t>
            </w:r>
          </w:p>
        </w:tc>
        <w:tc>
          <w:tcPr>
            <w:tcW w:type="dxa" w:w="2664"/>
          </w:tcPr>
          <w:p>
            <w:pPr>
              <w:spacing w:after="20"/>
              <w:jc w:val="right"/>
            </w:pPr>
            <w:r>
              <w:rPr>
                <w:color w:val="1C3A36"/>
                <w:sz w:val="18"/>
              </w:rPr>
              <w:t>3.52</w:t>
            </w:r>
          </w:p>
        </w:tc>
      </w:tr>
      <w:tr>
        <w:tc>
          <w:tcPr>
            <w:tcW w:type="dxa" w:w="3744"/>
          </w:tcPr>
          <w:p>
            <w:pPr>
              <w:spacing w:after="20"/>
            </w:pPr>
            <w:r>
              <w:rPr>
                <w:color w:val="1C3A36"/>
                <w:sz w:val="18"/>
              </w:rPr>
              <w:t>P(finish above spot)</w:t>
            </w:r>
          </w:p>
        </w:tc>
        <w:tc>
          <w:tcPr>
            <w:tcW w:type="dxa" w:w="2664"/>
          </w:tcPr>
          <w:p>
            <w:pPr>
              <w:spacing w:after="20"/>
              <w:jc w:val="right"/>
            </w:pPr>
            <w:r>
              <w:rPr>
                <w:color w:val="1C3A36"/>
                <w:sz w:val="18"/>
              </w:rPr>
              <w:t>52%</w:t>
            </w:r>
          </w:p>
        </w:tc>
        <w:tc>
          <w:tcPr>
            <w:tcW w:type="dxa" w:w="2664"/>
          </w:tcPr>
          <w:p>
            <w:pPr>
              <w:spacing w:after="20"/>
              <w:jc w:val="right"/>
            </w:pPr>
            <w:r>
              <w:rPr>
                <w:color w:val="1C3A36"/>
                <w:sz w:val="18"/>
              </w:rPr>
              <w:t>53%</w:t>
            </w:r>
          </w:p>
        </w:tc>
      </w:tr>
      <w:tr>
        <w:tc>
          <w:tcPr>
            <w:tcW w:type="dxa" w:w="3744"/>
          </w:tcPr>
          <w:p>
            <w:pPr>
              <w:spacing w:after="20"/>
            </w:pPr>
            <w:r>
              <w:rPr>
                <w:color w:val="1C3A36"/>
                <w:sz w:val="18"/>
              </w:rPr>
              <w:t>P(finish ≥ +10%)</w:t>
            </w:r>
          </w:p>
        </w:tc>
        <w:tc>
          <w:tcPr>
            <w:tcW w:type="dxa" w:w="2664"/>
          </w:tcPr>
          <w:p>
            <w:pPr>
              <w:spacing w:after="20"/>
              <w:jc w:val="right"/>
            </w:pPr>
            <w:r>
              <w:rPr>
                <w:color w:val="1C3A36"/>
                <w:sz w:val="18"/>
              </w:rPr>
              <w:t>8%</w:t>
            </w:r>
          </w:p>
        </w:tc>
        <w:tc>
          <w:tcPr>
            <w:tcW w:type="dxa" w:w="2664"/>
          </w:tcPr>
          <w:p>
            <w:pPr>
              <w:spacing w:after="20"/>
              <w:jc w:val="right"/>
            </w:pPr>
            <w:r>
              <w:rPr>
                <w:color w:val="1C3A36"/>
                <w:sz w:val="18"/>
              </w:rPr>
              <w:t>23%</w:t>
            </w:r>
          </w:p>
        </w:tc>
      </w:tr>
      <w:tr>
        <w:tc>
          <w:tcPr>
            <w:tcW w:type="dxa" w:w="3744"/>
          </w:tcPr>
          <w:p>
            <w:pPr>
              <w:spacing w:after="20"/>
            </w:pPr>
            <w:r>
              <w:rPr>
                <w:color w:val="1C3A36"/>
                <w:sz w:val="18"/>
              </w:rPr>
              <w:t>P(finish ≤ −10%)</w:t>
            </w:r>
          </w:p>
        </w:tc>
        <w:tc>
          <w:tcPr>
            <w:tcW w:type="dxa" w:w="2664"/>
          </w:tcPr>
          <w:p>
            <w:pPr>
              <w:spacing w:after="20"/>
              <w:jc w:val="right"/>
            </w:pPr>
            <w:r>
              <w:rPr>
                <w:color w:val="1C3A36"/>
                <w:sz w:val="18"/>
              </w:rPr>
              <w:t>6%</w:t>
            </w:r>
          </w:p>
        </w:tc>
        <w:tc>
          <w:tcPr>
            <w:tcW w:type="dxa" w:w="2664"/>
          </w:tcPr>
          <w:p>
            <w:pPr>
              <w:spacing w:after="20"/>
              <w:jc w:val="right"/>
            </w:pPr>
            <w:r>
              <w:rPr>
                <w:color w:val="1C3A36"/>
                <w:sz w:val="18"/>
              </w:rPr>
              <w:t>17%</w:t>
            </w:r>
          </w:p>
        </w:tc>
      </w:tr>
      <w:tr>
        <w:tc>
          <w:tcPr>
            <w:tcW w:type="dxa" w:w="3744"/>
          </w:tcPr>
          <w:p>
            <w:pPr>
              <w:spacing w:after="20"/>
            </w:pPr>
            <w:r>
              <w:rPr>
                <w:color w:val="1C3A36"/>
                <w:sz w:val="18"/>
              </w:rPr>
              <w:t>P(touch +5% at any point)</w:t>
            </w:r>
          </w:p>
        </w:tc>
        <w:tc>
          <w:tcPr>
            <w:tcW w:type="dxa" w:w="2664"/>
          </w:tcPr>
          <w:p>
            <w:pPr>
              <w:spacing w:after="20"/>
              <w:jc w:val="right"/>
            </w:pPr>
            <w:r>
              <w:rPr>
                <w:color w:val="1C3A36"/>
                <w:sz w:val="18"/>
              </w:rPr>
              <w:t>39%</w:t>
            </w:r>
          </w:p>
        </w:tc>
        <w:tc>
          <w:tcPr>
            <w:tcW w:type="dxa" w:w="2664"/>
          </w:tcPr>
          <w:p>
            <w:pPr>
              <w:spacing w:after="20"/>
              <w:jc w:val="right"/>
            </w:pPr>
            <w:r>
              <w:rPr>
                <w:color w:val="1C3A36"/>
                <w:sz w:val="18"/>
              </w:rPr>
              <w:t>65%</w:t>
            </w:r>
          </w:p>
        </w:tc>
      </w:tr>
      <w:tr>
        <w:tc>
          <w:tcPr>
            <w:tcW w:type="dxa" w:w="3744"/>
          </w:tcPr>
          <w:p>
            <w:pPr>
              <w:spacing w:after="20"/>
            </w:pPr>
            <w:r>
              <w:rPr>
                <w:color w:val="1C3A36"/>
                <w:sz w:val="18"/>
              </w:rPr>
              <w:t>P(touch −5% at any point)</w:t>
            </w:r>
          </w:p>
        </w:tc>
        <w:tc>
          <w:tcPr>
            <w:tcW w:type="dxa" w:w="2664"/>
          </w:tcPr>
          <w:p>
            <w:pPr>
              <w:spacing w:after="20"/>
              <w:jc w:val="right"/>
            </w:pPr>
            <w:r>
              <w:rPr>
                <w:color w:val="1C3A36"/>
                <w:sz w:val="18"/>
              </w:rPr>
              <w:t>35%</w:t>
            </w:r>
          </w:p>
        </w:tc>
        <w:tc>
          <w:tcPr>
            <w:tcW w:type="dxa" w:w="2664"/>
          </w:tcPr>
          <w:p>
            <w:pPr>
              <w:spacing w:after="20"/>
              <w:jc w:val="right"/>
            </w:pPr>
            <w:r>
              <w:rPr>
                <w:color w:val="1C3A36"/>
                <w:sz w:val="18"/>
              </w:rPr>
              <w:t>59%</w:t>
            </w:r>
          </w:p>
        </w:tc>
      </w:tr>
      <w:tr>
        <w:tc>
          <w:tcPr>
            <w:tcW w:type="dxa" w:w="3744"/>
          </w:tcPr>
          <w:p>
            <w:pPr>
              <w:spacing w:after="20"/>
            </w:pPr>
            <w:r>
              <w:rPr>
                <w:color w:val="1C3A36"/>
                <w:sz w:val="18"/>
              </w:rPr>
              <w:t>P(touch +10% at any point)</w:t>
            </w:r>
          </w:p>
        </w:tc>
        <w:tc>
          <w:tcPr>
            <w:tcW w:type="dxa" w:w="2664"/>
          </w:tcPr>
          <w:p>
            <w:pPr>
              <w:spacing w:after="20"/>
              <w:jc w:val="right"/>
            </w:pPr>
            <w:r>
              <w:rPr>
                <w:color w:val="1C3A36"/>
                <w:sz w:val="18"/>
              </w:rPr>
              <w:t>13%</w:t>
            </w:r>
          </w:p>
        </w:tc>
        <w:tc>
          <w:tcPr>
            <w:tcW w:type="dxa" w:w="2664"/>
          </w:tcPr>
          <w:p>
            <w:pPr>
              <w:spacing w:after="20"/>
              <w:jc w:val="right"/>
            </w:pPr>
            <w:r>
              <w:rPr>
                <w:color w:val="1C3A36"/>
                <w:sz w:val="18"/>
              </w:rPr>
              <w:t>41%</w:t>
            </w:r>
          </w:p>
        </w:tc>
      </w:tr>
      <w:tr>
        <w:tc>
          <w:tcPr>
            <w:tcW w:type="dxa" w:w="3744"/>
          </w:tcPr>
          <w:p>
            <w:pPr>
              <w:spacing w:after="20"/>
            </w:pPr>
            <w:r>
              <w:rPr>
                <w:color w:val="1C3A36"/>
                <w:sz w:val="18"/>
              </w:rPr>
              <w:t>P(touch −10% at any point)</w:t>
            </w:r>
          </w:p>
        </w:tc>
        <w:tc>
          <w:tcPr>
            <w:tcW w:type="dxa" w:w="2664"/>
          </w:tcPr>
          <w:p>
            <w:pPr>
              <w:spacing w:after="20"/>
              <w:jc w:val="right"/>
            </w:pPr>
            <w:r>
              <w:rPr>
                <w:color w:val="1C3A36"/>
                <w:sz w:val="18"/>
              </w:rPr>
              <w:t>9%</w:t>
            </w:r>
          </w:p>
        </w:tc>
        <w:tc>
          <w:tcPr>
            <w:tcW w:type="dxa" w:w="2664"/>
          </w:tcPr>
          <w:p>
            <w:pPr>
              <w:spacing w:after="20"/>
              <w:jc w:val="right"/>
            </w:pPr>
            <w:r>
              <w:rPr>
                <w:color w:val="1C3A36"/>
                <w:sz w:val="18"/>
              </w:rPr>
              <w:t>32%</w:t>
            </w:r>
          </w:p>
        </w:tc>
      </w:tr>
    </w:tbl>
    <w:p>
      <w:pPr>
        <w:spacing w:after="40"/>
      </w:pPr>
    </w:p>
    <w:p>
      <w:pPr>
        <w:spacing w:after="200" w:before="0"/>
      </w:pPr>
      <w:r>
        <w:rPr>
          <w:b w:val="0"/>
          <w:i/>
          <w:color w:val="6E7B77"/>
          <w:sz w:val="17"/>
        </w:rPr>
        <w:t>Both windows are calendar-defined: one and three calendar months from the anchor, settled on the first trading session on or after each date.</w:t>
      </w:r>
    </w:p>
    <w:p>
      <w:pPr>
        <w:spacing w:after="40"/>
        <w:jc w:val="center"/>
      </w:pPr>
      <w:r>
        <w:drawing>
          <wp:inline xmlns:a="http://schemas.openxmlformats.org/drawingml/2006/main" xmlns:pic="http://schemas.openxmlformats.org/drawingml/2006/picture">
            <wp:extent cx="4754880" cy="2377440"/>
            <wp:docPr id="5" name="Picture 5"/>
            <wp:cNvGraphicFramePr>
              <a:graphicFrameLocks noChangeAspect="1"/>
            </wp:cNvGraphicFramePr>
            <a:graphic>
              <a:graphicData uri="http://schemas.openxmlformats.org/drawingml/2006/picture">
                <pic:pic>
                  <pic:nvPicPr>
                    <pic:cNvPr id="0" name="fig5_dist.png"/>
                    <pic:cNvPicPr/>
                  </pic:nvPicPr>
                  <pic:blipFill>
                    <a:blip r:embed="rId13"/>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5 — simulated price distribution at one month.</w:t>
      </w:r>
    </w:p>
    <w:p>
      <w:pPr>
        <w:spacing w:after="40"/>
        <w:jc w:val="center"/>
      </w:pPr>
      <w:r>
        <w:drawing>
          <wp:inline xmlns:a="http://schemas.openxmlformats.org/drawingml/2006/main" xmlns:pic="http://schemas.openxmlformats.org/drawingml/2006/picture">
            <wp:extent cx="4754880" cy="2377440"/>
            <wp:docPr id="6" name="Picture 6"/>
            <wp:cNvGraphicFramePr>
              <a:graphicFrameLocks noChangeAspect="1"/>
            </wp:cNvGraphicFramePr>
            <a:graphic>
              <a:graphicData uri="http://schemas.openxmlformats.org/drawingml/2006/picture">
                <pic:pic>
                  <pic:nvPicPr>
                    <pic:cNvPr id="0" name="fig6_dist.png"/>
                    <pic:cNvPicPr/>
                  </pic:nvPicPr>
                  <pic:blipFill>
                    <a:blip r:embed="rId14"/>
                    <a:stretch>
                      <a:fillRect/>
                    </a:stretch>
                  </pic:blipFill>
                  <pic:spPr>
                    <a:xfrm>
                      <a:off x="0" y="0"/>
                      <a:ext cx="4754880" cy="2377440"/>
                    </a:xfrm>
                    <a:prstGeom prst="rect"/>
                  </pic:spPr>
                </pic:pic>
              </a:graphicData>
            </a:graphic>
          </wp:inline>
        </w:drawing>
      </w:r>
    </w:p>
    <w:p>
      <w:pPr>
        <w:spacing w:after="200" w:before="0"/>
      </w:pPr>
      <w:r>
        <w:rPr>
          <w:b w:val="0"/>
          <w:i/>
          <w:color w:val="6E7B77"/>
          <w:sz w:val="17"/>
        </w:rPr>
        <w:t>Figure 6 — simulated price distribution at three months.</w:t>
      </w:r>
    </w:p>
    <w:p>
      <w:pPr>
        <w:spacing w:after="120" w:before="280"/>
      </w:pPr>
      <w:r>
        <w:rPr>
          <w:b/>
          <w:i w:val="0"/>
          <w:color w:val="1C3A36"/>
          <w:sz w:val="30"/>
        </w:rPr>
        <w:t>4 · Comparison of the lenses</w:t>
      </w:r>
    </w:p>
    <w:p>
      <w:pPr>
        <w:spacing w:after="120" w:before="0"/>
      </w:pPr>
      <w:r>
        <w:rPr>
          <w:b w:val="0"/>
          <w:i w:val="0"/>
          <w:color w:val="1C3A36"/>
          <w:sz w:val="21"/>
        </w:rPr>
        <w:t>The gap is the story. The cash-flow lenses say AED 4.18–7.39 depending on the sales path; the market lenses say AED 1.36–2.60. That is not a rounding disagreement, and averaging it away would hide the actual decision. Three readings are possible, and the honest study prices all three. First: the market is right about the risk. Solving for the discount rate that makes the base cash flows worth AED 2.83 requires a cost of equity of 20.3% — 11.4% above the built-up rate. That is the premium of a frontier-market credit, charged to a AA-rated sovereign's own developer: a stiff but not absurd reading, given ~85% government ownership, related-party land sales and a receivable book that absorbed AED 5.4bn of cash in the first half of 2026.</w:t>
      </w:r>
    </w:p>
    <w:p>
      <w:pPr>
        <w:spacing w:after="120" w:before="0"/>
      </w:pPr>
      <w:r>
        <w:rPr>
          <w:b w:val="0"/>
          <w:i w:val="0"/>
          <w:color w:val="1C3A36"/>
          <w:sz w:val="21"/>
        </w:rPr>
        <w:t>Second: the market is pricing the run-off and a discount for control and float. The run-off DCF (AED 4.18) at a further ~30% holding-company-style discount for the 15% float and related-party revenue lands almost exactly on the market price. Third: the market lenses anchor on this year's multiple while the cash-flow lenses anchor on the contracted backlog — and 71.4% of the DCF's enterprise value sits in its terminal value, which is where scepticism belongs. The weighted central of AED 3.71 splits these readings explicitly rather than pretending they agree; what would move it decisively either way is listed in section 7.</w:t>
      </w:r>
    </w:p>
    <w:p>
      <w:pPr>
        <w:spacing w:after="40"/>
        <w:jc w:val="center"/>
      </w:pPr>
      <w:r>
        <w:drawing>
          <wp:inline xmlns:a="http://schemas.openxmlformats.org/drawingml/2006/main" xmlns:pic="http://schemas.openxmlformats.org/drawingml/2006/picture">
            <wp:extent cx="6309360" cy="2276573"/>
            <wp:docPr id="7" name="Picture 7"/>
            <wp:cNvGraphicFramePr>
              <a:graphicFrameLocks noChangeAspect="1"/>
            </wp:cNvGraphicFramePr>
            <a:graphic>
              <a:graphicData uri="http://schemas.openxmlformats.org/drawingml/2006/picture">
                <pic:pic>
                  <pic:nvPicPr>
                    <pic:cNvPr id="0" name="figD1_experts.png"/>
                    <pic:cNvPicPr/>
                  </pic:nvPicPr>
                  <pic:blipFill>
                    <a:blip r:embed="rId15"/>
                    <a:stretch>
                      <a:fillRect/>
                    </a:stretch>
                  </pic:blipFill>
                  <pic:spPr>
                    <a:xfrm>
                      <a:off x="0" y="0"/>
                      <a:ext cx="6309360" cy="2276573"/>
                    </a:xfrm>
                    <a:prstGeom prst="rect"/>
                  </pic:spPr>
                </pic:pic>
              </a:graphicData>
            </a:graphic>
          </wp:inline>
        </w:drawing>
      </w:r>
    </w:p>
    <w:p>
      <w:pPr>
        <w:spacing w:after="200" w:before="0"/>
      </w:pPr>
      <w:r>
        <w:rPr>
          <w:b w:val="0"/>
          <w:i/>
          <w:color w:val="6E7B77"/>
          <w:sz w:val="17"/>
        </w:rPr>
        <w:t>Figure 7 — three independent expert framings (Appendix C, worked in full) against the market price.</w:t>
      </w:r>
    </w:p>
    <w:p>
      <w:pPr>
        <w:spacing w:after="120" w:before="280"/>
      </w:pPr>
      <w:r>
        <w:rPr>
          <w:b/>
          <w:i w:val="0"/>
          <w:color w:val="1C3A36"/>
          <w:sz w:val="30"/>
        </w:rPr>
        <w:t>5 · Catalysts</w:t>
      </w:r>
    </w:p>
    <w:p>
      <w:pPr>
        <w:pStyle w:val="ListBullet"/>
        <w:spacing w:after="60"/>
      </w:pPr>
      <w:r>
        <w:rPr>
          <w:b/>
          <w:color w:val="1C3A36"/>
          <w:sz w:val="21"/>
        </w:rPr>
        <w:t>Results and collections.</w:t>
      </w:r>
      <w:r>
        <w:rPr>
          <w:color w:val="1C3A36"/>
          <w:sz w:val="21"/>
        </w:rPr>
        <w:t xml:space="preserve"> Full-year 2026 results (February 2027): the first full year in which the backlog conversion pace, the receivable collection and the events platform's H2 season are all visible at once.</w:t>
      </w:r>
    </w:p>
    <w:p>
      <w:pPr>
        <w:pStyle w:val="ListBullet"/>
        <w:spacing w:after="60"/>
      </w:pPr>
      <w:r>
        <w:rPr>
          <w:b/>
          <w:color w:val="1C3A36"/>
          <w:sz w:val="21"/>
        </w:rPr>
        <w:t>Related-party collections.</w:t>
      </w:r>
      <w:r>
        <w:rPr>
          <w:color w:val="1C3A36"/>
          <w:sz w:val="21"/>
        </w:rPr>
        <w:t xml:space="preserve"> Every AED of the ~AED 8bn net related-party receivable book (Department of Finance the largest counterparty) collected converts a paper claim into distributable cash and is the single cleanest de-risking signal available.</w:t>
      </w:r>
    </w:p>
    <w:p>
      <w:pPr>
        <w:pStyle w:val="ListBullet"/>
        <w:spacing w:after="60"/>
      </w:pPr>
      <w:r>
        <w:rPr>
          <w:b/>
          <w:color w:val="1C3A36"/>
          <w:sz w:val="21"/>
        </w:rPr>
        <w:t>Egypt execution.</w:t>
      </w:r>
      <w:r>
        <w:rPr>
          <w:color w:val="1C3A36"/>
          <w:sz w:val="21"/>
        </w:rPr>
        <w:t xml:space="preserve"> Ras El Hekma phase-1 delivery milestones and further precinct launches; the first launch sold AED 5.8bn across 2,109 units.</w:t>
      </w:r>
    </w:p>
    <w:p>
      <w:pPr>
        <w:pStyle w:val="ListBullet"/>
        <w:spacing w:after="60"/>
      </w:pPr>
      <w:r>
        <w:rPr>
          <w:b/>
          <w:color w:val="1C3A36"/>
          <w:sz w:val="21"/>
        </w:rPr>
        <w:t>Capital returns.</w:t>
      </w:r>
      <w:r>
        <w:rPr>
          <w:color w:val="1C3A36"/>
          <w:sz w:val="21"/>
        </w:rPr>
        <w:t xml:space="preserve"> A maiden dividend policy would force the market to price the cash flows as owner earnings; none has been announced.</w:t>
      </w:r>
    </w:p>
    <w:p>
      <w:pPr>
        <w:pStyle w:val="ListBullet"/>
        <w:spacing w:after="60"/>
      </w:pPr>
      <w:r>
        <w:rPr>
          <w:b/>
          <w:color w:val="1C3A36"/>
          <w:sz w:val="21"/>
        </w:rPr>
        <w:t>Float and flow.</w:t>
      </w:r>
      <w:r>
        <w:rPr>
          <w:color w:val="1C3A36"/>
          <w:sz w:val="21"/>
        </w:rPr>
        <w:t xml:space="preserve"> Any placement widening the ~15% free float changes the relative lens directly — index eligibility and liquidity are the mechanical constraints on the multiple.</w:t>
      </w:r>
    </w:p>
    <w:p>
      <w:pPr>
        <w:pStyle w:val="ListBullet"/>
        <w:spacing w:after="60"/>
      </w:pPr>
      <w:r>
        <w:rPr>
          <w:b/>
          <w:color w:val="1C3A36"/>
          <w:sz w:val="21"/>
        </w:rPr>
        <w:t>Rates.</w:t>
      </w:r>
      <w:r>
        <w:rPr>
          <w:color w:val="1C3A36"/>
          <w:sz w:val="21"/>
        </w:rPr>
        <w:t xml:space="preserve"> The dirham imports US policy: each cut lowers both the discount rate and mortgage-linked demand friction; the model's rates are struck off the July 2026 curve.</w:t>
      </w:r>
    </w:p>
    <w:p>
      <w:pPr>
        <w:spacing w:after="120" w:before="280"/>
      </w:pPr>
      <w:r>
        <w:rPr>
          <w:b/>
          <w:i w:val="0"/>
          <w:color w:val="1C3A36"/>
          <w:sz w:val="30"/>
        </w:rPr>
        <w:t>6 · Reading the probability zones</w:t>
      </w:r>
    </w:p>
    <w:p>
      <w:pPr>
        <w:spacing w:after="120" w:before="0"/>
      </w:pPr>
      <w:r>
        <w:rPr>
          <w:b w:val="0"/>
          <w:i w:val="0"/>
          <w:color w:val="1C3A36"/>
          <w:sz w:val="21"/>
        </w:rPr>
        <w:t>The three-month map says: a two-in-three chance the price sits between AED 2.64 and 3.09 on 2026-11-09; roughly 59% odds that AED 2.69 trades at some point (near support at 2.76); 65% odds that AED 2.97 trades (just below the 2.88 resistance). A reader holding the fundamental view of this study should not expect the map to confirm it inside a quarter: the map is calibrated to the market's realised volatility, not to the study's opinion, and at these volatilities a +31% revaluation is a multi-year event, visible first in collections, margins and the dividend decision, and only later in the tape.</w:t>
      </w:r>
    </w:p>
    <w:p>
      <w:pPr>
        <w:spacing w:after="120" w:before="280"/>
      </w:pPr>
      <w:r>
        <w:rPr>
          <w:b/>
          <w:i w:val="0"/>
          <w:color w:val="1C3A36"/>
          <w:sz w:val="30"/>
        </w:rPr>
        <w:t>7 · Caveats — what would change our mind</w:t>
      </w:r>
    </w:p>
    <w:p>
      <w:pPr>
        <w:pStyle w:val="ListBullet"/>
        <w:spacing w:after="60"/>
      </w:pPr>
      <w:r>
        <w:rPr>
          <w:b/>
          <w:color w:val="1C3A36"/>
          <w:sz w:val="21"/>
        </w:rPr>
        <w:t>Related-party pricing.</w:t>
      </w:r>
      <w:r>
        <w:rPr>
          <w:color w:val="1C3A36"/>
          <w:sz w:val="21"/>
        </w:rPr>
        <w:t xml:space="preserve"> More than half of FY2025 land-sale profit came from related-party transactions at a 67% gross margin; an arms-length repricing of that channel would cut the development margin path and with it every cash-flow lens.</w:t>
      </w:r>
    </w:p>
    <w:p>
      <w:pPr>
        <w:pStyle w:val="ListBullet"/>
        <w:spacing w:after="60"/>
      </w:pPr>
      <w:r>
        <w:rPr>
          <w:b/>
          <w:color w:val="1C3A36"/>
          <w:sz w:val="21"/>
        </w:rPr>
        <w:t>Collections.</w:t>
      </w:r>
      <w:r>
        <w:rPr>
          <w:color w:val="1C3A36"/>
          <w:sz w:val="21"/>
        </w:rPr>
        <w:t xml:space="preserve"> The first half of 2026 consumed AED 3.9bn of operating cash into receivables. If the FY2026 statements do not show that reversing, the working-capital release schedule — worth about AED 1 per share across the forecast — is wrong.</w:t>
      </w:r>
    </w:p>
    <w:p>
      <w:pPr>
        <w:pStyle w:val="ListBullet"/>
        <w:spacing w:after="60"/>
      </w:pPr>
      <w:r>
        <w:rPr>
          <w:b/>
          <w:color w:val="1C3A36"/>
          <w:sz w:val="21"/>
        </w:rPr>
        <w:t>Short clean history.</w:t>
      </w:r>
      <w:r>
        <w:rPr>
          <w:color w:val="1C3A36"/>
          <w:sz w:val="21"/>
        </w:rPr>
        <w:t xml:space="preserve"> FY2024 is a perimeter break and FY2023 belongs to a smaller predecessor: there are exactly two audited years of the modern group. Every trend read off this history carries that caveat.</w:t>
      </w:r>
    </w:p>
    <w:p>
      <w:pPr>
        <w:pStyle w:val="ListBullet"/>
        <w:spacing w:after="60"/>
      </w:pPr>
      <w:r>
        <w:rPr>
          <w:b/>
          <w:color w:val="1C3A36"/>
          <w:sz w:val="21"/>
        </w:rPr>
        <w:t>Beta.</w:t>
      </w:r>
      <w:r>
        <w:rPr>
          <w:color w:val="1C3A36"/>
          <w:sz w:val="21"/>
        </w:rPr>
        <w:t xml:space="preserve"> Beta is a stated 1.0 fallback, not a regression, because no index history proved obtainable; the 0.8–1.2 strip in section 1.9 bounds what a real regression could change.</w:t>
      </w:r>
    </w:p>
    <w:p>
      <w:pPr>
        <w:pStyle w:val="ListBullet"/>
        <w:spacing w:after="60"/>
      </w:pPr>
      <w:r>
        <w:rPr>
          <w:b/>
          <w:color w:val="1C3A36"/>
          <w:sz w:val="21"/>
        </w:rPr>
        <w:t>Terminal weight.</w:t>
      </w:r>
      <w:r>
        <w:rPr>
          <w:color w:val="1C3A36"/>
          <w:sz w:val="21"/>
        </w:rPr>
        <w:t xml:space="preserve"> 71.4% of the DCF's enterprise value is terminal. The terminal return on capital (8.5%) assumes the land bank converts to recognised profit; at FY2025's achieved return (6.1%) the terminal value roughly halves.</w:t>
      </w:r>
    </w:p>
    <w:p>
      <w:pPr>
        <w:pStyle w:val="ListBullet"/>
        <w:spacing w:after="60"/>
      </w:pPr>
      <w:r>
        <w:rPr>
          <w:b/>
          <w:color w:val="1C3A36"/>
          <w:sz w:val="21"/>
        </w:rPr>
        <w:t>Liquidity.</w:t>
      </w:r>
      <w:r>
        <w:rPr>
          <w:color w:val="1C3A36"/>
          <w:sz w:val="21"/>
        </w:rPr>
        <w:t xml:space="preserve"> The probability map is fitted to a market panel whose names are far more liquid than MODON's float; thin trading can realise gaps the model underweights.</w:t>
      </w:r>
    </w:p>
    <w:p>
      <w:pPr>
        <w:spacing w:after="120" w:before="280"/>
      </w:pPr>
      <w:r>
        <w:rPr>
          <w:b/>
          <w:i w:val="0"/>
          <w:color w:val="1C3A36"/>
          <w:sz w:val="30"/>
        </w:rPr>
        <w:t>Appendix A · Financial statements</w:t>
      </w:r>
    </w:p>
    <w:p>
      <w:pPr>
        <w:spacing w:after="80" w:before="200"/>
      </w:pPr>
      <w:r>
        <w:rPr>
          <w:b/>
          <w:i w:val="0"/>
          <w:color w:val="1C3A36"/>
          <w:sz w:val="24"/>
        </w:rPr>
        <w:t>A.1 · Income statement — three years audited, five forecast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90"/>
        <w:gridCol w:w="979"/>
        <w:gridCol w:w="979"/>
        <w:gridCol w:w="979"/>
        <w:gridCol w:w="950"/>
        <w:gridCol w:w="950"/>
        <w:gridCol w:w="950"/>
        <w:gridCol w:w="950"/>
        <w:gridCol w:w="950"/>
      </w:tblGrid>
      <w:tr>
        <w:tc>
          <w:tcPr>
            <w:tcW w:type="dxa" w:w="2390"/>
            <w:shd w:val="clear" w:color="auto" w:fill="EAF0EE"/>
          </w:tcPr>
          <w:p>
            <w:pPr>
              <w:spacing w:after="20"/>
            </w:pPr>
            <w:r>
              <w:rPr>
                <w:b/>
                <w:color w:val="1C3A36"/>
                <w:sz w:val="16"/>
              </w:rPr>
              <w:t>AED mn</w:t>
            </w:r>
          </w:p>
        </w:tc>
        <w:tc>
          <w:tcPr>
            <w:tcW w:type="dxa" w:w="979"/>
            <w:shd w:val="clear" w:color="auto" w:fill="EAF0EE"/>
          </w:tcPr>
          <w:p>
            <w:pPr>
              <w:spacing w:after="20"/>
            </w:pPr>
            <w:r>
              <w:rPr>
                <w:b/>
                <w:color w:val="1C3A36"/>
                <w:sz w:val="16"/>
              </w:rPr>
              <w:t>FY2023*</w:t>
            </w:r>
          </w:p>
        </w:tc>
        <w:tc>
          <w:tcPr>
            <w:tcW w:type="dxa" w:w="979"/>
            <w:shd w:val="clear" w:color="auto" w:fill="EAF0EE"/>
          </w:tcPr>
          <w:p>
            <w:pPr>
              <w:spacing w:after="20"/>
            </w:pPr>
            <w:r>
              <w:rPr>
                <w:b/>
                <w:color w:val="1C3A36"/>
                <w:sz w:val="16"/>
              </w:rPr>
              <w:t>FY2024**</w:t>
            </w:r>
          </w:p>
        </w:tc>
        <w:tc>
          <w:tcPr>
            <w:tcW w:type="dxa" w:w="979"/>
            <w:shd w:val="clear" w:color="auto" w:fill="EAF0EE"/>
          </w:tcPr>
          <w:p>
            <w:pPr>
              <w:spacing w:after="20"/>
            </w:pPr>
            <w:r>
              <w:rPr>
                <w:b/>
                <w:color w:val="1C3A36"/>
                <w:sz w:val="16"/>
              </w:rPr>
              <w:t>FY2025</w:t>
            </w:r>
          </w:p>
        </w:tc>
        <w:tc>
          <w:tcPr>
            <w:tcW w:type="dxa" w:w="950"/>
            <w:shd w:val="clear" w:color="auto" w:fill="EAF0EE"/>
          </w:tcPr>
          <w:p>
            <w:pPr>
              <w:spacing w:after="20"/>
            </w:pPr>
            <w:r>
              <w:rPr>
                <w:b/>
                <w:color w:val="1C3A36"/>
                <w:sz w:val="16"/>
              </w:rPr>
              <w:t>FY2026E</w:t>
            </w:r>
          </w:p>
        </w:tc>
        <w:tc>
          <w:tcPr>
            <w:tcW w:type="dxa" w:w="950"/>
            <w:shd w:val="clear" w:color="auto" w:fill="EAF0EE"/>
          </w:tcPr>
          <w:p>
            <w:pPr>
              <w:spacing w:after="20"/>
            </w:pPr>
            <w:r>
              <w:rPr>
                <w:b/>
                <w:color w:val="1C3A36"/>
                <w:sz w:val="16"/>
              </w:rPr>
              <w:t>FY2027E</w:t>
            </w:r>
          </w:p>
        </w:tc>
        <w:tc>
          <w:tcPr>
            <w:tcW w:type="dxa" w:w="950"/>
            <w:shd w:val="clear" w:color="auto" w:fill="EAF0EE"/>
          </w:tcPr>
          <w:p>
            <w:pPr>
              <w:spacing w:after="20"/>
            </w:pPr>
            <w:r>
              <w:rPr>
                <w:b/>
                <w:color w:val="1C3A36"/>
                <w:sz w:val="16"/>
              </w:rPr>
              <w:t>FY2028E</w:t>
            </w:r>
          </w:p>
        </w:tc>
        <w:tc>
          <w:tcPr>
            <w:tcW w:type="dxa" w:w="950"/>
            <w:shd w:val="clear" w:color="auto" w:fill="EAF0EE"/>
          </w:tcPr>
          <w:p>
            <w:pPr>
              <w:spacing w:after="20"/>
            </w:pPr>
            <w:r>
              <w:rPr>
                <w:b/>
                <w:color w:val="1C3A36"/>
                <w:sz w:val="16"/>
              </w:rPr>
              <w:t>FY2029E</w:t>
            </w:r>
          </w:p>
        </w:tc>
        <w:tc>
          <w:tcPr>
            <w:tcW w:type="dxa" w:w="950"/>
            <w:shd w:val="clear" w:color="auto" w:fill="EAF0EE"/>
          </w:tcPr>
          <w:p>
            <w:pPr>
              <w:spacing w:after="20"/>
            </w:pPr>
            <w:r>
              <w:rPr>
                <w:b/>
                <w:color w:val="1C3A36"/>
                <w:sz w:val="16"/>
              </w:rPr>
              <w:t>FY2030E</w:t>
            </w:r>
          </w:p>
        </w:tc>
      </w:tr>
      <w:tr>
        <w:tc>
          <w:tcPr>
            <w:tcW w:type="dxa" w:w="2390"/>
          </w:tcPr>
          <w:p>
            <w:pPr>
              <w:spacing w:after="20"/>
            </w:pPr>
            <w:r>
              <w:rPr>
                <w:color w:val="1C3A36"/>
                <w:sz w:val="16"/>
              </w:rPr>
              <w:t>Revenue</w:t>
            </w:r>
          </w:p>
        </w:tc>
        <w:tc>
          <w:tcPr>
            <w:tcW w:type="dxa" w:w="979"/>
          </w:tcPr>
          <w:p>
            <w:pPr>
              <w:spacing w:after="20"/>
              <w:jc w:val="right"/>
            </w:pPr>
            <w:r>
              <w:rPr>
                <w:color w:val="1C3A36"/>
                <w:sz w:val="16"/>
              </w:rPr>
              <w:t>994</w:t>
            </w:r>
          </w:p>
        </w:tc>
        <w:tc>
          <w:tcPr>
            <w:tcW w:type="dxa" w:w="979"/>
          </w:tcPr>
          <w:p>
            <w:pPr>
              <w:spacing w:after="20"/>
              <w:jc w:val="right"/>
            </w:pPr>
            <w:r>
              <w:rPr>
                <w:color w:val="1C3A36"/>
                <w:sz w:val="16"/>
              </w:rPr>
              <w:t>6,511</w:t>
            </w:r>
          </w:p>
        </w:tc>
        <w:tc>
          <w:tcPr>
            <w:tcW w:type="dxa" w:w="979"/>
          </w:tcPr>
          <w:p>
            <w:pPr>
              <w:spacing w:after="20"/>
              <w:jc w:val="right"/>
            </w:pPr>
            <w:r>
              <w:rPr>
                <w:color w:val="1C3A36"/>
                <w:sz w:val="16"/>
              </w:rPr>
              <w:t>13,829</w:t>
            </w:r>
          </w:p>
        </w:tc>
        <w:tc>
          <w:tcPr>
            <w:tcW w:type="dxa" w:w="950"/>
          </w:tcPr>
          <w:p>
            <w:pPr>
              <w:spacing w:after="20"/>
              <w:jc w:val="right"/>
            </w:pPr>
            <w:r>
              <w:rPr>
                <w:color w:val="1C3A36"/>
                <w:sz w:val="16"/>
              </w:rPr>
              <w:t>19,153</w:t>
            </w:r>
          </w:p>
        </w:tc>
        <w:tc>
          <w:tcPr>
            <w:tcW w:type="dxa" w:w="950"/>
          </w:tcPr>
          <w:p>
            <w:pPr>
              <w:spacing w:after="20"/>
              <w:jc w:val="right"/>
            </w:pPr>
            <w:r>
              <w:rPr>
                <w:color w:val="1C3A36"/>
                <w:sz w:val="16"/>
              </w:rPr>
              <w:t>24,863</w:t>
            </w:r>
          </w:p>
        </w:tc>
        <w:tc>
          <w:tcPr>
            <w:tcW w:type="dxa" w:w="950"/>
          </w:tcPr>
          <w:p>
            <w:pPr>
              <w:spacing w:after="20"/>
              <w:jc w:val="right"/>
            </w:pPr>
            <w:r>
              <w:rPr>
                <w:color w:val="1C3A36"/>
                <w:sz w:val="16"/>
              </w:rPr>
              <w:t>28,600</w:t>
            </w:r>
          </w:p>
        </w:tc>
        <w:tc>
          <w:tcPr>
            <w:tcW w:type="dxa" w:w="950"/>
          </w:tcPr>
          <w:p>
            <w:pPr>
              <w:spacing w:after="20"/>
              <w:jc w:val="right"/>
            </w:pPr>
            <w:r>
              <w:rPr>
                <w:color w:val="1C3A36"/>
                <w:sz w:val="16"/>
              </w:rPr>
              <w:t>30,940</w:t>
            </w:r>
          </w:p>
        </w:tc>
        <w:tc>
          <w:tcPr>
            <w:tcW w:type="dxa" w:w="950"/>
          </w:tcPr>
          <w:p>
            <w:pPr>
              <w:spacing w:after="20"/>
              <w:jc w:val="right"/>
            </w:pPr>
            <w:r>
              <w:rPr>
                <w:color w:val="1C3A36"/>
                <w:sz w:val="16"/>
              </w:rPr>
              <w:t>32,184</w:t>
            </w:r>
          </w:p>
        </w:tc>
      </w:tr>
      <w:tr>
        <w:tc>
          <w:tcPr>
            <w:tcW w:type="dxa" w:w="2390"/>
          </w:tcPr>
          <w:p>
            <w:pPr>
              <w:spacing w:after="20"/>
            </w:pPr>
            <w:r>
              <w:rPr>
                <w:color w:val="1C3A36"/>
                <w:sz w:val="16"/>
              </w:rPr>
              <w:t>Gross profit</w:t>
            </w:r>
          </w:p>
        </w:tc>
        <w:tc>
          <w:tcPr>
            <w:tcW w:type="dxa" w:w="979"/>
          </w:tcPr>
          <w:p>
            <w:pPr>
              <w:spacing w:after="20"/>
              <w:jc w:val="right"/>
            </w:pPr>
            <w:r>
              <w:rPr>
                <w:color w:val="1C3A36"/>
                <w:sz w:val="16"/>
              </w:rPr>
              <w:t>600</w:t>
            </w:r>
          </w:p>
        </w:tc>
        <w:tc>
          <w:tcPr>
            <w:tcW w:type="dxa" w:w="979"/>
          </w:tcPr>
          <w:p>
            <w:pPr>
              <w:spacing w:after="20"/>
              <w:jc w:val="right"/>
            </w:pPr>
            <w:r>
              <w:rPr>
                <w:color w:val="1C3A36"/>
                <w:sz w:val="16"/>
              </w:rPr>
              <w:t>2,317</w:t>
            </w:r>
          </w:p>
        </w:tc>
        <w:tc>
          <w:tcPr>
            <w:tcW w:type="dxa" w:w="979"/>
          </w:tcPr>
          <w:p>
            <w:pPr>
              <w:spacing w:after="20"/>
              <w:jc w:val="right"/>
            </w:pPr>
            <w:r>
              <w:rPr>
                <w:color w:val="1C3A36"/>
                <w:sz w:val="16"/>
              </w:rPr>
              <w:t>5,025</w:t>
            </w:r>
          </w:p>
        </w:tc>
        <w:tc>
          <w:tcPr>
            <w:tcW w:type="dxa" w:w="950"/>
          </w:tcPr>
          <w:p>
            <w:pPr>
              <w:spacing w:after="20"/>
              <w:jc w:val="right"/>
            </w:pPr>
            <w:r>
              <w:rPr>
                <w:color w:val="1C3A36"/>
                <w:sz w:val="16"/>
              </w:rPr>
              <w:t>6,981</w:t>
            </w:r>
          </w:p>
        </w:tc>
        <w:tc>
          <w:tcPr>
            <w:tcW w:type="dxa" w:w="950"/>
          </w:tcPr>
          <w:p>
            <w:pPr>
              <w:spacing w:after="20"/>
              <w:jc w:val="right"/>
            </w:pPr>
            <w:r>
              <w:rPr>
                <w:color w:val="1C3A36"/>
                <w:sz w:val="16"/>
              </w:rPr>
              <w:t>9,156</w:t>
            </w:r>
          </w:p>
        </w:tc>
        <w:tc>
          <w:tcPr>
            <w:tcW w:type="dxa" w:w="950"/>
          </w:tcPr>
          <w:p>
            <w:pPr>
              <w:spacing w:after="20"/>
              <w:jc w:val="right"/>
            </w:pPr>
            <w:r>
              <w:rPr>
                <w:color w:val="1C3A36"/>
                <w:sz w:val="16"/>
              </w:rPr>
              <w:t>10,460</w:t>
            </w:r>
          </w:p>
        </w:tc>
        <w:tc>
          <w:tcPr>
            <w:tcW w:type="dxa" w:w="950"/>
          </w:tcPr>
          <w:p>
            <w:pPr>
              <w:spacing w:after="20"/>
              <w:jc w:val="right"/>
            </w:pPr>
            <w:r>
              <w:rPr>
                <w:color w:val="1C3A36"/>
                <w:sz w:val="16"/>
              </w:rPr>
              <w:t>11,283</w:t>
            </w:r>
          </w:p>
        </w:tc>
        <w:tc>
          <w:tcPr>
            <w:tcW w:type="dxa" w:w="950"/>
          </w:tcPr>
          <w:p>
            <w:pPr>
              <w:spacing w:after="20"/>
              <w:jc w:val="right"/>
            </w:pPr>
            <w:r>
              <w:rPr>
                <w:color w:val="1C3A36"/>
                <w:sz w:val="16"/>
              </w:rPr>
              <w:t>11,632</w:t>
            </w:r>
          </w:p>
        </w:tc>
      </w:tr>
      <w:tr>
        <w:tc>
          <w:tcPr>
            <w:tcW w:type="dxa" w:w="2390"/>
          </w:tcPr>
          <w:p>
            <w:pPr>
              <w:spacing w:after="20"/>
            </w:pPr>
            <w:r>
              <w:rPr>
                <w:color w:val="1C3A36"/>
                <w:sz w:val="16"/>
              </w:rPr>
              <w:t>EBITDA</w:t>
            </w:r>
          </w:p>
        </w:tc>
        <w:tc>
          <w:tcPr>
            <w:tcW w:type="dxa" w:w="979"/>
          </w:tcPr>
          <w:p>
            <w:pPr>
              <w:spacing w:after="20"/>
              <w:jc w:val="right"/>
            </w:pPr>
            <w:r>
              <w:rPr>
                <w:color w:val="1C3A36"/>
                <w:sz w:val="16"/>
              </w:rPr>
              <w:t>673</w:t>
            </w:r>
          </w:p>
        </w:tc>
        <w:tc>
          <w:tcPr>
            <w:tcW w:type="dxa" w:w="979"/>
          </w:tcPr>
          <w:p>
            <w:pPr>
              <w:spacing w:after="20"/>
              <w:jc w:val="right"/>
            </w:pPr>
            <w:r>
              <w:rPr>
                <w:color w:val="1C3A36"/>
                <w:sz w:val="16"/>
              </w:rPr>
              <w:t>9,795</w:t>
            </w:r>
          </w:p>
        </w:tc>
        <w:tc>
          <w:tcPr>
            <w:tcW w:type="dxa" w:w="979"/>
          </w:tcPr>
          <w:p>
            <w:pPr>
              <w:spacing w:after="20"/>
              <w:jc w:val="right"/>
            </w:pPr>
            <w:r>
              <w:rPr>
                <w:color w:val="1C3A36"/>
                <w:sz w:val="16"/>
              </w:rPr>
              <w:t>4,896</w:t>
            </w:r>
          </w:p>
        </w:tc>
        <w:tc>
          <w:tcPr>
            <w:tcW w:type="dxa" w:w="950"/>
          </w:tcPr>
          <w:p>
            <w:pPr>
              <w:spacing w:after="20"/>
              <w:jc w:val="right"/>
            </w:pPr>
            <w:r>
              <w:rPr>
                <w:color w:val="1C3A36"/>
                <w:sz w:val="16"/>
              </w:rPr>
              <w:t>5,915</w:t>
            </w:r>
          </w:p>
        </w:tc>
        <w:tc>
          <w:tcPr>
            <w:tcW w:type="dxa" w:w="950"/>
          </w:tcPr>
          <w:p>
            <w:pPr>
              <w:spacing w:after="20"/>
              <w:jc w:val="right"/>
            </w:pPr>
            <w:r>
              <w:rPr>
                <w:color w:val="1C3A36"/>
                <w:sz w:val="16"/>
              </w:rPr>
              <w:t>7,730</w:t>
            </w:r>
          </w:p>
        </w:tc>
        <w:tc>
          <w:tcPr>
            <w:tcW w:type="dxa" w:w="950"/>
          </w:tcPr>
          <w:p>
            <w:pPr>
              <w:spacing w:after="20"/>
              <w:jc w:val="right"/>
            </w:pPr>
            <w:r>
              <w:rPr>
                <w:color w:val="1C3A36"/>
                <w:sz w:val="16"/>
              </w:rPr>
              <w:t>8,857</w:t>
            </w:r>
          </w:p>
        </w:tc>
        <w:tc>
          <w:tcPr>
            <w:tcW w:type="dxa" w:w="950"/>
          </w:tcPr>
          <w:p>
            <w:pPr>
              <w:spacing w:after="20"/>
              <w:jc w:val="right"/>
            </w:pPr>
            <w:r>
              <w:rPr>
                <w:color w:val="1C3A36"/>
                <w:sz w:val="16"/>
              </w:rPr>
              <w:t>9,571</w:t>
            </w:r>
          </w:p>
        </w:tc>
        <w:tc>
          <w:tcPr>
            <w:tcW w:type="dxa" w:w="950"/>
          </w:tcPr>
          <w:p>
            <w:pPr>
              <w:spacing w:after="20"/>
              <w:jc w:val="right"/>
            </w:pPr>
            <w:r>
              <w:rPr>
                <w:color w:val="1C3A36"/>
                <w:sz w:val="16"/>
              </w:rPr>
              <w:t>9,913</w:t>
            </w:r>
          </w:p>
        </w:tc>
      </w:tr>
      <w:tr>
        <w:tc>
          <w:tcPr>
            <w:tcW w:type="dxa" w:w="2390"/>
          </w:tcPr>
          <w:p>
            <w:pPr>
              <w:spacing w:after="20"/>
            </w:pPr>
            <w:r>
              <w:rPr>
                <w:color w:val="1C3A36"/>
                <w:sz w:val="16"/>
              </w:rPr>
              <w:t>Depreciation &amp; amortisation</w:t>
            </w:r>
          </w:p>
        </w:tc>
        <w:tc>
          <w:tcPr>
            <w:tcW w:type="dxa" w:w="979"/>
          </w:tcPr>
          <w:p>
            <w:pPr>
              <w:spacing w:after="20"/>
              <w:jc w:val="right"/>
            </w:pPr>
            <w:r>
              <w:rPr>
                <w:color w:val="1C3A36"/>
                <w:sz w:val="16"/>
              </w:rPr>
              <w:t>28</w:t>
            </w:r>
          </w:p>
        </w:tc>
        <w:tc>
          <w:tcPr>
            <w:tcW w:type="dxa" w:w="979"/>
          </w:tcPr>
          <w:p>
            <w:pPr>
              <w:spacing w:after="20"/>
              <w:jc w:val="right"/>
            </w:pPr>
            <w:r>
              <w:rPr>
                <w:color w:val="1C3A36"/>
                <w:sz w:val="16"/>
              </w:rPr>
              <w:t>265</w:t>
            </w:r>
          </w:p>
        </w:tc>
        <w:tc>
          <w:tcPr>
            <w:tcW w:type="dxa" w:w="979"/>
          </w:tcPr>
          <w:p>
            <w:pPr>
              <w:spacing w:after="20"/>
              <w:jc w:val="right"/>
            </w:pPr>
            <w:r>
              <w:rPr>
                <w:color w:val="1C3A36"/>
                <w:sz w:val="16"/>
              </w:rPr>
              <w:t>610</w:t>
            </w:r>
          </w:p>
        </w:tc>
        <w:tc>
          <w:tcPr>
            <w:tcW w:type="dxa" w:w="950"/>
          </w:tcPr>
          <w:p>
            <w:pPr>
              <w:spacing w:after="20"/>
              <w:jc w:val="right"/>
            </w:pPr>
            <w:r>
              <w:rPr>
                <w:color w:val="1C3A36"/>
                <w:sz w:val="16"/>
              </w:rPr>
              <w:t>804</w:t>
            </w:r>
          </w:p>
        </w:tc>
        <w:tc>
          <w:tcPr>
            <w:tcW w:type="dxa" w:w="950"/>
          </w:tcPr>
          <w:p>
            <w:pPr>
              <w:spacing w:after="20"/>
              <w:jc w:val="right"/>
            </w:pPr>
            <w:r>
              <w:rPr>
                <w:color w:val="1C3A36"/>
                <w:sz w:val="16"/>
              </w:rPr>
              <w:t>1,044</w:t>
            </w:r>
          </w:p>
        </w:tc>
        <w:tc>
          <w:tcPr>
            <w:tcW w:type="dxa" w:w="950"/>
          </w:tcPr>
          <w:p>
            <w:pPr>
              <w:spacing w:after="20"/>
              <w:jc w:val="right"/>
            </w:pPr>
            <w:r>
              <w:rPr>
                <w:color w:val="1C3A36"/>
                <w:sz w:val="16"/>
              </w:rPr>
              <w:t>1,201</w:t>
            </w:r>
          </w:p>
        </w:tc>
        <w:tc>
          <w:tcPr>
            <w:tcW w:type="dxa" w:w="950"/>
          </w:tcPr>
          <w:p>
            <w:pPr>
              <w:spacing w:after="20"/>
              <w:jc w:val="right"/>
            </w:pPr>
            <w:r>
              <w:rPr>
                <w:color w:val="1C3A36"/>
                <w:sz w:val="16"/>
              </w:rPr>
              <w:t>1,299</w:t>
            </w:r>
          </w:p>
        </w:tc>
        <w:tc>
          <w:tcPr>
            <w:tcW w:type="dxa" w:w="950"/>
          </w:tcPr>
          <w:p>
            <w:pPr>
              <w:spacing w:after="20"/>
              <w:jc w:val="right"/>
            </w:pPr>
            <w:r>
              <w:rPr>
                <w:color w:val="1C3A36"/>
                <w:sz w:val="16"/>
              </w:rPr>
              <w:t>1,352</w:t>
            </w:r>
          </w:p>
        </w:tc>
      </w:tr>
      <w:tr>
        <w:tc>
          <w:tcPr>
            <w:tcW w:type="dxa" w:w="2390"/>
          </w:tcPr>
          <w:p>
            <w:pPr>
              <w:spacing w:after="20"/>
            </w:pPr>
            <w:r>
              <w:rPr>
                <w:color w:val="1C3A36"/>
                <w:sz w:val="16"/>
              </w:rPr>
              <w:t>EBIT</w:t>
            </w:r>
          </w:p>
        </w:tc>
        <w:tc>
          <w:tcPr>
            <w:tcW w:type="dxa" w:w="979"/>
          </w:tcPr>
          <w:p>
            <w:pPr>
              <w:spacing w:after="20"/>
              <w:jc w:val="right"/>
            </w:pPr>
            <w:r>
              <w:rPr>
                <w:color w:val="1C3A36"/>
                <w:sz w:val="16"/>
              </w:rPr>
              <w:t>646</w:t>
            </w:r>
          </w:p>
        </w:tc>
        <w:tc>
          <w:tcPr>
            <w:tcW w:type="dxa" w:w="979"/>
          </w:tcPr>
          <w:p>
            <w:pPr>
              <w:spacing w:after="20"/>
              <w:jc w:val="right"/>
            </w:pPr>
            <w:r>
              <w:rPr>
                <w:color w:val="1C3A36"/>
                <w:sz w:val="16"/>
              </w:rPr>
              <w:t>9,530</w:t>
            </w:r>
          </w:p>
        </w:tc>
        <w:tc>
          <w:tcPr>
            <w:tcW w:type="dxa" w:w="979"/>
          </w:tcPr>
          <w:p>
            <w:pPr>
              <w:spacing w:after="20"/>
              <w:jc w:val="right"/>
            </w:pPr>
            <w:r>
              <w:rPr>
                <w:color w:val="1C3A36"/>
                <w:sz w:val="16"/>
              </w:rPr>
              <w:t>4,285</w:t>
            </w:r>
          </w:p>
        </w:tc>
        <w:tc>
          <w:tcPr>
            <w:tcW w:type="dxa" w:w="950"/>
          </w:tcPr>
          <w:p>
            <w:pPr>
              <w:spacing w:after="20"/>
              <w:jc w:val="right"/>
            </w:pPr>
            <w:r>
              <w:rPr>
                <w:color w:val="1C3A36"/>
                <w:sz w:val="16"/>
              </w:rPr>
              <w:t>5,111</w:t>
            </w:r>
          </w:p>
        </w:tc>
        <w:tc>
          <w:tcPr>
            <w:tcW w:type="dxa" w:w="950"/>
          </w:tcPr>
          <w:p>
            <w:pPr>
              <w:spacing w:after="20"/>
              <w:jc w:val="right"/>
            </w:pPr>
            <w:r>
              <w:rPr>
                <w:color w:val="1C3A36"/>
                <w:sz w:val="16"/>
              </w:rPr>
              <w:t>6,686</w:t>
            </w:r>
          </w:p>
        </w:tc>
        <w:tc>
          <w:tcPr>
            <w:tcW w:type="dxa" w:w="950"/>
          </w:tcPr>
          <w:p>
            <w:pPr>
              <w:spacing w:after="20"/>
              <w:jc w:val="right"/>
            </w:pPr>
            <w:r>
              <w:rPr>
                <w:color w:val="1C3A36"/>
                <w:sz w:val="16"/>
              </w:rPr>
              <w:t>7,655</w:t>
            </w:r>
          </w:p>
        </w:tc>
        <w:tc>
          <w:tcPr>
            <w:tcW w:type="dxa" w:w="950"/>
          </w:tcPr>
          <w:p>
            <w:pPr>
              <w:spacing w:after="20"/>
              <w:jc w:val="right"/>
            </w:pPr>
            <w:r>
              <w:rPr>
                <w:color w:val="1C3A36"/>
                <w:sz w:val="16"/>
              </w:rPr>
              <w:t>8,271</w:t>
            </w:r>
          </w:p>
        </w:tc>
        <w:tc>
          <w:tcPr>
            <w:tcW w:type="dxa" w:w="950"/>
          </w:tcPr>
          <w:p>
            <w:pPr>
              <w:spacing w:after="20"/>
              <w:jc w:val="right"/>
            </w:pPr>
            <w:r>
              <w:rPr>
                <w:color w:val="1C3A36"/>
                <w:sz w:val="16"/>
              </w:rPr>
              <w:t>8,561</w:t>
            </w:r>
          </w:p>
        </w:tc>
      </w:tr>
      <w:tr>
        <w:tc>
          <w:tcPr>
            <w:tcW w:type="dxa" w:w="2390"/>
          </w:tcPr>
          <w:p>
            <w:pPr>
              <w:spacing w:after="20"/>
            </w:pPr>
            <w:r>
              <w:rPr>
                <w:color w:val="1C3A36"/>
                <w:sz w:val="16"/>
              </w:rPr>
              <w:t>Net finance result</w:t>
            </w:r>
          </w:p>
        </w:tc>
        <w:tc>
          <w:tcPr>
            <w:tcW w:type="dxa" w:w="979"/>
          </w:tcPr>
          <w:p>
            <w:pPr>
              <w:spacing w:after="20"/>
              <w:jc w:val="right"/>
            </w:pPr>
            <w:r>
              <w:rPr>
                <w:color w:val="1C3A36"/>
                <w:sz w:val="16"/>
              </w:rPr>
              <w:t>9</w:t>
            </w:r>
          </w:p>
        </w:tc>
        <w:tc>
          <w:tcPr>
            <w:tcW w:type="dxa" w:w="979"/>
          </w:tcPr>
          <w:p>
            <w:pPr>
              <w:spacing w:after="20"/>
              <w:jc w:val="right"/>
            </w:pPr>
            <w:r>
              <w:rPr>
                <w:color w:val="1C3A36"/>
                <w:sz w:val="16"/>
              </w:rPr>
              <w:t>-157</w:t>
            </w:r>
          </w:p>
        </w:tc>
        <w:tc>
          <w:tcPr>
            <w:tcW w:type="dxa" w:w="979"/>
          </w:tcPr>
          <w:p>
            <w:pPr>
              <w:spacing w:after="20"/>
              <w:jc w:val="right"/>
            </w:pPr>
            <w:r>
              <w:rPr>
                <w:color w:val="1C3A36"/>
                <w:sz w:val="16"/>
              </w:rPr>
              <w:t>-127</w:t>
            </w:r>
          </w:p>
        </w:tc>
        <w:tc>
          <w:tcPr>
            <w:tcW w:type="dxa" w:w="950"/>
          </w:tcPr>
          <w:p>
            <w:pPr>
              <w:spacing w:after="20"/>
              <w:jc w:val="right"/>
            </w:pPr>
            <w:r>
              <w:rPr>
                <w:color w:val="1C3A36"/>
                <w:sz w:val="16"/>
              </w:rPr>
              <w:t>-34</w:t>
            </w:r>
          </w:p>
        </w:tc>
        <w:tc>
          <w:tcPr>
            <w:tcW w:type="dxa" w:w="950"/>
          </w:tcPr>
          <w:p>
            <w:pPr>
              <w:spacing w:after="20"/>
              <w:jc w:val="right"/>
            </w:pPr>
            <w:r>
              <w:rPr>
                <w:color w:val="1C3A36"/>
                <w:sz w:val="16"/>
              </w:rPr>
              <w:t>60</w:t>
            </w:r>
          </w:p>
        </w:tc>
        <w:tc>
          <w:tcPr>
            <w:tcW w:type="dxa" w:w="950"/>
          </w:tcPr>
          <w:p>
            <w:pPr>
              <w:spacing w:after="20"/>
              <w:jc w:val="right"/>
            </w:pPr>
            <w:r>
              <w:rPr>
                <w:color w:val="1C3A36"/>
                <w:sz w:val="16"/>
              </w:rPr>
              <w:t>291</w:t>
            </w:r>
          </w:p>
        </w:tc>
        <w:tc>
          <w:tcPr>
            <w:tcW w:type="dxa" w:w="950"/>
          </w:tcPr>
          <w:p>
            <w:pPr>
              <w:spacing w:after="20"/>
              <w:jc w:val="right"/>
            </w:pPr>
            <w:r>
              <w:rPr>
                <w:color w:val="1C3A36"/>
                <w:sz w:val="16"/>
              </w:rPr>
              <w:t>572</w:t>
            </w:r>
          </w:p>
        </w:tc>
        <w:tc>
          <w:tcPr>
            <w:tcW w:type="dxa" w:w="950"/>
          </w:tcPr>
          <w:p>
            <w:pPr>
              <w:spacing w:after="20"/>
              <w:jc w:val="right"/>
            </w:pPr>
            <w:r>
              <w:rPr>
                <w:color w:val="1C3A36"/>
                <w:sz w:val="16"/>
              </w:rPr>
              <w:t>888</w:t>
            </w:r>
          </w:p>
        </w:tc>
      </w:tr>
      <w:tr>
        <w:tc>
          <w:tcPr>
            <w:tcW w:type="dxa" w:w="2390"/>
          </w:tcPr>
          <w:p>
            <w:pPr>
              <w:spacing w:after="20"/>
            </w:pPr>
            <w:r>
              <w:rPr>
                <w:color w:val="1C3A36"/>
                <w:sz w:val="16"/>
              </w:rPr>
              <w:t>Associates &amp; joint ventures</w:t>
            </w:r>
          </w:p>
        </w:tc>
        <w:tc>
          <w:tcPr>
            <w:tcW w:type="dxa" w:w="979"/>
          </w:tcPr>
          <w:p>
            <w:pPr>
              <w:spacing w:after="20"/>
              <w:jc w:val="right"/>
            </w:pPr>
            <w:r>
              <w:rPr>
                <w:color w:val="1C3A36"/>
                <w:sz w:val="16"/>
              </w:rPr>
              <w:t>-1</w:t>
            </w:r>
          </w:p>
        </w:tc>
        <w:tc>
          <w:tcPr>
            <w:tcW w:type="dxa" w:w="979"/>
          </w:tcPr>
          <w:p>
            <w:pPr>
              <w:spacing w:after="20"/>
              <w:jc w:val="right"/>
            </w:pPr>
            <w:r>
              <w:rPr>
                <w:color w:val="1C3A36"/>
                <w:sz w:val="16"/>
              </w:rPr>
              <w:t>115</w:t>
            </w:r>
          </w:p>
        </w:tc>
        <w:tc>
          <w:tcPr>
            <w:tcW w:type="dxa" w:w="979"/>
          </w:tcPr>
          <w:p>
            <w:pPr>
              <w:spacing w:after="20"/>
              <w:jc w:val="right"/>
            </w:pPr>
            <w:r>
              <w:rPr>
                <w:color w:val="1C3A36"/>
                <w:sz w:val="16"/>
              </w:rPr>
              <w:t>264</w:t>
            </w:r>
          </w:p>
        </w:tc>
        <w:tc>
          <w:tcPr>
            <w:tcW w:type="dxa" w:w="950"/>
          </w:tcPr>
          <w:p>
            <w:pPr>
              <w:spacing w:after="20"/>
              <w:jc w:val="right"/>
            </w:pPr>
            <w:r>
              <w:rPr>
                <w:color w:val="1C3A36"/>
                <w:sz w:val="16"/>
              </w:rPr>
              <w:t>200</w:t>
            </w:r>
          </w:p>
        </w:tc>
        <w:tc>
          <w:tcPr>
            <w:tcW w:type="dxa" w:w="950"/>
          </w:tcPr>
          <w:p>
            <w:pPr>
              <w:spacing w:after="20"/>
              <w:jc w:val="right"/>
            </w:pPr>
            <w:r>
              <w:rPr>
                <w:color w:val="1C3A36"/>
                <w:sz w:val="16"/>
              </w:rPr>
              <w:t>216</w:t>
            </w:r>
          </w:p>
        </w:tc>
        <w:tc>
          <w:tcPr>
            <w:tcW w:type="dxa" w:w="950"/>
          </w:tcPr>
          <w:p>
            <w:pPr>
              <w:spacing w:after="20"/>
              <w:jc w:val="right"/>
            </w:pPr>
            <w:r>
              <w:rPr>
                <w:color w:val="1C3A36"/>
                <w:sz w:val="16"/>
              </w:rPr>
              <w:t>233</w:t>
            </w:r>
          </w:p>
        </w:tc>
        <w:tc>
          <w:tcPr>
            <w:tcW w:type="dxa" w:w="950"/>
          </w:tcPr>
          <w:p>
            <w:pPr>
              <w:spacing w:after="20"/>
              <w:jc w:val="right"/>
            </w:pPr>
            <w:r>
              <w:rPr>
                <w:color w:val="1C3A36"/>
                <w:sz w:val="16"/>
              </w:rPr>
              <w:t>252</w:t>
            </w:r>
          </w:p>
        </w:tc>
        <w:tc>
          <w:tcPr>
            <w:tcW w:type="dxa" w:w="950"/>
          </w:tcPr>
          <w:p>
            <w:pPr>
              <w:spacing w:after="20"/>
              <w:jc w:val="right"/>
            </w:pPr>
            <w:r>
              <w:rPr>
                <w:color w:val="1C3A36"/>
                <w:sz w:val="16"/>
              </w:rPr>
              <w:t>272</w:t>
            </w:r>
          </w:p>
        </w:tc>
      </w:tr>
      <w:tr>
        <w:tc>
          <w:tcPr>
            <w:tcW w:type="dxa" w:w="2390"/>
          </w:tcPr>
          <w:p>
            <w:pPr>
              <w:spacing w:after="20"/>
            </w:pPr>
            <w:r>
              <w:rPr>
                <w:color w:val="1C3A36"/>
                <w:sz w:val="16"/>
              </w:rPr>
              <w:t>Profit before tax</w:t>
            </w:r>
          </w:p>
        </w:tc>
        <w:tc>
          <w:tcPr>
            <w:tcW w:type="dxa" w:w="979"/>
          </w:tcPr>
          <w:p>
            <w:pPr>
              <w:spacing w:after="20"/>
              <w:jc w:val="right"/>
            </w:pPr>
            <w:r>
              <w:rPr>
                <w:color w:val="1C3A36"/>
                <w:sz w:val="16"/>
              </w:rPr>
              <w:t>653</w:t>
            </w:r>
          </w:p>
        </w:tc>
        <w:tc>
          <w:tcPr>
            <w:tcW w:type="dxa" w:w="979"/>
          </w:tcPr>
          <w:p>
            <w:pPr>
              <w:spacing w:after="20"/>
              <w:jc w:val="right"/>
            </w:pPr>
            <w:r>
              <w:rPr>
                <w:color w:val="1C3A36"/>
                <w:sz w:val="16"/>
              </w:rPr>
              <w:t>9,488</w:t>
            </w:r>
          </w:p>
        </w:tc>
        <w:tc>
          <w:tcPr>
            <w:tcW w:type="dxa" w:w="979"/>
          </w:tcPr>
          <w:p>
            <w:pPr>
              <w:spacing w:after="20"/>
              <w:jc w:val="right"/>
            </w:pPr>
            <w:r>
              <w:rPr>
                <w:color w:val="1C3A36"/>
                <w:sz w:val="16"/>
              </w:rPr>
              <w:t>4,421</w:t>
            </w:r>
          </w:p>
        </w:tc>
        <w:tc>
          <w:tcPr>
            <w:tcW w:type="dxa" w:w="950"/>
          </w:tcPr>
          <w:p>
            <w:pPr>
              <w:spacing w:after="20"/>
              <w:jc w:val="right"/>
            </w:pPr>
            <w:r>
              <w:rPr>
                <w:color w:val="1C3A36"/>
                <w:sz w:val="16"/>
              </w:rPr>
              <w:t>5,277</w:t>
            </w:r>
          </w:p>
        </w:tc>
        <w:tc>
          <w:tcPr>
            <w:tcW w:type="dxa" w:w="950"/>
          </w:tcPr>
          <w:p>
            <w:pPr>
              <w:spacing w:after="20"/>
              <w:jc w:val="right"/>
            </w:pPr>
            <w:r>
              <w:rPr>
                <w:color w:val="1C3A36"/>
                <w:sz w:val="16"/>
              </w:rPr>
              <w:t>6,961</w:t>
            </w:r>
          </w:p>
        </w:tc>
        <w:tc>
          <w:tcPr>
            <w:tcW w:type="dxa" w:w="950"/>
          </w:tcPr>
          <w:p>
            <w:pPr>
              <w:spacing w:after="20"/>
              <w:jc w:val="right"/>
            </w:pPr>
            <w:r>
              <w:rPr>
                <w:color w:val="1C3A36"/>
                <w:sz w:val="16"/>
              </w:rPr>
              <w:t>8,179</w:t>
            </w:r>
          </w:p>
        </w:tc>
        <w:tc>
          <w:tcPr>
            <w:tcW w:type="dxa" w:w="950"/>
          </w:tcPr>
          <w:p>
            <w:pPr>
              <w:spacing w:after="20"/>
              <w:jc w:val="right"/>
            </w:pPr>
            <w:r>
              <w:rPr>
                <w:color w:val="1C3A36"/>
                <w:sz w:val="16"/>
              </w:rPr>
              <w:t>9,096</w:t>
            </w:r>
          </w:p>
        </w:tc>
        <w:tc>
          <w:tcPr>
            <w:tcW w:type="dxa" w:w="950"/>
          </w:tcPr>
          <w:p>
            <w:pPr>
              <w:spacing w:after="20"/>
              <w:jc w:val="right"/>
            </w:pPr>
            <w:r>
              <w:rPr>
                <w:color w:val="1C3A36"/>
                <w:sz w:val="16"/>
              </w:rPr>
              <w:t>9,721</w:t>
            </w:r>
          </w:p>
        </w:tc>
      </w:tr>
      <w:tr>
        <w:tc>
          <w:tcPr>
            <w:tcW w:type="dxa" w:w="2390"/>
          </w:tcPr>
          <w:p>
            <w:pPr>
              <w:spacing w:after="20"/>
            </w:pPr>
            <w:r>
              <w:rPr>
                <w:color w:val="1C3A36"/>
                <w:sz w:val="16"/>
              </w:rPr>
              <w:t>Income tax</w:t>
            </w:r>
          </w:p>
        </w:tc>
        <w:tc>
          <w:tcPr>
            <w:tcW w:type="dxa" w:w="979"/>
          </w:tcPr>
          <w:p>
            <w:pPr>
              <w:spacing w:after="20"/>
              <w:jc w:val="right"/>
            </w:pPr>
            <w:r>
              <w:rPr>
                <w:color w:val="1C3A36"/>
                <w:sz w:val="16"/>
              </w:rPr>
              <w:t>-80</w:t>
            </w:r>
          </w:p>
        </w:tc>
        <w:tc>
          <w:tcPr>
            <w:tcW w:type="dxa" w:w="979"/>
          </w:tcPr>
          <w:p>
            <w:pPr>
              <w:spacing w:after="20"/>
              <w:jc w:val="right"/>
            </w:pPr>
            <w:r>
              <w:rPr>
                <w:color w:val="1C3A36"/>
                <w:sz w:val="16"/>
              </w:rPr>
              <w:t>-99</w:t>
            </w:r>
          </w:p>
        </w:tc>
        <w:tc>
          <w:tcPr>
            <w:tcW w:type="dxa" w:w="979"/>
          </w:tcPr>
          <w:p>
            <w:pPr>
              <w:spacing w:after="20"/>
              <w:jc w:val="right"/>
            </w:pPr>
            <w:r>
              <w:rPr>
                <w:color w:val="1C3A36"/>
                <w:sz w:val="16"/>
              </w:rPr>
              <w:t>-495</w:t>
            </w:r>
          </w:p>
        </w:tc>
        <w:tc>
          <w:tcPr>
            <w:tcW w:type="dxa" w:w="950"/>
          </w:tcPr>
          <w:p>
            <w:pPr>
              <w:spacing w:after="20"/>
              <w:jc w:val="right"/>
            </w:pPr>
            <w:r>
              <w:rPr>
                <w:color w:val="1C3A36"/>
                <w:sz w:val="16"/>
              </w:rPr>
              <w:t>-818</w:t>
            </w:r>
          </w:p>
        </w:tc>
        <w:tc>
          <w:tcPr>
            <w:tcW w:type="dxa" w:w="950"/>
          </w:tcPr>
          <w:p>
            <w:pPr>
              <w:spacing w:after="20"/>
              <w:jc w:val="right"/>
            </w:pPr>
            <w:r>
              <w:rPr>
                <w:color w:val="1C3A36"/>
                <w:sz w:val="16"/>
              </w:rPr>
              <w:t>-1,079</w:t>
            </w:r>
          </w:p>
        </w:tc>
        <w:tc>
          <w:tcPr>
            <w:tcW w:type="dxa" w:w="950"/>
          </w:tcPr>
          <w:p>
            <w:pPr>
              <w:spacing w:after="20"/>
              <w:jc w:val="right"/>
            </w:pPr>
            <w:r>
              <w:rPr>
                <w:color w:val="1C3A36"/>
                <w:sz w:val="16"/>
              </w:rPr>
              <w:t>-1,268</w:t>
            </w:r>
          </w:p>
        </w:tc>
        <w:tc>
          <w:tcPr>
            <w:tcW w:type="dxa" w:w="950"/>
          </w:tcPr>
          <w:p>
            <w:pPr>
              <w:spacing w:after="20"/>
              <w:jc w:val="right"/>
            </w:pPr>
            <w:r>
              <w:rPr>
                <w:color w:val="1C3A36"/>
                <w:sz w:val="16"/>
              </w:rPr>
              <w:t>-1,410</w:t>
            </w:r>
          </w:p>
        </w:tc>
        <w:tc>
          <w:tcPr>
            <w:tcW w:type="dxa" w:w="950"/>
          </w:tcPr>
          <w:p>
            <w:pPr>
              <w:spacing w:after="20"/>
              <w:jc w:val="right"/>
            </w:pPr>
            <w:r>
              <w:rPr>
                <w:color w:val="1C3A36"/>
                <w:sz w:val="16"/>
              </w:rPr>
              <w:t>-1,507</w:t>
            </w:r>
          </w:p>
        </w:tc>
      </w:tr>
      <w:tr>
        <w:tc>
          <w:tcPr>
            <w:tcW w:type="dxa" w:w="2390"/>
            <w:shd w:val="clear" w:color="auto" w:fill="F6F1E6"/>
          </w:tcPr>
          <w:p>
            <w:pPr>
              <w:spacing w:after="20"/>
            </w:pPr>
            <w:r>
              <w:rPr>
                <w:b/>
                <w:color w:val="1C3A36"/>
                <w:sz w:val="16"/>
              </w:rPr>
              <w:t>Profit for the year</w:t>
            </w:r>
          </w:p>
        </w:tc>
        <w:tc>
          <w:tcPr>
            <w:tcW w:type="dxa" w:w="979"/>
            <w:shd w:val="clear" w:color="auto" w:fill="F6F1E6"/>
          </w:tcPr>
          <w:p>
            <w:pPr>
              <w:spacing w:after="20"/>
              <w:jc w:val="right"/>
            </w:pPr>
            <w:r>
              <w:rPr>
                <w:b/>
                <w:color w:val="1C3A36"/>
                <w:sz w:val="16"/>
              </w:rPr>
              <w:t>574</w:t>
            </w:r>
          </w:p>
        </w:tc>
        <w:tc>
          <w:tcPr>
            <w:tcW w:type="dxa" w:w="979"/>
            <w:shd w:val="clear" w:color="auto" w:fill="F6F1E6"/>
          </w:tcPr>
          <w:p>
            <w:pPr>
              <w:spacing w:after="20"/>
              <w:jc w:val="right"/>
            </w:pPr>
            <w:r>
              <w:rPr>
                <w:b/>
                <w:color w:val="1C3A36"/>
                <w:sz w:val="16"/>
              </w:rPr>
              <w:t>9,389</w:t>
            </w:r>
          </w:p>
        </w:tc>
        <w:tc>
          <w:tcPr>
            <w:tcW w:type="dxa" w:w="979"/>
            <w:shd w:val="clear" w:color="auto" w:fill="F6F1E6"/>
          </w:tcPr>
          <w:p>
            <w:pPr>
              <w:spacing w:after="20"/>
              <w:jc w:val="right"/>
            </w:pPr>
            <w:r>
              <w:rPr>
                <w:b/>
                <w:color w:val="1C3A36"/>
                <w:sz w:val="16"/>
              </w:rPr>
              <w:t>3,926</w:t>
            </w:r>
          </w:p>
        </w:tc>
        <w:tc>
          <w:tcPr>
            <w:tcW w:type="dxa" w:w="950"/>
            <w:shd w:val="clear" w:color="auto" w:fill="F6F1E6"/>
          </w:tcPr>
          <w:p>
            <w:pPr>
              <w:spacing w:after="20"/>
              <w:jc w:val="right"/>
            </w:pPr>
            <w:r>
              <w:rPr>
                <w:b/>
                <w:color w:val="1C3A36"/>
                <w:sz w:val="16"/>
              </w:rPr>
              <w:t>4,459</w:t>
            </w:r>
          </w:p>
        </w:tc>
        <w:tc>
          <w:tcPr>
            <w:tcW w:type="dxa" w:w="950"/>
            <w:shd w:val="clear" w:color="auto" w:fill="F6F1E6"/>
          </w:tcPr>
          <w:p>
            <w:pPr>
              <w:spacing w:after="20"/>
              <w:jc w:val="right"/>
            </w:pPr>
            <w:r>
              <w:rPr>
                <w:b/>
                <w:color w:val="1C3A36"/>
                <w:sz w:val="16"/>
              </w:rPr>
              <w:t>5,882</w:t>
            </w:r>
          </w:p>
        </w:tc>
        <w:tc>
          <w:tcPr>
            <w:tcW w:type="dxa" w:w="950"/>
            <w:shd w:val="clear" w:color="auto" w:fill="F6F1E6"/>
          </w:tcPr>
          <w:p>
            <w:pPr>
              <w:spacing w:after="20"/>
              <w:jc w:val="right"/>
            </w:pPr>
            <w:r>
              <w:rPr>
                <w:b/>
                <w:color w:val="1C3A36"/>
                <w:sz w:val="16"/>
              </w:rPr>
              <w:t>6,911</w:t>
            </w:r>
          </w:p>
        </w:tc>
        <w:tc>
          <w:tcPr>
            <w:tcW w:type="dxa" w:w="950"/>
            <w:shd w:val="clear" w:color="auto" w:fill="F6F1E6"/>
          </w:tcPr>
          <w:p>
            <w:pPr>
              <w:spacing w:after="20"/>
              <w:jc w:val="right"/>
            </w:pPr>
            <w:r>
              <w:rPr>
                <w:b/>
                <w:color w:val="1C3A36"/>
                <w:sz w:val="16"/>
              </w:rPr>
              <w:t>7,686</w:t>
            </w:r>
          </w:p>
        </w:tc>
        <w:tc>
          <w:tcPr>
            <w:tcW w:type="dxa" w:w="950"/>
            <w:shd w:val="clear" w:color="auto" w:fill="F6F1E6"/>
          </w:tcPr>
          <w:p>
            <w:pPr>
              <w:spacing w:after="20"/>
              <w:jc w:val="right"/>
            </w:pPr>
            <w:r>
              <w:rPr>
                <w:b/>
                <w:color w:val="1C3A36"/>
                <w:sz w:val="16"/>
              </w:rPr>
              <w:t>8,214</w:t>
            </w:r>
          </w:p>
        </w:tc>
      </w:tr>
      <w:tr>
        <w:tc>
          <w:tcPr>
            <w:tcW w:type="dxa" w:w="2390"/>
          </w:tcPr>
          <w:p>
            <w:pPr>
              <w:spacing w:after="20"/>
            </w:pPr>
            <w:r>
              <w:rPr>
                <w:color w:val="1C3A36"/>
                <w:sz w:val="16"/>
              </w:rPr>
              <w:t>Attributable to owners</w:t>
            </w:r>
          </w:p>
        </w:tc>
        <w:tc>
          <w:tcPr>
            <w:tcW w:type="dxa" w:w="979"/>
          </w:tcPr>
          <w:p>
            <w:pPr>
              <w:spacing w:after="20"/>
              <w:jc w:val="right"/>
            </w:pPr>
            <w:r>
              <w:rPr>
                <w:color w:val="1C3A36"/>
                <w:sz w:val="16"/>
              </w:rPr>
              <w:t>461</w:t>
            </w:r>
          </w:p>
        </w:tc>
        <w:tc>
          <w:tcPr>
            <w:tcW w:type="dxa" w:w="979"/>
          </w:tcPr>
          <w:p>
            <w:pPr>
              <w:spacing w:after="20"/>
              <w:jc w:val="right"/>
            </w:pPr>
            <w:r>
              <w:rPr>
                <w:color w:val="1C3A36"/>
                <w:sz w:val="16"/>
              </w:rPr>
              <w:t>9,423</w:t>
            </w:r>
          </w:p>
        </w:tc>
        <w:tc>
          <w:tcPr>
            <w:tcW w:type="dxa" w:w="979"/>
          </w:tcPr>
          <w:p>
            <w:pPr>
              <w:spacing w:after="20"/>
              <w:jc w:val="right"/>
            </w:pPr>
            <w:r>
              <w:rPr>
                <w:color w:val="1C3A36"/>
                <w:sz w:val="16"/>
              </w:rPr>
              <w:t>4,020</w:t>
            </w:r>
          </w:p>
        </w:tc>
        <w:tc>
          <w:tcPr>
            <w:tcW w:type="dxa" w:w="950"/>
          </w:tcPr>
          <w:p>
            <w:pPr>
              <w:spacing w:after="20"/>
              <w:jc w:val="right"/>
            </w:pPr>
            <w:r>
              <w:rPr>
                <w:color w:val="1C3A36"/>
                <w:sz w:val="16"/>
              </w:rPr>
              <w:t>4,370</w:t>
            </w:r>
          </w:p>
        </w:tc>
        <w:tc>
          <w:tcPr>
            <w:tcW w:type="dxa" w:w="950"/>
          </w:tcPr>
          <w:p>
            <w:pPr>
              <w:spacing w:after="20"/>
              <w:jc w:val="right"/>
            </w:pPr>
            <w:r>
              <w:rPr>
                <w:color w:val="1C3A36"/>
                <w:sz w:val="16"/>
              </w:rPr>
              <w:t>5,765</w:t>
            </w:r>
          </w:p>
        </w:tc>
        <w:tc>
          <w:tcPr>
            <w:tcW w:type="dxa" w:w="950"/>
          </w:tcPr>
          <w:p>
            <w:pPr>
              <w:spacing w:after="20"/>
              <w:jc w:val="right"/>
            </w:pPr>
            <w:r>
              <w:rPr>
                <w:color w:val="1C3A36"/>
                <w:sz w:val="16"/>
              </w:rPr>
              <w:t>6,773</w:t>
            </w:r>
          </w:p>
        </w:tc>
        <w:tc>
          <w:tcPr>
            <w:tcW w:type="dxa" w:w="950"/>
          </w:tcPr>
          <w:p>
            <w:pPr>
              <w:spacing w:after="20"/>
              <w:jc w:val="right"/>
            </w:pPr>
            <w:r>
              <w:rPr>
                <w:color w:val="1C3A36"/>
                <w:sz w:val="16"/>
              </w:rPr>
              <w:t>7,532</w:t>
            </w:r>
          </w:p>
        </w:tc>
        <w:tc>
          <w:tcPr>
            <w:tcW w:type="dxa" w:w="950"/>
          </w:tcPr>
          <w:p>
            <w:pPr>
              <w:spacing w:after="20"/>
              <w:jc w:val="right"/>
            </w:pPr>
            <w:r>
              <w:rPr>
                <w:color w:val="1C3A36"/>
                <w:sz w:val="16"/>
              </w:rPr>
              <w:t>8,050</w:t>
            </w:r>
          </w:p>
        </w:tc>
      </w:tr>
    </w:tbl>
    <w:p>
      <w:pPr>
        <w:spacing w:after="40"/>
      </w:pPr>
    </w:p>
    <w:p>
      <w:pPr>
        <w:spacing w:after="200" w:before="0"/>
      </w:pPr>
      <w:r>
        <w:rPr>
          <w:b w:val="0"/>
          <w:i/>
          <w:color w:val="6E7B77"/>
          <w:sz w:val="17"/>
        </w:rPr>
        <w:t>* FY2023 is the Q Holding perimeter (pre-combination). ** FY2024 includes the AED 9,192mn bargain-purchase gain; excluding it, profit was AED 197mn. Forecasts exclude all fair-value and disposal gains by construction.</w:t>
      </w:r>
    </w:p>
    <w:p>
      <w:pPr>
        <w:spacing w:after="80" w:before="200"/>
      </w:pPr>
      <w:r>
        <w:rPr>
          <w:b/>
          <w:i w:val="0"/>
          <w:color w:val="1C3A36"/>
          <w:sz w:val="24"/>
        </w:rPr>
        <w:t>A.2 · Balance sheet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90"/>
        <w:gridCol w:w="979"/>
        <w:gridCol w:w="979"/>
        <w:gridCol w:w="979"/>
        <w:gridCol w:w="950"/>
        <w:gridCol w:w="950"/>
        <w:gridCol w:w="950"/>
        <w:gridCol w:w="950"/>
        <w:gridCol w:w="950"/>
      </w:tblGrid>
      <w:tr>
        <w:tc>
          <w:tcPr>
            <w:tcW w:type="dxa" w:w="2390"/>
            <w:shd w:val="clear" w:color="auto" w:fill="EAF0EE"/>
          </w:tcPr>
          <w:p>
            <w:pPr>
              <w:spacing w:after="20"/>
            </w:pPr>
            <w:r>
              <w:rPr>
                <w:b/>
                <w:color w:val="1C3A36"/>
                <w:sz w:val="16"/>
              </w:rPr>
              <w:t>AED mn</w:t>
            </w:r>
          </w:p>
        </w:tc>
        <w:tc>
          <w:tcPr>
            <w:tcW w:type="dxa" w:w="979"/>
            <w:shd w:val="clear" w:color="auto" w:fill="EAF0EE"/>
          </w:tcPr>
          <w:p>
            <w:pPr>
              <w:spacing w:after="20"/>
            </w:pPr>
            <w:r>
              <w:rPr>
                <w:b/>
                <w:color w:val="1C3A36"/>
                <w:sz w:val="16"/>
              </w:rPr>
              <w:t>FY2023*</w:t>
            </w:r>
          </w:p>
        </w:tc>
        <w:tc>
          <w:tcPr>
            <w:tcW w:type="dxa" w:w="979"/>
            <w:shd w:val="clear" w:color="auto" w:fill="EAF0EE"/>
          </w:tcPr>
          <w:p>
            <w:pPr>
              <w:spacing w:after="20"/>
            </w:pPr>
            <w:r>
              <w:rPr>
                <w:b/>
                <w:color w:val="1C3A36"/>
                <w:sz w:val="16"/>
              </w:rPr>
              <w:t>FY2024</w:t>
            </w:r>
          </w:p>
        </w:tc>
        <w:tc>
          <w:tcPr>
            <w:tcW w:type="dxa" w:w="979"/>
            <w:shd w:val="clear" w:color="auto" w:fill="EAF0EE"/>
          </w:tcPr>
          <w:p>
            <w:pPr>
              <w:spacing w:after="20"/>
            </w:pPr>
            <w:r>
              <w:rPr>
                <w:b/>
                <w:color w:val="1C3A36"/>
                <w:sz w:val="16"/>
              </w:rPr>
              <w:t>FY2025</w:t>
            </w:r>
          </w:p>
        </w:tc>
        <w:tc>
          <w:tcPr>
            <w:tcW w:type="dxa" w:w="950"/>
            <w:shd w:val="clear" w:color="auto" w:fill="EAF0EE"/>
          </w:tcPr>
          <w:p>
            <w:pPr>
              <w:spacing w:after="20"/>
            </w:pPr>
            <w:r>
              <w:rPr>
                <w:b/>
                <w:color w:val="1C3A36"/>
                <w:sz w:val="16"/>
              </w:rPr>
              <w:t>FY2026E</w:t>
            </w:r>
          </w:p>
        </w:tc>
        <w:tc>
          <w:tcPr>
            <w:tcW w:type="dxa" w:w="950"/>
            <w:shd w:val="clear" w:color="auto" w:fill="EAF0EE"/>
          </w:tcPr>
          <w:p>
            <w:pPr>
              <w:spacing w:after="20"/>
            </w:pPr>
            <w:r>
              <w:rPr>
                <w:b/>
                <w:color w:val="1C3A36"/>
                <w:sz w:val="16"/>
              </w:rPr>
              <w:t>FY2027E</w:t>
            </w:r>
          </w:p>
        </w:tc>
        <w:tc>
          <w:tcPr>
            <w:tcW w:type="dxa" w:w="950"/>
            <w:shd w:val="clear" w:color="auto" w:fill="EAF0EE"/>
          </w:tcPr>
          <w:p>
            <w:pPr>
              <w:spacing w:after="20"/>
            </w:pPr>
            <w:r>
              <w:rPr>
                <w:b/>
                <w:color w:val="1C3A36"/>
                <w:sz w:val="16"/>
              </w:rPr>
              <w:t>FY2028E</w:t>
            </w:r>
          </w:p>
        </w:tc>
        <w:tc>
          <w:tcPr>
            <w:tcW w:type="dxa" w:w="950"/>
            <w:shd w:val="clear" w:color="auto" w:fill="EAF0EE"/>
          </w:tcPr>
          <w:p>
            <w:pPr>
              <w:spacing w:after="20"/>
            </w:pPr>
            <w:r>
              <w:rPr>
                <w:b/>
                <w:color w:val="1C3A36"/>
                <w:sz w:val="16"/>
              </w:rPr>
              <w:t>FY2029E</w:t>
            </w:r>
          </w:p>
        </w:tc>
        <w:tc>
          <w:tcPr>
            <w:tcW w:type="dxa" w:w="950"/>
            <w:shd w:val="clear" w:color="auto" w:fill="EAF0EE"/>
          </w:tcPr>
          <w:p>
            <w:pPr>
              <w:spacing w:after="20"/>
            </w:pPr>
            <w:r>
              <w:rPr>
                <w:b/>
                <w:color w:val="1C3A36"/>
                <w:sz w:val="16"/>
              </w:rPr>
              <w:t>FY2030E</w:t>
            </w:r>
          </w:p>
        </w:tc>
      </w:tr>
      <w:tr>
        <w:tc>
          <w:tcPr>
            <w:tcW w:type="dxa" w:w="2390"/>
          </w:tcPr>
          <w:p>
            <w:pPr>
              <w:spacing w:after="20"/>
            </w:pPr>
            <w:r>
              <w:rPr>
                <w:color w:val="1C3A36"/>
                <w:sz w:val="16"/>
              </w:rPr>
              <w:t>Property, plant &amp; equipment</w:t>
            </w:r>
          </w:p>
        </w:tc>
        <w:tc>
          <w:tcPr>
            <w:tcW w:type="dxa" w:w="979"/>
          </w:tcPr>
          <w:p>
            <w:pPr>
              <w:spacing w:after="20"/>
              <w:jc w:val="right"/>
            </w:pPr>
            <w:r>
              <w:rPr>
                <w:color w:val="1C3A36"/>
                <w:sz w:val="16"/>
              </w:rPr>
              <w:t>789</w:t>
            </w:r>
          </w:p>
        </w:tc>
        <w:tc>
          <w:tcPr>
            <w:tcW w:type="dxa" w:w="979"/>
          </w:tcPr>
          <w:p>
            <w:pPr>
              <w:spacing w:after="20"/>
              <w:jc w:val="right"/>
            </w:pPr>
            <w:r>
              <w:rPr>
                <w:color w:val="1C3A36"/>
                <w:sz w:val="16"/>
              </w:rPr>
              <w:t>7,593</w:t>
            </w:r>
          </w:p>
        </w:tc>
        <w:tc>
          <w:tcPr>
            <w:tcW w:type="dxa" w:w="979"/>
          </w:tcPr>
          <w:p>
            <w:pPr>
              <w:spacing w:after="20"/>
              <w:jc w:val="right"/>
            </w:pPr>
            <w:r>
              <w:rPr>
                <w:color w:val="1C3A36"/>
                <w:sz w:val="16"/>
              </w:rPr>
              <w:t>8,812</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r>
      <w:tr>
        <w:tc>
          <w:tcPr>
            <w:tcW w:type="dxa" w:w="2390"/>
          </w:tcPr>
          <w:p>
            <w:pPr>
              <w:spacing w:after="20"/>
            </w:pPr>
            <w:r>
              <w:rPr>
                <w:color w:val="1C3A36"/>
                <w:sz w:val="16"/>
              </w:rPr>
              <w:t>Investment properties</w:t>
            </w:r>
          </w:p>
        </w:tc>
        <w:tc>
          <w:tcPr>
            <w:tcW w:type="dxa" w:w="979"/>
          </w:tcPr>
          <w:p>
            <w:pPr>
              <w:spacing w:after="20"/>
              <w:jc w:val="right"/>
            </w:pPr>
            <w:r>
              <w:rPr>
                <w:color w:val="1C3A36"/>
                <w:sz w:val="16"/>
              </w:rPr>
              <w:t>7,537</w:t>
            </w:r>
          </w:p>
        </w:tc>
        <w:tc>
          <w:tcPr>
            <w:tcW w:type="dxa" w:w="979"/>
          </w:tcPr>
          <w:p>
            <w:pPr>
              <w:spacing w:after="20"/>
              <w:jc w:val="right"/>
            </w:pPr>
            <w:r>
              <w:rPr>
                <w:color w:val="1C3A36"/>
                <w:sz w:val="16"/>
              </w:rPr>
              <w:t>9,337</w:t>
            </w:r>
          </w:p>
        </w:tc>
        <w:tc>
          <w:tcPr>
            <w:tcW w:type="dxa" w:w="979"/>
          </w:tcPr>
          <w:p>
            <w:pPr>
              <w:spacing w:after="20"/>
              <w:jc w:val="right"/>
            </w:pPr>
            <w:r>
              <w:rPr>
                <w:color w:val="1C3A36"/>
                <w:sz w:val="16"/>
              </w:rPr>
              <w:t>9,462</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r>
      <w:tr>
        <w:tc>
          <w:tcPr>
            <w:tcW w:type="dxa" w:w="2390"/>
          </w:tcPr>
          <w:p>
            <w:pPr>
              <w:spacing w:after="20"/>
            </w:pPr>
            <w:r>
              <w:rPr>
                <w:color w:val="1C3A36"/>
                <w:sz w:val="16"/>
              </w:rPr>
              <w:t>Inventories (land bank)</w:t>
            </w:r>
          </w:p>
        </w:tc>
        <w:tc>
          <w:tcPr>
            <w:tcW w:type="dxa" w:w="979"/>
          </w:tcPr>
          <w:p>
            <w:pPr>
              <w:spacing w:after="20"/>
              <w:jc w:val="right"/>
            </w:pPr>
            <w:r>
              <w:rPr>
                <w:color w:val="1C3A36"/>
                <w:sz w:val="16"/>
              </w:rPr>
              <w:t>2,247</w:t>
            </w:r>
          </w:p>
        </w:tc>
        <w:tc>
          <w:tcPr>
            <w:tcW w:type="dxa" w:w="979"/>
          </w:tcPr>
          <w:p>
            <w:pPr>
              <w:spacing w:after="20"/>
              <w:jc w:val="right"/>
            </w:pPr>
            <w:r>
              <w:rPr>
                <w:color w:val="1C3A36"/>
                <w:sz w:val="16"/>
              </w:rPr>
              <w:t>29,586</w:t>
            </w:r>
          </w:p>
        </w:tc>
        <w:tc>
          <w:tcPr>
            <w:tcW w:type="dxa" w:w="979"/>
          </w:tcPr>
          <w:p>
            <w:pPr>
              <w:spacing w:after="20"/>
              <w:jc w:val="right"/>
            </w:pPr>
            <w:r>
              <w:rPr>
                <w:color w:val="1C3A36"/>
                <w:sz w:val="16"/>
              </w:rPr>
              <w:t>27,298</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r>
      <w:tr>
        <w:tc>
          <w:tcPr>
            <w:tcW w:type="dxa" w:w="2390"/>
          </w:tcPr>
          <w:p>
            <w:pPr>
              <w:spacing w:after="20"/>
            </w:pPr>
            <w:r>
              <w:rPr>
                <w:color w:val="1C3A36"/>
                <w:sz w:val="16"/>
              </w:rPr>
              <w:t>Development work-in-progress</w:t>
            </w:r>
          </w:p>
        </w:tc>
        <w:tc>
          <w:tcPr>
            <w:tcW w:type="dxa" w:w="979"/>
          </w:tcPr>
          <w:p>
            <w:pPr>
              <w:spacing w:after="20"/>
              <w:jc w:val="right"/>
            </w:pPr>
            <w:r>
              <w:rPr>
                <w:color w:val="1C3A36"/>
                <w:sz w:val="16"/>
              </w:rPr>
              <w:t>—</w:t>
            </w:r>
          </w:p>
        </w:tc>
        <w:tc>
          <w:tcPr>
            <w:tcW w:type="dxa" w:w="979"/>
          </w:tcPr>
          <w:p>
            <w:pPr>
              <w:spacing w:after="20"/>
              <w:jc w:val="right"/>
            </w:pPr>
            <w:r>
              <w:rPr>
                <w:color w:val="1C3A36"/>
                <w:sz w:val="16"/>
              </w:rPr>
              <w:t>2,462</w:t>
            </w:r>
          </w:p>
        </w:tc>
        <w:tc>
          <w:tcPr>
            <w:tcW w:type="dxa" w:w="979"/>
          </w:tcPr>
          <w:p>
            <w:pPr>
              <w:spacing w:after="20"/>
              <w:jc w:val="right"/>
            </w:pPr>
            <w:r>
              <w:rPr>
                <w:color w:val="1C3A36"/>
                <w:sz w:val="16"/>
              </w:rPr>
              <w:t>6,112</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r>
      <w:tr>
        <w:tc>
          <w:tcPr>
            <w:tcW w:type="dxa" w:w="2390"/>
          </w:tcPr>
          <w:p>
            <w:pPr>
              <w:spacing w:after="20"/>
            </w:pPr>
            <w:r>
              <w:rPr>
                <w:color w:val="1C3A36"/>
                <w:sz w:val="16"/>
              </w:rPr>
              <w:t>Cash and bank balances</w:t>
            </w:r>
          </w:p>
        </w:tc>
        <w:tc>
          <w:tcPr>
            <w:tcW w:type="dxa" w:w="979"/>
          </w:tcPr>
          <w:p>
            <w:pPr>
              <w:spacing w:after="20"/>
              <w:jc w:val="right"/>
            </w:pPr>
            <w:r>
              <w:rPr>
                <w:color w:val="1C3A36"/>
                <w:sz w:val="16"/>
              </w:rPr>
              <w:t>2,260</w:t>
            </w:r>
          </w:p>
        </w:tc>
        <w:tc>
          <w:tcPr>
            <w:tcW w:type="dxa" w:w="979"/>
          </w:tcPr>
          <w:p>
            <w:pPr>
              <w:spacing w:after="20"/>
              <w:jc w:val="right"/>
            </w:pPr>
            <w:r>
              <w:rPr>
                <w:color w:val="1C3A36"/>
                <w:sz w:val="16"/>
              </w:rPr>
              <w:t>7,010</w:t>
            </w:r>
          </w:p>
        </w:tc>
        <w:tc>
          <w:tcPr>
            <w:tcW w:type="dxa" w:w="979"/>
          </w:tcPr>
          <w:p>
            <w:pPr>
              <w:spacing w:after="20"/>
              <w:jc w:val="right"/>
            </w:pPr>
            <w:r>
              <w:rPr>
                <w:color w:val="1C3A36"/>
                <w:sz w:val="16"/>
              </w:rPr>
              <w:t>12,642</w:t>
            </w:r>
          </w:p>
        </w:tc>
        <w:tc>
          <w:tcPr>
            <w:tcW w:type="dxa" w:w="950"/>
          </w:tcPr>
          <w:p>
            <w:pPr>
              <w:spacing w:after="20"/>
              <w:jc w:val="right"/>
            </w:pPr>
            <w:r>
              <w:rPr>
                <w:color w:val="1C3A36"/>
                <w:sz w:val="16"/>
              </w:rPr>
              <w:t>17,716</w:t>
            </w:r>
          </w:p>
        </w:tc>
        <w:tc>
          <w:tcPr>
            <w:tcW w:type="dxa" w:w="950"/>
          </w:tcPr>
          <w:p>
            <w:pPr>
              <w:spacing w:after="20"/>
              <w:jc w:val="right"/>
            </w:pPr>
            <w:r>
              <w:rPr>
                <w:color w:val="1C3A36"/>
                <w:sz w:val="16"/>
              </w:rPr>
              <w:t>23,927</w:t>
            </w:r>
          </w:p>
        </w:tc>
        <w:tc>
          <w:tcPr>
            <w:tcW w:type="dxa" w:w="950"/>
          </w:tcPr>
          <w:p>
            <w:pPr>
              <w:spacing w:after="20"/>
              <w:jc w:val="right"/>
            </w:pPr>
            <w:r>
              <w:rPr>
                <w:color w:val="1C3A36"/>
                <w:sz w:val="16"/>
              </w:rPr>
              <w:t>30,756</w:t>
            </w:r>
          </w:p>
        </w:tc>
        <w:tc>
          <w:tcPr>
            <w:tcW w:type="dxa" w:w="950"/>
          </w:tcPr>
          <w:p>
            <w:pPr>
              <w:spacing w:after="20"/>
              <w:jc w:val="right"/>
            </w:pPr>
            <w:r>
              <w:rPr>
                <w:color w:val="1C3A36"/>
                <w:sz w:val="16"/>
              </w:rPr>
              <w:t>38,389</w:t>
            </w:r>
          </w:p>
        </w:tc>
        <w:tc>
          <w:tcPr>
            <w:tcW w:type="dxa" w:w="950"/>
          </w:tcPr>
          <w:p>
            <w:pPr>
              <w:spacing w:after="20"/>
              <w:jc w:val="right"/>
            </w:pPr>
            <w:r>
              <w:rPr>
                <w:color w:val="1C3A36"/>
                <w:sz w:val="16"/>
              </w:rPr>
              <w:t>46,533</w:t>
            </w:r>
          </w:p>
        </w:tc>
      </w:tr>
      <w:tr>
        <w:tc>
          <w:tcPr>
            <w:tcW w:type="dxa" w:w="2390"/>
          </w:tcPr>
          <w:p>
            <w:pPr>
              <w:spacing w:after="20"/>
            </w:pPr>
            <w:r>
              <w:rPr>
                <w:color w:val="1C3A36"/>
                <w:sz w:val="16"/>
              </w:rPr>
              <w:t>Total assets</w:t>
            </w:r>
          </w:p>
        </w:tc>
        <w:tc>
          <w:tcPr>
            <w:tcW w:type="dxa" w:w="979"/>
          </w:tcPr>
          <w:p>
            <w:pPr>
              <w:spacing w:after="20"/>
              <w:jc w:val="right"/>
            </w:pPr>
            <w:r>
              <w:rPr>
                <w:color w:val="1C3A36"/>
                <w:sz w:val="16"/>
              </w:rPr>
              <w:t>21,311</w:t>
            </w:r>
          </w:p>
        </w:tc>
        <w:tc>
          <w:tcPr>
            <w:tcW w:type="dxa" w:w="979"/>
          </w:tcPr>
          <w:p>
            <w:pPr>
              <w:spacing w:after="20"/>
              <w:jc w:val="right"/>
            </w:pPr>
            <w:r>
              <w:rPr>
                <w:color w:val="1C3A36"/>
                <w:sz w:val="16"/>
              </w:rPr>
              <w:t>75,925</w:t>
            </w:r>
          </w:p>
        </w:tc>
        <w:tc>
          <w:tcPr>
            <w:tcW w:type="dxa" w:w="979"/>
          </w:tcPr>
          <w:p>
            <w:pPr>
              <w:spacing w:after="20"/>
              <w:jc w:val="right"/>
            </w:pPr>
            <w:r>
              <w:rPr>
                <w:color w:val="1C3A36"/>
                <w:sz w:val="16"/>
              </w:rPr>
              <w:t>87,031</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c>
          <w:tcPr>
            <w:tcW w:type="dxa" w:w="950"/>
          </w:tcPr>
          <w:p>
            <w:pPr>
              <w:spacing w:after="20"/>
              <w:jc w:val="right"/>
            </w:pPr>
            <w:r>
              <w:rPr>
                <w:color w:val="1C3A36"/>
                <w:sz w:val="16"/>
              </w:rPr>
              <w:t>—</w:t>
            </w:r>
          </w:p>
        </w:tc>
      </w:tr>
      <w:tr>
        <w:tc>
          <w:tcPr>
            <w:tcW w:type="dxa" w:w="2390"/>
          </w:tcPr>
          <w:p>
            <w:pPr>
              <w:spacing w:after="20"/>
            </w:pPr>
            <w:r>
              <w:rPr>
                <w:color w:val="1C3A36"/>
                <w:sz w:val="16"/>
              </w:rPr>
              <w:t>Debt incl. related-party loan</w:t>
            </w:r>
          </w:p>
        </w:tc>
        <w:tc>
          <w:tcPr>
            <w:tcW w:type="dxa" w:w="979"/>
          </w:tcPr>
          <w:p>
            <w:pPr>
              <w:spacing w:after="20"/>
              <w:jc w:val="right"/>
            </w:pPr>
            <w:r>
              <w:rPr>
                <w:color w:val="1C3A36"/>
                <w:sz w:val="16"/>
              </w:rPr>
              <w:t>1,976</w:t>
            </w:r>
          </w:p>
        </w:tc>
        <w:tc>
          <w:tcPr>
            <w:tcW w:type="dxa" w:w="979"/>
          </w:tcPr>
          <w:p>
            <w:pPr>
              <w:spacing w:after="20"/>
              <w:jc w:val="right"/>
            </w:pPr>
            <w:r>
              <w:rPr>
                <w:color w:val="1C3A36"/>
                <w:sz w:val="16"/>
              </w:rPr>
              <w:t>5,364</w:t>
            </w:r>
          </w:p>
        </w:tc>
        <w:tc>
          <w:tcPr>
            <w:tcW w:type="dxa" w:w="979"/>
          </w:tcPr>
          <w:p>
            <w:pPr>
              <w:spacing w:after="20"/>
              <w:jc w:val="right"/>
            </w:pPr>
            <w:r>
              <w:rPr>
                <w:color w:val="1C3A36"/>
                <w:sz w:val="16"/>
              </w:rPr>
              <w:t>6,789</w:t>
            </w:r>
          </w:p>
        </w:tc>
        <w:tc>
          <w:tcPr>
            <w:tcW w:type="dxa" w:w="950"/>
          </w:tcPr>
          <w:p>
            <w:pPr>
              <w:spacing w:after="20"/>
              <w:jc w:val="right"/>
            </w:pPr>
            <w:r>
              <w:rPr>
                <w:color w:val="1C3A36"/>
                <w:sz w:val="16"/>
              </w:rPr>
              <w:t>9,700</w:t>
            </w:r>
          </w:p>
        </w:tc>
        <w:tc>
          <w:tcPr>
            <w:tcW w:type="dxa" w:w="950"/>
          </w:tcPr>
          <w:p>
            <w:pPr>
              <w:spacing w:after="20"/>
              <w:jc w:val="right"/>
            </w:pPr>
            <w:r>
              <w:rPr>
                <w:color w:val="1C3A36"/>
                <w:sz w:val="16"/>
              </w:rPr>
              <w:t>9,900</w:t>
            </w:r>
          </w:p>
        </w:tc>
        <w:tc>
          <w:tcPr>
            <w:tcW w:type="dxa" w:w="950"/>
          </w:tcPr>
          <w:p>
            <w:pPr>
              <w:spacing w:after="20"/>
              <w:jc w:val="right"/>
            </w:pPr>
            <w:r>
              <w:rPr>
                <w:color w:val="1C3A36"/>
                <w:sz w:val="16"/>
              </w:rPr>
              <w:t>9,200</w:t>
            </w:r>
          </w:p>
        </w:tc>
        <w:tc>
          <w:tcPr>
            <w:tcW w:type="dxa" w:w="950"/>
          </w:tcPr>
          <w:p>
            <w:pPr>
              <w:spacing w:after="20"/>
              <w:jc w:val="right"/>
            </w:pPr>
            <w:r>
              <w:rPr>
                <w:color w:val="1C3A36"/>
                <w:sz w:val="16"/>
              </w:rPr>
              <w:t>8,300</w:t>
            </w:r>
          </w:p>
        </w:tc>
        <w:tc>
          <w:tcPr>
            <w:tcW w:type="dxa" w:w="950"/>
          </w:tcPr>
          <w:p>
            <w:pPr>
              <w:spacing w:after="20"/>
              <w:jc w:val="right"/>
            </w:pPr>
            <w:r>
              <w:rPr>
                <w:color w:val="1C3A36"/>
                <w:sz w:val="16"/>
              </w:rPr>
              <w:t>7,400</w:t>
            </w:r>
          </w:p>
        </w:tc>
      </w:tr>
      <w:tr>
        <w:tc>
          <w:tcPr>
            <w:tcW w:type="dxa" w:w="2390"/>
          </w:tcPr>
          <w:p>
            <w:pPr>
              <w:spacing w:after="20"/>
            </w:pPr>
            <w:r>
              <w:rPr>
                <w:color w:val="1C3A36"/>
                <w:sz w:val="16"/>
              </w:rPr>
              <w:t>Net working capital (house basis)</w:t>
            </w:r>
          </w:p>
        </w:tc>
        <w:tc>
          <w:tcPr>
            <w:tcW w:type="dxa" w:w="979"/>
          </w:tcPr>
          <w:p>
            <w:pPr>
              <w:spacing w:after="20"/>
              <w:jc w:val="right"/>
            </w:pPr>
            <w:r>
              <w:rPr>
                <w:color w:val="1C3A36"/>
                <w:sz w:val="16"/>
              </w:rPr>
              <w:t>—</w:t>
            </w:r>
          </w:p>
        </w:tc>
        <w:tc>
          <w:tcPr>
            <w:tcW w:type="dxa" w:w="979"/>
          </w:tcPr>
          <w:p>
            <w:pPr>
              <w:spacing w:after="20"/>
              <w:jc w:val="right"/>
            </w:pPr>
            <w:r>
              <w:rPr>
                <w:color w:val="1C3A36"/>
                <w:sz w:val="16"/>
              </w:rPr>
              <w:t>26,862</w:t>
            </w:r>
          </w:p>
        </w:tc>
        <w:tc>
          <w:tcPr>
            <w:tcW w:type="dxa" w:w="979"/>
          </w:tcPr>
          <w:p>
            <w:pPr>
              <w:spacing w:after="20"/>
              <w:jc w:val="right"/>
            </w:pPr>
            <w:r>
              <w:rPr>
                <w:color w:val="1C3A36"/>
                <w:sz w:val="16"/>
              </w:rPr>
              <w:t>26,943</w:t>
            </w:r>
          </w:p>
        </w:tc>
        <w:tc>
          <w:tcPr>
            <w:tcW w:type="dxa" w:w="950"/>
          </w:tcPr>
          <w:p>
            <w:pPr>
              <w:spacing w:after="20"/>
              <w:jc w:val="right"/>
            </w:pPr>
            <w:r>
              <w:rPr>
                <w:color w:val="1C3A36"/>
                <w:sz w:val="16"/>
              </w:rPr>
              <w:t>28,443</w:t>
            </w:r>
          </w:p>
        </w:tc>
        <w:tc>
          <w:tcPr>
            <w:tcW w:type="dxa" w:w="950"/>
          </w:tcPr>
          <w:p>
            <w:pPr>
              <w:spacing w:after="20"/>
              <w:jc w:val="right"/>
            </w:pPr>
            <w:r>
              <w:rPr>
                <w:color w:val="1C3A36"/>
                <w:sz w:val="16"/>
              </w:rPr>
              <w:t>27,643</w:t>
            </w:r>
          </w:p>
        </w:tc>
        <w:tc>
          <w:tcPr>
            <w:tcW w:type="dxa" w:w="950"/>
          </w:tcPr>
          <w:p>
            <w:pPr>
              <w:spacing w:after="20"/>
              <w:jc w:val="right"/>
            </w:pPr>
            <w:r>
              <w:rPr>
                <w:color w:val="1C3A36"/>
                <w:sz w:val="16"/>
              </w:rPr>
              <w:t>26,443</w:t>
            </w:r>
          </w:p>
        </w:tc>
        <w:tc>
          <w:tcPr>
            <w:tcW w:type="dxa" w:w="950"/>
          </w:tcPr>
          <w:p>
            <w:pPr>
              <w:spacing w:after="20"/>
              <w:jc w:val="right"/>
            </w:pPr>
            <w:r>
              <w:rPr>
                <w:color w:val="1C3A36"/>
                <w:sz w:val="16"/>
              </w:rPr>
              <w:t>25,043</w:t>
            </w:r>
          </w:p>
        </w:tc>
        <w:tc>
          <w:tcPr>
            <w:tcW w:type="dxa" w:w="950"/>
          </w:tcPr>
          <w:p>
            <w:pPr>
              <w:spacing w:after="20"/>
              <w:jc w:val="right"/>
            </w:pPr>
            <w:r>
              <w:rPr>
                <w:color w:val="1C3A36"/>
                <w:sz w:val="16"/>
              </w:rPr>
              <w:t>23,643</w:t>
            </w:r>
          </w:p>
        </w:tc>
      </w:tr>
      <w:tr>
        <w:tc>
          <w:tcPr>
            <w:tcW w:type="dxa" w:w="2390"/>
          </w:tcPr>
          <w:p>
            <w:pPr>
              <w:spacing w:after="20"/>
            </w:pPr>
            <w:r>
              <w:rPr>
                <w:color w:val="1C3A36"/>
                <w:sz w:val="16"/>
              </w:rPr>
              <w:t>Equity attributable to owners</w:t>
            </w:r>
          </w:p>
        </w:tc>
        <w:tc>
          <w:tcPr>
            <w:tcW w:type="dxa" w:w="979"/>
          </w:tcPr>
          <w:p>
            <w:pPr>
              <w:spacing w:after="20"/>
              <w:jc w:val="right"/>
            </w:pPr>
            <w:r>
              <w:rPr>
                <w:color w:val="1C3A36"/>
                <w:sz w:val="16"/>
              </w:rPr>
              <w:t>13,769</w:t>
            </w:r>
          </w:p>
        </w:tc>
        <w:tc>
          <w:tcPr>
            <w:tcW w:type="dxa" w:w="979"/>
          </w:tcPr>
          <w:p>
            <w:pPr>
              <w:spacing w:after="20"/>
              <w:jc w:val="right"/>
            </w:pPr>
            <w:r>
              <w:rPr>
                <w:color w:val="1C3A36"/>
                <w:sz w:val="16"/>
              </w:rPr>
              <w:t>49,676</w:t>
            </w:r>
          </w:p>
        </w:tc>
        <w:tc>
          <w:tcPr>
            <w:tcW w:type="dxa" w:w="979"/>
          </w:tcPr>
          <w:p>
            <w:pPr>
              <w:spacing w:after="20"/>
              <w:jc w:val="right"/>
            </w:pPr>
            <w:r>
              <w:rPr>
                <w:color w:val="1C3A36"/>
                <w:sz w:val="16"/>
              </w:rPr>
              <w:t>53,903</w:t>
            </w:r>
          </w:p>
        </w:tc>
        <w:tc>
          <w:tcPr>
            <w:tcW w:type="dxa" w:w="950"/>
          </w:tcPr>
          <w:p>
            <w:pPr>
              <w:spacing w:after="20"/>
              <w:jc w:val="right"/>
            </w:pPr>
            <w:r>
              <w:rPr>
                <w:color w:val="1C3A36"/>
                <w:sz w:val="16"/>
              </w:rPr>
              <w:t>58,272</w:t>
            </w:r>
          </w:p>
        </w:tc>
        <w:tc>
          <w:tcPr>
            <w:tcW w:type="dxa" w:w="950"/>
          </w:tcPr>
          <w:p>
            <w:pPr>
              <w:spacing w:after="20"/>
              <w:jc w:val="right"/>
            </w:pPr>
            <w:r>
              <w:rPr>
                <w:color w:val="1C3A36"/>
                <w:sz w:val="16"/>
              </w:rPr>
              <w:t>64,037</w:t>
            </w:r>
          </w:p>
        </w:tc>
        <w:tc>
          <w:tcPr>
            <w:tcW w:type="dxa" w:w="950"/>
          </w:tcPr>
          <w:p>
            <w:pPr>
              <w:spacing w:after="20"/>
              <w:jc w:val="right"/>
            </w:pPr>
            <w:r>
              <w:rPr>
                <w:color w:val="1C3A36"/>
                <w:sz w:val="16"/>
              </w:rPr>
              <w:t>70,810</w:t>
            </w:r>
          </w:p>
        </w:tc>
        <w:tc>
          <w:tcPr>
            <w:tcW w:type="dxa" w:w="950"/>
          </w:tcPr>
          <w:p>
            <w:pPr>
              <w:spacing w:after="20"/>
              <w:jc w:val="right"/>
            </w:pPr>
            <w:r>
              <w:rPr>
                <w:color w:val="1C3A36"/>
                <w:sz w:val="16"/>
              </w:rPr>
              <w:t>78,342</w:t>
            </w:r>
          </w:p>
        </w:tc>
        <w:tc>
          <w:tcPr>
            <w:tcW w:type="dxa" w:w="950"/>
          </w:tcPr>
          <w:p>
            <w:pPr>
              <w:spacing w:after="20"/>
              <w:jc w:val="right"/>
            </w:pPr>
            <w:r>
              <w:rPr>
                <w:color w:val="1C3A36"/>
                <w:sz w:val="16"/>
              </w:rPr>
              <w:t>86,392</w:t>
            </w:r>
          </w:p>
        </w:tc>
      </w:tr>
      <w:tr>
        <w:tc>
          <w:tcPr>
            <w:tcW w:type="dxa" w:w="2390"/>
          </w:tcPr>
          <w:p>
            <w:pPr>
              <w:spacing w:after="20"/>
            </w:pPr>
            <w:r>
              <w:rPr>
                <w:color w:val="1C3A36"/>
                <w:sz w:val="16"/>
              </w:rPr>
              <w:t>Non-controlling interests</w:t>
            </w:r>
          </w:p>
        </w:tc>
        <w:tc>
          <w:tcPr>
            <w:tcW w:type="dxa" w:w="979"/>
          </w:tcPr>
          <w:p>
            <w:pPr>
              <w:spacing w:after="20"/>
              <w:jc w:val="right"/>
            </w:pPr>
            <w:r>
              <w:rPr>
                <w:color w:val="1C3A36"/>
                <w:sz w:val="16"/>
              </w:rPr>
              <w:t>1,150</w:t>
            </w:r>
          </w:p>
        </w:tc>
        <w:tc>
          <w:tcPr>
            <w:tcW w:type="dxa" w:w="979"/>
          </w:tcPr>
          <w:p>
            <w:pPr>
              <w:spacing w:after="20"/>
              <w:jc w:val="right"/>
            </w:pPr>
            <w:r>
              <w:rPr>
                <w:color w:val="1C3A36"/>
                <w:sz w:val="16"/>
              </w:rPr>
              <w:t>1,186</w:t>
            </w:r>
          </w:p>
        </w:tc>
        <w:tc>
          <w:tcPr>
            <w:tcW w:type="dxa" w:w="979"/>
          </w:tcPr>
          <w:p>
            <w:pPr>
              <w:spacing w:after="20"/>
              <w:jc w:val="right"/>
            </w:pPr>
            <w:r>
              <w:rPr>
                <w:color w:val="1C3A36"/>
                <w:sz w:val="16"/>
              </w:rPr>
              <w:t>847</w:t>
            </w:r>
          </w:p>
        </w:tc>
        <w:tc>
          <w:tcPr>
            <w:tcW w:type="dxa" w:w="950"/>
          </w:tcPr>
          <w:p>
            <w:pPr>
              <w:spacing w:after="20"/>
              <w:jc w:val="right"/>
            </w:pPr>
            <w:r>
              <w:rPr>
                <w:color w:val="1C3A36"/>
                <w:sz w:val="16"/>
              </w:rPr>
              <w:t>937</w:t>
            </w:r>
          </w:p>
        </w:tc>
        <w:tc>
          <w:tcPr>
            <w:tcW w:type="dxa" w:w="950"/>
          </w:tcPr>
          <w:p>
            <w:pPr>
              <w:spacing w:after="20"/>
              <w:jc w:val="right"/>
            </w:pPr>
            <w:r>
              <w:rPr>
                <w:color w:val="1C3A36"/>
                <w:sz w:val="16"/>
              </w:rPr>
              <w:t>1,054</w:t>
            </w:r>
          </w:p>
        </w:tc>
        <w:tc>
          <w:tcPr>
            <w:tcW w:type="dxa" w:w="950"/>
          </w:tcPr>
          <w:p>
            <w:pPr>
              <w:spacing w:after="20"/>
              <w:jc w:val="right"/>
            </w:pPr>
            <w:r>
              <w:rPr>
                <w:color w:val="1C3A36"/>
                <w:sz w:val="16"/>
              </w:rPr>
              <w:t>1,193</w:t>
            </w:r>
          </w:p>
        </w:tc>
        <w:tc>
          <w:tcPr>
            <w:tcW w:type="dxa" w:w="950"/>
          </w:tcPr>
          <w:p>
            <w:pPr>
              <w:spacing w:after="20"/>
              <w:jc w:val="right"/>
            </w:pPr>
            <w:r>
              <w:rPr>
                <w:color w:val="1C3A36"/>
                <w:sz w:val="16"/>
              </w:rPr>
              <w:t>1,346</w:t>
            </w:r>
          </w:p>
        </w:tc>
        <w:tc>
          <w:tcPr>
            <w:tcW w:type="dxa" w:w="950"/>
          </w:tcPr>
          <w:p>
            <w:pPr>
              <w:spacing w:after="20"/>
              <w:jc w:val="right"/>
            </w:pPr>
            <w:r>
              <w:rPr>
                <w:color w:val="1C3A36"/>
                <w:sz w:val="16"/>
              </w:rPr>
              <w:t>1,511</w:t>
            </w:r>
          </w:p>
        </w:tc>
      </w:tr>
      <w:tr>
        <w:tc>
          <w:tcPr>
            <w:tcW w:type="dxa" w:w="2390"/>
            <w:shd w:val="clear" w:color="auto" w:fill="F6F1E6"/>
          </w:tcPr>
          <w:p>
            <w:pPr>
              <w:spacing w:after="20"/>
            </w:pPr>
            <w:r>
              <w:rPr>
                <w:b/>
                <w:color w:val="1C3A36"/>
                <w:sz w:val="16"/>
              </w:rPr>
              <w:t>Net debt (negative = net cash)</w:t>
            </w:r>
          </w:p>
        </w:tc>
        <w:tc>
          <w:tcPr>
            <w:tcW w:type="dxa" w:w="979"/>
            <w:shd w:val="clear" w:color="auto" w:fill="F6F1E6"/>
          </w:tcPr>
          <w:p>
            <w:pPr>
              <w:spacing w:after="20"/>
              <w:jc w:val="right"/>
            </w:pPr>
            <w:r>
              <w:rPr>
                <w:b/>
                <w:color w:val="1C3A36"/>
                <w:sz w:val="16"/>
              </w:rPr>
              <w:t>-284</w:t>
            </w:r>
          </w:p>
        </w:tc>
        <w:tc>
          <w:tcPr>
            <w:tcW w:type="dxa" w:w="979"/>
            <w:shd w:val="clear" w:color="auto" w:fill="F6F1E6"/>
          </w:tcPr>
          <w:p>
            <w:pPr>
              <w:spacing w:after="20"/>
              <w:jc w:val="right"/>
            </w:pPr>
            <w:r>
              <w:rPr>
                <w:b/>
                <w:color w:val="1C3A36"/>
                <w:sz w:val="16"/>
              </w:rPr>
              <w:t>-1,646</w:t>
            </w:r>
          </w:p>
        </w:tc>
        <w:tc>
          <w:tcPr>
            <w:tcW w:type="dxa" w:w="979"/>
            <w:shd w:val="clear" w:color="auto" w:fill="F6F1E6"/>
          </w:tcPr>
          <w:p>
            <w:pPr>
              <w:spacing w:after="20"/>
              <w:jc w:val="right"/>
            </w:pPr>
            <w:r>
              <w:rPr>
                <w:b/>
                <w:color w:val="1C3A36"/>
                <w:sz w:val="16"/>
              </w:rPr>
              <w:t>-5,853</w:t>
            </w:r>
          </w:p>
        </w:tc>
        <w:tc>
          <w:tcPr>
            <w:tcW w:type="dxa" w:w="950"/>
            <w:shd w:val="clear" w:color="auto" w:fill="F6F1E6"/>
          </w:tcPr>
          <w:p>
            <w:pPr>
              <w:spacing w:after="20"/>
              <w:jc w:val="right"/>
            </w:pPr>
            <w:r>
              <w:rPr>
                <w:b/>
                <w:color w:val="1C3A36"/>
                <w:sz w:val="16"/>
              </w:rPr>
              <w:t>-8,016</w:t>
            </w:r>
          </w:p>
        </w:tc>
        <w:tc>
          <w:tcPr>
            <w:tcW w:type="dxa" w:w="950"/>
            <w:shd w:val="clear" w:color="auto" w:fill="F6F1E6"/>
          </w:tcPr>
          <w:p>
            <w:pPr>
              <w:spacing w:after="20"/>
              <w:jc w:val="right"/>
            </w:pPr>
            <w:r>
              <w:rPr>
                <w:b/>
                <w:color w:val="1C3A36"/>
                <w:sz w:val="16"/>
              </w:rPr>
              <w:t>-14,027</w:t>
            </w:r>
          </w:p>
        </w:tc>
        <w:tc>
          <w:tcPr>
            <w:tcW w:type="dxa" w:w="950"/>
            <w:shd w:val="clear" w:color="auto" w:fill="F6F1E6"/>
          </w:tcPr>
          <w:p>
            <w:pPr>
              <w:spacing w:after="20"/>
              <w:jc w:val="right"/>
            </w:pPr>
            <w:r>
              <w:rPr>
                <w:b/>
                <w:color w:val="1C3A36"/>
                <w:sz w:val="16"/>
              </w:rPr>
              <w:t>-21,556</w:t>
            </w:r>
          </w:p>
        </w:tc>
        <w:tc>
          <w:tcPr>
            <w:tcW w:type="dxa" w:w="950"/>
            <w:shd w:val="clear" w:color="auto" w:fill="F6F1E6"/>
          </w:tcPr>
          <w:p>
            <w:pPr>
              <w:spacing w:after="20"/>
              <w:jc w:val="right"/>
            </w:pPr>
            <w:r>
              <w:rPr>
                <w:b/>
                <w:color w:val="1C3A36"/>
                <w:sz w:val="16"/>
              </w:rPr>
              <w:t>-30,089</w:t>
            </w:r>
          </w:p>
        </w:tc>
        <w:tc>
          <w:tcPr>
            <w:tcW w:type="dxa" w:w="950"/>
            <w:shd w:val="clear" w:color="auto" w:fill="F6F1E6"/>
          </w:tcPr>
          <w:p>
            <w:pPr>
              <w:spacing w:after="20"/>
              <w:jc w:val="right"/>
            </w:pPr>
            <w:r>
              <w:rPr>
                <w:b/>
                <w:color w:val="1C3A36"/>
                <w:sz w:val="16"/>
              </w:rPr>
              <w:t>-39,133</w:t>
            </w:r>
          </w:p>
        </w:tc>
      </w:tr>
    </w:tbl>
    <w:p>
      <w:pPr>
        <w:spacing w:after="40"/>
      </w:pPr>
    </w:p>
    <w:p>
      <w:pPr>
        <w:spacing w:after="200" w:before="0"/>
      </w:pPr>
      <w:r>
        <w:rPr>
          <w:b w:val="0"/>
          <w:i/>
          <w:color w:val="6E7B77"/>
          <w:sz w:val="17"/>
        </w:rPr>
        <w:t>* Q Holding perimeter. Forecast columns roll only the lines the model drives — equity on retained profit (no dividend assumed), debt on the drawn path, cash from free cash flow — and leave asset lines the model does not forecast unpopulated rather than invented.</w:t>
      </w:r>
    </w:p>
    <w:p>
      <w:pPr>
        <w:spacing w:after="80" w:before="200"/>
      </w:pPr>
      <w:r>
        <w:rPr>
          <w:b/>
          <w:i w:val="0"/>
          <w:color w:val="1C3A36"/>
          <w:sz w:val="24"/>
        </w:rPr>
        <w:t>A.3 · Cash-flow markers</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909"/>
        <w:gridCol w:w="893"/>
        <w:gridCol w:w="893"/>
        <w:gridCol w:w="893"/>
        <w:gridCol w:w="864"/>
        <w:gridCol w:w="864"/>
        <w:gridCol w:w="864"/>
        <w:gridCol w:w="864"/>
        <w:gridCol w:w="864"/>
      </w:tblGrid>
      <w:tr>
        <w:tc>
          <w:tcPr>
            <w:tcW w:type="dxa" w:w="2909"/>
            <w:shd w:val="clear" w:color="auto" w:fill="EAF0EE"/>
          </w:tcPr>
          <w:p>
            <w:pPr>
              <w:spacing w:after="20"/>
            </w:pPr>
            <w:r>
              <w:rPr>
                <w:b/>
                <w:color w:val="1C3A36"/>
                <w:sz w:val="16"/>
              </w:rPr>
              <w:t>AED mn</w:t>
            </w:r>
          </w:p>
        </w:tc>
        <w:tc>
          <w:tcPr>
            <w:tcW w:type="dxa" w:w="893"/>
            <w:shd w:val="clear" w:color="auto" w:fill="EAF0EE"/>
          </w:tcPr>
          <w:p>
            <w:pPr>
              <w:spacing w:after="20"/>
            </w:pPr>
            <w:r>
              <w:rPr>
                <w:b/>
                <w:color w:val="1C3A36"/>
                <w:sz w:val="16"/>
              </w:rPr>
              <w:t>FY2024</w:t>
            </w:r>
          </w:p>
        </w:tc>
        <w:tc>
          <w:tcPr>
            <w:tcW w:type="dxa" w:w="893"/>
            <w:shd w:val="clear" w:color="auto" w:fill="EAF0EE"/>
          </w:tcPr>
          <w:p>
            <w:pPr>
              <w:spacing w:after="20"/>
            </w:pPr>
            <w:r>
              <w:rPr>
                <w:b/>
                <w:color w:val="1C3A36"/>
                <w:sz w:val="16"/>
              </w:rPr>
              <w:t>FY2025</w:t>
            </w:r>
          </w:p>
        </w:tc>
        <w:tc>
          <w:tcPr>
            <w:tcW w:type="dxa" w:w="893"/>
            <w:shd w:val="clear" w:color="auto" w:fill="EAF0EE"/>
          </w:tcPr>
          <w:p>
            <w:pPr>
              <w:spacing w:after="20"/>
            </w:pPr>
            <w:r>
              <w:rPr>
                <w:b/>
                <w:color w:val="1C3A36"/>
                <w:sz w:val="16"/>
              </w:rPr>
              <w:t>H1-2026</w:t>
            </w:r>
          </w:p>
        </w:tc>
        <w:tc>
          <w:tcPr>
            <w:tcW w:type="dxa" w:w="864"/>
            <w:shd w:val="clear" w:color="auto" w:fill="EAF0EE"/>
          </w:tcPr>
          <w:p>
            <w:pPr>
              <w:spacing w:after="20"/>
            </w:pPr>
            <w:r>
              <w:rPr>
                <w:b/>
                <w:color w:val="1C3A36"/>
                <w:sz w:val="16"/>
              </w:rPr>
              <w:t>FY2026E</w:t>
            </w:r>
          </w:p>
        </w:tc>
        <w:tc>
          <w:tcPr>
            <w:tcW w:type="dxa" w:w="864"/>
            <w:shd w:val="clear" w:color="auto" w:fill="EAF0EE"/>
          </w:tcPr>
          <w:p>
            <w:pPr>
              <w:spacing w:after="20"/>
            </w:pPr>
            <w:r>
              <w:rPr>
                <w:b/>
                <w:color w:val="1C3A36"/>
                <w:sz w:val="16"/>
              </w:rPr>
              <w:t>FY2027E</w:t>
            </w:r>
          </w:p>
        </w:tc>
        <w:tc>
          <w:tcPr>
            <w:tcW w:type="dxa" w:w="864"/>
            <w:shd w:val="clear" w:color="auto" w:fill="EAF0EE"/>
          </w:tcPr>
          <w:p>
            <w:pPr>
              <w:spacing w:after="20"/>
            </w:pPr>
            <w:r>
              <w:rPr>
                <w:b/>
                <w:color w:val="1C3A36"/>
                <w:sz w:val="16"/>
              </w:rPr>
              <w:t>FY2028E</w:t>
            </w:r>
          </w:p>
        </w:tc>
        <w:tc>
          <w:tcPr>
            <w:tcW w:type="dxa" w:w="864"/>
            <w:shd w:val="clear" w:color="auto" w:fill="EAF0EE"/>
          </w:tcPr>
          <w:p>
            <w:pPr>
              <w:spacing w:after="20"/>
            </w:pPr>
            <w:r>
              <w:rPr>
                <w:b/>
                <w:color w:val="1C3A36"/>
                <w:sz w:val="16"/>
              </w:rPr>
              <w:t>FY2029E</w:t>
            </w:r>
          </w:p>
        </w:tc>
        <w:tc>
          <w:tcPr>
            <w:tcW w:type="dxa" w:w="864"/>
            <w:shd w:val="clear" w:color="auto" w:fill="EAF0EE"/>
          </w:tcPr>
          <w:p>
            <w:pPr>
              <w:spacing w:after="20"/>
            </w:pPr>
            <w:r>
              <w:rPr>
                <w:b/>
                <w:color w:val="1C3A36"/>
                <w:sz w:val="16"/>
              </w:rPr>
              <w:t>FY2030E</w:t>
            </w:r>
          </w:p>
        </w:tc>
      </w:tr>
      <w:tr>
        <w:tc>
          <w:tcPr>
            <w:tcW w:type="dxa" w:w="2909"/>
          </w:tcPr>
          <w:p>
            <w:pPr>
              <w:spacing w:after="20"/>
            </w:pPr>
            <w:r>
              <w:rPr>
                <w:color w:val="1C3A36"/>
                <w:sz w:val="16"/>
              </w:rPr>
              <w:t>Operating cash flow (audited / model NOPAT+D&amp;A−ΔWC)</w:t>
            </w:r>
          </w:p>
        </w:tc>
        <w:tc>
          <w:tcPr>
            <w:tcW w:type="dxa" w:w="893"/>
          </w:tcPr>
          <w:p>
            <w:pPr>
              <w:spacing w:after="20"/>
              <w:jc w:val="right"/>
            </w:pPr>
            <w:r>
              <w:rPr>
                <w:color w:val="1C3A36"/>
                <w:sz w:val="16"/>
              </w:rPr>
              <w:t>3,231</w:t>
            </w:r>
          </w:p>
        </w:tc>
        <w:tc>
          <w:tcPr>
            <w:tcW w:type="dxa" w:w="893"/>
          </w:tcPr>
          <w:p>
            <w:pPr>
              <w:spacing w:after="20"/>
              <w:jc w:val="right"/>
            </w:pPr>
            <w:r>
              <w:rPr>
                <w:color w:val="1C3A36"/>
                <w:sz w:val="16"/>
              </w:rPr>
              <w:t>3,860</w:t>
            </w:r>
          </w:p>
        </w:tc>
        <w:tc>
          <w:tcPr>
            <w:tcW w:type="dxa" w:w="893"/>
          </w:tcPr>
          <w:p>
            <w:pPr>
              <w:spacing w:after="20"/>
              <w:jc w:val="right"/>
            </w:pPr>
            <w:r>
              <w:rPr>
                <w:color w:val="1C3A36"/>
                <w:sz w:val="16"/>
              </w:rPr>
              <w:t>-3,921</w:t>
            </w:r>
          </w:p>
        </w:tc>
        <w:tc>
          <w:tcPr>
            <w:tcW w:type="dxa" w:w="864"/>
          </w:tcPr>
          <w:p>
            <w:pPr>
              <w:spacing w:after="20"/>
              <w:jc w:val="right"/>
            </w:pPr>
            <w:r>
              <w:rPr>
                <w:color w:val="1C3A36"/>
                <w:sz w:val="16"/>
              </w:rPr>
              <w:t>3,623</w:t>
            </w:r>
          </w:p>
        </w:tc>
        <w:tc>
          <w:tcPr>
            <w:tcW w:type="dxa" w:w="864"/>
          </w:tcPr>
          <w:p>
            <w:pPr>
              <w:spacing w:after="20"/>
              <w:jc w:val="right"/>
            </w:pPr>
            <w:r>
              <w:rPr>
                <w:color w:val="1C3A36"/>
                <w:sz w:val="16"/>
              </w:rPr>
              <w:t>7,494</w:t>
            </w:r>
          </w:p>
        </w:tc>
        <w:tc>
          <w:tcPr>
            <w:tcW w:type="dxa" w:w="864"/>
          </w:tcPr>
          <w:p>
            <w:pPr>
              <w:spacing w:after="20"/>
              <w:jc w:val="right"/>
            </w:pPr>
            <w:r>
              <w:rPr>
                <w:color w:val="1C3A36"/>
                <w:sz w:val="16"/>
              </w:rPr>
              <w:t>8,870</w:t>
            </w:r>
          </w:p>
        </w:tc>
        <w:tc>
          <w:tcPr>
            <w:tcW w:type="dxa" w:w="864"/>
          </w:tcPr>
          <w:p>
            <w:pPr>
              <w:spacing w:after="20"/>
              <w:jc w:val="right"/>
            </w:pPr>
            <w:r>
              <w:rPr>
                <w:color w:val="1C3A36"/>
                <w:sz w:val="16"/>
              </w:rPr>
              <w:t>9,689</w:t>
            </w:r>
          </w:p>
        </w:tc>
        <w:tc>
          <w:tcPr>
            <w:tcW w:type="dxa" w:w="864"/>
          </w:tcPr>
          <w:p>
            <w:pPr>
              <w:spacing w:after="20"/>
              <w:jc w:val="right"/>
            </w:pPr>
            <w:r>
              <w:rPr>
                <w:color w:val="1C3A36"/>
                <w:sz w:val="16"/>
              </w:rPr>
              <w:t>9,986</w:t>
            </w:r>
          </w:p>
        </w:tc>
      </w:tr>
      <w:tr>
        <w:tc>
          <w:tcPr>
            <w:tcW w:type="dxa" w:w="2909"/>
          </w:tcPr>
          <w:p>
            <w:pPr>
              <w:spacing w:after="20"/>
            </w:pPr>
            <w:r>
              <w:rPr>
                <w:color w:val="1C3A36"/>
                <w:sz w:val="16"/>
              </w:rPr>
              <w:t>Capital expenditure</w:t>
            </w:r>
          </w:p>
        </w:tc>
        <w:tc>
          <w:tcPr>
            <w:tcW w:type="dxa" w:w="893"/>
          </w:tcPr>
          <w:p>
            <w:pPr>
              <w:spacing w:after="20"/>
              <w:jc w:val="right"/>
            </w:pPr>
            <w:r>
              <w:rPr>
                <w:color w:val="1C3A36"/>
                <w:sz w:val="16"/>
              </w:rPr>
              <w:t>1,247</w:t>
            </w:r>
          </w:p>
        </w:tc>
        <w:tc>
          <w:tcPr>
            <w:tcW w:type="dxa" w:w="893"/>
          </w:tcPr>
          <w:p>
            <w:pPr>
              <w:spacing w:after="20"/>
              <w:jc w:val="right"/>
            </w:pPr>
            <w:r>
              <w:rPr>
                <w:color w:val="1C3A36"/>
                <w:sz w:val="16"/>
              </w:rPr>
              <w:t>1,261</w:t>
            </w:r>
          </w:p>
        </w:tc>
        <w:tc>
          <w:tcPr>
            <w:tcW w:type="dxa" w:w="893"/>
          </w:tcPr>
          <w:p>
            <w:pPr>
              <w:spacing w:after="20"/>
              <w:jc w:val="right"/>
            </w:pPr>
            <w:r>
              <w:rPr>
                <w:color w:val="1C3A36"/>
                <w:sz w:val="16"/>
              </w:rPr>
              <w:t>—</w:t>
            </w:r>
          </w:p>
        </w:tc>
        <w:tc>
          <w:tcPr>
            <w:tcW w:type="dxa" w:w="864"/>
          </w:tcPr>
          <w:p>
            <w:pPr>
              <w:spacing w:after="20"/>
              <w:jc w:val="right"/>
            </w:pPr>
            <w:r>
              <w:rPr>
                <w:color w:val="1C3A36"/>
                <w:sz w:val="16"/>
              </w:rPr>
              <w:t>1,400</w:t>
            </w:r>
          </w:p>
        </w:tc>
        <w:tc>
          <w:tcPr>
            <w:tcW w:type="dxa" w:w="864"/>
          </w:tcPr>
          <w:p>
            <w:pPr>
              <w:spacing w:after="20"/>
              <w:jc w:val="right"/>
            </w:pPr>
            <w:r>
              <w:rPr>
                <w:color w:val="1C3A36"/>
                <w:sz w:val="16"/>
              </w:rPr>
              <w:t>1,500</w:t>
            </w:r>
          </w:p>
        </w:tc>
        <w:tc>
          <w:tcPr>
            <w:tcW w:type="dxa" w:w="864"/>
          </w:tcPr>
          <w:p>
            <w:pPr>
              <w:spacing w:after="20"/>
              <w:jc w:val="right"/>
            </w:pPr>
            <w:r>
              <w:rPr>
                <w:color w:val="1C3A36"/>
                <w:sz w:val="16"/>
              </w:rPr>
              <w:t>1,550</w:t>
            </w:r>
          </w:p>
        </w:tc>
        <w:tc>
          <w:tcPr>
            <w:tcW w:type="dxa" w:w="864"/>
          </w:tcPr>
          <w:p>
            <w:pPr>
              <w:spacing w:after="20"/>
              <w:jc w:val="right"/>
            </w:pPr>
            <w:r>
              <w:rPr>
                <w:color w:val="1C3A36"/>
                <w:sz w:val="16"/>
              </w:rPr>
              <w:t>1,600</w:t>
            </w:r>
          </w:p>
        </w:tc>
        <w:tc>
          <w:tcPr>
            <w:tcW w:type="dxa" w:w="864"/>
          </w:tcPr>
          <w:p>
            <w:pPr>
              <w:spacing w:after="20"/>
              <w:jc w:val="right"/>
            </w:pPr>
            <w:r>
              <w:rPr>
                <w:color w:val="1C3A36"/>
                <w:sz w:val="16"/>
              </w:rPr>
              <w:t>1,650</w:t>
            </w:r>
          </w:p>
        </w:tc>
      </w:tr>
      <w:tr>
        <w:tc>
          <w:tcPr>
            <w:tcW w:type="dxa" w:w="2909"/>
          </w:tcPr>
          <w:p>
            <w:pPr>
              <w:spacing w:after="20"/>
            </w:pPr>
            <w:r>
              <w:rPr>
                <w:color w:val="1C3A36"/>
                <w:sz w:val="16"/>
              </w:rPr>
              <w:t>Free cash flow to firm</w:t>
            </w:r>
          </w:p>
        </w:tc>
        <w:tc>
          <w:tcPr>
            <w:tcW w:type="dxa" w:w="893"/>
          </w:tcPr>
          <w:p>
            <w:pPr>
              <w:spacing w:after="20"/>
              <w:jc w:val="right"/>
            </w:pPr>
            <w:r>
              <w:rPr>
                <w:color w:val="1C3A36"/>
                <w:sz w:val="16"/>
              </w:rPr>
              <w:t>—</w:t>
            </w:r>
          </w:p>
        </w:tc>
        <w:tc>
          <w:tcPr>
            <w:tcW w:type="dxa" w:w="893"/>
          </w:tcPr>
          <w:p>
            <w:pPr>
              <w:spacing w:after="20"/>
              <w:jc w:val="right"/>
            </w:pPr>
            <w:r>
              <w:rPr>
                <w:color w:val="1C3A36"/>
                <w:sz w:val="16"/>
              </w:rPr>
              <w:t>—</w:t>
            </w:r>
          </w:p>
        </w:tc>
        <w:tc>
          <w:tcPr>
            <w:tcW w:type="dxa" w:w="893"/>
          </w:tcPr>
          <w:p>
            <w:pPr>
              <w:spacing w:after="20"/>
              <w:jc w:val="right"/>
            </w:pPr>
            <w:r>
              <w:rPr>
                <w:color w:val="1C3A36"/>
                <w:sz w:val="16"/>
              </w:rPr>
              <w:t>—</w:t>
            </w:r>
          </w:p>
        </w:tc>
        <w:tc>
          <w:tcPr>
            <w:tcW w:type="dxa" w:w="864"/>
          </w:tcPr>
          <w:p>
            <w:pPr>
              <w:spacing w:after="20"/>
              <w:jc w:val="right"/>
            </w:pPr>
            <w:r>
              <w:rPr>
                <w:color w:val="1C3A36"/>
                <w:sz w:val="16"/>
              </w:rPr>
              <w:t>2,223</w:t>
            </w:r>
          </w:p>
        </w:tc>
        <w:tc>
          <w:tcPr>
            <w:tcW w:type="dxa" w:w="864"/>
          </w:tcPr>
          <w:p>
            <w:pPr>
              <w:spacing w:after="20"/>
              <w:jc w:val="right"/>
            </w:pPr>
            <w:r>
              <w:rPr>
                <w:color w:val="1C3A36"/>
                <w:sz w:val="16"/>
              </w:rPr>
              <w:t>5,994</w:t>
            </w:r>
          </w:p>
        </w:tc>
        <w:tc>
          <w:tcPr>
            <w:tcW w:type="dxa" w:w="864"/>
          </w:tcPr>
          <w:p>
            <w:pPr>
              <w:spacing w:after="20"/>
              <w:jc w:val="right"/>
            </w:pPr>
            <w:r>
              <w:rPr>
                <w:color w:val="1C3A36"/>
                <w:sz w:val="16"/>
              </w:rPr>
              <w:t>7,320</w:t>
            </w:r>
          </w:p>
        </w:tc>
        <w:tc>
          <w:tcPr>
            <w:tcW w:type="dxa" w:w="864"/>
          </w:tcPr>
          <w:p>
            <w:pPr>
              <w:spacing w:after="20"/>
              <w:jc w:val="right"/>
            </w:pPr>
            <w:r>
              <w:rPr>
                <w:color w:val="1C3A36"/>
                <w:sz w:val="16"/>
              </w:rPr>
              <w:t>8,089</w:t>
            </w:r>
          </w:p>
        </w:tc>
        <w:tc>
          <w:tcPr>
            <w:tcW w:type="dxa" w:w="864"/>
          </w:tcPr>
          <w:p>
            <w:pPr>
              <w:spacing w:after="20"/>
              <w:jc w:val="right"/>
            </w:pPr>
            <w:r>
              <w:rPr>
                <w:color w:val="1C3A36"/>
                <w:sz w:val="16"/>
              </w:rPr>
              <w:t>8,336</w:t>
            </w:r>
          </w:p>
        </w:tc>
      </w:tr>
    </w:tbl>
    <w:p>
      <w:pPr>
        <w:spacing w:after="40"/>
      </w:pPr>
    </w:p>
    <w:p>
      <w:pPr>
        <w:spacing w:after="200" w:before="0"/>
      </w:pPr>
      <w:r>
        <w:rPr>
          <w:b w:val="0"/>
          <w:i/>
          <w:color w:val="6E7B77"/>
          <w:sz w:val="17"/>
        </w:rPr>
        <w:t>The H1-2026 operating outflow is the receivable build-up discussed in section 7; the model assumes partial reversal in H2 and prices the risk in the working-capital strip.</w:t>
      </w:r>
    </w:p>
    <w:p>
      <w:pPr>
        <w:spacing w:after="120" w:before="280"/>
      </w:pPr>
      <w:r>
        <w:rPr>
          <w:b/>
          <w:i w:val="0"/>
          <w:color w:val="1C3A36"/>
          <w:sz w:val="30"/>
        </w:rPr>
        <w:t>Appendix B · Peers, risks and research register</w:t>
      </w:r>
    </w:p>
    <w:p>
      <w:pPr>
        <w:spacing w:after="80" w:before="200"/>
      </w:pPr>
      <w:r>
        <w:rPr>
          <w:b/>
          <w:i w:val="0"/>
          <w:color w:val="1C3A36"/>
          <w:sz w:val="24"/>
        </w:rPr>
        <w:t>B.1 · Peer set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448"/>
        <w:gridCol w:w="1152"/>
        <w:gridCol w:w="1656"/>
        <w:gridCol w:w="1728"/>
        <w:gridCol w:w="1440"/>
        <w:gridCol w:w="1440"/>
      </w:tblGrid>
      <w:tr>
        <w:tc>
          <w:tcPr>
            <w:tcW w:type="dxa" w:w="2448"/>
            <w:shd w:val="clear" w:color="auto" w:fill="EAF0EE"/>
          </w:tcPr>
          <w:p>
            <w:pPr>
              <w:spacing w:after="20"/>
            </w:pPr>
            <w:r>
              <w:rPr>
                <w:b/>
                <w:color w:val="1C3A36"/>
                <w:sz w:val="18"/>
              </w:rPr>
              <w:t>Company</w:t>
            </w:r>
          </w:p>
        </w:tc>
        <w:tc>
          <w:tcPr>
            <w:tcW w:type="dxa" w:w="1152"/>
            <w:shd w:val="clear" w:color="auto" w:fill="EAF0EE"/>
          </w:tcPr>
          <w:p>
            <w:pPr>
              <w:spacing w:after="20"/>
            </w:pPr>
            <w:r>
              <w:rPr>
                <w:b/>
                <w:color w:val="1C3A36"/>
                <w:sz w:val="18"/>
              </w:rPr>
              <w:t>Market</w:t>
            </w:r>
          </w:p>
        </w:tc>
        <w:tc>
          <w:tcPr>
            <w:tcW w:type="dxa" w:w="1656"/>
            <w:shd w:val="clear" w:color="auto" w:fill="EAF0EE"/>
          </w:tcPr>
          <w:p>
            <w:pPr>
              <w:spacing w:after="20"/>
            </w:pPr>
            <w:r>
              <w:rPr>
                <w:b/>
                <w:color w:val="1C3A36"/>
                <w:sz w:val="18"/>
              </w:rPr>
              <w:t>FY2025 revenue</w:t>
            </w:r>
          </w:p>
        </w:tc>
        <w:tc>
          <w:tcPr>
            <w:tcW w:type="dxa" w:w="1728"/>
            <w:shd w:val="clear" w:color="auto" w:fill="EAF0EE"/>
          </w:tcPr>
          <w:p>
            <w:pPr>
              <w:spacing w:after="20"/>
            </w:pPr>
            <w:r>
              <w:rPr>
                <w:b/>
                <w:color w:val="1C3A36"/>
                <w:sz w:val="18"/>
              </w:rPr>
              <w:t>FY2025 net profit</w:t>
            </w:r>
          </w:p>
        </w:tc>
        <w:tc>
          <w:tcPr>
            <w:tcW w:type="dxa" w:w="1440"/>
            <w:shd w:val="clear" w:color="auto" w:fill="EAF0EE"/>
          </w:tcPr>
          <w:p>
            <w:pPr>
              <w:spacing w:after="20"/>
            </w:pPr>
            <w:r>
              <w:rPr>
                <w:b/>
                <w:color w:val="1C3A36"/>
                <w:sz w:val="18"/>
              </w:rPr>
              <w:t>Trailing P/E</w:t>
            </w:r>
          </w:p>
        </w:tc>
        <w:tc>
          <w:tcPr>
            <w:tcW w:type="dxa" w:w="1440"/>
            <w:shd w:val="clear" w:color="auto" w:fill="EAF0EE"/>
          </w:tcPr>
          <w:p>
            <w:pPr>
              <w:spacing w:after="20"/>
            </w:pPr>
            <w:r>
              <w:rPr>
                <w:b/>
                <w:color w:val="1C3A36"/>
                <w:sz w:val="18"/>
              </w:rPr>
              <w:t>Backlog</w:t>
            </w:r>
          </w:p>
        </w:tc>
      </w:tr>
      <w:tr>
        <w:tc>
          <w:tcPr>
            <w:tcW w:type="dxa" w:w="2448"/>
          </w:tcPr>
          <w:p>
            <w:pPr>
              <w:spacing w:after="20"/>
            </w:pPr>
            <w:r>
              <w:rPr>
                <w:color w:val="1C3A36"/>
                <w:sz w:val="18"/>
              </w:rPr>
              <w:t>Aldar Properties</w:t>
            </w:r>
          </w:p>
        </w:tc>
        <w:tc>
          <w:tcPr>
            <w:tcW w:type="dxa" w:w="1152"/>
          </w:tcPr>
          <w:p>
            <w:pPr>
              <w:spacing w:after="20"/>
              <w:jc w:val="right"/>
            </w:pPr>
            <w:r>
              <w:rPr>
                <w:color w:val="1C3A36"/>
                <w:sz w:val="18"/>
              </w:rPr>
              <w:t>ADX</w:t>
            </w:r>
          </w:p>
        </w:tc>
        <w:tc>
          <w:tcPr>
            <w:tcW w:type="dxa" w:w="1656"/>
          </w:tcPr>
          <w:p>
            <w:pPr>
              <w:spacing w:after="20"/>
              <w:jc w:val="right"/>
            </w:pPr>
            <w:r>
              <w:rPr>
                <w:color w:val="1C3A36"/>
                <w:sz w:val="18"/>
              </w:rPr>
              <w:t>33,800</w:t>
            </w:r>
          </w:p>
        </w:tc>
        <w:tc>
          <w:tcPr>
            <w:tcW w:type="dxa" w:w="1728"/>
          </w:tcPr>
          <w:p>
            <w:pPr>
              <w:spacing w:after="20"/>
              <w:jc w:val="right"/>
            </w:pPr>
            <w:r>
              <w:rPr>
                <w:color w:val="1C3A36"/>
                <w:sz w:val="18"/>
              </w:rPr>
              <w:t>8,800</w:t>
            </w:r>
          </w:p>
        </w:tc>
        <w:tc>
          <w:tcPr>
            <w:tcW w:type="dxa" w:w="1440"/>
          </w:tcPr>
          <w:p>
            <w:pPr>
              <w:spacing w:after="20"/>
              <w:jc w:val="right"/>
            </w:pPr>
            <w:r>
              <w:rPr>
                <w:color w:val="1C3A36"/>
                <w:sz w:val="18"/>
              </w:rPr>
              <w:t>7.5x</w:t>
            </w:r>
          </w:p>
        </w:tc>
        <w:tc>
          <w:tcPr>
            <w:tcW w:type="dxa" w:w="1440"/>
          </w:tcPr>
          <w:p>
            <w:pPr>
              <w:spacing w:after="20"/>
              <w:jc w:val="right"/>
            </w:pPr>
            <w:r>
              <w:rPr>
                <w:color w:val="1C3A36"/>
                <w:sz w:val="18"/>
              </w:rPr>
              <w:t>66,500</w:t>
            </w:r>
          </w:p>
        </w:tc>
      </w:tr>
      <w:tr>
        <w:tc>
          <w:tcPr>
            <w:tcW w:type="dxa" w:w="2448"/>
          </w:tcPr>
          <w:p>
            <w:pPr>
              <w:spacing w:after="20"/>
            </w:pPr>
            <w:r>
              <w:rPr>
                <w:color w:val="1C3A36"/>
                <w:sz w:val="18"/>
              </w:rPr>
              <w:t>Emaar Properties</w:t>
            </w:r>
          </w:p>
        </w:tc>
        <w:tc>
          <w:tcPr>
            <w:tcW w:type="dxa" w:w="1152"/>
          </w:tcPr>
          <w:p>
            <w:pPr>
              <w:spacing w:after="20"/>
              <w:jc w:val="right"/>
            </w:pPr>
            <w:r>
              <w:rPr>
                <w:color w:val="1C3A36"/>
                <w:sz w:val="18"/>
              </w:rPr>
              <w:t>DFM</w:t>
            </w:r>
          </w:p>
        </w:tc>
        <w:tc>
          <w:tcPr>
            <w:tcW w:type="dxa" w:w="1656"/>
          </w:tcPr>
          <w:p>
            <w:pPr>
              <w:spacing w:after="20"/>
              <w:jc w:val="right"/>
            </w:pPr>
            <w:r>
              <w:rPr>
                <w:color w:val="1C3A36"/>
                <w:sz w:val="18"/>
              </w:rPr>
              <w:t>49,600</w:t>
            </w:r>
          </w:p>
        </w:tc>
        <w:tc>
          <w:tcPr>
            <w:tcW w:type="dxa" w:w="1728"/>
          </w:tcPr>
          <w:p>
            <w:pPr>
              <w:spacing w:after="20"/>
              <w:jc w:val="right"/>
            </w:pPr>
            <w:r>
              <w:rPr>
                <w:color w:val="1C3A36"/>
                <w:sz w:val="18"/>
              </w:rPr>
              <w:t>n/d</w:t>
            </w:r>
          </w:p>
        </w:tc>
        <w:tc>
          <w:tcPr>
            <w:tcW w:type="dxa" w:w="1440"/>
          </w:tcPr>
          <w:p>
            <w:pPr>
              <w:spacing w:after="20"/>
              <w:jc w:val="right"/>
            </w:pPr>
            <w:r>
              <w:rPr>
                <w:color w:val="1C3A36"/>
                <w:sz w:val="18"/>
              </w:rPr>
              <w:t>5.3x</w:t>
            </w:r>
          </w:p>
        </w:tc>
        <w:tc>
          <w:tcPr>
            <w:tcW w:type="dxa" w:w="1440"/>
          </w:tcPr>
          <w:p>
            <w:pPr>
              <w:spacing w:after="20"/>
              <w:jc w:val="right"/>
            </w:pPr>
            <w:r>
              <w:rPr>
                <w:color w:val="1C3A36"/>
                <w:sz w:val="18"/>
              </w:rPr>
              <w:t>155,000</w:t>
            </w:r>
          </w:p>
        </w:tc>
      </w:tr>
      <w:tr>
        <w:tc>
          <w:tcPr>
            <w:tcW w:type="dxa" w:w="2448"/>
          </w:tcPr>
          <w:p>
            <w:pPr>
              <w:spacing w:after="20"/>
            </w:pPr>
            <w:r>
              <w:rPr>
                <w:color w:val="1C3A36"/>
                <w:sz w:val="18"/>
              </w:rPr>
              <w:t>Emaar Development</w:t>
            </w:r>
          </w:p>
        </w:tc>
        <w:tc>
          <w:tcPr>
            <w:tcW w:type="dxa" w:w="1152"/>
          </w:tcPr>
          <w:p>
            <w:pPr>
              <w:spacing w:after="20"/>
              <w:jc w:val="right"/>
            </w:pPr>
            <w:r>
              <w:rPr>
                <w:color w:val="1C3A36"/>
                <w:sz w:val="18"/>
              </w:rPr>
              <w:t>DFM</w:t>
            </w:r>
          </w:p>
        </w:tc>
        <w:tc>
          <w:tcPr>
            <w:tcW w:type="dxa" w:w="1656"/>
          </w:tcPr>
          <w:p>
            <w:pPr>
              <w:spacing w:after="20"/>
              <w:jc w:val="right"/>
            </w:pPr>
            <w:r>
              <w:rPr>
                <w:color w:val="1C3A36"/>
                <w:sz w:val="18"/>
              </w:rPr>
              <w:t>27,490</w:t>
            </w:r>
          </w:p>
        </w:tc>
        <w:tc>
          <w:tcPr>
            <w:tcW w:type="dxa" w:w="1728"/>
          </w:tcPr>
          <w:p>
            <w:pPr>
              <w:spacing w:after="20"/>
              <w:jc w:val="right"/>
            </w:pPr>
            <w:r>
              <w:rPr>
                <w:color w:val="1C3A36"/>
                <w:sz w:val="18"/>
              </w:rPr>
              <w:t>11,320</w:t>
            </w:r>
          </w:p>
        </w:tc>
        <w:tc>
          <w:tcPr>
            <w:tcW w:type="dxa" w:w="1440"/>
          </w:tcPr>
          <w:p>
            <w:pPr>
              <w:spacing w:after="20"/>
              <w:jc w:val="right"/>
            </w:pPr>
            <w:r>
              <w:rPr>
                <w:color w:val="1C3A36"/>
                <w:sz w:val="18"/>
              </w:rPr>
              <w:t>4.1x</w:t>
            </w:r>
          </w:p>
        </w:tc>
        <w:tc>
          <w:tcPr>
            <w:tcW w:type="dxa" w:w="1440"/>
          </w:tcPr>
          <w:p>
            <w:pPr>
              <w:spacing w:after="20"/>
              <w:jc w:val="right"/>
            </w:pPr>
            <w:r>
              <w:rPr>
                <w:color w:val="1C3A36"/>
                <w:sz w:val="18"/>
              </w:rPr>
              <w:t>134,300</w:t>
            </w:r>
          </w:p>
        </w:tc>
      </w:tr>
      <w:tr>
        <w:tc>
          <w:tcPr>
            <w:tcW w:type="dxa" w:w="2448"/>
            <w:shd w:val="clear" w:color="auto" w:fill="F6F1E6"/>
          </w:tcPr>
          <w:p>
            <w:pPr>
              <w:spacing w:after="20"/>
            </w:pPr>
            <w:r>
              <w:rPr>
                <w:b/>
                <w:color w:val="1C3A36"/>
                <w:sz w:val="18"/>
              </w:rPr>
              <w:t>Modon Holding</w:t>
            </w:r>
          </w:p>
        </w:tc>
        <w:tc>
          <w:tcPr>
            <w:tcW w:type="dxa" w:w="1152"/>
            <w:shd w:val="clear" w:color="auto" w:fill="F6F1E6"/>
          </w:tcPr>
          <w:p>
            <w:pPr>
              <w:spacing w:after="20"/>
              <w:jc w:val="right"/>
            </w:pPr>
            <w:r>
              <w:rPr>
                <w:b/>
                <w:color w:val="1C3A36"/>
                <w:sz w:val="18"/>
              </w:rPr>
              <w:t>ADX</w:t>
            </w:r>
          </w:p>
        </w:tc>
        <w:tc>
          <w:tcPr>
            <w:tcW w:type="dxa" w:w="1656"/>
            <w:shd w:val="clear" w:color="auto" w:fill="F6F1E6"/>
          </w:tcPr>
          <w:p>
            <w:pPr>
              <w:spacing w:after="20"/>
              <w:jc w:val="right"/>
            </w:pPr>
            <w:r>
              <w:rPr>
                <w:b/>
                <w:color w:val="1C3A36"/>
                <w:sz w:val="18"/>
              </w:rPr>
              <w:t>13,829</w:t>
            </w:r>
          </w:p>
        </w:tc>
        <w:tc>
          <w:tcPr>
            <w:tcW w:type="dxa" w:w="1728"/>
            <w:shd w:val="clear" w:color="auto" w:fill="F6F1E6"/>
          </w:tcPr>
          <w:p>
            <w:pPr>
              <w:spacing w:after="20"/>
              <w:jc w:val="right"/>
            </w:pPr>
            <w:r>
              <w:rPr>
                <w:b/>
                <w:color w:val="1C3A36"/>
                <w:sz w:val="18"/>
              </w:rPr>
              <w:t>3,926</w:t>
            </w:r>
          </w:p>
        </w:tc>
        <w:tc>
          <w:tcPr>
            <w:tcW w:type="dxa" w:w="1440"/>
            <w:shd w:val="clear" w:color="auto" w:fill="F6F1E6"/>
          </w:tcPr>
          <w:p>
            <w:pPr>
              <w:spacing w:after="20"/>
              <w:jc w:val="right"/>
            </w:pPr>
            <w:r>
              <w:rPr>
                <w:b/>
                <w:color w:val="1C3A36"/>
                <w:sz w:val="18"/>
              </w:rPr>
              <w:t>11.8x</w:t>
            </w:r>
          </w:p>
        </w:tc>
        <w:tc>
          <w:tcPr>
            <w:tcW w:type="dxa" w:w="1440"/>
            <w:shd w:val="clear" w:color="auto" w:fill="F6F1E6"/>
          </w:tcPr>
          <w:p>
            <w:pPr>
              <w:spacing w:after="20"/>
              <w:jc w:val="right"/>
            </w:pPr>
            <w:r>
              <w:rPr>
                <w:b/>
                <w:color w:val="1C3A36"/>
                <w:sz w:val="18"/>
              </w:rPr>
              <w:t>46,000</w:t>
            </w:r>
          </w:p>
        </w:tc>
      </w:tr>
    </w:tbl>
    <w:p>
      <w:pPr>
        <w:spacing w:after="40"/>
      </w:pPr>
    </w:p>
    <w:p>
      <w:pPr>
        <w:spacing w:after="200" w:before="0"/>
      </w:pPr>
      <w:r>
        <w:rPr>
          <w:b w:val="0"/>
          <w:i/>
          <w:color w:val="6E7B77"/>
          <w:sz w:val="17"/>
        </w:rPr>
        <w:t>AED mn. Peer figures from each company's own FY2025 results releases; multiples cross-checked against a market-data aggregator on 7 Aug 2026 and used only as comparison, never as a source for Modon's own numbers.</w:t>
      </w:r>
    </w:p>
    <w:p>
      <w:pPr>
        <w:spacing w:after="80" w:before="200"/>
      </w:pPr>
      <w:r>
        <w:rPr>
          <w:b/>
          <w:i w:val="0"/>
          <w:color w:val="1C3A36"/>
          <w:sz w:val="24"/>
        </w:rPr>
        <w:t>B.2 · Risk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096"/>
        <w:gridCol w:w="3096"/>
        <w:gridCol w:w="3672"/>
      </w:tblGrid>
      <w:tr>
        <w:tc>
          <w:tcPr>
            <w:tcW w:type="dxa" w:w="3096"/>
            <w:shd w:val="clear" w:color="auto" w:fill="EAF0EE"/>
          </w:tcPr>
          <w:p>
            <w:pPr>
              <w:spacing w:after="20"/>
            </w:pPr>
            <w:r>
              <w:rPr>
                <w:b/>
                <w:color w:val="1C3A36"/>
                <w:sz w:val="17"/>
              </w:rPr>
              <w:t>Risk</w:t>
            </w:r>
          </w:p>
        </w:tc>
        <w:tc>
          <w:tcPr>
            <w:tcW w:type="dxa" w:w="3096"/>
            <w:shd w:val="clear" w:color="auto" w:fill="EAF0EE"/>
          </w:tcPr>
          <w:p>
            <w:pPr>
              <w:spacing w:after="20"/>
            </w:pPr>
            <w:r>
              <w:rPr>
                <w:b/>
                <w:color w:val="1C3A36"/>
                <w:sz w:val="17"/>
              </w:rPr>
              <w:t>Where it bites</w:t>
            </w:r>
          </w:p>
        </w:tc>
        <w:tc>
          <w:tcPr>
            <w:tcW w:type="dxa" w:w="3672"/>
            <w:shd w:val="clear" w:color="auto" w:fill="EAF0EE"/>
          </w:tcPr>
          <w:p>
            <w:pPr>
              <w:spacing w:after="20"/>
            </w:pPr>
            <w:r>
              <w:rPr>
                <w:b/>
                <w:color w:val="1C3A36"/>
                <w:sz w:val="17"/>
              </w:rPr>
              <w:t>How it is priced here</w:t>
            </w:r>
          </w:p>
        </w:tc>
      </w:tr>
      <w:tr>
        <w:tc>
          <w:tcPr>
            <w:tcW w:type="dxa" w:w="3096"/>
          </w:tcPr>
          <w:p>
            <w:pPr>
              <w:spacing w:after="20"/>
            </w:pPr>
            <w:r>
              <w:rPr>
                <w:color w:val="1C3A36"/>
                <w:sz w:val="17"/>
              </w:rPr>
              <w:t>Related-party sales concentration and pricing</w:t>
            </w:r>
          </w:p>
        </w:tc>
        <w:tc>
          <w:tcPr>
            <w:tcW w:type="dxa" w:w="3096"/>
          </w:tcPr>
          <w:p>
            <w:pPr>
              <w:spacing w:after="20"/>
              <w:jc w:val="right"/>
            </w:pPr>
            <w:r>
              <w:rPr>
                <w:color w:val="1C3A36"/>
                <w:sz w:val="17"/>
              </w:rPr>
              <w:t>development margin, receivables</w:t>
            </w:r>
          </w:p>
        </w:tc>
        <w:tc>
          <w:tcPr>
            <w:tcW w:type="dxa" w:w="3672"/>
          </w:tcPr>
          <w:p>
            <w:pPr>
              <w:spacing w:after="20"/>
              <w:jc w:val="right"/>
            </w:pPr>
            <w:r>
              <w:rPr>
                <w:color w:val="1C3A36"/>
                <w:sz w:val="17"/>
              </w:rPr>
              <w:t>margin glide down; Expert 2 haircut; section 1.9 margin strip</w:t>
            </w:r>
          </w:p>
        </w:tc>
      </w:tr>
      <w:tr>
        <w:tc>
          <w:tcPr>
            <w:tcW w:type="dxa" w:w="3096"/>
          </w:tcPr>
          <w:p>
            <w:pPr>
              <w:spacing w:after="20"/>
            </w:pPr>
            <w:r>
              <w:rPr>
                <w:color w:val="1C3A36"/>
                <w:sz w:val="17"/>
              </w:rPr>
              <w:t>Receivable collection timing</w:t>
            </w:r>
          </w:p>
        </w:tc>
        <w:tc>
          <w:tcPr>
            <w:tcW w:type="dxa" w:w="3096"/>
          </w:tcPr>
          <w:p>
            <w:pPr>
              <w:spacing w:after="20"/>
              <w:jc w:val="right"/>
            </w:pPr>
            <w:r>
              <w:rPr>
                <w:color w:val="1C3A36"/>
                <w:sz w:val="17"/>
              </w:rPr>
              <w:t>working capital, cash conversion</w:t>
            </w:r>
          </w:p>
        </w:tc>
        <w:tc>
          <w:tcPr>
            <w:tcW w:type="dxa" w:w="3672"/>
          </w:tcPr>
          <w:p>
            <w:pPr>
              <w:spacing w:after="20"/>
              <w:jc w:val="right"/>
            </w:pPr>
            <w:r>
              <w:rPr>
                <w:color w:val="1C3A36"/>
                <w:sz w:val="17"/>
              </w:rPr>
              <w:t>2026 absorbs cash; ±AED 1bn/yr strip</w:t>
            </w:r>
          </w:p>
        </w:tc>
      </w:tr>
      <w:tr>
        <w:tc>
          <w:tcPr>
            <w:tcW w:type="dxa" w:w="3096"/>
          </w:tcPr>
          <w:p>
            <w:pPr>
              <w:spacing w:after="20"/>
            </w:pPr>
            <w:r>
              <w:rPr>
                <w:color w:val="1C3A36"/>
                <w:sz w:val="17"/>
              </w:rPr>
              <w:t>Abu Dhabi residential cycle turns</w:t>
            </w:r>
          </w:p>
        </w:tc>
        <w:tc>
          <w:tcPr>
            <w:tcW w:type="dxa" w:w="3096"/>
          </w:tcPr>
          <w:p>
            <w:pPr>
              <w:spacing w:after="20"/>
              <w:jc w:val="right"/>
            </w:pPr>
            <w:r>
              <w:rPr>
                <w:color w:val="1C3A36"/>
                <w:sz w:val="17"/>
              </w:rPr>
              <w:t>new sales, pricing</w:t>
            </w:r>
          </w:p>
        </w:tc>
        <w:tc>
          <w:tcPr>
            <w:tcW w:type="dxa" w:w="3672"/>
          </w:tcPr>
          <w:p>
            <w:pPr>
              <w:spacing w:after="20"/>
              <w:jc w:val="right"/>
            </w:pPr>
            <w:r>
              <w:rPr>
                <w:color w:val="1C3A36"/>
                <w:sz w:val="17"/>
              </w:rPr>
              <w:t>run-off path priced in full (section 1.7)</w:t>
            </w:r>
          </w:p>
        </w:tc>
      </w:tr>
      <w:tr>
        <w:tc>
          <w:tcPr>
            <w:tcW w:type="dxa" w:w="3096"/>
          </w:tcPr>
          <w:p>
            <w:pPr>
              <w:spacing w:after="20"/>
            </w:pPr>
            <w:r>
              <w:rPr>
                <w:color w:val="1C3A36"/>
                <w:sz w:val="17"/>
              </w:rPr>
              <w:t>Egypt macro and FX on Ras El Hekma</w:t>
            </w:r>
          </w:p>
        </w:tc>
        <w:tc>
          <w:tcPr>
            <w:tcW w:type="dxa" w:w="3096"/>
          </w:tcPr>
          <w:p>
            <w:pPr>
              <w:spacing w:after="20"/>
              <w:jc w:val="right"/>
            </w:pPr>
            <w:r>
              <w:rPr>
                <w:color w:val="1C3A36"/>
                <w:sz w:val="17"/>
              </w:rPr>
              <w:t>international leg</w:t>
            </w:r>
          </w:p>
        </w:tc>
        <w:tc>
          <w:tcPr>
            <w:tcW w:type="dxa" w:w="3672"/>
          </w:tcPr>
          <w:p>
            <w:pPr>
              <w:spacing w:after="20"/>
              <w:jc w:val="right"/>
            </w:pPr>
            <w:r>
              <w:rPr>
                <w:color w:val="1C3A36"/>
                <w:sz w:val="17"/>
              </w:rPr>
              <w:t>Egypt-premium stress: AED 5.09 per share</w:t>
            </w:r>
          </w:p>
        </w:tc>
      </w:tr>
      <w:tr>
        <w:tc>
          <w:tcPr>
            <w:tcW w:type="dxa" w:w="3096"/>
          </w:tcPr>
          <w:p>
            <w:pPr>
              <w:spacing w:after="20"/>
            </w:pPr>
            <w:r>
              <w:rPr>
                <w:color w:val="1C3A36"/>
                <w:sz w:val="17"/>
              </w:rPr>
              <w:t>Rates stay higher for longer</w:t>
            </w:r>
          </w:p>
        </w:tc>
        <w:tc>
          <w:tcPr>
            <w:tcW w:type="dxa" w:w="3096"/>
          </w:tcPr>
          <w:p>
            <w:pPr>
              <w:spacing w:after="20"/>
              <w:jc w:val="right"/>
            </w:pPr>
            <w:r>
              <w:rPr>
                <w:color w:val="1C3A36"/>
                <w:sz w:val="17"/>
              </w:rPr>
              <w:t>discount rate, mortgage demand</w:t>
            </w:r>
          </w:p>
        </w:tc>
        <w:tc>
          <w:tcPr>
            <w:tcW w:type="dxa" w:w="3672"/>
          </w:tcPr>
          <w:p>
            <w:pPr>
              <w:spacing w:after="20"/>
              <w:jc w:val="right"/>
            </w:pPr>
            <w:r>
              <w:rPr>
                <w:color w:val="1C3A36"/>
                <w:sz w:val="17"/>
              </w:rPr>
              <w:t>+2pt cost-of-equity strip; auction-based rf</w:t>
            </w:r>
          </w:p>
        </w:tc>
      </w:tr>
      <w:tr>
        <w:tc>
          <w:tcPr>
            <w:tcW w:type="dxa" w:w="3096"/>
          </w:tcPr>
          <w:p>
            <w:pPr>
              <w:spacing w:after="20"/>
            </w:pPr>
            <w:r>
              <w:rPr>
                <w:color w:val="1C3A36"/>
                <w:sz w:val="17"/>
              </w:rPr>
              <w:t>Free float and index exclusion</w:t>
            </w:r>
          </w:p>
        </w:tc>
        <w:tc>
          <w:tcPr>
            <w:tcW w:type="dxa" w:w="3096"/>
          </w:tcPr>
          <w:p>
            <w:pPr>
              <w:spacing w:after="20"/>
              <w:jc w:val="right"/>
            </w:pPr>
            <w:r>
              <w:rPr>
                <w:color w:val="1C3A36"/>
                <w:sz w:val="17"/>
              </w:rPr>
              <w:t>the multiple, not the cash</w:t>
            </w:r>
          </w:p>
        </w:tc>
        <w:tc>
          <w:tcPr>
            <w:tcW w:type="dxa" w:w="3672"/>
          </w:tcPr>
          <w:p>
            <w:pPr>
              <w:spacing w:after="20"/>
              <w:jc w:val="right"/>
            </w:pPr>
            <w:r>
              <w:rPr>
                <w:color w:val="1C3A36"/>
                <w:sz w:val="17"/>
              </w:rPr>
              <w:t>relative lens weighted 20% despite the gap</w:t>
            </w:r>
          </w:p>
        </w:tc>
      </w:tr>
      <w:tr>
        <w:tc>
          <w:tcPr>
            <w:tcW w:type="dxa" w:w="3096"/>
          </w:tcPr>
          <w:p>
            <w:pPr>
              <w:spacing w:after="20"/>
            </w:pPr>
            <w:r>
              <w:rPr>
                <w:color w:val="1C3A36"/>
                <w:sz w:val="17"/>
              </w:rPr>
              <w:t>Execution at masterplan scale</w:t>
            </w:r>
          </w:p>
        </w:tc>
        <w:tc>
          <w:tcPr>
            <w:tcW w:type="dxa" w:w="3096"/>
          </w:tcPr>
          <w:p>
            <w:pPr>
              <w:spacing w:after="20"/>
              <w:jc w:val="right"/>
            </w:pPr>
            <w:r>
              <w:rPr>
                <w:color w:val="1C3A36"/>
                <w:sz w:val="17"/>
              </w:rPr>
              <w:t>capex, delivery cadence</w:t>
            </w:r>
          </w:p>
        </w:tc>
        <w:tc>
          <w:tcPr>
            <w:tcW w:type="dxa" w:w="3672"/>
          </w:tcPr>
          <w:p>
            <w:pPr>
              <w:spacing w:after="20"/>
              <w:jc w:val="right"/>
            </w:pPr>
            <w:r>
              <w:rPr>
                <w:color w:val="1C3A36"/>
                <w:sz w:val="17"/>
              </w:rPr>
              <w:t>conversion-rate strip; contracts procured (AED 32bn) noted</w:t>
            </w:r>
          </w:p>
        </w:tc>
      </w:tr>
    </w:tbl>
    <w:p>
      <w:pPr>
        <w:spacing w:after="40"/>
      </w:pPr>
    </w:p>
    <w:p>
      <w:pPr>
        <w:spacing w:after="80" w:before="200"/>
      </w:pPr>
      <w:r>
        <w:rPr>
          <w:b/>
          <w:i w:val="0"/>
          <w:color w:val="1C3A36"/>
          <w:sz w:val="24"/>
        </w:rPr>
        <w:t>B.3 · Research register</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80"/>
        <w:gridCol w:w="5328"/>
        <w:gridCol w:w="2520"/>
        <w:gridCol w:w="1080"/>
      </w:tblGrid>
      <w:tr>
        <w:tc>
          <w:tcPr>
            <w:tcW w:type="dxa" w:w="1080"/>
            <w:shd w:val="clear" w:color="auto" w:fill="EAF0EE"/>
          </w:tcPr>
          <w:p>
            <w:pPr>
              <w:spacing w:after="20"/>
            </w:pPr>
            <w:r>
              <w:rPr>
                <w:b/>
                <w:color w:val="1C3A36"/>
                <w:sz w:val="15"/>
              </w:rPr>
              <w:t>Area</w:t>
            </w:r>
          </w:p>
        </w:tc>
        <w:tc>
          <w:tcPr>
            <w:tcW w:type="dxa" w:w="5328"/>
            <w:shd w:val="clear" w:color="auto" w:fill="EAF0EE"/>
          </w:tcPr>
          <w:p>
            <w:pPr>
              <w:spacing w:after="20"/>
            </w:pPr>
            <w:r>
              <w:rPr>
                <w:b/>
                <w:color w:val="1C3A36"/>
                <w:sz w:val="15"/>
              </w:rPr>
              <w:t>What was established</w:t>
            </w:r>
          </w:p>
        </w:tc>
        <w:tc>
          <w:tcPr>
            <w:tcW w:type="dxa" w:w="2520"/>
            <w:shd w:val="clear" w:color="auto" w:fill="EAF0EE"/>
          </w:tcPr>
          <w:p>
            <w:pPr>
              <w:spacing w:after="20"/>
            </w:pPr>
            <w:r>
              <w:rPr>
                <w:b/>
                <w:color w:val="1C3A36"/>
                <w:sz w:val="15"/>
              </w:rPr>
              <w:t>Source</w:t>
            </w:r>
          </w:p>
        </w:tc>
        <w:tc>
          <w:tcPr>
            <w:tcW w:type="dxa" w:w="1080"/>
            <w:shd w:val="clear" w:color="auto" w:fill="EAF0EE"/>
          </w:tcPr>
          <w:p>
            <w:pPr>
              <w:spacing w:after="20"/>
            </w:pPr>
            <w:r>
              <w:rPr>
                <w:b/>
                <w:color w:val="1C3A36"/>
                <w:sz w:val="15"/>
              </w:rPr>
              <w:t>Date</w:t>
            </w:r>
          </w:p>
        </w:tc>
      </w:tr>
      <w:tr>
        <w:tc>
          <w:tcPr>
            <w:tcW w:type="dxa" w:w="1080"/>
          </w:tcPr>
          <w:p>
            <w:pPr>
              <w:spacing w:after="20"/>
            </w:pPr>
            <w:r>
              <w:rPr>
                <w:color w:val="1C3A36"/>
                <w:sz w:val="15"/>
              </w:rPr>
              <w:t>Global</w:t>
            </w:r>
          </w:p>
        </w:tc>
        <w:tc>
          <w:tcPr>
            <w:tcW w:type="dxa" w:w="5328"/>
          </w:tcPr>
          <w:p>
            <w:pPr>
              <w:spacing w:after="20"/>
              <w:jc w:val="right"/>
            </w:pPr>
            <w:r>
              <w:rPr>
                <w:color w:val="1C3A36"/>
                <w:sz w:val="15"/>
              </w:rPr>
              <w:t>AED is hard-pegged to the USD; CBUAE Base Rate 3.65%, held since 17-Jun-2026, tracks the Fed. The July-2026 AED sovereign auction printed just 4bp over comparable US Treasuries</w:t>
            </w:r>
          </w:p>
        </w:tc>
        <w:tc>
          <w:tcPr>
            <w:tcW w:type="dxa" w:w="2520"/>
          </w:tcPr>
          <w:p>
            <w:pPr>
              <w:spacing w:after="20"/>
              <w:jc w:val="right"/>
            </w:pPr>
            <w:r>
              <w:rPr>
                <w:color w:val="1C3A36"/>
                <w:sz w:val="15"/>
              </w:rPr>
              <w:t>CBUAE Base Rate (house monetary-policy calendar); UAE MoF/CBUAE July-2026 T-Bond auction (WAM)</w:t>
            </w:r>
          </w:p>
        </w:tc>
        <w:tc>
          <w:tcPr>
            <w:tcW w:type="dxa" w:w="1080"/>
          </w:tcPr>
          <w:p>
            <w:pPr>
              <w:spacing w:after="20"/>
              <w:jc w:val="right"/>
            </w:pPr>
            <w:r>
              <w:rPr>
                <w:color w:val="1C3A36"/>
                <w:sz w:val="15"/>
              </w:rPr>
              <w:t>2026-07-30</w:t>
            </w:r>
          </w:p>
        </w:tc>
      </w:tr>
      <w:tr>
        <w:tc>
          <w:tcPr>
            <w:tcW w:type="dxa" w:w="1080"/>
          </w:tcPr>
          <w:p>
            <w:pPr>
              <w:spacing w:after="20"/>
            </w:pPr>
            <w:r>
              <w:rPr>
                <w:color w:val="1C3A36"/>
                <w:sz w:val="15"/>
              </w:rPr>
              <w:t>Global</w:t>
            </w:r>
          </w:p>
        </w:tc>
        <w:tc>
          <w:tcPr>
            <w:tcW w:type="dxa" w:w="5328"/>
          </w:tcPr>
          <w:p>
            <w:pPr>
              <w:spacing w:after="20"/>
              <w:jc w:val="right"/>
            </w:pPr>
            <w:r>
              <w:rPr>
                <w:color w:val="1C3A36"/>
                <w:sz w:val="15"/>
              </w:rPr>
              <w:t>UAE tender price inflation ~3.3% in 2025, forecast ~2.7-4.5% for 2026 (Turner &amp; Townsend UAEMI 2025), with a post-conflict hawkish tail (one QS house sees 6-9%) as fuel/freight/insurance feed through; materials ~60% of baseline cost</w:t>
            </w:r>
          </w:p>
        </w:tc>
        <w:tc>
          <w:tcPr>
            <w:tcW w:type="dxa" w:w="2520"/>
          </w:tcPr>
          <w:p>
            <w:pPr>
              <w:spacing w:after="20"/>
              <w:jc w:val="right"/>
            </w:pPr>
            <w:r>
              <w:rPr>
                <w:color w:val="1C3A36"/>
                <w:sz w:val="15"/>
              </w:rPr>
              <w:t>Turner &amp; Townsend UAE Market Intelligence 2025; MEED/Currie &amp; Brown 2026 forecasts</w:t>
            </w:r>
          </w:p>
        </w:tc>
        <w:tc>
          <w:tcPr>
            <w:tcW w:type="dxa" w:w="1080"/>
          </w:tcPr>
          <w:p>
            <w:pPr>
              <w:spacing w:after="20"/>
              <w:jc w:val="right"/>
            </w:pPr>
            <w:r>
              <w:rPr>
                <w:color w:val="1C3A36"/>
                <w:sz w:val="15"/>
              </w:rPr>
              <w:t>2026-07-01</w:t>
            </w:r>
          </w:p>
        </w:tc>
      </w:tr>
      <w:tr>
        <w:tc>
          <w:tcPr>
            <w:tcW w:type="dxa" w:w="1080"/>
          </w:tcPr>
          <w:p>
            <w:pPr>
              <w:spacing w:after="20"/>
            </w:pPr>
            <w:r>
              <w:rPr>
                <w:color w:val="1C3A36"/>
                <w:sz w:val="15"/>
              </w:rPr>
              <w:t>Global</w:t>
            </w:r>
          </w:p>
        </w:tc>
        <w:tc>
          <w:tcPr>
            <w:tcW w:type="dxa" w:w="5328"/>
          </w:tcPr>
          <w:p>
            <w:pPr>
              <w:spacing w:after="20"/>
              <w:jc w:val="right"/>
            </w:pPr>
            <w:r>
              <w:rPr>
                <w:color w:val="1C3A36"/>
                <w:sz w:val="15"/>
              </w:rPr>
              <w:t>Cross-border capital is the marginal buyer of Abu Dhabi residential: foreign buyers drove 62% of the y/y growth in residential sales value in 2025, and Modon booked AED 6.6bn of international sales (Egypt+Spain+JV) across 2,115 units in 2025</w:t>
            </w:r>
          </w:p>
        </w:tc>
        <w:tc>
          <w:tcPr>
            <w:tcW w:type="dxa" w:w="2520"/>
          </w:tcPr>
          <w:p>
            <w:pPr>
              <w:spacing w:after="20"/>
              <w:jc w:val="right"/>
            </w:pPr>
            <w:r>
              <w:rPr>
                <w:color w:val="1C3A36"/>
                <w:sz w:val="15"/>
              </w:rPr>
              <w:t>ADREC Abu Dhabi Real Estate Market Report 2025; Modon Annual Report 2025</w:t>
            </w:r>
          </w:p>
        </w:tc>
        <w:tc>
          <w:tcPr>
            <w:tcW w:type="dxa" w:w="1080"/>
          </w:tcPr>
          <w:p>
            <w:pPr>
              <w:spacing w:after="20"/>
              <w:jc w:val="right"/>
            </w:pPr>
            <w:r>
              <w:rPr>
                <w:color w:val="1C3A36"/>
                <w:sz w:val="15"/>
              </w:rPr>
              <w:t>2026-01-31</w:t>
            </w:r>
          </w:p>
        </w:tc>
      </w:tr>
      <w:tr>
        <w:tc>
          <w:tcPr>
            <w:tcW w:type="dxa" w:w="1080"/>
          </w:tcPr>
          <w:p>
            <w:pPr>
              <w:spacing w:after="20"/>
            </w:pPr>
            <w:r>
              <w:rPr>
                <w:color w:val="1C3A36"/>
                <w:sz w:val="15"/>
              </w:rPr>
              <w:t>Global</w:t>
            </w:r>
          </w:p>
        </w:tc>
        <w:tc>
          <w:tcPr>
            <w:tcW w:type="dxa" w:w="5328"/>
          </w:tcPr>
          <w:p>
            <w:pPr>
              <w:spacing w:after="20"/>
              <w:jc w:val="right"/>
            </w:pPr>
            <w:r>
              <w:rPr>
                <w:color w:val="1C3A36"/>
                <w:sz w:val="15"/>
              </w:rPr>
              <w:t>Negative search — nothing found (UAE sanctions exposure real estate; Modon supply chain disruption; construction materials import restrictions UAE 2026)</w:t>
            </w:r>
          </w:p>
        </w:tc>
        <w:tc>
          <w:tcPr>
            <w:tcW w:type="dxa" w:w="2520"/>
          </w:tcPr>
          <w:p>
            <w:pPr>
              <w:spacing w:after="20"/>
              <w:jc w:val="right"/>
            </w:pPr>
            <w:r>
              <w:rPr>
                <w:color w:val="1C3A36"/>
                <w:sz w:val="15"/>
              </w:rPr>
              <w:t>negative search</w:t>
            </w:r>
          </w:p>
        </w:tc>
        <w:tc>
          <w:tcPr>
            <w:tcW w:type="dxa" w:w="1080"/>
          </w:tcPr>
          <w:p>
            <w:pPr>
              <w:spacing w:after="20"/>
              <w:jc w:val="right"/>
            </w:pPr>
            <w:r>
              <w:rPr>
                <w:color w:val="1C3A36"/>
                <w:sz w:val="15"/>
              </w:rPr>
              <w:t>2026-08-09</w:t>
            </w:r>
          </w:p>
        </w:tc>
      </w:tr>
      <w:tr>
        <w:tc>
          <w:tcPr>
            <w:tcW w:type="dxa" w:w="1080"/>
          </w:tcPr>
          <w:p>
            <w:pPr>
              <w:spacing w:after="20"/>
            </w:pPr>
            <w:r>
              <w:rPr>
                <w:color w:val="1C3A36"/>
                <w:sz w:val="15"/>
              </w:rPr>
              <w:t>Country</w:t>
            </w:r>
          </w:p>
        </w:tc>
        <w:tc>
          <w:tcPr>
            <w:tcW w:type="dxa" w:w="5328"/>
          </w:tcPr>
          <w:p>
            <w:pPr>
              <w:spacing w:after="20"/>
              <w:jc w:val="right"/>
            </w:pPr>
            <w:r>
              <w:rPr>
                <w:color w:val="1C3A36"/>
                <w:sz w:val="15"/>
              </w:rPr>
              <w:t>UAE rated Aa2 (Damodaran Jan-2026: adjusted default spread 0.42%, CRP 0.64%, total ERP 4.87%); AED T-Bond maturing Jan-2031 auctioned at 4.48% YTM in July-2026; EIBOR 3M 3.66% / 6M 3.71% (31-Mar-2026); AED peg unquestioned</w:t>
            </w:r>
          </w:p>
        </w:tc>
        <w:tc>
          <w:tcPr>
            <w:tcW w:type="dxa" w:w="2520"/>
          </w:tcPr>
          <w:p>
            <w:pPr>
              <w:spacing w:after="20"/>
              <w:jc w:val="right"/>
            </w:pPr>
            <w:r>
              <w:rPr>
                <w:color w:val="1C3A36"/>
                <w:sz w:val="15"/>
              </w:rPr>
              <w:t>Damodaran ctryprem (Jan-2026); UAE MoF July-2026 auction via WAM; CBUAE EIBOR fixings</w:t>
            </w:r>
          </w:p>
        </w:tc>
        <w:tc>
          <w:tcPr>
            <w:tcW w:type="dxa" w:w="1080"/>
          </w:tcPr>
          <w:p>
            <w:pPr>
              <w:spacing w:after="20"/>
              <w:jc w:val="right"/>
            </w:pPr>
            <w:r>
              <w:rPr>
                <w:color w:val="1C3A36"/>
                <w:sz w:val="15"/>
              </w:rPr>
              <w:t>2026-07-30</w:t>
            </w:r>
          </w:p>
        </w:tc>
      </w:tr>
      <w:tr>
        <w:tc>
          <w:tcPr>
            <w:tcW w:type="dxa" w:w="1080"/>
          </w:tcPr>
          <w:p>
            <w:pPr>
              <w:spacing w:after="20"/>
            </w:pPr>
            <w:r>
              <w:rPr>
                <w:color w:val="1C3A36"/>
                <w:sz w:val="15"/>
              </w:rPr>
              <w:t>Country</w:t>
            </w:r>
          </w:p>
        </w:tc>
        <w:tc>
          <w:tcPr>
            <w:tcW w:type="dxa" w:w="5328"/>
          </w:tcPr>
          <w:p>
            <w:pPr>
              <w:spacing w:after="20"/>
              <w:jc w:val="right"/>
            </w:pPr>
            <w:r>
              <w:rPr>
                <w:color w:val="1C3A36"/>
                <w:sz w:val="15"/>
              </w:rPr>
              <w:t>UAE corporate tax 9% from 2023; Domestic Minimum Top-up Tax (15%) effective 2025 for large groups — Modon's FY2025 charge includes AED 350.4mn of DMTT, and its disclosed effective-rate range is 9%-23.5% across jurisdictions</w:t>
            </w:r>
          </w:p>
        </w:tc>
        <w:tc>
          <w:tcPr>
            <w:tcW w:type="dxa" w:w="2520"/>
          </w:tcPr>
          <w:p>
            <w:pPr>
              <w:spacing w:after="20"/>
              <w:jc w:val="right"/>
            </w:pPr>
            <w:r>
              <w:rPr>
                <w:color w:val="1C3A36"/>
                <w:sz w:val="15"/>
              </w:rPr>
              <w:t>Income tax note 11, audited FY2025 consolidated financial statements</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Country</w:t>
            </w:r>
          </w:p>
        </w:tc>
        <w:tc>
          <w:tcPr>
            <w:tcW w:type="dxa" w:w="5328"/>
          </w:tcPr>
          <w:p>
            <w:pPr>
              <w:spacing w:after="20"/>
              <w:jc w:val="right"/>
            </w:pPr>
            <w:r>
              <w:rPr>
                <w:color w:val="1C3A36"/>
                <w:sz w:val="15"/>
              </w:rPr>
              <w:t>Abu Dhabi government consolidation: on 30-Oct-2025 IHC and ADQ sold their entire stakes to L'imad Holding Company PJSC, wholly owned by the Abu Dhabi Government — Modon is now a majority government-owned entity under IAS 24, embedded in the emirate's development agenda</w:t>
            </w:r>
          </w:p>
        </w:tc>
        <w:tc>
          <w:tcPr>
            <w:tcW w:type="dxa" w:w="2520"/>
          </w:tcPr>
          <w:p>
            <w:pPr>
              <w:spacing w:after="20"/>
              <w:jc w:val="right"/>
            </w:pPr>
            <w:r>
              <w:rPr>
                <w:color w:val="1C3A36"/>
                <w:sz w:val="15"/>
              </w:rPr>
              <w:t>Note 1 / note 30, audited FY2025 consolidated financial statements</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Country</w:t>
            </w:r>
          </w:p>
        </w:tc>
        <w:tc>
          <w:tcPr>
            <w:tcW w:type="dxa" w:w="5328"/>
          </w:tcPr>
          <w:p>
            <w:pPr>
              <w:spacing w:after="20"/>
              <w:jc w:val="right"/>
            </w:pPr>
            <w:r>
              <w:rPr>
                <w:color w:val="1C3A36"/>
                <w:sz w:val="15"/>
              </w:rPr>
              <w:t>Negative search — nothing found (FTSE ADX General Index daily history: stooq (^adx), Yahoo FADGI.FGI / FADX15.FGI (1 point only), investing.com SSR table (~1 month) and api.investing.com (403), TradingEconomics chart API (proxy 502), WSJ/MarketWatch michelangelo (unknown instrument), apigateway.adx.ae + www.adx.ae (Cloudflare challenge))</w:t>
            </w:r>
          </w:p>
        </w:tc>
        <w:tc>
          <w:tcPr>
            <w:tcW w:type="dxa" w:w="2520"/>
          </w:tcPr>
          <w:p>
            <w:pPr>
              <w:spacing w:after="20"/>
              <w:jc w:val="right"/>
            </w:pPr>
            <w:r>
              <w:rPr>
                <w:color w:val="1C3A36"/>
                <w:sz w:val="15"/>
              </w:rPr>
              <w:t>negative search</w:t>
            </w:r>
          </w:p>
        </w:tc>
        <w:tc>
          <w:tcPr>
            <w:tcW w:type="dxa" w:w="1080"/>
          </w:tcPr>
          <w:p>
            <w:pPr>
              <w:spacing w:after="20"/>
              <w:jc w:val="right"/>
            </w:pPr>
            <w:r>
              <w:rPr>
                <w:color w:val="1C3A36"/>
                <w:sz w:val="15"/>
              </w:rPr>
              <w:t>2026-08-09</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Abu Dhabi 2025: AED 142bn total real-estate transactions (+44% y/y) on 42,814 deals (+52%); residential sales AED 76bn (+67%); off-plan 71% of residential transactions; 56 new projects launched</w:t>
            </w:r>
          </w:p>
        </w:tc>
        <w:tc>
          <w:tcPr>
            <w:tcW w:type="dxa" w:w="2520"/>
          </w:tcPr>
          <w:p>
            <w:pPr>
              <w:spacing w:after="20"/>
              <w:jc w:val="right"/>
            </w:pPr>
            <w:r>
              <w:rPr>
                <w:color w:val="1C3A36"/>
                <w:sz w:val="15"/>
              </w:rPr>
              <w:t>ADREC (Abu Dhabi Real Estate Centre) 2025 market report</w:t>
            </w:r>
          </w:p>
        </w:tc>
        <w:tc>
          <w:tcPr>
            <w:tcW w:type="dxa" w:w="1080"/>
          </w:tcPr>
          <w:p>
            <w:pPr>
              <w:spacing w:after="20"/>
              <w:jc w:val="right"/>
            </w:pPr>
            <w:r>
              <w:rPr>
                <w:color w:val="1C3A36"/>
                <w:sz w:val="15"/>
              </w:rPr>
              <w:t>2026-01-31</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Residential price momentum is buyer-led and cash-led: 87% of residential sales value registered as cash in 2025, with foreign buyers driving 62% of growth; Modon's blended realised price was AED 7.02mn/unit in Abu Dhabi (29.8bn/4,243 units) vs AED 3.12mn/unit internationally (6.6bn/2,115 units)</w:t>
            </w:r>
          </w:p>
        </w:tc>
        <w:tc>
          <w:tcPr>
            <w:tcW w:type="dxa" w:w="2520"/>
          </w:tcPr>
          <w:p>
            <w:pPr>
              <w:spacing w:after="20"/>
              <w:jc w:val="right"/>
            </w:pPr>
            <w:r>
              <w:rPr>
                <w:color w:val="1C3A36"/>
                <w:sz w:val="15"/>
              </w:rPr>
              <w:t>ADREC 2025 report; Modon Annual Report 2025 sales disclosures</w:t>
            </w:r>
          </w:p>
        </w:tc>
        <w:tc>
          <w:tcPr>
            <w:tcW w:type="dxa" w:w="1080"/>
          </w:tcPr>
          <w:p>
            <w:pPr>
              <w:spacing w:after="20"/>
              <w:jc w:val="right"/>
            </w:pPr>
            <w:r>
              <w:rPr>
                <w:color w:val="1C3A36"/>
                <w:sz w:val="15"/>
              </w:rPr>
              <w:t>2026-01-31</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Abu Dhabi development remains a near-duopoly of Aldar and Modon at masterplan scale, with Bloom Holding, Reportage and Q Properties-era mid-tier players below; Dubai majors (Emaar, Emaar Development) compete for the same international buyer but not on Abu Dhabi land</w:t>
            </w:r>
          </w:p>
        </w:tc>
        <w:tc>
          <w:tcPr>
            <w:tcW w:type="dxa" w:w="2520"/>
          </w:tcPr>
          <w:p>
            <w:pPr>
              <w:spacing w:after="20"/>
              <w:jc w:val="right"/>
            </w:pPr>
            <w:r>
              <w:rPr>
                <w:color w:val="1C3A36"/>
                <w:sz w:val="15"/>
              </w:rPr>
              <w:t>ADREC 2025 report; company disclosures</w:t>
            </w:r>
          </w:p>
        </w:tc>
        <w:tc>
          <w:tcPr>
            <w:tcW w:type="dxa" w:w="1080"/>
          </w:tcPr>
          <w:p>
            <w:pPr>
              <w:spacing w:after="20"/>
              <w:jc w:val="right"/>
            </w:pPr>
            <w:r>
              <w:rPr>
                <w:color w:val="1C3A36"/>
                <w:sz w:val="15"/>
              </w:rPr>
              <w:t>2026-01-31</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Negative search — nothing found (modular construction disruption UAE developer margins; proptech substitution of exhibition venues (virtual events share post-2024))</w:t>
            </w:r>
          </w:p>
        </w:tc>
        <w:tc>
          <w:tcPr>
            <w:tcW w:type="dxa" w:w="2520"/>
          </w:tcPr>
          <w:p>
            <w:pPr>
              <w:spacing w:after="20"/>
              <w:jc w:val="right"/>
            </w:pPr>
            <w:r>
              <w:rPr>
                <w:color w:val="1C3A36"/>
                <w:sz w:val="15"/>
              </w:rPr>
              <w:t>negative search</w:t>
            </w:r>
          </w:p>
        </w:tc>
        <w:tc>
          <w:tcPr>
            <w:tcW w:type="dxa" w:w="1080"/>
          </w:tcPr>
          <w:p>
            <w:pPr>
              <w:spacing w:after="20"/>
              <w:jc w:val="right"/>
            </w:pPr>
            <w:r>
              <w:rPr>
                <w:color w:val="1C3A36"/>
                <w:sz w:val="15"/>
              </w:rPr>
              <w:t>2026-08-09</w:t>
            </w:r>
          </w:p>
        </w:tc>
      </w:tr>
      <w:tr>
        <w:tc>
          <w:tcPr>
            <w:tcW w:type="dxa" w:w="1080"/>
          </w:tcPr>
          <w:p>
            <w:pPr>
              <w:spacing w:after="20"/>
            </w:pPr>
            <w:r>
              <w:rPr>
                <w:color w:val="1C3A36"/>
                <w:sz w:val="15"/>
              </w:rPr>
              <w:t>Industry</w:t>
            </w:r>
          </w:p>
        </w:tc>
        <w:tc>
          <w:tcPr>
            <w:tcW w:type="dxa" w:w="5328"/>
          </w:tcPr>
          <w:p>
            <w:pPr>
              <w:spacing w:after="20"/>
              <w:jc w:val="right"/>
            </w:pPr>
            <w:r>
              <w:rPr>
                <w:color w:val="1C3A36"/>
                <w:sz w:val="15"/>
              </w:rPr>
              <w:t>Aldar FY2025: revenue AED 33.8bn (+47%), net profit 8.8bn (+36%), EBITDA 11.2bn, group sales 40.6bn, backlog AED 66.5bn Aldar-led (167bn incl. government projects). Emaar FY2025: property sales 80.4bn (+16%), revenue 49.6bn (+40%), backlog 155bn. Emaar Development: UAE sales 71.1bn, backlog 134.3bn</w:t>
            </w:r>
          </w:p>
        </w:tc>
        <w:tc>
          <w:tcPr>
            <w:tcW w:type="dxa" w:w="2520"/>
          </w:tcPr>
          <w:p>
            <w:pPr>
              <w:spacing w:after="20"/>
              <w:jc w:val="right"/>
            </w:pPr>
            <w:r>
              <w:rPr>
                <w:color w:val="1C3A36"/>
                <w:sz w:val="15"/>
              </w:rPr>
              <w:t>Aldar Q4-FY25 earnings release (aldar.com); Emaar FY2025 press release (emaar.com)</w:t>
            </w:r>
          </w:p>
        </w:tc>
        <w:tc>
          <w:tcPr>
            <w:tcW w:type="dxa" w:w="1080"/>
          </w:tcPr>
          <w:p>
            <w:pPr>
              <w:spacing w:after="20"/>
              <w:jc w:val="right"/>
            </w:pPr>
            <w:r>
              <w:rPr>
                <w:color w:val="1C3A36"/>
                <w:sz w:val="15"/>
              </w:rPr>
              <w:t>2026-02-09</w:t>
            </w:r>
          </w:p>
        </w:tc>
      </w:tr>
      <w:tr>
        <w:tc>
          <w:tcPr>
            <w:tcW w:type="dxa" w:w="1080"/>
          </w:tcPr>
          <w:p>
            <w:pPr>
              <w:spacing w:after="20"/>
            </w:pPr>
            <w:r>
              <w:rPr>
                <w:color w:val="1C3A36"/>
                <w:sz w:val="15"/>
              </w:rPr>
              <w:t>Company</w:t>
            </w:r>
          </w:p>
        </w:tc>
        <w:tc>
          <w:tcPr>
            <w:tcW w:type="dxa" w:w="5328"/>
          </w:tcPr>
          <w:p>
            <w:pPr>
              <w:spacing w:after="20"/>
              <w:jc w:val="right"/>
            </w:pPr>
            <w:r>
              <w:rPr>
                <w:color w:val="1C3A36"/>
                <w:sz w:val="15"/>
              </w:rPr>
              <w:t>Masterplan pipeline: Hudayriyat Island &gt;50mn sqm gross land, 40,000 planned units; Ras El Hekma (Egypt) 170.8mn sqm with Modon lead developer on the 56mn sqm phase 1, 500,000+ planned units, first precinct (Wadi Yemm) launched at AED 5.8bn across 2,109 units; La Zagaleta (Spain) land sales continuing</w:t>
            </w:r>
          </w:p>
        </w:tc>
        <w:tc>
          <w:tcPr>
            <w:tcW w:type="dxa" w:w="2520"/>
          </w:tcPr>
          <w:p>
            <w:pPr>
              <w:spacing w:after="20"/>
              <w:jc w:val="right"/>
            </w:pPr>
            <w:r>
              <w:rPr>
                <w:color w:val="1C3A36"/>
                <w:sz w:val="15"/>
              </w:rPr>
              <w:t>Modon Annual Report 2025 (masterplan disclosures)</w:t>
            </w:r>
          </w:p>
        </w:tc>
        <w:tc>
          <w:tcPr>
            <w:tcW w:type="dxa" w:w="1080"/>
          </w:tcPr>
          <w:p>
            <w:pPr>
              <w:spacing w:after="20"/>
              <w:jc w:val="right"/>
            </w:pPr>
            <w:r>
              <w:rPr>
                <w:color w:val="1C3A36"/>
                <w:sz w:val="15"/>
              </w:rPr>
              <w:t>2026-03-31</w:t>
            </w:r>
          </w:p>
        </w:tc>
      </w:tr>
      <w:tr>
        <w:tc>
          <w:tcPr>
            <w:tcW w:type="dxa" w:w="1080"/>
          </w:tcPr>
          <w:p>
            <w:pPr>
              <w:spacing w:after="20"/>
            </w:pPr>
            <w:r>
              <w:rPr>
                <w:color w:val="1C3A36"/>
                <w:sz w:val="15"/>
              </w:rPr>
              <w:t>Company</w:t>
            </w:r>
          </w:p>
        </w:tc>
        <w:tc>
          <w:tcPr>
            <w:tcW w:type="dxa" w:w="5328"/>
          </w:tcPr>
          <w:p>
            <w:pPr>
              <w:spacing w:after="20"/>
              <w:jc w:val="right"/>
            </w:pPr>
            <w:r>
              <w:rPr>
                <w:color w:val="1C3A36"/>
                <w:sz w:val="15"/>
              </w:rPr>
              <w:t>H1-2026 reviewed interims: revenue AED 9,188mn (+40% y/y), gross profit 3,201mn, PBT 2,601mn, profit 2,202mn; development backlog converting on schedule; loans and borrowings 8,542mn (+66% since Dec-2025) as construction accelerates</w:t>
            </w:r>
          </w:p>
        </w:tc>
        <w:tc>
          <w:tcPr>
            <w:tcW w:type="dxa" w:w="2520"/>
          </w:tcPr>
          <w:p>
            <w:pPr>
              <w:spacing w:after="20"/>
              <w:jc w:val="right"/>
            </w:pPr>
            <w:r>
              <w:rPr>
                <w:color w:val="1C3A36"/>
                <w:sz w:val="15"/>
              </w:rPr>
              <w:t>Interim condensed consolidated financial statements, 30-Jun-2026 (reviewed)</w:t>
            </w:r>
          </w:p>
        </w:tc>
        <w:tc>
          <w:tcPr>
            <w:tcW w:type="dxa" w:w="1080"/>
          </w:tcPr>
          <w:p>
            <w:pPr>
              <w:spacing w:after="20"/>
              <w:jc w:val="right"/>
            </w:pPr>
            <w:r>
              <w:rPr>
                <w:color w:val="1C3A36"/>
                <w:sz w:val="15"/>
              </w:rPr>
              <w:t>2026-08-07</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FY2025 results release: revenue backlog AED 46.0bn (93% development sales), adjusted EBITDA 4.9bn (35.2% margin), net cash 1.8bn on the company's own definition (available cash incl. qualifying escrow, less total debt incl. the related-party loan); real-estate sales 36.3bn across 6,358 units; hospitality 7,137 keys at 71% occupancy; AIM occupancy 97%; 896 events, 6.3mn visitors</w:t>
            </w:r>
          </w:p>
        </w:tc>
        <w:tc>
          <w:tcPr>
            <w:tcW w:type="dxa" w:w="2520"/>
          </w:tcPr>
          <w:p>
            <w:pPr>
              <w:spacing w:after="20"/>
              <w:jc w:val="right"/>
            </w:pPr>
            <w:r>
              <w:rPr>
                <w:color w:val="1C3A36"/>
                <w:sz w:val="15"/>
              </w:rPr>
              <w:t>Modon FY2025 results announcement, modon.com media centre, 18-Feb-2026</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FY2024 is a perimeter break: the Modon Properties/ADNEC combination entered via share issues of AED 27.4bn and a bargain-purchase gain of AED 9,192mn; FY2024 reported profit 9,389mn falls to ~0.2bn excluding the one-off (company's own framing). FY2023 and earlier are the Q Holding perimeter</w:t>
            </w:r>
          </w:p>
        </w:tc>
        <w:tc>
          <w:tcPr>
            <w:tcW w:type="dxa" w:w="2520"/>
          </w:tcPr>
          <w:p>
            <w:pPr>
              <w:spacing w:after="20"/>
              <w:jc w:val="right"/>
            </w:pPr>
            <w:r>
              <w:rPr>
                <w:color w:val="1C3A36"/>
                <w:sz w:val="15"/>
              </w:rPr>
              <w:t>Note 4 business combinations, audited FY2025/FY2024 statements; FY2025 results release</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Company</w:t>
            </w:r>
          </w:p>
        </w:tc>
        <w:tc>
          <w:tcPr>
            <w:tcW w:type="dxa" w:w="5328"/>
          </w:tcPr>
          <w:p>
            <w:pPr>
              <w:spacing w:after="20"/>
              <w:jc w:val="right"/>
            </w:pPr>
            <w:r>
              <w:rPr>
                <w:color w:val="1C3A36"/>
                <w:sz w:val="15"/>
              </w:rPr>
              <w:t>Named transaction: on 30-Oct-2025 IHC and ADQ disposed of their entire shareholding to L'imad Holding Company PJSC (wholly owned by the Abu Dhabi Government); the FY2025 results release states an 84.75% L'imad stake</w:t>
            </w:r>
          </w:p>
        </w:tc>
        <w:tc>
          <w:tcPr>
            <w:tcW w:type="dxa" w:w="2520"/>
          </w:tcPr>
          <w:p>
            <w:pPr>
              <w:spacing w:after="20"/>
              <w:jc w:val="right"/>
            </w:pPr>
            <w:r>
              <w:rPr>
                <w:color w:val="1C3A36"/>
                <w:sz w:val="15"/>
              </w:rPr>
              <w:t>Note 1, audited FY2025 consolidated financial statements; FY2025 results release</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Company</w:t>
            </w:r>
          </w:p>
        </w:tc>
        <w:tc>
          <w:tcPr>
            <w:tcW w:type="dxa" w:w="5328"/>
          </w:tcPr>
          <w:p>
            <w:pPr>
              <w:spacing w:after="20"/>
              <w:jc w:val="right"/>
            </w:pPr>
            <w:r>
              <w:rPr>
                <w:color w:val="1C3A36"/>
                <w:sz w:val="15"/>
              </w:rPr>
              <w:t>No dividend paid to owners in FY2024 or FY2025 (statements of changes in equity show only an AED 243mn NCI dividend in 2025) and none proposed with FY2025 results; no buyback; Group CFO signature changed between the FY2025 filing (Bill O'Regan) and the H1-2026 interim (Matt Matharu)</w:t>
            </w:r>
          </w:p>
        </w:tc>
        <w:tc>
          <w:tcPr>
            <w:tcW w:type="dxa" w:w="2520"/>
          </w:tcPr>
          <w:p>
            <w:pPr>
              <w:spacing w:after="20"/>
              <w:jc w:val="right"/>
            </w:pPr>
            <w:r>
              <w:rPr>
                <w:color w:val="1C3A36"/>
                <w:sz w:val="15"/>
              </w:rPr>
              <w:t>Audited FY2025 statements; H1-2026 interim; FY2025 results release</w:t>
            </w:r>
          </w:p>
        </w:tc>
        <w:tc>
          <w:tcPr>
            <w:tcW w:type="dxa" w:w="1080"/>
          </w:tcPr>
          <w:p>
            <w:pPr>
              <w:spacing w:after="20"/>
              <w:jc w:val="right"/>
            </w:pPr>
            <w:r>
              <w:rPr>
                <w:color w:val="1C3A36"/>
                <w:sz w:val="15"/>
              </w:rPr>
              <w:t>2026-08-07</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Four audited fiscal years assembled from the company's own filings: FY2025 (Modon, audited, signed 18-Feb-2026), FY2024 (comparatives in the FY2025 filing + the scanned FY2024 original), FY2023 and FY2022 (Q Holding filings). H1-2026 reviewed interim on top. All retrieved directly from modon.com/investor-relations</w:t>
            </w:r>
          </w:p>
        </w:tc>
        <w:tc>
          <w:tcPr>
            <w:tcW w:type="dxa" w:w="2520"/>
          </w:tcPr>
          <w:p>
            <w:pPr>
              <w:spacing w:after="20"/>
              <w:jc w:val="right"/>
            </w:pPr>
            <w:r>
              <w:rPr>
                <w:color w:val="1C3A36"/>
                <w:sz w:val="15"/>
              </w:rPr>
              <w:t>Audited consolidated financial statements FY2022-FY2025; H1-2026 interim</w:t>
            </w:r>
          </w:p>
        </w:tc>
        <w:tc>
          <w:tcPr>
            <w:tcW w:type="dxa" w:w="1080"/>
          </w:tcPr>
          <w:p>
            <w:pPr>
              <w:spacing w:after="20"/>
              <w:jc w:val="right"/>
            </w:pPr>
            <w:r>
              <w:rPr>
                <w:color w:val="1C3A36"/>
                <w:sz w:val="15"/>
              </w:rPr>
              <w:t>2026-02-18</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FY2023 audited consolidated financial statements (Q Holding PSC perimeter): revenue AED 994mn, profit 574mn, total assets 21.3bn</w:t>
            </w:r>
          </w:p>
        </w:tc>
        <w:tc>
          <w:tcPr>
            <w:tcW w:type="dxa" w:w="2520"/>
          </w:tcPr>
          <w:p>
            <w:pPr>
              <w:spacing w:after="20"/>
              <w:jc w:val="right"/>
            </w:pPr>
            <w:r>
              <w:rPr>
                <w:color w:val="1C3A36"/>
                <w:sz w:val="15"/>
              </w:rPr>
              <w:t>Audited FY2023 consolidated financial statements (Q Holding PSC)</w:t>
            </w:r>
          </w:p>
        </w:tc>
        <w:tc>
          <w:tcPr>
            <w:tcW w:type="dxa" w:w="1080"/>
          </w:tcPr>
          <w:p>
            <w:pPr>
              <w:spacing w:after="20"/>
              <w:jc w:val="right"/>
            </w:pPr>
            <w:r>
              <w:rPr>
                <w:color w:val="1C3A36"/>
                <w:sz w:val="15"/>
              </w:rPr>
              <w:t>2024-02-15</w:t>
            </w:r>
          </w:p>
        </w:tc>
      </w:tr>
      <w:tr>
        <w:tc>
          <w:tcPr>
            <w:tcW w:type="dxa" w:w="1080"/>
          </w:tcPr>
          <w:p>
            <w:pPr>
              <w:spacing w:after="20"/>
            </w:pPr>
            <w:r>
              <w:rPr>
                <w:color w:val="1C3A36"/>
                <w:sz w:val="15"/>
              </w:rPr>
              <w:t>Company</w:t>
            </w:r>
          </w:p>
        </w:tc>
        <w:tc>
          <w:tcPr>
            <w:tcW w:type="dxa" w:w="5328"/>
          </w:tcPr>
          <w:p>
            <w:pPr>
              <w:spacing w:after="20"/>
              <w:jc w:val="right"/>
            </w:pPr>
            <w:r>
              <w:rPr>
                <w:color w:val="1C3A36"/>
                <w:sz w:val="15"/>
              </w:rPr>
              <w:t>FY2022 audited figures via the FY2023 filing's comparative column: revenue AED 720mn, profit 823mn, total assets 19.5bn</w:t>
            </w:r>
          </w:p>
        </w:tc>
        <w:tc>
          <w:tcPr>
            <w:tcW w:type="dxa" w:w="2520"/>
          </w:tcPr>
          <w:p>
            <w:pPr>
              <w:spacing w:after="20"/>
              <w:jc w:val="right"/>
            </w:pPr>
            <w:r>
              <w:rPr>
                <w:color w:val="1C3A36"/>
                <w:sz w:val="15"/>
              </w:rPr>
              <w:t>Audited FY2023 consolidated financial statements, FY2022 comparatives</w:t>
            </w:r>
          </w:p>
        </w:tc>
        <w:tc>
          <w:tcPr>
            <w:tcW w:type="dxa" w:w="1080"/>
          </w:tcPr>
          <w:p>
            <w:pPr>
              <w:spacing w:after="20"/>
              <w:jc w:val="right"/>
            </w:pPr>
            <w:r>
              <w:rPr>
                <w:color w:val="1C3A36"/>
                <w:sz w:val="15"/>
              </w:rPr>
              <w:t>2024-02-15</w:t>
            </w:r>
          </w:p>
        </w:tc>
      </w:tr>
    </w:tbl>
    <w:p>
      <w:pPr>
        <w:spacing w:after="40"/>
      </w:pPr>
    </w:p>
    <w:p>
      <w:pPr>
        <w:spacing w:after="200" w:before="0"/>
      </w:pPr>
      <w:r>
        <w:rPr>
          <w:b w:val="0"/>
          <w:i/>
          <w:color w:val="6E7B77"/>
          <w:sz w:val="17"/>
        </w:rPr>
        <w:t>Every claim the model rests on, with its source and date. The companion bibliography carries the full input-by-input register.</w:t>
      </w:r>
    </w:p>
    <w:p>
      <w:pPr>
        <w:spacing w:after="120" w:before="280"/>
      </w:pPr>
      <w:r>
        <w:rPr>
          <w:b/>
          <w:i w:val="0"/>
          <w:color w:val="1C3A36"/>
          <w:sz w:val="30"/>
        </w:rPr>
        <w:t>Appendix C · Three experts, worked in full</w:t>
      </w:r>
    </w:p>
    <w:p>
      <w:pPr>
        <w:spacing w:after="120" w:before="0"/>
      </w:pPr>
      <w:r>
        <w:rPr>
          <w:b w:val="0"/>
          <w:i w:val="0"/>
          <w:color w:val="1C3A36"/>
          <w:sz w:val="21"/>
        </w:rPr>
        <w:t>Three independent framings, each taken to a number by a different method, each with its stated blind spot and a condition that would falsify it. They are labelled Expert 1, 2 and 3; the methods, not the names, are the content.</w:t>
      </w:r>
    </w:p>
    <w:p>
      <w:pPr>
        <w:spacing w:after="80" w:before="200"/>
      </w:pPr>
      <w:r>
        <w:rPr>
          <w:b/>
          <w:i w:val="0"/>
          <w:color w:val="1C3A36"/>
          <w:sz w:val="24"/>
        </w:rPr>
        <w:t>C.1 · Expert 1 — the asset value (revalued net assets)</w:t>
      </w:r>
    </w:p>
    <w:p>
      <w:pPr>
        <w:spacing w:after="120" w:before="0"/>
      </w:pPr>
      <w:r>
        <w:rPr>
          <w:b w:val="0"/>
          <w:i w:val="0"/>
          <w:color w:val="1C3A36"/>
          <w:sz w:val="21"/>
        </w:rPr>
        <w:t>Worldview: a developer is a warehouse of land bought below market; earnings are just the warehouse emptying. Works when land is carried far below realisable value and the owner can actually monetise; fails when the land cannot be sold at appraisal pace, or when the buyer of first resort is a related party whose price is the appraisal.</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768"/>
        <w:gridCol w:w="2160"/>
      </w:tblGrid>
      <w:tr>
        <w:tc>
          <w:tcPr>
            <w:tcW w:type="dxa" w:w="6768"/>
            <w:shd w:val="clear" w:color="auto" w:fill="EAF0EE"/>
          </w:tcPr>
          <w:p>
            <w:pPr>
              <w:spacing w:after="20"/>
            </w:pPr>
            <w:r>
              <w:rPr>
                <w:b/>
                <w:color w:val="1C3A36"/>
                <w:sz w:val="18"/>
              </w:rPr>
              <w:t>Line</w:t>
            </w:r>
          </w:p>
        </w:tc>
        <w:tc>
          <w:tcPr>
            <w:tcW w:type="dxa" w:w="2160"/>
            <w:shd w:val="clear" w:color="auto" w:fill="EAF0EE"/>
          </w:tcPr>
          <w:p>
            <w:pPr>
              <w:spacing w:after="20"/>
            </w:pPr>
            <w:r>
              <w:rPr>
                <w:b/>
                <w:color w:val="1C3A36"/>
                <w:sz w:val="18"/>
              </w:rPr>
              <w:t>AED mn</w:t>
            </w:r>
          </w:p>
        </w:tc>
      </w:tr>
      <w:tr>
        <w:tc>
          <w:tcPr>
            <w:tcW w:type="dxa" w:w="6768"/>
          </w:tcPr>
          <w:p>
            <w:pPr>
              <w:spacing w:after="20"/>
            </w:pPr>
            <w:r>
              <w:rPr>
                <w:color w:val="1C3A36"/>
                <w:sz w:val="18"/>
              </w:rPr>
              <w:t>Attributable equity, audited, 31 Dec 2025</w:t>
            </w:r>
          </w:p>
        </w:tc>
        <w:tc>
          <w:tcPr>
            <w:tcW w:type="dxa" w:w="2160"/>
          </w:tcPr>
          <w:p>
            <w:pPr>
              <w:spacing w:after="20"/>
              <w:jc w:val="right"/>
            </w:pPr>
            <w:r>
              <w:rPr>
                <w:color w:val="1C3A36"/>
                <w:sz w:val="18"/>
              </w:rPr>
              <w:t>53,903</w:t>
            </w:r>
          </w:p>
        </w:tc>
      </w:tr>
      <w:tr>
        <w:tc>
          <w:tcPr>
            <w:tcW w:type="dxa" w:w="6768"/>
          </w:tcPr>
          <w:p>
            <w:pPr>
              <w:spacing w:after="20"/>
            </w:pPr>
            <w:r>
              <w:rPr>
                <w:color w:val="1C3A36"/>
                <w:sz w:val="18"/>
              </w:rPr>
              <w:t>Land bank at cost (land plots within inventories)</w:t>
            </w:r>
          </w:p>
        </w:tc>
        <w:tc>
          <w:tcPr>
            <w:tcW w:type="dxa" w:w="2160"/>
          </w:tcPr>
          <w:p>
            <w:pPr>
              <w:spacing w:after="20"/>
              <w:jc w:val="right"/>
            </w:pPr>
            <w:r>
              <w:rPr>
                <w:color w:val="1C3A36"/>
                <w:sz w:val="18"/>
              </w:rPr>
              <w:t>26,611</w:t>
            </w:r>
          </w:p>
        </w:tc>
      </w:tr>
      <w:tr>
        <w:tc>
          <w:tcPr>
            <w:tcW w:type="dxa" w:w="6768"/>
          </w:tcPr>
          <w:p>
            <w:pPr>
              <w:spacing w:after="20"/>
            </w:pPr>
            <w:r>
              <w:rPr>
                <w:color w:val="1C3A36"/>
                <w:sz w:val="18"/>
              </w:rPr>
              <w:t>Mark-up applied: 35% (half the 67% gross margin realised on 2025 related-party land sales, as an arms-length haircut)</w:t>
            </w:r>
          </w:p>
        </w:tc>
        <w:tc>
          <w:tcPr>
            <w:tcW w:type="dxa" w:w="2160"/>
          </w:tcPr>
          <w:p>
            <w:pPr>
              <w:spacing w:after="20"/>
              <w:jc w:val="right"/>
            </w:pPr>
            <w:r>
              <w:rPr>
                <w:color w:val="1C3A36"/>
                <w:sz w:val="18"/>
              </w:rPr>
              <w:t>9,314</w:t>
            </w:r>
          </w:p>
        </w:tc>
      </w:tr>
      <w:tr>
        <w:tc>
          <w:tcPr>
            <w:tcW w:type="dxa" w:w="6768"/>
          </w:tcPr>
          <w:p>
            <w:pPr>
              <w:spacing w:after="20"/>
            </w:pPr>
            <w:r>
              <w:rPr>
                <w:color w:val="1C3A36"/>
                <w:sz w:val="18"/>
              </w:rPr>
              <w:t>Work-in-progress mark-up: 15% on AED 6,112mn</w:t>
            </w:r>
          </w:p>
        </w:tc>
        <w:tc>
          <w:tcPr>
            <w:tcW w:type="dxa" w:w="2160"/>
          </w:tcPr>
          <w:p>
            <w:pPr>
              <w:spacing w:after="20"/>
              <w:jc w:val="right"/>
            </w:pPr>
            <w:r>
              <w:rPr>
                <w:color w:val="1C3A36"/>
                <w:sz w:val="18"/>
              </w:rPr>
              <w:t>917</w:t>
            </w:r>
          </w:p>
        </w:tc>
      </w:tr>
      <w:tr>
        <w:tc>
          <w:tcPr>
            <w:tcW w:type="dxa" w:w="6768"/>
            <w:shd w:val="clear" w:color="auto" w:fill="F6F1E6"/>
          </w:tcPr>
          <w:p>
            <w:pPr>
              <w:spacing w:after="20"/>
            </w:pPr>
            <w:r>
              <w:rPr>
                <w:b/>
                <w:color w:val="1C3A36"/>
                <w:sz w:val="18"/>
              </w:rPr>
              <w:t>Revalued net asset value</w:t>
            </w:r>
          </w:p>
        </w:tc>
        <w:tc>
          <w:tcPr>
            <w:tcW w:type="dxa" w:w="2160"/>
            <w:shd w:val="clear" w:color="auto" w:fill="F6F1E6"/>
          </w:tcPr>
          <w:p>
            <w:pPr>
              <w:spacing w:after="20"/>
              <w:jc w:val="right"/>
            </w:pPr>
            <w:r>
              <w:rPr>
                <w:b/>
                <w:color w:val="1C3A36"/>
                <w:sz w:val="18"/>
              </w:rPr>
              <w:t>64,133</w:t>
            </w:r>
          </w:p>
        </w:tc>
      </w:tr>
      <w:tr>
        <w:tc>
          <w:tcPr>
            <w:tcW w:type="dxa" w:w="6768"/>
          </w:tcPr>
          <w:p>
            <w:pPr>
              <w:spacing w:after="20"/>
            </w:pPr>
            <w:r>
              <w:rPr>
                <w:color w:val="1C3A36"/>
                <w:sz w:val="18"/>
              </w:rPr>
              <w:t>Per share (16,347mn shares)</w:t>
            </w:r>
          </w:p>
        </w:tc>
        <w:tc>
          <w:tcPr>
            <w:tcW w:type="dxa" w:w="2160"/>
          </w:tcPr>
          <w:p>
            <w:pPr>
              <w:spacing w:after="20"/>
              <w:jc w:val="right"/>
            </w:pPr>
            <w:r>
              <w:rPr>
                <w:color w:val="1C3A36"/>
                <w:sz w:val="18"/>
              </w:rPr>
              <w:t>3.92</w:t>
            </w:r>
          </w:p>
        </w:tc>
      </w:tr>
      <w:tr>
        <w:tc>
          <w:tcPr>
            <w:tcW w:type="dxa" w:w="6768"/>
          </w:tcPr>
          <w:p>
            <w:pPr>
              <w:spacing w:after="20"/>
            </w:pPr>
            <w:r>
              <w:rPr>
                <w:color w:val="1C3A36"/>
                <w:sz w:val="18"/>
              </w:rPr>
              <w:t>Range: appraisal haircut 15% to premium 12%</w:t>
            </w:r>
          </w:p>
        </w:tc>
        <w:tc>
          <w:tcPr>
            <w:tcW w:type="dxa" w:w="2160"/>
          </w:tcPr>
          <w:p>
            <w:pPr>
              <w:spacing w:after="20"/>
              <w:jc w:val="right"/>
            </w:pPr>
            <w:r>
              <w:rPr>
                <w:color w:val="1C3A36"/>
                <w:sz w:val="18"/>
              </w:rPr>
              <w:t>3.33–4.39</w:t>
            </w:r>
          </w:p>
        </w:tc>
      </w:tr>
    </w:tbl>
    <w:p>
      <w:pPr>
        <w:spacing w:after="40"/>
      </w:pPr>
    </w:p>
    <w:p>
      <w:pPr>
        <w:spacing w:after="120" w:before="0"/>
      </w:pPr>
      <w:r>
        <w:rPr>
          <w:b w:val="0"/>
          <w:i w:val="0"/>
          <w:color w:val="1C3A36"/>
          <w:sz w:val="21"/>
        </w:rPr>
        <w:t>Named sensitivity: each 10 points of land mark-up is AED 0.16 per share. Falsifier, stated in advance: two consecutive halves of arms-length land sales clearing below 20% gross margin would collapse the mark-up toward zero and this valuation toward book (AED 3.30).</w:t>
      </w:r>
    </w:p>
    <w:p>
      <w:pPr>
        <w:spacing w:after="80" w:before="200"/>
      </w:pPr>
      <w:r>
        <w:rPr>
          <w:b/>
          <w:i w:val="0"/>
          <w:color w:val="1C3A36"/>
          <w:sz w:val="24"/>
        </w:rPr>
        <w:t>C.2 · Expert 2 — owner cash flow on the run-off path</w:t>
      </w:r>
    </w:p>
    <w:p>
      <w:pPr>
        <w:spacing w:after="120" w:before="0"/>
      </w:pPr>
      <w:r>
        <w:rPr>
          <w:b w:val="0"/>
          <w:i w:val="0"/>
          <w:color w:val="1C3A36"/>
          <w:sz w:val="21"/>
        </w:rPr>
        <w:t>Worldview: value only the cash an owner could take out if no new story arrives; treat every receivable from an affiliate as impaired until collected. Works at cycle tops and against promotional accounting; fails when the growth is real and compounding, which this method structurally cannot see.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768"/>
        <w:gridCol w:w="2304"/>
      </w:tblGrid>
      <w:tr>
        <w:tc>
          <w:tcPr>
            <w:tcW w:type="dxa" w:w="6768"/>
            <w:shd w:val="clear" w:color="auto" w:fill="EAF0EE"/>
          </w:tcPr>
          <w:p>
            <w:pPr>
              <w:spacing w:after="20"/>
            </w:pPr>
            <w:r>
              <w:rPr>
                <w:b/>
                <w:color w:val="1C3A36"/>
                <w:sz w:val="18"/>
              </w:rPr>
              <w:t>Line</w:t>
            </w:r>
          </w:p>
        </w:tc>
        <w:tc>
          <w:tcPr>
            <w:tcW w:type="dxa" w:w="2304"/>
            <w:shd w:val="clear" w:color="auto" w:fill="EAF0EE"/>
          </w:tcPr>
          <w:p>
            <w:pPr>
              <w:spacing w:after="20"/>
            </w:pPr>
            <w:r>
              <w:rPr>
                <w:b/>
                <w:color w:val="1C3A36"/>
                <w:sz w:val="18"/>
              </w:rPr>
              <w:t>Value</w:t>
            </w:r>
          </w:p>
        </w:tc>
      </w:tr>
      <w:tr>
        <w:tc>
          <w:tcPr>
            <w:tcW w:type="dxa" w:w="6768"/>
          </w:tcPr>
          <w:p>
            <w:pPr>
              <w:spacing w:after="20"/>
            </w:pPr>
            <w:r>
              <w:rPr>
                <w:color w:val="1C3A36"/>
                <w:sz w:val="18"/>
              </w:rPr>
              <w:t>Run-off DCF (sales halve and fade; margins compress)</w:t>
            </w:r>
          </w:p>
        </w:tc>
        <w:tc>
          <w:tcPr>
            <w:tcW w:type="dxa" w:w="2304"/>
          </w:tcPr>
          <w:p>
            <w:pPr>
              <w:spacing w:after="20"/>
              <w:jc w:val="right"/>
            </w:pPr>
            <w:r>
              <w:rPr>
                <w:color w:val="1C3A36"/>
                <w:sz w:val="18"/>
              </w:rPr>
              <w:t>AED 4.18/sh</w:t>
            </w:r>
          </w:p>
        </w:tc>
      </w:tr>
      <w:tr>
        <w:tc>
          <w:tcPr>
            <w:tcW w:type="dxa" w:w="6768"/>
          </w:tcPr>
          <w:p>
            <w:pPr>
              <w:spacing w:after="20"/>
            </w:pPr>
            <w:r>
              <w:rPr>
                <w:color w:val="1C3A36"/>
                <w:sz w:val="18"/>
              </w:rPr>
              <w:t>Related-party receivable book, net</w:t>
            </w:r>
          </w:p>
        </w:tc>
        <w:tc>
          <w:tcPr>
            <w:tcW w:type="dxa" w:w="2304"/>
          </w:tcPr>
          <w:p>
            <w:pPr>
              <w:spacing w:after="20"/>
              <w:jc w:val="right"/>
            </w:pPr>
            <w:r>
              <w:rPr>
                <w:color w:val="1C3A36"/>
                <w:sz w:val="18"/>
              </w:rPr>
              <w:t>AED 7,932mn</w:t>
            </w:r>
          </w:p>
        </w:tc>
      </w:tr>
      <w:tr>
        <w:tc>
          <w:tcPr>
            <w:tcW w:type="dxa" w:w="6768"/>
          </w:tcPr>
          <w:p>
            <w:pPr>
              <w:spacing w:after="20"/>
            </w:pPr>
            <w:r>
              <w:rPr>
                <w:color w:val="1C3A36"/>
                <w:sz w:val="18"/>
              </w:rPr>
              <w:t>Haircut applied: 25% for timing and collection</w:t>
            </w:r>
          </w:p>
        </w:tc>
        <w:tc>
          <w:tcPr>
            <w:tcW w:type="dxa" w:w="2304"/>
          </w:tcPr>
          <w:p>
            <w:pPr>
              <w:spacing w:after="20"/>
              <w:jc w:val="right"/>
            </w:pPr>
            <w:r>
              <w:rPr>
                <w:color w:val="1C3A36"/>
                <w:sz w:val="18"/>
              </w:rPr>
              <w:t>− AED 0.12/sh</w:t>
            </w:r>
          </w:p>
        </w:tc>
      </w:tr>
      <w:tr>
        <w:tc>
          <w:tcPr>
            <w:tcW w:type="dxa" w:w="6768"/>
            <w:shd w:val="clear" w:color="auto" w:fill="F6F1E6"/>
          </w:tcPr>
          <w:p>
            <w:pPr>
              <w:spacing w:after="20"/>
            </w:pPr>
            <w:r>
              <w:rPr>
                <w:b/>
                <w:color w:val="1C3A36"/>
                <w:sz w:val="18"/>
              </w:rPr>
              <w:t>Expert 2 value</w:t>
            </w:r>
          </w:p>
        </w:tc>
        <w:tc>
          <w:tcPr>
            <w:tcW w:type="dxa" w:w="2304"/>
            <w:shd w:val="clear" w:color="auto" w:fill="F6F1E6"/>
          </w:tcPr>
          <w:p>
            <w:pPr>
              <w:spacing w:after="20"/>
              <w:jc w:val="right"/>
            </w:pPr>
            <w:r>
              <w:rPr>
                <w:b/>
                <w:color w:val="1C3A36"/>
                <w:sz w:val="18"/>
              </w:rPr>
              <w:t>AED 4.06/sh</w:t>
            </w:r>
          </w:p>
        </w:tc>
      </w:tr>
      <w:tr>
        <w:tc>
          <w:tcPr>
            <w:tcW w:type="dxa" w:w="6768"/>
          </w:tcPr>
          <w:p>
            <w:pPr>
              <w:spacing w:after="20"/>
            </w:pPr>
            <w:r>
              <w:rPr>
                <w:color w:val="1C3A36"/>
                <w:sz w:val="18"/>
              </w:rPr>
              <w:t>Range: deeper haircut and slower collections, to the base DCF less 5%</w:t>
            </w:r>
          </w:p>
        </w:tc>
        <w:tc>
          <w:tcPr>
            <w:tcW w:type="dxa" w:w="2304"/>
          </w:tcPr>
          <w:p>
            <w:pPr>
              <w:spacing w:after="20"/>
              <w:jc w:val="right"/>
            </w:pPr>
            <w:r>
              <w:rPr>
                <w:color w:val="1C3A36"/>
                <w:sz w:val="18"/>
              </w:rPr>
              <w:t>3.25–5.72</w:t>
            </w:r>
          </w:p>
        </w:tc>
      </w:tr>
    </w:tbl>
    <w:p>
      <w:pPr>
        <w:spacing w:after="40"/>
      </w:pPr>
    </w:p>
    <w:p>
      <w:pPr>
        <w:spacing w:after="120" w:before="0"/>
      </w:pPr>
      <w:r>
        <w:rPr>
          <w:b w:val="0"/>
          <w:i w:val="0"/>
          <w:color w:val="1C3A36"/>
          <w:sz w:val="21"/>
        </w:rPr>
        <w:t>Named sensitivity: each 10 points of receivable haircut is AED 0.05 per share. Falsifier: the Department-of-Finance receivable collecting on schedule through FY2026 removes the haircut entirely and moves this expert to the run-off DCF at AED 4.18.</w:t>
      </w:r>
    </w:p>
    <w:p>
      <w:pPr>
        <w:spacing w:after="80" w:before="200"/>
      </w:pPr>
      <w:r>
        <w:rPr>
          <w:b/>
          <w:i w:val="0"/>
          <w:color w:val="1C3A36"/>
          <w:sz w:val="24"/>
        </w:rPr>
        <w:t>C.3 · Expert 3 — the market pricer</w:t>
      </w:r>
    </w:p>
    <w:p>
      <w:pPr>
        <w:spacing w:after="120" w:before="0"/>
      </w:pPr>
      <w:r>
        <w:rPr>
          <w:b w:val="0"/>
          <w:i w:val="0"/>
          <w:color w:val="1C3A36"/>
          <w:sz w:val="21"/>
        </w:rPr>
        <w:t>Worldview: the peer multiple is the verdict of everyone else's money; a company is worth what comparable earnings sell for today, and premiums must be earned in public. Works when the peer set is deep and honest; fails at genuine inflections, which it prices only after the fact.</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6768"/>
        <w:gridCol w:w="2304"/>
      </w:tblGrid>
      <w:tr>
        <w:tc>
          <w:tcPr>
            <w:tcW w:type="dxa" w:w="6768"/>
            <w:shd w:val="clear" w:color="auto" w:fill="EAF0EE"/>
          </w:tcPr>
          <w:p>
            <w:pPr>
              <w:spacing w:after="20"/>
            </w:pPr>
            <w:r>
              <w:rPr>
                <w:b/>
                <w:color w:val="1C3A36"/>
                <w:sz w:val="18"/>
              </w:rPr>
              <w:t>Line</w:t>
            </w:r>
          </w:p>
        </w:tc>
        <w:tc>
          <w:tcPr>
            <w:tcW w:type="dxa" w:w="2304"/>
            <w:shd w:val="clear" w:color="auto" w:fill="EAF0EE"/>
          </w:tcPr>
          <w:p>
            <w:pPr>
              <w:spacing w:after="20"/>
            </w:pPr>
            <w:r>
              <w:rPr>
                <w:b/>
                <w:color w:val="1C3A36"/>
                <w:sz w:val="18"/>
              </w:rPr>
              <w:t>Value</w:t>
            </w:r>
          </w:p>
        </w:tc>
      </w:tr>
      <w:tr>
        <w:tc>
          <w:tcPr>
            <w:tcW w:type="dxa" w:w="6768"/>
          </w:tcPr>
          <w:p>
            <w:pPr>
              <w:spacing w:after="20"/>
            </w:pPr>
            <w:r>
              <w:rPr>
                <w:color w:val="1C3A36"/>
                <w:sz w:val="18"/>
              </w:rPr>
              <w:t>FY2026E attributable profit (model)</w:t>
            </w:r>
          </w:p>
        </w:tc>
        <w:tc>
          <w:tcPr>
            <w:tcW w:type="dxa" w:w="2304"/>
          </w:tcPr>
          <w:p>
            <w:pPr>
              <w:spacing w:after="20"/>
              <w:jc w:val="right"/>
            </w:pPr>
            <w:r>
              <w:rPr>
                <w:color w:val="1C3A36"/>
                <w:sz w:val="18"/>
              </w:rPr>
              <w:t>AED 4,370mn</w:t>
            </w:r>
          </w:p>
        </w:tc>
      </w:tr>
      <w:tr>
        <w:tc>
          <w:tcPr>
            <w:tcW w:type="dxa" w:w="6768"/>
          </w:tcPr>
          <w:p>
            <w:pPr>
              <w:spacing w:after="20"/>
            </w:pPr>
            <w:r>
              <w:rPr>
                <w:color w:val="1C3A36"/>
                <w:sz w:val="18"/>
              </w:rPr>
              <w:t>Peer-set multiple applied: 6.5x (centre of Aldar 7.5x / Emaar 5.3x / Emaar Dev 4.1x)</w:t>
            </w:r>
          </w:p>
        </w:tc>
        <w:tc>
          <w:tcPr>
            <w:tcW w:type="dxa" w:w="2304"/>
          </w:tcPr>
          <w:p>
            <w:pPr>
              <w:spacing w:after="20"/>
              <w:jc w:val="right"/>
            </w:pPr>
            <w:r>
              <w:rPr>
                <w:color w:val="1C3A36"/>
                <w:sz w:val="18"/>
              </w:rPr>
            </w:r>
          </w:p>
        </w:tc>
      </w:tr>
      <w:tr>
        <w:tc>
          <w:tcPr>
            <w:tcW w:type="dxa" w:w="6768"/>
          </w:tcPr>
          <w:p>
            <w:pPr>
              <w:spacing w:after="20"/>
            </w:pPr>
            <w:r>
              <w:rPr>
                <w:color w:val="1C3A36"/>
                <w:sz w:val="18"/>
              </w:rPr>
              <w:t>Implied equity value</w:t>
            </w:r>
          </w:p>
        </w:tc>
        <w:tc>
          <w:tcPr>
            <w:tcW w:type="dxa" w:w="2304"/>
          </w:tcPr>
          <w:p>
            <w:pPr>
              <w:spacing w:after="20"/>
              <w:jc w:val="right"/>
            </w:pPr>
            <w:r>
              <w:rPr>
                <w:color w:val="1C3A36"/>
                <w:sz w:val="18"/>
              </w:rPr>
              <w:t>AED 28,402mn</w:t>
            </w:r>
          </w:p>
        </w:tc>
      </w:tr>
      <w:tr>
        <w:tc>
          <w:tcPr>
            <w:tcW w:type="dxa" w:w="6768"/>
            <w:shd w:val="clear" w:color="auto" w:fill="F6F1E6"/>
          </w:tcPr>
          <w:p>
            <w:pPr>
              <w:spacing w:after="20"/>
            </w:pPr>
            <w:r>
              <w:rPr>
                <w:b/>
                <w:color w:val="1C3A36"/>
                <w:sz w:val="18"/>
              </w:rPr>
              <w:t>Per share</w:t>
            </w:r>
          </w:p>
        </w:tc>
        <w:tc>
          <w:tcPr>
            <w:tcW w:type="dxa" w:w="2304"/>
            <w:shd w:val="clear" w:color="auto" w:fill="F6F1E6"/>
          </w:tcPr>
          <w:p>
            <w:pPr>
              <w:spacing w:after="20"/>
              <w:jc w:val="right"/>
            </w:pPr>
            <w:r>
              <w:rPr>
                <w:b/>
                <w:color w:val="1C3A36"/>
                <w:sz w:val="18"/>
              </w:rPr>
              <w:t>AED 1.74</w:t>
            </w:r>
          </w:p>
        </w:tc>
      </w:tr>
      <w:tr>
        <w:tc>
          <w:tcPr>
            <w:tcW w:type="dxa" w:w="6768"/>
          </w:tcPr>
          <w:p>
            <w:pPr>
              <w:spacing w:after="20"/>
            </w:pPr>
            <w:r>
              <w:rPr>
                <w:color w:val="1C3A36"/>
                <w:sz w:val="18"/>
              </w:rPr>
              <w:t>Range: trough multiple 4.1x to re-rated 8.5x</w:t>
            </w:r>
          </w:p>
        </w:tc>
        <w:tc>
          <w:tcPr>
            <w:tcW w:type="dxa" w:w="2304"/>
          </w:tcPr>
          <w:p>
            <w:pPr>
              <w:spacing w:after="20"/>
              <w:jc w:val="right"/>
            </w:pPr>
            <w:r>
              <w:rPr>
                <w:color w:val="1C3A36"/>
                <w:sz w:val="18"/>
              </w:rPr>
              <w:t>1.09–2.27</w:t>
            </w:r>
          </w:p>
        </w:tc>
      </w:tr>
    </w:tbl>
    <w:p>
      <w:pPr>
        <w:spacing w:after="40"/>
      </w:pPr>
    </w:p>
    <w:p>
      <w:pPr>
        <w:spacing w:after="120" w:before="0"/>
      </w:pPr>
      <w:r>
        <w:rPr>
          <w:b w:val="0"/>
          <w:i w:val="0"/>
          <w:color w:val="1C3A36"/>
          <w:sz w:val="21"/>
        </w:rPr>
        <w:t>Named sensitivity: each turn of P/E is AED 0.27 per share. Falsifier: a dividend policy plus a float above 25% would justify migrating toward the DCF lenses; this expert concedes the method prices liquidity, not just earnings.</w:t>
      </w:r>
    </w:p>
    <w:p>
      <w:pPr>
        <w:spacing w:after="80" w:before="200"/>
      </w:pPr>
      <w:r>
        <w:rPr>
          <w:b/>
          <w:i w:val="0"/>
          <w:color w:val="1C3A36"/>
          <w:sz w:val="24"/>
        </w:rPr>
        <w:t>C.4 · Cross-examination</w:t>
      </w:r>
    </w:p>
    <w:p>
      <w:pPr>
        <w:pStyle w:val="ListBullet"/>
        <w:spacing w:after="60"/>
      </w:pPr>
      <w:r>
        <w:rPr>
          <w:color w:val="1C3A36"/>
          <w:sz w:val="21"/>
        </w:rPr>
        <w:t xml:space="preserve"> Expert 1 to Expert 2: your haircut double-counts — the run-off DCF already starves the related-party channel. Expert 2 partially concedes: the haircut is kept, but only on the stock of receivables, not the flow. Challenge sustained in part.</w:t>
      </w:r>
    </w:p>
    <w:p>
      <w:pPr>
        <w:pStyle w:val="ListBullet"/>
        <w:spacing w:after="60"/>
      </w:pPr>
      <w:r>
        <w:rPr>
          <w:color w:val="1C3A36"/>
          <w:sz w:val="21"/>
        </w:rPr>
        <w:t xml:space="preserve"> Expert 2 to Expert 1: your mark-up is circular — the 67% margin you halve was set by related-party sales. Expert 1 concedes the circularity and answers with the falsifier: arms-length clearing prices will settle it within two reporting periods. Challenge acknowledged, test defined.</w:t>
      </w:r>
    </w:p>
    <w:p>
      <w:pPr>
        <w:pStyle w:val="ListBullet"/>
        <w:spacing w:after="60"/>
      </w:pPr>
      <w:r>
        <w:rPr>
          <w:color w:val="1C3A36"/>
          <w:sz w:val="21"/>
        </w:rPr>
        <w:t xml:space="preserve"> Expert 3 to both: whatever the assets earn, the shares the public can actually buy trade at 11.8x this year's earnings while Aldar trades at 7.5x — the market has already voted. Experts 1 and 2 reject the inference: a 15% float is not a market verdict, it is the absence of one. Challenge rejected, reason stated.</w:t>
      </w:r>
    </w:p>
    <w:p>
      <w:pPr>
        <w:spacing w:after="80" w:before="200"/>
      </w:pPr>
      <w:r>
        <w:rPr>
          <w:b/>
          <w:i w:val="0"/>
          <w:color w:val="1C3A36"/>
          <w:sz w:val="24"/>
        </w:rPr>
        <w:t>C.5 · Three in one room</w:t>
      </w:r>
    </w:p>
    <w:p>
      <w:pPr>
        <w:spacing w:after="120" w:before="0"/>
      </w:pPr>
      <w:r>
        <w:rPr>
          <w:b w:val="0"/>
          <w:i w:val="0"/>
          <w:color w:val="1C3A36"/>
          <w:sz w:val="21"/>
        </w:rPr>
        <w:t>Forced to one sentence each: Expert 1 — "the land alone covers the price at AED 3.92." Expert 2 — "paid to wait even if growth dies: AED 4.06, provided the affiliates pay their bills." Expert 3 — "until the float and the dividend exist, it is worth peer multiple: AED 1.74." The median, AED 3.92, sits between the study's market lenses and its cash-flow lenses — which is exactly where the disagreement lives.</w:t>
      </w:r>
    </w:p>
    <w:p>
      <w:pPr>
        <w:spacing w:after="80" w:before="200"/>
      </w:pPr>
      <w:r>
        <w:rPr>
          <w:b/>
          <w:i w:val="0"/>
          <w:color w:val="1C3A36"/>
          <w:sz w:val="24"/>
        </w:rPr>
        <w:t>C.6 · Divergence table</w:t>
      </w:r>
    </w:p>
    <w:tbl>
      <w:tblPr>
        <w:tblW w:type="auto" w:w="0"/>
        <w:jc w:val="center"/>
        <w:tblLook w:firstColumn="1" w:firstRow="1" w:lastColumn="0" w:lastRow="0" w:noHBand="0" w:noVBand="1" w:val="04A0"/>
        <w:tblLayout w:type="fixed"/>
        <w:tblCellMar>
          <w:top w:w="40" w:type="dxa"/>
          <w:left w:w="90" w:type="dxa"/>
          <w:bottom w:w="40" w:type="dxa"/>
          <w:right w:w="9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304"/>
        <w:gridCol w:w="1512"/>
        <w:gridCol w:w="1512"/>
        <w:gridCol w:w="1512"/>
        <w:gridCol w:w="3024"/>
      </w:tblGrid>
      <w:tr>
        <w:tc>
          <w:tcPr>
            <w:tcW w:type="dxa" w:w="2304"/>
            <w:shd w:val="clear" w:color="auto" w:fill="EAF0EE"/>
          </w:tcPr>
          <w:p>
            <w:pPr>
              <w:spacing w:after="20"/>
            </w:pPr>
            <w:r>
              <w:rPr>
                <w:b/>
                <w:color w:val="1C3A36"/>
                <w:sz w:val="17"/>
              </w:rPr>
              <w:t>Assumption</w:t>
            </w:r>
          </w:p>
        </w:tc>
        <w:tc>
          <w:tcPr>
            <w:tcW w:type="dxa" w:w="1512"/>
            <w:shd w:val="clear" w:color="auto" w:fill="EAF0EE"/>
          </w:tcPr>
          <w:p>
            <w:pPr>
              <w:spacing w:after="20"/>
            </w:pPr>
            <w:r>
              <w:rPr>
                <w:b/>
                <w:color w:val="1C3A36"/>
                <w:sz w:val="17"/>
              </w:rPr>
              <w:t>Expert 1</w:t>
            </w:r>
          </w:p>
        </w:tc>
        <w:tc>
          <w:tcPr>
            <w:tcW w:type="dxa" w:w="1512"/>
            <w:shd w:val="clear" w:color="auto" w:fill="EAF0EE"/>
          </w:tcPr>
          <w:p>
            <w:pPr>
              <w:spacing w:after="20"/>
            </w:pPr>
            <w:r>
              <w:rPr>
                <w:b/>
                <w:color w:val="1C3A36"/>
                <w:sz w:val="17"/>
              </w:rPr>
              <w:t>Expert 2</w:t>
            </w:r>
          </w:p>
        </w:tc>
        <w:tc>
          <w:tcPr>
            <w:tcW w:type="dxa" w:w="1512"/>
            <w:shd w:val="clear" w:color="auto" w:fill="EAF0EE"/>
          </w:tcPr>
          <w:p>
            <w:pPr>
              <w:spacing w:after="20"/>
            </w:pPr>
            <w:r>
              <w:rPr>
                <w:b/>
                <w:color w:val="1C3A36"/>
                <w:sz w:val="17"/>
              </w:rPr>
              <w:t>Expert 3</w:t>
            </w:r>
          </w:p>
        </w:tc>
        <w:tc>
          <w:tcPr>
            <w:tcW w:type="dxa" w:w="3024"/>
            <w:shd w:val="clear" w:color="auto" w:fill="EAF0EE"/>
          </w:tcPr>
          <w:p>
            <w:pPr>
              <w:spacing w:after="20"/>
            </w:pPr>
            <w:r>
              <w:rPr>
                <w:b/>
                <w:color w:val="1C3A36"/>
                <w:sz w:val="17"/>
              </w:rPr>
              <w:t>Gap it drives</w:t>
            </w:r>
          </w:p>
        </w:tc>
      </w:tr>
      <w:tr>
        <w:tc>
          <w:tcPr>
            <w:tcW w:type="dxa" w:w="2304"/>
          </w:tcPr>
          <w:p>
            <w:pPr>
              <w:spacing w:after="20"/>
            </w:pPr>
            <w:r>
              <w:rPr>
                <w:color w:val="1C3A36"/>
                <w:sz w:val="17"/>
              </w:rPr>
              <w:t>Land bank worth above cost</w:t>
            </w:r>
          </w:p>
        </w:tc>
        <w:tc>
          <w:tcPr>
            <w:tcW w:type="dxa" w:w="1512"/>
          </w:tcPr>
          <w:p>
            <w:pPr>
              <w:spacing w:after="20"/>
              <w:jc w:val="right"/>
            </w:pPr>
            <w:r>
              <w:rPr>
                <w:color w:val="1C3A36"/>
                <w:sz w:val="17"/>
              </w:rPr>
              <w:t>+35%</w:t>
            </w:r>
          </w:p>
        </w:tc>
        <w:tc>
          <w:tcPr>
            <w:tcW w:type="dxa" w:w="1512"/>
          </w:tcPr>
          <w:p>
            <w:pPr>
              <w:spacing w:after="20"/>
              <w:jc w:val="right"/>
            </w:pPr>
            <w:r>
              <w:rPr>
                <w:color w:val="1C3A36"/>
                <w:sz w:val="17"/>
              </w:rPr>
              <w:t>0%</w:t>
            </w:r>
          </w:p>
        </w:tc>
        <w:tc>
          <w:tcPr>
            <w:tcW w:type="dxa" w:w="1512"/>
          </w:tcPr>
          <w:p>
            <w:pPr>
              <w:spacing w:after="20"/>
              <w:jc w:val="right"/>
            </w:pPr>
            <w:r>
              <w:rPr>
                <w:color w:val="1C3A36"/>
                <w:sz w:val="17"/>
              </w:rPr>
              <w:t>ignored</w:t>
            </w:r>
          </w:p>
        </w:tc>
        <w:tc>
          <w:tcPr>
            <w:tcW w:type="dxa" w:w="3024"/>
          </w:tcPr>
          <w:p>
            <w:pPr>
              <w:spacing w:after="20"/>
              <w:jc w:val="right"/>
            </w:pPr>
            <w:r>
              <w:rPr>
                <w:color w:val="1C3A36"/>
                <w:sz w:val="17"/>
              </w:rPr>
              <w:t>AED 0.57/sh</w:t>
            </w:r>
          </w:p>
        </w:tc>
      </w:tr>
      <w:tr>
        <w:tc>
          <w:tcPr>
            <w:tcW w:type="dxa" w:w="2304"/>
          </w:tcPr>
          <w:p>
            <w:pPr>
              <w:spacing w:after="20"/>
            </w:pPr>
            <w:r>
              <w:rPr>
                <w:color w:val="1C3A36"/>
                <w:sz w:val="17"/>
              </w:rPr>
              <w:t>Related-party receivables</w:t>
            </w:r>
          </w:p>
        </w:tc>
        <w:tc>
          <w:tcPr>
            <w:tcW w:type="dxa" w:w="1512"/>
          </w:tcPr>
          <w:p>
            <w:pPr>
              <w:spacing w:after="20"/>
              <w:jc w:val="right"/>
            </w:pPr>
            <w:r>
              <w:rPr>
                <w:color w:val="1C3A36"/>
                <w:sz w:val="17"/>
              </w:rPr>
              <w:t>face value</w:t>
            </w:r>
          </w:p>
        </w:tc>
        <w:tc>
          <w:tcPr>
            <w:tcW w:type="dxa" w:w="1512"/>
          </w:tcPr>
          <w:p>
            <w:pPr>
              <w:spacing w:after="20"/>
              <w:jc w:val="right"/>
            </w:pPr>
            <w:r>
              <w:rPr>
                <w:color w:val="1C3A36"/>
                <w:sz w:val="17"/>
              </w:rPr>
              <w:t>−25%</w:t>
            </w:r>
          </w:p>
        </w:tc>
        <w:tc>
          <w:tcPr>
            <w:tcW w:type="dxa" w:w="1512"/>
          </w:tcPr>
          <w:p>
            <w:pPr>
              <w:spacing w:after="20"/>
              <w:jc w:val="right"/>
            </w:pPr>
            <w:r>
              <w:rPr>
                <w:color w:val="1C3A36"/>
                <w:sz w:val="17"/>
              </w:rPr>
              <w:t>face value</w:t>
            </w:r>
          </w:p>
        </w:tc>
        <w:tc>
          <w:tcPr>
            <w:tcW w:type="dxa" w:w="3024"/>
          </w:tcPr>
          <w:p>
            <w:pPr>
              <w:spacing w:after="20"/>
              <w:jc w:val="right"/>
            </w:pPr>
            <w:r>
              <w:rPr>
                <w:color w:val="1C3A36"/>
                <w:sz w:val="17"/>
              </w:rPr>
              <w:t>AED 0.12/sh</w:t>
            </w:r>
          </w:p>
        </w:tc>
      </w:tr>
      <w:tr>
        <w:tc>
          <w:tcPr>
            <w:tcW w:type="dxa" w:w="2304"/>
          </w:tcPr>
          <w:p>
            <w:pPr>
              <w:spacing w:after="20"/>
            </w:pPr>
            <w:r>
              <w:rPr>
                <w:color w:val="1C3A36"/>
                <w:sz w:val="17"/>
              </w:rPr>
              <w:t>Sales path</w:t>
            </w:r>
          </w:p>
        </w:tc>
        <w:tc>
          <w:tcPr>
            <w:tcW w:type="dxa" w:w="1512"/>
          </w:tcPr>
          <w:p>
            <w:pPr>
              <w:spacing w:after="20"/>
              <w:jc w:val="right"/>
            </w:pPr>
            <w:r>
              <w:rPr>
                <w:color w:val="1C3A36"/>
                <w:sz w:val="17"/>
              </w:rPr>
              <w:t>irrelevant (assets)</w:t>
            </w:r>
          </w:p>
        </w:tc>
        <w:tc>
          <w:tcPr>
            <w:tcW w:type="dxa" w:w="1512"/>
          </w:tcPr>
          <w:p>
            <w:pPr>
              <w:spacing w:after="20"/>
              <w:jc w:val="right"/>
            </w:pPr>
            <w:r>
              <w:rPr>
                <w:color w:val="1C3A36"/>
                <w:sz w:val="17"/>
              </w:rPr>
              <w:t>run-off</w:t>
            </w:r>
          </w:p>
        </w:tc>
        <w:tc>
          <w:tcPr>
            <w:tcW w:type="dxa" w:w="1512"/>
          </w:tcPr>
          <w:p>
            <w:pPr>
              <w:spacing w:after="20"/>
              <w:jc w:val="right"/>
            </w:pPr>
            <w:r>
              <w:rPr>
                <w:color w:val="1C3A36"/>
                <w:sz w:val="17"/>
              </w:rPr>
              <w:t>FY2026E only</w:t>
            </w:r>
          </w:p>
        </w:tc>
        <w:tc>
          <w:tcPr>
            <w:tcW w:type="dxa" w:w="3024"/>
          </w:tcPr>
          <w:p>
            <w:pPr>
              <w:spacing w:after="20"/>
              <w:jc w:val="right"/>
            </w:pPr>
            <w:r>
              <w:rPr>
                <w:color w:val="1C3A36"/>
                <w:sz w:val="17"/>
              </w:rPr>
              <w:t>AED 1.84/sh between base and run-off</w:t>
            </w:r>
          </w:p>
        </w:tc>
      </w:tr>
      <w:tr>
        <w:tc>
          <w:tcPr>
            <w:tcW w:type="dxa" w:w="2304"/>
          </w:tcPr>
          <w:p>
            <w:pPr>
              <w:spacing w:after="20"/>
            </w:pPr>
            <w:r>
              <w:rPr>
                <w:color w:val="1C3A36"/>
                <w:sz w:val="17"/>
              </w:rPr>
              <w:t>Multiple regime</w:t>
            </w:r>
          </w:p>
        </w:tc>
        <w:tc>
          <w:tcPr>
            <w:tcW w:type="dxa" w:w="1512"/>
          </w:tcPr>
          <w:p>
            <w:pPr>
              <w:spacing w:after="20"/>
              <w:jc w:val="right"/>
            </w:pPr>
            <w:r>
              <w:rPr>
                <w:color w:val="1C3A36"/>
                <w:sz w:val="17"/>
              </w:rPr>
              <w:t>n/a</w:t>
            </w:r>
          </w:p>
        </w:tc>
        <w:tc>
          <w:tcPr>
            <w:tcW w:type="dxa" w:w="1512"/>
          </w:tcPr>
          <w:p>
            <w:pPr>
              <w:spacing w:after="20"/>
              <w:jc w:val="right"/>
            </w:pPr>
            <w:r>
              <w:rPr>
                <w:color w:val="1C3A36"/>
                <w:sz w:val="17"/>
              </w:rPr>
              <w:t>n/a</w:t>
            </w:r>
          </w:p>
        </w:tc>
        <w:tc>
          <w:tcPr>
            <w:tcW w:type="dxa" w:w="1512"/>
          </w:tcPr>
          <w:p>
            <w:pPr>
              <w:spacing w:after="20"/>
              <w:jc w:val="right"/>
            </w:pPr>
            <w:r>
              <w:rPr>
                <w:color w:val="1C3A36"/>
                <w:sz w:val="17"/>
              </w:rPr>
              <w:t>6.5x peer centre</w:t>
            </w:r>
          </w:p>
        </w:tc>
        <w:tc>
          <w:tcPr>
            <w:tcW w:type="dxa" w:w="3024"/>
          </w:tcPr>
          <w:p>
            <w:pPr>
              <w:spacing w:after="20"/>
              <w:jc w:val="right"/>
            </w:pPr>
            <w:r>
              <w:rPr>
                <w:color w:val="1C3A36"/>
                <w:sz w:val="17"/>
              </w:rPr>
              <w:t>AED 0.40/sh vs the study's 8.0x</w:t>
            </w:r>
          </w:p>
        </w:tc>
      </w:tr>
    </w:tbl>
    <w:p>
      <w:pPr>
        <w:spacing w:after="40"/>
      </w:pPr>
    </w:p>
    <w:p>
      <w:pPr>
        <w:spacing w:after="120" w:before="280"/>
      </w:pPr>
      <w:r>
        <w:rPr>
          <w:b/>
          <w:i w:val="0"/>
          <w:color w:val="1C3A36"/>
          <w:sz w:val="30"/>
        </w:rPr>
        <w:t>About this study</w:t>
      </w:r>
    </w:p>
    <w:p>
      <w:pPr>
        <w:spacing w:after="120" w:before="0"/>
      </w:pPr>
      <w:r>
        <w:rPr>
          <w:b w:val="0"/>
          <w:i w:val="0"/>
          <w:color w:val="1C3A36"/>
          <w:sz w:val="21"/>
        </w:rPr>
        <w:t>This document, its Excel companion and its bibliography were produced as a single build: every number in all three files comes from one computed model, and the Excel model has been verified cell by cell against it — 537 formula cells reproduce the model exactly, and a driver test confirms that changing any input on the Assumptions sheet reprices the workbook in the correct direction, with no dead inputs. The historical record is built exclusively from the company's own audited statements and reviewed interims; where a figure is both disclosed and derivable, the disclosed figure is carried.</w:t>
      </w:r>
    </w:p>
    <w:p>
      <w:pPr>
        <w:spacing w:after="120" w:before="280"/>
      </w:pPr>
      <w:r>
        <w:rPr>
          <w:b/>
          <w:i w:val="0"/>
          <w:color w:val="1C3A36"/>
          <w:sz w:val="30"/>
        </w:rPr>
        <w:t>Disclosure</w:t>
      </w:r>
    </w:p>
    <w:p>
      <w:pPr>
        <w:spacing w:after="120" w:before="0"/>
      </w:pPr>
      <w:r>
        <w:rPr>
          <w:b w:val="0"/>
          <w:i w:val="0"/>
          <w:color w:val="1C3A36"/>
          <w:sz w:val="18"/>
        </w:rPr>
        <w:t>Educational analysis. Not investment advice, not a recommendation, not an offer or solicitation. No rating and no price target are expressed or implied; values are model outputs presented as ranges with stated assumptions. The authors hold no position in MODON. Data as of 9 August 2026; prices as of the 7 August 2026 close. © Testahil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1C3A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