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85" w:type="dxa"/>
          <w:left w:w="150" w:type="dxa"/>
          <w:bottom w:w="85" w:type="dxa"/>
          <w:right w:w="150" w:type="dxa"/>
        </w:tblCellMar>
      </w:tblPr>
      <w:tblGrid>
        <w:gridCol w:w="10224"/>
      </w:tblGrid>
      <w:tr>
        <w:tc>
          <w:tcPr>
            <w:tcW w:type="dxa" w:w="10224"/>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40" w:before="0"/>
      </w:pPr>
      <w:r>
        <w:rPr>
          <w:b/>
          <w:i w:val="0"/>
          <w:color w:val="1C3A36"/>
          <w:sz w:val="22"/>
        </w:rPr>
        <w:t>Independent Valuation Study — Educational Analysis</w:t>
      </w:r>
    </w:p>
    <w:p>
      <w:pPr>
        <w:spacing w:after="40" w:before="0"/>
      </w:pPr>
      <w:r>
        <w:rPr>
          <w:b/>
          <w:i w:val="0"/>
          <w:color w:val="1C3A36"/>
          <w:sz w:val="34"/>
        </w:rPr>
        <w:t>Salik Company PJSC (DFM: SALIK) — Dubai's exclusive toll-gate operator</w:t>
      </w:r>
    </w:p>
    <w:p>
      <w:pPr>
        <w:spacing w:after="160" w:before="0"/>
      </w:pPr>
      <w:r>
        <w:rPr>
          <w:b w:val="0"/>
          <w:i/>
          <w:color w:val="6E7B77"/>
          <w:sz w:val="20"/>
        </w:rPr>
        <w:t>Fundamental analysis · Technical analysis · Monte Carlo simulation — one integrated read</w:t>
      </w:r>
    </w:p>
    <w:p>
      <w:pPr>
        <w:spacing w:after="160" w:before="0"/>
      </w:pPr>
      <w:r>
        <w:rPr>
          <w:b/>
          <w:i w:val="0"/>
          <w:color w:val="1C3A36"/>
          <w:sz w:val="19"/>
        </w:rPr>
        <w:t xml:space="preserve">Anchor: </w:t>
      </w:r>
      <w:r>
        <w:rPr>
          <w:b w:val="0"/>
          <w:i w:val="0"/>
          <w:color w:val="1C3A36"/>
          <w:sz w:val="19"/>
        </w:rPr>
        <w:t xml:space="preserve">AED 5.70 (10 Jul 2026 close) · 7,500.0 mn shares · market cap AED 42.8 bn (US$11.6 bn) · net debt AED 4,226 mn · free float 24.9% (the Government of Dubai holds 75.1% through the Dubai Investment Fund). Salik operates </w:t>
      </w:r>
      <w:r>
        <w:rPr>
          <w:b/>
          <w:i w:val="0"/>
          <w:color w:val="1C3A36"/>
          <w:sz w:val="19"/>
        </w:rPr>
        <w:t>all ten</w:t>
      </w:r>
      <w:r>
        <w:rPr>
          <w:b w:val="0"/>
          <w:i w:val="0"/>
          <w:color w:val="1C3A36"/>
          <w:sz w:val="19"/>
        </w:rPr>
        <w:t xml:space="preserve"> of Dubai’s toll gates under a </w:t>
      </w:r>
      <w:r>
        <w:rPr>
          <w:b/>
          <w:i w:val="0"/>
          <w:color w:val="1C3A36"/>
          <w:sz w:val="19"/>
        </w:rPr>
        <w:t>49-year exclusive concession from the RTA, running to 2071</w:t>
      </w:r>
      <w:r>
        <w:rPr>
          <w:b w:val="0"/>
          <w:i w:val="0"/>
          <w:color w:val="1C3A36"/>
          <w:sz w:val="19"/>
        </w:rPr>
        <w:t>. Reporting currency AED, pegged to USD at 3.6725. Prices and probabilities computed 11 Jul 2026 from the attached daily history. Primary lens: FCFF DCF, cross-checked by normalized earnings power, one earnings multiple, and a dividend-policy DDM.</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10" w:type="dxa"/>
          <w:left w:w="150" w:type="dxa"/>
          <w:bottom w:w="110" w:type="dxa"/>
          <w:right w:w="150" w:type="dxa"/>
        </w:tblCellMar>
      </w:tblPr>
      <w:tblGrid>
        <w:gridCol w:w="10224"/>
      </w:tblGrid>
      <w:tr>
        <w:tc>
          <w:tcPr>
            <w:tcW w:type="dxa" w:w="10224"/>
            <w:shd w:val="clear" w:color="auto" w:fill="F6F1E6"/>
          </w:tcPr>
          <w:p>
            <w:pPr>
              <w:spacing w:after="100"/>
            </w:pPr>
            <w:r>
              <w:rPr>
                <w:b/>
                <w:color w:val="1C3A36"/>
                <w:sz w:val="19"/>
              </w:rPr>
              <w:t xml:space="preserve">READ FIRST — what this document is, and is not. </w:t>
            </w:r>
            <w:r>
              <w:rPr>
                <w:color w:val="1C3A36"/>
                <w:sz w:val="19"/>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or advisory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(the FY2023–FY2025 earnings releases; the 2024 Annual Report; the Q1-2026 release of 11 May 2026; RTA and Dubai Media Office announcements). Forward-looking inputs — the trip, tariff, margin and ancillary paths, the cost of capital, terminal growth, the multiple band and the Monte-Carlo factor probabilities — are the preparer’s judgments and are flagged throughout. Consult a licensed financial advisor before any investment decision.</w:t>
            </w:r>
          </w:p>
          <w:p>
            <w:pPr>
              <w:spacing w:after="100"/>
            </w:pPr>
            <w:r>
              <w:rPr>
                <w:b/>
                <w:color w:val="1C3A36"/>
                <w:sz w:val="19"/>
              </w:rPr>
              <w:t xml:space="preserve">A live event sits inside the forecast window. </w:t>
            </w:r>
            <w:r>
              <w:rPr>
                <w:color w:val="1C3A36"/>
                <w:sz w:val="19"/>
              </w:rPr>
              <w:t>Dubai’s traffic collapsed in March 2026 when the US–Israel–Iran war opened (28 Feb) and the Strait of Hormuz closed. A ceasefire followed on 7–8 April; a memorandum of understanding was signed on 17 June; three ships were attacked on 6–7 July, US strikes resumed, and on 7 July the truce was called over — then walked back on 8 July. That is three days before this study’s anchor. Salik’s Q2-2026 results — the FIRST full quarter under conflict conditions — land inside the T+60 horizon.</w:t>
            </w:r>
          </w:p>
        </w:tc>
      </w:tr>
    </w:tbl>
    <w:p>
      <w:pPr>
        <w:spacing w:after="40"/>
      </w:pPr>
    </w:p>
    <w:p>
      <w:pPr>
        <w:spacing w:after="100" w:before="260"/>
      </w:pPr>
      <w:r>
        <w:rPr>
          <w:b/>
          <w:i w:val="0"/>
          <w:color w:val="1C3A36"/>
          <w:sz w:val="30"/>
        </w:rPr>
        <w:t>The company</w:t>
      </w:r>
    </w:p>
    <w:p>
      <w:pPr>
        <w:spacing w:after="120" w:before="0"/>
      </w:pPr>
      <w:r>
        <w:rPr>
          <w:b w:val="0"/>
          <w:i w:val="0"/>
          <w:color w:val="1C3A36"/>
          <w:sz w:val="21"/>
        </w:rPr>
        <w:t>Salik is the company that charges you to drive down Sheikh Zayed Road. It runs every one of the ten electronic toll gates in Dubai — no barriers, no booths, just a windscreen tag and a camera — and it is the only company allowed to do so, under a 49-year exclusive concession granted by Dubai’s Roads and Transport Authority that runs to 2071. It owns no roads and it builds no roads: the RTA pays for all of that, and Salik simply collects, which is why sixty people generate two billion dirhams of EBITDA and why the company converts roughly ninety cents of every EBITDA dirham into free cash. It hands all of that profit back to shareholders — the dividend policy is one hundred per cent of distributable net profit, paid twice a year — and the Government of Dubai, which still owns 75.1% of the shares, is on the receiving end of most of it. In short: a toll booth with a stock ticker, a government landlord, and a contract that runs longer than most of the people reading this will.</w:t>
      </w:r>
    </w:p>
    <w:p>
      <w:pPr>
        <w:spacing w:after="100" w:before="260"/>
      </w:pPr>
      <w:r>
        <w:rPr>
          <w:b/>
          <w:i w:val="0"/>
          <w:color w:val="1C3A36"/>
          <w:sz w:val="30"/>
        </w:rPr>
        <w:t>Headline</w:t>
      </w:r>
    </w:p>
    <w:p>
      <w:pPr>
        <w:spacing w:after="120" w:before="0"/>
      </w:pPr>
      <w:r>
        <w:rPr>
          <w:b/>
          <w:i w:val="0"/>
          <w:color w:val="1C3A36"/>
          <w:sz w:val="21"/>
        </w:rPr>
        <w:t>Our weighted central fair value is AED 4.62 against a spot of AED 5.70 — spot sits 19% above our central mark, and above the central of every one of our four lenses. The reason is not the traffic.</w:t>
      </w:r>
    </w:p>
    <w:p>
      <w:pPr>
        <w:pStyle w:val="ListBullet"/>
        <w:spacing w:after="60"/>
      </w:pPr>
      <w:r>
        <w:rPr>
          <w:b/>
          <w:color w:val="1C3A36"/>
          <w:sz w:val="20"/>
        </w:rPr>
        <w:t xml:space="preserve">FY2025 was 84% one-offs. </w:t>
      </w:r>
      <w:r>
        <w:rPr>
          <w:color w:val="1C3A36"/>
          <w:sz w:val="20"/>
        </w:rPr>
        <w:t>Salik’s FY2025 revenue grew 35.1%. We rebuilt it line by line, on the company’s OWN figure for how many trips the two new gates would carry (111 mn), and 84% of the growth came from two events that cannot repeat — the gate count going eight to ten, and the tariff going flat to variable. Only 16% was organic. FY2026 has neither. §1.6.</w:t>
      </w:r>
    </w:p>
    <w:p>
      <w:pPr>
        <w:pStyle w:val="ListBullet"/>
        <w:spacing w:after="60"/>
      </w:pPr>
      <w:r>
        <w:rPr>
          <w:b/>
          <w:color w:val="1C3A36"/>
          <w:sz w:val="20"/>
        </w:rPr>
        <w:t xml:space="preserve">There are two growth engines. Only one of them is free. </w:t>
      </w:r>
      <w:r>
        <w:rPr>
          <w:color w:val="1C3A36"/>
          <w:sz w:val="20"/>
        </w:rPr>
        <w:t>The eight gates Salik was HANDED at the 2022 IPO earn 32% on invested capital. The two gates the RTA SOLD it in 2024, for AED 2,734 mn, earn 9.5% — against a 8.1% cost of capital. In the pessimistic corner of the assumption box the new gates earn LESS than the cost of capital. Growth by acquiring gates is not free growth, and the RTA — grantor, regulator, 75.1% shareholder — sets the price. §1.6.</w:t>
      </w:r>
    </w:p>
    <w:p>
      <w:pPr>
        <w:pStyle w:val="ListBullet"/>
        <w:spacing w:after="60"/>
      </w:pPr>
      <w:r>
        <w:rPr>
          <w:b/>
          <w:color w:val="1C3A36"/>
          <w:sz w:val="20"/>
        </w:rPr>
        <w:t xml:space="preserve">And the dividend has a senior claim sitting in front of it. </w:t>
      </w:r>
      <w:r>
        <w:rPr>
          <w:color w:val="1C3A36"/>
          <w:sz w:val="20"/>
        </w:rPr>
        <w:t>The RTA instalment is AED 455.7 mn a year to Nov-2030. With a 100% payout the cash Salik retains is structurally D&amp;A less capex — AED 116 mn. So there is a ~AED 340 mn a year gap, funded off the balance sheet, every year until 2030. It is captured in net debt, so the DCF is right — but the DIVIDEND is tighter than the 100%-payout headline suggests. §1.2a.</w:t>
      </w:r>
    </w:p>
    <w:p>
      <w:pPr>
        <w:pStyle w:val="ListBullet"/>
        <w:spacing w:after="60"/>
      </w:pPr>
      <w:r>
        <w:rPr>
          <w:b/>
          <w:color w:val="1C3A36"/>
          <w:sz w:val="20"/>
        </w:rPr>
        <w:t xml:space="preserve">The war is doing double damage — and that is the crux. </w:t>
      </w:r>
      <w:r>
        <w:rPr>
          <w:color w:val="1C3A36"/>
          <w:sz w:val="20"/>
        </w:rPr>
        <w:t>SALIK’s measured beta was 0.47 before the war and 1.00 during it. The same war that cut Q1 traffic 7.7% DOUBLED the discount rate’s risk loading. It attacks the numerator and the denominator at once, and at spot the market is pricing both to reverse. §1.8 and §1.7.</w:t>
      </w:r>
    </w:p>
    <w:p>
      <w:pPr>
        <w:spacing w:after="100" w:before="260"/>
      </w:pPr>
      <w:r>
        <w:rPr>
          <w:b/>
          <w:i w:val="0"/>
          <w:color w:val="1C3A36"/>
          <w:sz w:val="30"/>
        </w:rPr>
        <w:t>Valuation summary — every read at a glance</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704"/>
        <w:gridCol w:w="1704"/>
        <w:gridCol w:w="1704"/>
        <w:gridCol w:w="1704"/>
        <w:gridCol w:w="1704"/>
        <w:gridCol w:w="1704"/>
      </w:tblGrid>
      <w:tr>
        <w:tc>
          <w:tcPr>
            <w:tcW w:type="dxa" w:w="2304"/>
            <w:shd w:val="clear" w:color="auto" w:fill="EAF0EE"/>
          </w:tcPr>
          <w:p>
            <w:pPr>
              <w:spacing w:after="20"/>
            </w:pPr>
            <w:r>
              <w:rPr>
                <w:b/>
                <w:color w:val="1C3A36"/>
                <w:sz w:val="17"/>
              </w:rPr>
              <w:t>Lens</w:t>
            </w:r>
          </w:p>
        </w:tc>
        <w:tc>
          <w:tcPr>
            <w:tcW w:type="dxa" w:w="835"/>
            <w:shd w:val="clear" w:color="auto" w:fill="EAF0EE"/>
          </w:tcPr>
          <w:p>
            <w:pPr>
              <w:spacing w:after="20"/>
            </w:pPr>
            <w:r>
              <w:rPr>
                <w:b/>
                <w:color w:val="1C3A36"/>
                <w:sz w:val="17"/>
              </w:rPr>
              <w:t>Bear</w:t>
            </w:r>
          </w:p>
        </w:tc>
        <w:tc>
          <w:tcPr>
            <w:tcW w:type="dxa" w:w="950"/>
            <w:shd w:val="clear" w:color="auto" w:fill="EAF0EE"/>
          </w:tcPr>
          <w:p>
            <w:pPr>
              <w:spacing w:after="20"/>
            </w:pPr>
            <w:r>
              <w:rPr>
                <w:b/>
                <w:color w:val="1C3A36"/>
                <w:sz w:val="17"/>
              </w:rPr>
              <w:t>Central</w:t>
            </w:r>
          </w:p>
        </w:tc>
        <w:tc>
          <w:tcPr>
            <w:tcW w:type="dxa" w:w="835"/>
            <w:shd w:val="clear" w:color="auto" w:fill="EAF0EE"/>
          </w:tcPr>
          <w:p>
            <w:pPr>
              <w:spacing w:after="20"/>
            </w:pPr>
            <w:r>
              <w:rPr>
                <w:b/>
                <w:color w:val="1C3A36"/>
                <w:sz w:val="17"/>
              </w:rPr>
              <w:t>Bull</w:t>
            </w:r>
          </w:p>
        </w:tc>
        <w:tc>
          <w:tcPr>
            <w:tcW w:type="dxa" w:w="922"/>
            <w:shd w:val="clear" w:color="auto" w:fill="EAF0EE"/>
          </w:tcPr>
          <w:p>
            <w:pPr>
              <w:spacing w:after="20"/>
            </w:pPr>
            <w:r>
              <w:rPr>
                <w:b/>
                <w:color w:val="1C3A36"/>
                <w:sz w:val="17"/>
              </w:rPr>
              <w:t>Weight</w:t>
            </w:r>
          </w:p>
        </w:tc>
        <w:tc>
          <w:tcPr>
            <w:tcW w:type="dxa" w:w="3802"/>
            <w:shd w:val="clear" w:color="auto" w:fill="EAF0EE"/>
          </w:tcPr>
          <w:p>
            <w:pPr>
              <w:spacing w:after="20"/>
            </w:pPr>
            <w:r>
              <w:rPr>
                <w:b/>
                <w:color w:val="1C3A36"/>
                <w:sz w:val="17"/>
              </w:rPr>
              <w:t>What it turns on</w:t>
            </w:r>
          </w:p>
        </w:tc>
      </w:tr>
      <w:tr>
        <w:tc>
          <w:tcPr>
            <w:tcW w:type="dxa" w:w="2304"/>
          </w:tcPr>
          <w:p>
            <w:pPr>
              <w:spacing w:after="20"/>
            </w:pPr>
            <w:r>
              <w:rPr>
                <w:b/>
                <w:color w:val="1C3A36"/>
                <w:sz w:val="17"/>
              </w:rPr>
              <w:t>FCFF DCF (primary)</w:t>
            </w:r>
          </w:p>
        </w:tc>
        <w:tc>
          <w:tcPr>
            <w:tcW w:type="dxa" w:w="835"/>
          </w:tcPr>
          <w:p>
            <w:pPr>
              <w:spacing w:after="20"/>
              <w:jc w:val="right"/>
            </w:pPr>
            <w:r>
              <w:rPr>
                <w:color w:val="1C3A36"/>
                <w:sz w:val="17"/>
              </w:rPr>
              <w:t>2.86</w:t>
            </w:r>
          </w:p>
        </w:tc>
        <w:tc>
          <w:tcPr>
            <w:tcW w:type="dxa" w:w="950"/>
          </w:tcPr>
          <w:p>
            <w:pPr>
              <w:spacing w:after="20"/>
              <w:jc w:val="right"/>
            </w:pPr>
            <w:r>
              <w:rPr>
                <w:color w:val="1C3A36"/>
                <w:sz w:val="17"/>
              </w:rPr>
              <w:t>4.49</w:t>
            </w:r>
          </w:p>
        </w:tc>
        <w:tc>
          <w:tcPr>
            <w:tcW w:type="dxa" w:w="835"/>
          </w:tcPr>
          <w:p>
            <w:pPr>
              <w:spacing w:after="20"/>
              <w:jc w:val="right"/>
            </w:pPr>
            <w:r>
              <w:rPr>
                <w:color w:val="1C3A36"/>
                <w:sz w:val="17"/>
              </w:rPr>
              <w:t>8.15</w:t>
            </w:r>
          </w:p>
        </w:tc>
        <w:tc>
          <w:tcPr>
            <w:tcW w:type="dxa" w:w="922"/>
          </w:tcPr>
          <w:p>
            <w:pPr>
              <w:spacing w:after="20"/>
              <w:jc w:val="right"/>
            </w:pPr>
            <w:r>
              <w:rPr>
                <w:color w:val="1C3A36"/>
                <w:sz w:val="17"/>
              </w:rPr>
              <w:t>45.0%</w:t>
            </w:r>
          </w:p>
        </w:tc>
        <w:tc>
          <w:tcPr>
            <w:tcW w:type="dxa" w:w="3802"/>
          </w:tcPr>
          <w:p>
            <w:pPr>
              <w:spacing w:after="20"/>
            </w:pPr>
            <w:r>
              <w:rPr>
                <w:color w:val="1C3A36"/>
                <w:sz w:val="17"/>
              </w:rPr>
              <w:t>The beta. Measured, not assumed — §1.8.</w:t>
            </w:r>
          </w:p>
        </w:tc>
      </w:tr>
      <w:tr>
        <w:tc>
          <w:tcPr>
            <w:tcW w:type="dxa" w:w="2304"/>
          </w:tcPr>
          <w:p>
            <w:pPr>
              <w:spacing w:after="20"/>
            </w:pPr>
            <w:r>
              <w:rPr>
                <w:b/>
                <w:color w:val="1C3A36"/>
                <w:sz w:val="17"/>
              </w:rPr>
              <w:t>Normalized earnings</w:t>
            </w:r>
          </w:p>
        </w:tc>
        <w:tc>
          <w:tcPr>
            <w:tcW w:type="dxa" w:w="835"/>
          </w:tcPr>
          <w:p>
            <w:pPr>
              <w:spacing w:after="20"/>
              <w:jc w:val="right"/>
            </w:pPr>
            <w:r>
              <w:rPr>
                <w:color w:val="1C3A36"/>
                <w:sz w:val="17"/>
              </w:rPr>
              <w:t>4.17</w:t>
            </w:r>
          </w:p>
        </w:tc>
        <w:tc>
          <w:tcPr>
            <w:tcW w:type="dxa" w:w="950"/>
          </w:tcPr>
          <w:p>
            <w:pPr>
              <w:spacing w:after="20"/>
              <w:jc w:val="right"/>
            </w:pPr>
            <w:r>
              <w:rPr>
                <w:color w:val="1C3A36"/>
                <w:sz w:val="17"/>
              </w:rPr>
              <w:t>5.44</w:t>
            </w:r>
          </w:p>
        </w:tc>
        <w:tc>
          <w:tcPr>
            <w:tcW w:type="dxa" w:w="835"/>
          </w:tcPr>
          <w:p>
            <w:pPr>
              <w:spacing w:after="20"/>
              <w:jc w:val="right"/>
            </w:pPr>
            <w:r>
              <w:rPr>
                <w:color w:val="1C3A36"/>
                <w:sz w:val="17"/>
              </w:rPr>
              <w:t>6.67</w:t>
            </w:r>
          </w:p>
        </w:tc>
        <w:tc>
          <w:tcPr>
            <w:tcW w:type="dxa" w:w="922"/>
          </w:tcPr>
          <w:p>
            <w:pPr>
              <w:spacing w:after="20"/>
              <w:jc w:val="right"/>
            </w:pPr>
            <w:r>
              <w:rPr>
                <w:color w:val="1C3A36"/>
                <w:sz w:val="17"/>
              </w:rPr>
              <w:t>20.0%</w:t>
            </w:r>
          </w:p>
        </w:tc>
        <w:tc>
          <w:tcPr>
            <w:tcW w:type="dxa" w:w="3802"/>
          </w:tcPr>
          <w:p>
            <w:pPr>
              <w:spacing w:after="20"/>
            </w:pPr>
            <w:r>
              <w:rPr>
                <w:color w:val="1C3A36"/>
                <w:sz w:val="17"/>
              </w:rPr>
              <w:t>The multiple on a non-conflict year.</w:t>
            </w:r>
          </w:p>
        </w:tc>
      </w:tr>
      <w:tr>
        <w:tc>
          <w:tcPr>
            <w:tcW w:type="dxa" w:w="2304"/>
          </w:tcPr>
          <w:p>
            <w:pPr>
              <w:spacing w:after="20"/>
            </w:pPr>
            <w:r>
              <w:rPr>
                <w:b/>
                <w:color w:val="1C3A36"/>
                <w:sz w:val="17"/>
              </w:rPr>
              <w:t>Relative — P/E (=1/yield)</w:t>
            </w:r>
          </w:p>
        </w:tc>
        <w:tc>
          <w:tcPr>
            <w:tcW w:type="dxa" w:w="835"/>
          </w:tcPr>
          <w:p>
            <w:pPr>
              <w:spacing w:after="20"/>
              <w:jc w:val="right"/>
            </w:pPr>
            <w:r>
              <w:rPr>
                <w:color w:val="1C3A36"/>
                <w:sz w:val="17"/>
              </w:rPr>
              <w:t>4.08</w:t>
            </w:r>
          </w:p>
        </w:tc>
        <w:tc>
          <w:tcPr>
            <w:tcW w:type="dxa" w:w="950"/>
          </w:tcPr>
          <w:p>
            <w:pPr>
              <w:spacing w:after="20"/>
              <w:jc w:val="right"/>
            </w:pPr>
            <w:r>
              <w:rPr>
                <w:color w:val="1C3A36"/>
                <w:sz w:val="17"/>
              </w:rPr>
              <w:t>4.89</w:t>
            </w:r>
          </w:p>
        </w:tc>
        <w:tc>
          <w:tcPr>
            <w:tcW w:type="dxa" w:w="835"/>
          </w:tcPr>
          <w:p>
            <w:pPr>
              <w:spacing w:after="20"/>
              <w:jc w:val="right"/>
            </w:pPr>
            <w:r>
              <w:rPr>
                <w:color w:val="1C3A36"/>
                <w:sz w:val="17"/>
              </w:rPr>
              <w:t>5.71</w:t>
            </w:r>
          </w:p>
        </w:tc>
        <w:tc>
          <w:tcPr>
            <w:tcW w:type="dxa" w:w="922"/>
          </w:tcPr>
          <w:p>
            <w:pPr>
              <w:spacing w:after="20"/>
              <w:jc w:val="right"/>
            </w:pPr>
            <w:r>
              <w:rPr>
                <w:color w:val="1C3A36"/>
                <w:sz w:val="17"/>
              </w:rPr>
              <w:t>20.0%</w:t>
            </w:r>
          </w:p>
        </w:tc>
        <w:tc>
          <w:tcPr>
            <w:tcW w:type="dxa" w:w="3802"/>
          </w:tcPr>
          <w:p>
            <w:pPr>
              <w:spacing w:after="20"/>
            </w:pPr>
            <w:r>
              <w:rPr>
                <w:color w:val="1C3A36"/>
                <w:sz w:val="17"/>
              </w:rPr>
              <w:t>100% payout ⇒ P/E and yield are ONE multiple.</w:t>
            </w:r>
          </w:p>
        </w:tc>
      </w:tr>
      <w:tr>
        <w:tc>
          <w:tcPr>
            <w:tcW w:type="dxa" w:w="2304"/>
          </w:tcPr>
          <w:p>
            <w:pPr>
              <w:spacing w:after="20"/>
            </w:pPr>
            <w:r>
              <w:rPr>
                <w:b/>
                <w:color w:val="1C3A36"/>
                <w:sz w:val="17"/>
              </w:rPr>
              <w:t>Dividend discount (floor)</w:t>
            </w:r>
          </w:p>
        </w:tc>
        <w:tc>
          <w:tcPr>
            <w:tcW w:type="dxa" w:w="835"/>
          </w:tcPr>
          <w:p>
            <w:pPr>
              <w:spacing w:after="20"/>
              <w:jc w:val="right"/>
            </w:pPr>
            <w:r>
              <w:rPr>
                <w:color w:val="1C3A36"/>
                <w:sz w:val="17"/>
              </w:rPr>
              <w:t>2.55</w:t>
            </w:r>
          </w:p>
        </w:tc>
        <w:tc>
          <w:tcPr>
            <w:tcW w:type="dxa" w:w="950"/>
          </w:tcPr>
          <w:p>
            <w:pPr>
              <w:spacing w:after="20"/>
              <w:jc w:val="right"/>
            </w:pPr>
            <w:r>
              <w:rPr>
                <w:color w:val="1C3A36"/>
                <w:sz w:val="17"/>
              </w:rPr>
              <w:t>3.55</w:t>
            </w:r>
          </w:p>
        </w:tc>
        <w:tc>
          <w:tcPr>
            <w:tcW w:type="dxa" w:w="835"/>
          </w:tcPr>
          <w:p>
            <w:pPr>
              <w:spacing w:after="20"/>
              <w:jc w:val="right"/>
            </w:pPr>
            <w:r>
              <w:rPr>
                <w:color w:val="1C3A36"/>
                <w:sz w:val="17"/>
              </w:rPr>
              <w:t>6.07</w:t>
            </w:r>
          </w:p>
        </w:tc>
        <w:tc>
          <w:tcPr>
            <w:tcW w:type="dxa" w:w="922"/>
          </w:tcPr>
          <w:p>
            <w:pPr>
              <w:spacing w:after="20"/>
              <w:jc w:val="right"/>
            </w:pPr>
            <w:r>
              <w:rPr>
                <w:color w:val="1C3A36"/>
                <w:sz w:val="17"/>
              </w:rPr>
              <w:t>15.0%</w:t>
            </w:r>
          </w:p>
        </w:tc>
        <w:tc>
          <w:tcPr>
            <w:tcW w:type="dxa" w:w="3802"/>
          </w:tcPr>
          <w:p>
            <w:pPr>
              <w:spacing w:after="20"/>
            </w:pPr>
            <w:r>
              <w:rPr>
                <w:color w:val="1C3A36"/>
                <w:sz w:val="17"/>
              </w:rPr>
              <w:t>Ke − g. A structural FLOOR — §1.6.</w:t>
            </w:r>
          </w:p>
        </w:tc>
      </w:tr>
      <w:tr>
        <w:tc>
          <w:tcPr>
            <w:tcW w:type="dxa" w:w="2304"/>
            <w:shd w:val="clear" w:color="auto" w:fill="F6F1E6"/>
          </w:tcPr>
          <w:p>
            <w:pPr>
              <w:spacing w:after="20"/>
            </w:pPr>
            <w:r>
              <w:rPr>
                <w:b/>
                <w:color w:val="1C3A36"/>
                <w:sz w:val="17"/>
              </w:rPr>
              <w:t>WEIGHTED CENTRAL</w:t>
            </w:r>
          </w:p>
        </w:tc>
        <w:tc>
          <w:tcPr>
            <w:tcW w:type="dxa" w:w="835"/>
            <w:shd w:val="clear" w:color="auto" w:fill="F6F1E6"/>
          </w:tcPr>
          <w:p>
            <w:pPr>
              <w:spacing w:after="20"/>
              <w:jc w:val="right"/>
            </w:pPr>
            <w:r>
              <w:rPr>
                <w:b/>
                <w:color w:val="1C3A36"/>
                <w:sz w:val="17"/>
              </w:rPr>
              <w:t>3.32</w:t>
            </w:r>
          </w:p>
        </w:tc>
        <w:tc>
          <w:tcPr>
            <w:tcW w:type="dxa" w:w="950"/>
            <w:shd w:val="clear" w:color="auto" w:fill="F6F1E6"/>
          </w:tcPr>
          <w:p>
            <w:pPr>
              <w:spacing w:after="20"/>
              <w:jc w:val="right"/>
            </w:pPr>
            <w:r>
              <w:rPr>
                <w:b/>
                <w:color w:val="1C3A36"/>
                <w:sz w:val="17"/>
              </w:rPr>
              <w:t>4.62</w:t>
            </w:r>
          </w:p>
        </w:tc>
        <w:tc>
          <w:tcPr>
            <w:tcW w:type="dxa" w:w="835"/>
            <w:shd w:val="clear" w:color="auto" w:fill="F6F1E6"/>
          </w:tcPr>
          <w:p>
            <w:pPr>
              <w:spacing w:after="20"/>
              <w:jc w:val="right"/>
            </w:pPr>
            <w:r>
              <w:rPr>
                <w:b/>
                <w:color w:val="1C3A36"/>
                <w:sz w:val="17"/>
              </w:rPr>
              <w:t>7.05</w:t>
            </w:r>
          </w:p>
        </w:tc>
        <w:tc>
          <w:tcPr>
            <w:tcW w:type="dxa" w:w="922"/>
            <w:shd w:val="clear" w:color="auto" w:fill="F6F1E6"/>
          </w:tcPr>
          <w:p>
            <w:pPr>
              <w:spacing w:after="20"/>
              <w:jc w:val="right"/>
            </w:pPr>
            <w:r>
              <w:rPr>
                <w:b/>
                <w:color w:val="1C3A36"/>
                <w:sz w:val="17"/>
              </w:rPr>
              <w:t>100%</w:t>
            </w:r>
          </w:p>
        </w:tc>
        <w:tc>
          <w:tcPr>
            <w:tcW w:type="dxa" w:w="3802"/>
            <w:shd w:val="clear" w:color="auto" w:fill="F6F1E6"/>
          </w:tcPr>
          <w:p>
            <w:pPr>
              <w:spacing w:after="20"/>
            </w:pPr>
            <w:r>
              <w:rPr>
                <w:b/>
                <w:color w:val="1C3A36"/>
                <w:sz w:val="17"/>
              </w:rPr>
              <w:t>—</w:t>
            </w:r>
          </w:p>
        </w:tc>
      </w:tr>
      <w:tr>
        <w:tc>
          <w:tcPr>
            <w:tcW w:type="dxa" w:w="2304"/>
          </w:tcPr>
          <w:p>
            <w:pPr>
              <w:spacing w:after="20"/>
            </w:pPr>
            <w:r>
              <w:rPr>
                <w:b/>
                <w:color w:val="1C3A36"/>
                <w:sz w:val="17"/>
              </w:rPr>
              <w:t>Spot, 10 Jul 2026</w:t>
            </w:r>
          </w:p>
        </w:tc>
        <w:tc>
          <w:tcPr>
            <w:tcW w:type="dxa" w:w="835"/>
          </w:tcPr>
          <w:p>
            <w:pPr>
              <w:spacing w:after="20"/>
              <w:jc w:val="right"/>
            </w:pPr>
            <w:r>
              <w:rPr>
                <w:color w:val="1C3A36"/>
                <w:sz w:val="17"/>
              </w:rPr>
            </w:r>
          </w:p>
        </w:tc>
        <w:tc>
          <w:tcPr>
            <w:tcW w:type="dxa" w:w="950"/>
          </w:tcPr>
          <w:p>
            <w:pPr>
              <w:spacing w:after="20"/>
              <w:jc w:val="right"/>
            </w:pPr>
            <w:r>
              <w:rPr>
                <w:color w:val="1C3A36"/>
                <w:sz w:val="17"/>
              </w:rPr>
              <w:t>5.70</w:t>
            </w:r>
          </w:p>
        </w:tc>
        <w:tc>
          <w:tcPr>
            <w:tcW w:type="dxa" w:w="835"/>
          </w:tcPr>
          <w:p>
            <w:pPr>
              <w:spacing w:after="20"/>
              <w:jc w:val="right"/>
            </w:pPr>
            <w:r>
              <w:rPr>
                <w:color w:val="1C3A36"/>
                <w:sz w:val="17"/>
              </w:rPr>
            </w:r>
          </w:p>
        </w:tc>
        <w:tc>
          <w:tcPr>
            <w:tcW w:type="dxa" w:w="922"/>
          </w:tcPr>
          <w:p>
            <w:pPr>
              <w:spacing w:after="20"/>
              <w:jc w:val="right"/>
            </w:pPr>
            <w:r>
              <w:rPr>
                <w:color w:val="1C3A36"/>
                <w:sz w:val="17"/>
              </w:rPr>
            </w:r>
          </w:p>
        </w:tc>
        <w:tc>
          <w:tcPr>
            <w:tcW w:type="dxa" w:w="3802"/>
          </w:tcPr>
          <w:p>
            <w:pPr>
              <w:spacing w:after="20"/>
            </w:pPr>
            <w:r>
              <w:rPr>
                <w:color w:val="1C3A36"/>
                <w:sz w:val="17"/>
              </w:rPr>
              <w:t>Inside our band, near the top</w:t>
            </w:r>
          </w:p>
        </w:tc>
      </w:tr>
      <w:tr>
        <w:tc>
          <w:tcPr>
            <w:tcW w:type="dxa" w:w="2304"/>
            <w:shd w:val="clear" w:color="auto" w:fill="F6F1E6"/>
          </w:tcPr>
          <w:p>
            <w:pPr>
              <w:spacing w:after="20"/>
            </w:pPr>
            <w:r>
              <w:rPr>
                <w:b/>
                <w:color w:val="1C3A36"/>
                <w:sz w:val="17"/>
              </w:rPr>
              <w:t>Weighted central vs spot</w:t>
            </w:r>
          </w:p>
        </w:tc>
        <w:tc>
          <w:tcPr>
            <w:tcW w:type="dxa" w:w="835"/>
            <w:shd w:val="clear" w:color="auto" w:fill="F6F1E6"/>
          </w:tcPr>
          <w:p>
            <w:pPr>
              <w:spacing w:after="20"/>
              <w:jc w:val="right"/>
            </w:pPr>
            <w:r>
              <w:rPr>
                <w:b/>
                <w:color w:val="1C3A36"/>
                <w:sz w:val="17"/>
              </w:rPr>
            </w:r>
          </w:p>
        </w:tc>
        <w:tc>
          <w:tcPr>
            <w:tcW w:type="dxa" w:w="950"/>
            <w:shd w:val="clear" w:color="auto" w:fill="F6F1E6"/>
          </w:tcPr>
          <w:p>
            <w:pPr>
              <w:spacing w:after="20"/>
              <w:jc w:val="right"/>
            </w:pPr>
            <w:r>
              <w:rPr>
                <w:b/>
                <w:color w:val="1C3A36"/>
                <w:sz w:val="17"/>
              </w:rPr>
              <w:t>-19.0%</w:t>
            </w:r>
          </w:p>
        </w:tc>
        <w:tc>
          <w:tcPr>
            <w:tcW w:type="dxa" w:w="835"/>
            <w:shd w:val="clear" w:color="auto" w:fill="F6F1E6"/>
          </w:tcPr>
          <w:p>
            <w:pPr>
              <w:spacing w:after="20"/>
              <w:jc w:val="right"/>
            </w:pPr>
            <w:r>
              <w:rPr>
                <w:b/>
                <w:color w:val="1C3A36"/>
                <w:sz w:val="17"/>
              </w:rPr>
            </w:r>
          </w:p>
        </w:tc>
        <w:tc>
          <w:tcPr>
            <w:tcW w:type="dxa" w:w="922"/>
            <w:shd w:val="clear" w:color="auto" w:fill="F6F1E6"/>
          </w:tcPr>
          <w:p>
            <w:pPr>
              <w:spacing w:after="20"/>
              <w:jc w:val="right"/>
            </w:pPr>
            <w:r>
              <w:rPr>
                <w:b/>
                <w:color w:val="1C3A36"/>
                <w:sz w:val="17"/>
              </w:rPr>
            </w:r>
          </w:p>
        </w:tc>
        <w:tc>
          <w:tcPr>
            <w:tcW w:type="dxa" w:w="3802"/>
            <w:shd w:val="clear" w:color="auto" w:fill="F6F1E6"/>
          </w:tcPr>
          <w:p>
            <w:pPr>
              <w:spacing w:after="20"/>
            </w:pPr>
            <w:r>
              <w:rPr>
                <w:b/>
                <w:color w:val="1C3A36"/>
                <w:sz w:val="17"/>
              </w:rPr>
              <w:t>—</w:t>
            </w:r>
          </w:p>
        </w:tc>
      </w:tr>
    </w:tbl>
    <w:p>
      <w:pPr>
        <w:spacing w:after="40"/>
      </w:pPr>
    </w:p>
    <w:tbl>
      <w:tblPr>
        <w:tblW w:type="auto" w:w="0"/>
        <w:tblLook w:firstColumn="1" w:firstRow="1" w:lastColumn="0" w:lastRow="0" w:noHBand="0" w:noVBand="1" w:val="04A0"/>
        <w:tblBorders>
          <w:top w:val="single" w:sz="6" w:space="0" w:color="896F36"/>
          <w:left w:val="single" w:sz="6" w:space="0" w:color="896F36"/>
          <w:bottom w:val="single" w:sz="6" w:space="0" w:color="896F36"/>
          <w:right w:val="single" w:sz="6" w:space="0" w:color="896F36"/>
          <w:insideH w:val="single" w:sz="6" w:space="0" w:color="896F36"/>
          <w:insideV w:val="single" w:sz="6" w:space="0" w:color="896F36"/>
        </w:tblBorders>
        <w:tblCellMar>
          <w:top w:w="110" w:type="dxa"/>
          <w:left w:w="150" w:type="dxa"/>
          <w:bottom w:w="110" w:type="dxa"/>
          <w:right w:w="150" w:type="dxa"/>
        </w:tblCellMar>
      </w:tblPr>
      <w:tblGrid>
        <w:gridCol w:w="10224"/>
      </w:tblGrid>
      <w:tr>
        <w:tc>
          <w:tcPr>
            <w:tcW w:type="dxa" w:w="10224"/>
            <w:shd w:val="clear" w:color="auto" w:fill="EFF3F1"/>
          </w:tcPr>
          <w:p>
            <w:pPr>
              <w:spacing w:after="100"/>
            </w:pPr>
            <w:r>
              <w:rPr>
                <w:b/>
                <w:color w:val="1C3A36"/>
                <w:sz w:val="19"/>
              </w:rPr>
              <w:t xml:space="preserve">The one thing to understand before you read a single number. </w:t>
            </w:r>
            <w:r>
              <w:rPr>
                <w:color w:val="1C3A36"/>
                <w:sz w:val="19"/>
              </w:rPr>
              <w:t>The gap between our AED 4.62 and the market’s AED 5.70 is NOT an earnings disagreement. Our FY2026E EPS of AED 0.2039 is within 1.4% of FY2025 actual and sits ABOVE the Q1-2026 run-rate. We are not forecasting a collapse. The gap is almost entirely a DISCOUNT-RATE disagreement — and, unlike v1 of this study, we can now measure the discount rate rather than assume it. Against an equal-weighted 14-name UAE market portfolio spanning both exchanges, SALIK’s weekly beta is 0.637 (n=195, SE 0.104, t=6.1, R² 16.2%) — a regression that comfortably clears our usability test. We publish the Blume-adjusted 0.76, which is the conservative choice. At spot, the market is implying a beta of 0.52. That is INSIDE our measured 95% confidence interval [0.43, 0.84] — and it is almost exactly the beta SALIK actually had BEFORE the war (0.47). Read §1.10 before you read anything else. It is the whole study.</w:t>
            </w:r>
          </w:p>
        </w:tc>
      </w:tr>
    </w:tbl>
    <w:p>
      <w:pPr>
        <w:spacing w:after="40"/>
      </w:pPr>
    </w:p>
    <w:p>
      <w:pPr>
        <w:spacing w:after="80" w:before="180"/>
      </w:pPr>
      <w:r>
        <w:rPr>
          <w:b/>
          <w:i w:val="0"/>
          <w:color w:val="1C3A36"/>
          <w:sz w:val="23"/>
        </w:rPr>
        <w:t>Company overview</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56"/>
        <w:gridCol w:w="2556"/>
        <w:gridCol w:w="2556"/>
        <w:gridCol w:w="2556"/>
      </w:tblGrid>
      <w:tr>
        <w:tc>
          <w:tcPr>
            <w:tcW w:type="dxa" w:w="1238"/>
            <w:shd w:val="clear" w:color="auto" w:fill="EAF0EE"/>
          </w:tcPr>
          <w:p>
            <w:pPr>
              <w:spacing w:after="20"/>
            </w:pPr>
            <w:r>
              <w:rPr>
                <w:b/>
                <w:color w:val="1C3A36"/>
                <w:sz w:val="17"/>
              </w:rPr>
              <w:t>Item</w:t>
            </w:r>
          </w:p>
        </w:tc>
        <w:tc>
          <w:tcPr>
            <w:tcW w:type="dxa" w:w="3773"/>
            <w:shd w:val="clear" w:color="auto" w:fill="EAF0EE"/>
          </w:tcPr>
          <w:p>
            <w:pPr>
              <w:spacing w:after="20"/>
            </w:pPr>
            <w:r>
              <w:rPr>
                <w:b/>
                <w:color w:val="1C3A36"/>
                <w:sz w:val="17"/>
              </w:rPr>
              <w:t>Detail</w:t>
            </w:r>
          </w:p>
        </w:tc>
        <w:tc>
          <w:tcPr>
            <w:tcW w:type="dxa" w:w="1152"/>
            <w:shd w:val="clear" w:color="auto" w:fill="EAF0EE"/>
          </w:tcPr>
          <w:p>
            <w:pPr>
              <w:spacing w:after="20"/>
            </w:pPr>
            <w:r>
              <w:rPr>
                <w:b/>
                <w:color w:val="1C3A36"/>
                <w:sz w:val="17"/>
              </w:rPr>
              <w:t>Item</w:t>
            </w:r>
          </w:p>
        </w:tc>
        <w:tc>
          <w:tcPr>
            <w:tcW w:type="dxa" w:w="3197"/>
            <w:shd w:val="clear" w:color="auto" w:fill="EAF0EE"/>
          </w:tcPr>
          <w:p>
            <w:pPr>
              <w:spacing w:after="20"/>
            </w:pPr>
            <w:r>
              <w:rPr>
                <w:b/>
                <w:color w:val="1C3A36"/>
                <w:sz w:val="17"/>
              </w:rPr>
              <w:t>Detail</w:t>
            </w:r>
          </w:p>
        </w:tc>
      </w:tr>
      <w:tr>
        <w:tc>
          <w:tcPr>
            <w:tcW w:type="dxa" w:w="1238"/>
          </w:tcPr>
          <w:p>
            <w:pPr>
              <w:spacing w:after="20"/>
            </w:pPr>
            <w:r>
              <w:rPr>
                <w:b/>
                <w:color w:val="1C3A36"/>
                <w:sz w:val="17"/>
              </w:rPr>
              <w:t>Listing</w:t>
            </w:r>
          </w:p>
        </w:tc>
        <w:tc>
          <w:tcPr>
            <w:tcW w:type="dxa" w:w="3773"/>
          </w:tcPr>
          <w:p>
            <w:pPr>
              <w:spacing w:after="20"/>
            </w:pPr>
            <w:r>
              <w:rPr>
                <w:color w:val="1C3A36"/>
                <w:sz w:val="17"/>
              </w:rPr>
              <w:t>DFM: SALIK. Listed 29 Sep 2022 at AED 2.00.</w:t>
            </w:r>
          </w:p>
        </w:tc>
        <w:tc>
          <w:tcPr>
            <w:tcW w:type="dxa" w:w="1152"/>
          </w:tcPr>
          <w:p>
            <w:pPr>
              <w:spacing w:after="20"/>
            </w:pPr>
            <w:r>
              <w:rPr>
                <w:color w:val="1C3A36"/>
                <w:sz w:val="17"/>
              </w:rPr>
              <w:t>Free float</w:t>
            </w:r>
          </w:p>
        </w:tc>
        <w:tc>
          <w:tcPr>
            <w:tcW w:type="dxa" w:w="3197"/>
          </w:tcPr>
          <w:p>
            <w:pPr>
              <w:spacing w:after="20"/>
            </w:pPr>
            <w:r>
              <w:rPr>
                <w:color w:val="1C3A36"/>
                <w:sz w:val="17"/>
              </w:rPr>
              <w:t>24.9%. Dubai Investment Fund 75.1%.</w:t>
            </w:r>
          </w:p>
        </w:tc>
      </w:tr>
      <w:tr>
        <w:tc>
          <w:tcPr>
            <w:tcW w:type="dxa" w:w="1238"/>
          </w:tcPr>
          <w:p>
            <w:pPr>
              <w:spacing w:after="20"/>
            </w:pPr>
            <w:r>
              <w:rPr>
                <w:b/>
                <w:color w:val="1C3A36"/>
                <w:sz w:val="17"/>
              </w:rPr>
              <w:t>Business</w:t>
            </w:r>
          </w:p>
        </w:tc>
        <w:tc>
          <w:tcPr>
            <w:tcW w:type="dxa" w:w="3773"/>
          </w:tcPr>
          <w:p>
            <w:pPr>
              <w:spacing w:after="20"/>
            </w:pPr>
            <w:r>
              <w:rPr>
                <w:color w:val="1C3A36"/>
                <w:sz w:val="17"/>
              </w:rPr>
              <w:t>Sole operator of all TEN Dubai toll gates. Six sit on Sheikh Zayed Road.</w:t>
            </w:r>
          </w:p>
        </w:tc>
        <w:tc>
          <w:tcPr>
            <w:tcW w:type="dxa" w:w="1152"/>
          </w:tcPr>
          <w:p>
            <w:pPr>
              <w:spacing w:after="20"/>
            </w:pPr>
            <w:r>
              <w:rPr>
                <w:color w:val="1C3A36"/>
                <w:sz w:val="17"/>
              </w:rPr>
              <w:t>Employees</w:t>
            </w:r>
          </w:p>
        </w:tc>
        <w:tc>
          <w:tcPr>
            <w:tcW w:type="dxa" w:w="3197"/>
          </w:tcPr>
          <w:p>
            <w:pPr>
              <w:spacing w:after="20"/>
            </w:pPr>
            <w:r>
              <w:rPr>
                <w:color w:val="1C3A36"/>
                <w:sz w:val="17"/>
              </w:rPr>
              <w:t>60. Revenue per head: AED 51.6 mn.</w:t>
            </w:r>
          </w:p>
        </w:tc>
      </w:tr>
      <w:tr>
        <w:tc>
          <w:tcPr>
            <w:tcW w:type="dxa" w:w="1238"/>
          </w:tcPr>
          <w:p>
            <w:pPr>
              <w:spacing w:after="20"/>
            </w:pPr>
            <w:r>
              <w:rPr>
                <w:b/>
                <w:color w:val="1C3A36"/>
                <w:sz w:val="17"/>
              </w:rPr>
              <w:t>Concession</w:t>
            </w:r>
          </w:p>
        </w:tc>
        <w:tc>
          <w:tcPr>
            <w:tcW w:type="dxa" w:w="3773"/>
          </w:tcPr>
          <w:p>
            <w:pPr>
              <w:spacing w:after="20"/>
            </w:pPr>
            <w:r>
              <w:rPr>
                <w:color w:val="1C3A36"/>
                <w:sz w:val="17"/>
              </w:rPr>
              <w:t>49 years from 1 Jul 2022, expiring 2071. Exclusive rights to ALL existing and future Dubai gates.</w:t>
            </w:r>
          </w:p>
        </w:tc>
        <w:tc>
          <w:tcPr>
            <w:tcW w:type="dxa" w:w="1152"/>
          </w:tcPr>
          <w:p>
            <w:pPr>
              <w:spacing w:after="20"/>
            </w:pPr>
            <w:r>
              <w:rPr>
                <w:color w:val="1C3A36"/>
                <w:sz w:val="17"/>
              </w:rPr>
              <w:t>Ratings</w:t>
            </w:r>
          </w:p>
        </w:tc>
        <w:tc>
          <w:tcPr>
            <w:tcW w:type="dxa" w:w="3197"/>
          </w:tcPr>
          <w:p>
            <w:pPr>
              <w:spacing w:after="20"/>
            </w:pPr>
            <w:r>
              <w:rPr>
                <w:color w:val="1C3A36"/>
                <w:sz w:val="17"/>
              </w:rPr>
              <w:t>Fitch A (up from A−, Nov 25). Moody’s A3.</w:t>
            </w:r>
          </w:p>
        </w:tc>
      </w:tr>
      <w:tr>
        <w:tc>
          <w:tcPr>
            <w:tcW w:type="dxa" w:w="1238"/>
          </w:tcPr>
          <w:p>
            <w:pPr>
              <w:spacing w:after="20"/>
            </w:pPr>
            <w:r>
              <w:rPr>
                <w:b/>
                <w:color w:val="1C3A36"/>
                <w:sz w:val="17"/>
              </w:rPr>
              <w:t>Concession fee</w:t>
            </w:r>
          </w:p>
        </w:tc>
        <w:tc>
          <w:tcPr>
            <w:tcW w:type="dxa" w:w="3773"/>
          </w:tcPr>
          <w:p>
            <w:pPr>
              <w:spacing w:after="20"/>
            </w:pPr>
            <w:r>
              <w:rPr>
                <w:color w:val="1C3A36"/>
                <w:sz w:val="17"/>
              </w:rPr>
              <w:t>22.5% of TOLL revenue only. Cap 25.0% / FLOOR 15.0%. Fines and ancillary 100% retained.</w:t>
            </w:r>
          </w:p>
        </w:tc>
        <w:tc>
          <w:tcPr>
            <w:tcW w:type="dxa" w:w="1152"/>
          </w:tcPr>
          <w:p>
            <w:pPr>
              <w:spacing w:after="20"/>
            </w:pPr>
            <w:r>
              <w:rPr>
                <w:color w:val="1C3A36"/>
                <w:sz w:val="17"/>
              </w:rPr>
              <w:t>Leverage</w:t>
            </w:r>
          </w:p>
        </w:tc>
        <w:tc>
          <w:tcPr>
            <w:tcW w:type="dxa" w:w="3197"/>
          </w:tcPr>
          <w:p>
            <w:pPr>
              <w:spacing w:after="20"/>
            </w:pPr>
            <w:r>
              <w:rPr>
                <w:color w:val="1C3A36"/>
                <w:sz w:val="17"/>
              </w:rPr>
              <w:t>Net debt/EBITDA 1.98× vs a 5.0× covenant.</w:t>
            </w:r>
          </w:p>
        </w:tc>
      </w:tr>
      <w:tr>
        <w:tc>
          <w:tcPr>
            <w:tcW w:type="dxa" w:w="1238"/>
          </w:tcPr>
          <w:p>
            <w:pPr>
              <w:spacing w:after="20"/>
            </w:pPr>
            <w:r>
              <w:rPr>
                <w:b/>
                <w:color w:val="1C3A36"/>
                <w:sz w:val="17"/>
              </w:rPr>
              <w:t>Capital intensity</w:t>
            </w:r>
          </w:p>
        </w:tc>
        <w:tc>
          <w:tcPr>
            <w:tcW w:type="dxa" w:w="3773"/>
          </w:tcPr>
          <w:p>
            <w:pPr>
              <w:spacing w:after="20"/>
            </w:pPr>
            <w:r>
              <w:rPr>
                <w:color w:val="1C3A36"/>
                <w:sz w:val="17"/>
              </w:rPr>
              <w:t>Effectively ZERO. The RTA bears ALL road capex and maintenance.</w:t>
            </w:r>
          </w:p>
        </w:tc>
        <w:tc>
          <w:tcPr>
            <w:tcW w:type="dxa" w:w="1152"/>
          </w:tcPr>
          <w:p>
            <w:pPr>
              <w:spacing w:after="20"/>
            </w:pPr>
            <w:r>
              <w:rPr>
                <w:color w:val="1C3A36"/>
                <w:sz w:val="17"/>
              </w:rPr>
              <w:t>Dividend</w:t>
            </w:r>
          </w:p>
        </w:tc>
        <w:tc>
          <w:tcPr>
            <w:tcW w:type="dxa" w:w="3197"/>
          </w:tcPr>
          <w:p>
            <w:pPr>
              <w:spacing w:after="20"/>
            </w:pPr>
            <w:r>
              <w:rPr>
                <w:color w:val="1C3A36"/>
                <w:sz w:val="17"/>
              </w:rPr>
              <w:t>100% of distributable profit, semi-annual. FY25: AED 0.2215 (3.9%).</w:t>
            </w:r>
          </w:p>
        </w:tc>
      </w:tr>
      <w:tr>
        <w:tc>
          <w:tcPr>
            <w:tcW w:type="dxa" w:w="1238"/>
          </w:tcPr>
          <w:p>
            <w:pPr>
              <w:spacing w:after="20"/>
            </w:pPr>
            <w:r>
              <w:rPr>
                <w:b/>
                <w:color w:val="1C3A36"/>
                <w:sz w:val="17"/>
              </w:rPr>
              <w:t>Tariff</w:t>
            </w:r>
          </w:p>
        </w:tc>
        <w:tc>
          <w:tcPr>
            <w:tcW w:type="dxa" w:w="3773"/>
          </w:tcPr>
          <w:p>
            <w:pPr>
              <w:spacing w:after="20"/>
            </w:pPr>
            <w:r>
              <w:rPr>
                <w:color w:val="1C3A36"/>
                <w:sz w:val="17"/>
              </w:rPr>
              <w:t>Variable since 31 Jan 2025: AED 6 peak, AED 4 off-peak, FREE 01:00–06:00.</w:t>
            </w:r>
          </w:p>
        </w:tc>
        <w:tc>
          <w:tcPr>
            <w:tcW w:type="dxa" w:w="1152"/>
          </w:tcPr>
          <w:p>
            <w:pPr>
              <w:spacing w:after="20"/>
            </w:pPr>
            <w:r>
              <w:rPr>
                <w:color w:val="1C3A36"/>
                <w:sz w:val="17"/>
              </w:rPr>
              <w:t>Beta (measured)</w:t>
            </w:r>
          </w:p>
        </w:tc>
        <w:tc>
          <w:tcPr>
            <w:tcW w:type="dxa" w:w="3197"/>
          </w:tcPr>
          <w:p>
            <w:pPr>
              <w:spacing w:after="20"/>
            </w:pPr>
            <w:r>
              <w:rPr>
                <w:color w:val="1C3A36"/>
                <w:sz w:val="17"/>
              </w:rPr>
              <w:t>0.64 weekly, n=195. Published: 0.76 (Blume).</w:t>
            </w:r>
          </w:p>
        </w:tc>
      </w:tr>
    </w:tbl>
    <w:p>
      <w:pPr>
        <w:spacing w:after="40"/>
      </w:pPr>
    </w:p>
    <w:p>
      <w:r>
        <w:br w:type="page"/>
      </w:r>
    </w:p>
    <w:p>
      <w:pPr>
        <w:spacing w:after="100" w:before="260"/>
      </w:pPr>
      <w:r>
        <w:rPr>
          <w:b/>
          <w:i w:val="0"/>
          <w:color w:val="1C3A36"/>
          <w:sz w:val="30"/>
        </w:rPr>
        <w:t>1 Fundamental valuation</w:t>
      </w:r>
    </w:p>
    <w:p>
      <w:pPr>
        <w:spacing w:after="160" w:before="0"/>
      </w:pPr>
      <w:r>
        <w:rPr>
          <w:b w:val="0"/>
          <w:i w:val="0"/>
          <w:color w:val="1C3A36"/>
          <w:sz w:val="21"/>
        </w:rPr>
        <w:t>Salik is an operating company, so the primary lens is a free-cash-flow-to-the-firm DCF, with three cross-checks alongside it. The four lenses come first and are synthesised at §1.5, in our order. The analyses that reframe them — the two growth engines, the FY2025 bridge, the RTA cash waterfall and the beta — follow from §1.6.</w:t>
      </w:r>
    </w:p>
    <w:p>
      <w:pPr>
        <w:spacing w:after="80" w:before="180"/>
      </w:pPr>
      <w:r>
        <w:rPr>
          <w:b/>
          <w:i w:val="0"/>
          <w:color w:val="1C3A36"/>
          <w:sz w:val="23"/>
        </w:rPr>
        <w:t>1.1 The FCFF DCF — the primary lens, with the full waterfall</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704"/>
        <w:gridCol w:w="1704"/>
        <w:gridCol w:w="1704"/>
        <w:gridCol w:w="1704"/>
        <w:gridCol w:w="1704"/>
        <w:gridCol w:w="1704"/>
      </w:tblGrid>
      <w:tr>
        <w:tc>
          <w:tcPr>
            <w:tcW w:type="dxa" w:w="3629"/>
            <w:shd w:val="clear" w:color="auto" w:fill="EAF0EE"/>
          </w:tcPr>
          <w:p>
            <w:pPr>
              <w:spacing w:after="20"/>
            </w:pPr>
            <w:r>
              <w:rPr>
                <w:b/>
                <w:color w:val="1C3A36"/>
                <w:sz w:val="16"/>
              </w:rPr>
              <w:t>AED mn</w:t>
            </w:r>
          </w:p>
        </w:tc>
        <w:tc>
          <w:tcPr>
            <w:tcW w:type="dxa" w:w="1296"/>
            <w:shd w:val="clear" w:color="auto" w:fill="EAF0EE"/>
          </w:tcPr>
          <w:p>
            <w:pPr>
              <w:spacing w:after="20"/>
            </w:pPr>
            <w:r>
              <w:rPr>
                <w:b/>
                <w:color w:val="1C3A36"/>
                <w:sz w:val="16"/>
              </w:rPr>
              <w:t>FY2026E</w:t>
            </w:r>
          </w:p>
        </w:tc>
        <w:tc>
          <w:tcPr>
            <w:tcW w:type="dxa" w:w="1296"/>
            <w:shd w:val="clear" w:color="auto" w:fill="EAF0EE"/>
          </w:tcPr>
          <w:p>
            <w:pPr>
              <w:spacing w:after="20"/>
            </w:pPr>
            <w:r>
              <w:rPr>
                <w:b/>
                <w:color w:val="1C3A36"/>
                <w:sz w:val="16"/>
              </w:rPr>
              <w:t>FY2027E</w:t>
            </w:r>
          </w:p>
        </w:tc>
        <w:tc>
          <w:tcPr>
            <w:tcW w:type="dxa" w:w="1296"/>
            <w:shd w:val="clear" w:color="auto" w:fill="EAF0EE"/>
          </w:tcPr>
          <w:p>
            <w:pPr>
              <w:spacing w:after="20"/>
            </w:pPr>
            <w:r>
              <w:rPr>
                <w:b/>
                <w:color w:val="1C3A36"/>
                <w:sz w:val="16"/>
              </w:rPr>
              <w:t>FY2028E</w:t>
            </w:r>
          </w:p>
        </w:tc>
        <w:tc>
          <w:tcPr>
            <w:tcW w:type="dxa" w:w="1296"/>
            <w:shd w:val="clear" w:color="auto" w:fill="EAF0EE"/>
          </w:tcPr>
          <w:p>
            <w:pPr>
              <w:spacing w:after="20"/>
            </w:pPr>
            <w:r>
              <w:rPr>
                <w:b/>
                <w:color w:val="1C3A36"/>
                <w:sz w:val="16"/>
              </w:rPr>
              <w:t>FY2029E</w:t>
            </w:r>
          </w:p>
        </w:tc>
        <w:tc>
          <w:tcPr>
            <w:tcW w:type="dxa" w:w="1296"/>
            <w:shd w:val="clear" w:color="auto" w:fill="EAF0EE"/>
          </w:tcPr>
          <w:p>
            <w:pPr>
              <w:spacing w:after="20"/>
            </w:pPr>
            <w:r>
              <w:rPr>
                <w:b/>
                <w:color w:val="1C3A36"/>
                <w:sz w:val="16"/>
              </w:rPr>
              <w:t>FY2030E</w:t>
            </w:r>
          </w:p>
        </w:tc>
      </w:tr>
      <w:tr>
        <w:tc>
          <w:tcPr>
            <w:tcW w:type="dxa" w:w="3629"/>
          </w:tcPr>
          <w:p>
            <w:pPr>
              <w:spacing w:after="20"/>
            </w:pPr>
            <w:r>
              <w:rPr>
                <w:b/>
                <w:color w:val="1C3A36"/>
                <w:sz w:val="16"/>
              </w:rPr>
              <w:t>Revenue</w:t>
            </w:r>
          </w:p>
        </w:tc>
        <w:tc>
          <w:tcPr>
            <w:tcW w:type="dxa" w:w="1296"/>
          </w:tcPr>
          <w:p>
            <w:pPr>
              <w:spacing w:after="20"/>
              <w:jc w:val="right"/>
            </w:pPr>
            <w:r>
              <w:rPr>
                <w:color w:val="1C3A36"/>
                <w:sz w:val="16"/>
              </w:rPr>
              <w:t>2,981</w:t>
            </w:r>
          </w:p>
        </w:tc>
        <w:tc>
          <w:tcPr>
            <w:tcW w:type="dxa" w:w="1296"/>
          </w:tcPr>
          <w:p>
            <w:pPr>
              <w:spacing w:after="20"/>
              <w:jc w:val="right"/>
            </w:pPr>
            <w:r>
              <w:rPr>
                <w:color w:val="1C3A36"/>
                <w:sz w:val="16"/>
              </w:rPr>
              <w:t>3,170</w:t>
            </w:r>
          </w:p>
        </w:tc>
        <w:tc>
          <w:tcPr>
            <w:tcW w:type="dxa" w:w="1296"/>
          </w:tcPr>
          <w:p>
            <w:pPr>
              <w:spacing w:after="20"/>
              <w:jc w:val="right"/>
            </w:pPr>
            <w:r>
              <w:rPr>
                <w:color w:val="1C3A36"/>
                <w:sz w:val="16"/>
              </w:rPr>
              <w:t>3,360</w:t>
            </w:r>
          </w:p>
        </w:tc>
        <w:tc>
          <w:tcPr>
            <w:tcW w:type="dxa" w:w="1296"/>
          </w:tcPr>
          <w:p>
            <w:pPr>
              <w:spacing w:after="20"/>
              <w:jc w:val="right"/>
            </w:pPr>
            <w:r>
              <w:rPr>
                <w:color w:val="1C3A36"/>
                <w:sz w:val="16"/>
              </w:rPr>
              <w:t>3,549</w:t>
            </w:r>
          </w:p>
        </w:tc>
        <w:tc>
          <w:tcPr>
            <w:tcW w:type="dxa" w:w="1296"/>
          </w:tcPr>
          <w:p>
            <w:pPr>
              <w:spacing w:after="20"/>
              <w:jc w:val="right"/>
            </w:pPr>
            <w:r>
              <w:rPr>
                <w:color w:val="1C3A36"/>
                <w:sz w:val="16"/>
              </w:rPr>
              <w:t>3,734</w:t>
            </w:r>
          </w:p>
        </w:tc>
      </w:tr>
      <w:tr>
        <w:tc>
          <w:tcPr>
            <w:tcW w:type="dxa" w:w="3629"/>
          </w:tcPr>
          <w:p>
            <w:pPr>
              <w:spacing w:after="20"/>
            </w:pPr>
            <w:r>
              <w:rPr>
                <w:b/>
                <w:color w:val="1C3A36"/>
                <w:sz w:val="16"/>
              </w:rPr>
              <w:t xml:space="preserve"> less: concession fee (22.5% of TOLL revenue)</w:t>
            </w:r>
          </w:p>
        </w:tc>
        <w:tc>
          <w:tcPr>
            <w:tcW w:type="dxa" w:w="1296"/>
          </w:tcPr>
          <w:p>
            <w:pPr>
              <w:spacing w:after="20"/>
              <w:jc w:val="right"/>
            </w:pPr>
            <w:r>
              <w:rPr>
                <w:color w:val="1C3A36"/>
                <w:sz w:val="16"/>
              </w:rPr>
              <w:t>-575</w:t>
            </w:r>
          </w:p>
        </w:tc>
        <w:tc>
          <w:tcPr>
            <w:tcW w:type="dxa" w:w="1296"/>
          </w:tcPr>
          <w:p>
            <w:pPr>
              <w:spacing w:after="20"/>
              <w:jc w:val="right"/>
            </w:pPr>
            <w:r>
              <w:rPr>
                <w:color w:val="1C3A36"/>
                <w:sz w:val="16"/>
              </w:rPr>
              <w:t>-610</w:t>
            </w:r>
          </w:p>
        </w:tc>
        <w:tc>
          <w:tcPr>
            <w:tcW w:type="dxa" w:w="1296"/>
          </w:tcPr>
          <w:p>
            <w:pPr>
              <w:spacing w:after="20"/>
              <w:jc w:val="right"/>
            </w:pPr>
            <w:r>
              <w:rPr>
                <w:color w:val="1C3A36"/>
                <w:sz w:val="16"/>
              </w:rPr>
              <w:t>-644</w:t>
            </w:r>
          </w:p>
        </w:tc>
        <w:tc>
          <w:tcPr>
            <w:tcW w:type="dxa" w:w="1296"/>
          </w:tcPr>
          <w:p>
            <w:pPr>
              <w:spacing w:after="20"/>
              <w:jc w:val="right"/>
            </w:pPr>
            <w:r>
              <w:rPr>
                <w:color w:val="1C3A36"/>
                <w:sz w:val="16"/>
              </w:rPr>
              <w:t>-676</w:t>
            </w:r>
          </w:p>
        </w:tc>
        <w:tc>
          <w:tcPr>
            <w:tcW w:type="dxa" w:w="1296"/>
          </w:tcPr>
          <w:p>
            <w:pPr>
              <w:spacing w:after="20"/>
              <w:jc w:val="right"/>
            </w:pPr>
            <w:r>
              <w:rPr>
                <w:color w:val="1C3A36"/>
                <w:sz w:val="16"/>
              </w:rPr>
              <w:t>-707</w:t>
            </w:r>
          </w:p>
        </w:tc>
      </w:tr>
      <w:tr>
        <w:tc>
          <w:tcPr>
            <w:tcW w:type="dxa" w:w="3629"/>
          </w:tcPr>
          <w:p>
            <w:pPr>
              <w:spacing w:after="20"/>
            </w:pPr>
            <w:r>
              <w:rPr>
                <w:b/>
                <w:color w:val="1C3A36"/>
                <w:sz w:val="16"/>
              </w:rPr>
              <w:t xml:space="preserve"> less: other operating costs</w:t>
            </w:r>
          </w:p>
        </w:tc>
        <w:tc>
          <w:tcPr>
            <w:tcW w:type="dxa" w:w="1296"/>
          </w:tcPr>
          <w:p>
            <w:pPr>
              <w:spacing w:after="20"/>
              <w:jc w:val="right"/>
            </w:pPr>
            <w:r>
              <w:rPr>
                <w:color w:val="1C3A36"/>
                <w:sz w:val="16"/>
              </w:rPr>
              <w:t>-328</w:t>
            </w:r>
          </w:p>
        </w:tc>
        <w:tc>
          <w:tcPr>
            <w:tcW w:type="dxa" w:w="1296"/>
          </w:tcPr>
          <w:p>
            <w:pPr>
              <w:spacing w:after="20"/>
              <w:jc w:val="right"/>
            </w:pPr>
            <w:r>
              <w:rPr>
                <w:color w:val="1C3A36"/>
                <w:sz w:val="16"/>
              </w:rPr>
              <w:t>-345</w:t>
            </w:r>
          </w:p>
        </w:tc>
        <w:tc>
          <w:tcPr>
            <w:tcW w:type="dxa" w:w="1296"/>
          </w:tcPr>
          <w:p>
            <w:pPr>
              <w:spacing w:after="20"/>
              <w:jc w:val="right"/>
            </w:pPr>
            <w:r>
              <w:rPr>
                <w:color w:val="1C3A36"/>
                <w:sz w:val="16"/>
              </w:rPr>
              <w:t>-363</w:t>
            </w:r>
          </w:p>
        </w:tc>
        <w:tc>
          <w:tcPr>
            <w:tcW w:type="dxa" w:w="1296"/>
          </w:tcPr>
          <w:p>
            <w:pPr>
              <w:spacing w:after="20"/>
              <w:jc w:val="right"/>
            </w:pPr>
            <w:r>
              <w:rPr>
                <w:color w:val="1C3A36"/>
                <w:sz w:val="16"/>
              </w:rPr>
              <w:t>-380</w:t>
            </w:r>
          </w:p>
        </w:tc>
        <w:tc>
          <w:tcPr>
            <w:tcW w:type="dxa" w:w="1296"/>
          </w:tcPr>
          <w:p>
            <w:pPr>
              <w:spacing w:after="20"/>
              <w:jc w:val="right"/>
            </w:pPr>
            <w:r>
              <w:rPr>
                <w:color w:val="1C3A36"/>
                <w:sz w:val="16"/>
              </w:rPr>
              <w:t>-392</w:t>
            </w:r>
          </w:p>
        </w:tc>
      </w:tr>
      <w:tr>
        <w:tc>
          <w:tcPr>
            <w:tcW w:type="dxa" w:w="3629"/>
            <w:shd w:val="clear" w:color="auto" w:fill="F6F1E6"/>
          </w:tcPr>
          <w:p>
            <w:pPr>
              <w:spacing w:after="20"/>
            </w:pPr>
            <w:r>
              <w:rPr>
                <w:b/>
                <w:color w:val="1C3A36"/>
                <w:sz w:val="16"/>
              </w:rPr>
              <w:t>EBITDA</w:t>
            </w:r>
          </w:p>
        </w:tc>
        <w:tc>
          <w:tcPr>
            <w:tcW w:type="dxa" w:w="1296"/>
            <w:shd w:val="clear" w:color="auto" w:fill="F6F1E6"/>
          </w:tcPr>
          <w:p>
            <w:pPr>
              <w:spacing w:after="20"/>
              <w:jc w:val="right"/>
            </w:pPr>
            <w:r>
              <w:rPr>
                <w:b/>
                <w:color w:val="1C3A36"/>
                <w:sz w:val="16"/>
              </w:rPr>
              <w:t>2,078</w:t>
            </w:r>
          </w:p>
        </w:tc>
        <w:tc>
          <w:tcPr>
            <w:tcW w:type="dxa" w:w="1296"/>
            <w:shd w:val="clear" w:color="auto" w:fill="F6F1E6"/>
          </w:tcPr>
          <w:p>
            <w:pPr>
              <w:spacing w:after="20"/>
              <w:jc w:val="right"/>
            </w:pPr>
            <w:r>
              <w:rPr>
                <w:b/>
                <w:color w:val="1C3A36"/>
                <w:sz w:val="16"/>
              </w:rPr>
              <w:t>2,214</w:t>
            </w:r>
          </w:p>
        </w:tc>
        <w:tc>
          <w:tcPr>
            <w:tcW w:type="dxa" w:w="1296"/>
            <w:shd w:val="clear" w:color="auto" w:fill="F6F1E6"/>
          </w:tcPr>
          <w:p>
            <w:pPr>
              <w:spacing w:after="20"/>
              <w:jc w:val="right"/>
            </w:pPr>
            <w:r>
              <w:rPr>
                <w:b/>
                <w:color w:val="1C3A36"/>
                <w:sz w:val="16"/>
              </w:rPr>
              <w:t>2,354</w:t>
            </w:r>
          </w:p>
        </w:tc>
        <w:tc>
          <w:tcPr>
            <w:tcW w:type="dxa" w:w="1296"/>
            <w:shd w:val="clear" w:color="auto" w:fill="F6F1E6"/>
          </w:tcPr>
          <w:p>
            <w:pPr>
              <w:spacing w:after="20"/>
              <w:jc w:val="right"/>
            </w:pPr>
            <w:r>
              <w:rPr>
                <w:b/>
                <w:color w:val="1C3A36"/>
                <w:sz w:val="16"/>
              </w:rPr>
              <w:t>2,493</w:t>
            </w:r>
          </w:p>
        </w:tc>
        <w:tc>
          <w:tcPr>
            <w:tcW w:type="dxa" w:w="1296"/>
            <w:shd w:val="clear" w:color="auto" w:fill="F6F1E6"/>
          </w:tcPr>
          <w:p>
            <w:pPr>
              <w:spacing w:after="20"/>
              <w:jc w:val="right"/>
            </w:pPr>
            <w:r>
              <w:rPr>
                <w:b/>
                <w:color w:val="1C3A36"/>
                <w:sz w:val="16"/>
              </w:rPr>
              <w:t>2,635</w:t>
            </w:r>
          </w:p>
        </w:tc>
      </w:tr>
      <w:tr>
        <w:tc>
          <w:tcPr>
            <w:tcW w:type="dxa" w:w="3629"/>
          </w:tcPr>
          <w:p>
            <w:pPr>
              <w:spacing w:after="20"/>
            </w:pPr>
            <w:r>
              <w:rPr>
                <w:b/>
                <w:color w:val="1C3A36"/>
                <w:sz w:val="16"/>
              </w:rPr>
              <w:t xml:space="preserve"> EBITDA margin</w:t>
            </w:r>
          </w:p>
        </w:tc>
        <w:tc>
          <w:tcPr>
            <w:tcW w:type="dxa" w:w="1296"/>
          </w:tcPr>
          <w:p>
            <w:pPr>
              <w:spacing w:after="20"/>
              <w:jc w:val="right"/>
            </w:pPr>
            <w:r>
              <w:rPr>
                <w:color w:val="1C3A36"/>
                <w:sz w:val="16"/>
              </w:rPr>
              <w:t>69.7%</w:t>
            </w:r>
          </w:p>
        </w:tc>
        <w:tc>
          <w:tcPr>
            <w:tcW w:type="dxa" w:w="1296"/>
          </w:tcPr>
          <w:p>
            <w:pPr>
              <w:spacing w:after="20"/>
              <w:jc w:val="right"/>
            </w:pPr>
            <w:r>
              <w:rPr>
                <w:color w:val="1C3A36"/>
                <w:sz w:val="16"/>
              </w:rPr>
              <w:t>69.9%</w:t>
            </w:r>
          </w:p>
        </w:tc>
        <w:tc>
          <w:tcPr>
            <w:tcW w:type="dxa" w:w="1296"/>
          </w:tcPr>
          <w:p>
            <w:pPr>
              <w:spacing w:after="20"/>
              <w:jc w:val="right"/>
            </w:pPr>
            <w:r>
              <w:rPr>
                <w:color w:val="1C3A36"/>
                <w:sz w:val="16"/>
              </w:rPr>
              <w:t>70.0%</w:t>
            </w:r>
          </w:p>
        </w:tc>
        <w:tc>
          <w:tcPr>
            <w:tcW w:type="dxa" w:w="1296"/>
          </w:tcPr>
          <w:p>
            <w:pPr>
              <w:spacing w:after="20"/>
              <w:jc w:val="right"/>
            </w:pPr>
            <w:r>
              <w:rPr>
                <w:color w:val="1C3A36"/>
                <w:sz w:val="16"/>
              </w:rPr>
              <w:t>70.2%</w:t>
            </w:r>
          </w:p>
        </w:tc>
        <w:tc>
          <w:tcPr>
            <w:tcW w:type="dxa" w:w="1296"/>
          </w:tcPr>
          <w:p>
            <w:pPr>
              <w:spacing w:after="20"/>
              <w:jc w:val="right"/>
            </w:pPr>
            <w:r>
              <w:rPr>
                <w:color w:val="1C3A36"/>
                <w:sz w:val="16"/>
              </w:rPr>
              <w:t>70.6%</w:t>
            </w:r>
          </w:p>
        </w:tc>
      </w:tr>
      <w:tr>
        <w:tc>
          <w:tcPr>
            <w:tcW w:type="dxa" w:w="3629"/>
          </w:tcPr>
          <w:p>
            <w:pPr>
              <w:spacing w:after="20"/>
            </w:pPr>
            <w:r>
              <w:rPr>
                <w:b/>
                <w:color w:val="1C3A36"/>
                <w:sz w:val="16"/>
              </w:rPr>
              <w:t xml:space="preserve"> less: D&amp;A (concession amortisation)</w:t>
            </w:r>
          </w:p>
        </w:tc>
        <w:tc>
          <w:tcPr>
            <w:tcW w:type="dxa" w:w="1296"/>
          </w:tcPr>
          <w:p>
            <w:pPr>
              <w:spacing w:after="20"/>
              <w:jc w:val="right"/>
            </w:pPr>
            <w:r>
              <w:rPr>
                <w:color w:val="1C3A36"/>
                <w:sz w:val="16"/>
              </w:rPr>
              <w:t>-146</w:t>
            </w:r>
          </w:p>
        </w:tc>
        <w:tc>
          <w:tcPr>
            <w:tcW w:type="dxa" w:w="1296"/>
          </w:tcPr>
          <w:p>
            <w:pPr>
              <w:spacing w:after="20"/>
              <w:jc w:val="right"/>
            </w:pPr>
            <w:r>
              <w:rPr>
                <w:color w:val="1C3A36"/>
                <w:sz w:val="16"/>
              </w:rPr>
              <w:t>-146</w:t>
            </w:r>
          </w:p>
        </w:tc>
        <w:tc>
          <w:tcPr>
            <w:tcW w:type="dxa" w:w="1296"/>
          </w:tcPr>
          <w:p>
            <w:pPr>
              <w:spacing w:after="20"/>
              <w:jc w:val="right"/>
            </w:pPr>
            <w:r>
              <w:rPr>
                <w:color w:val="1C3A36"/>
                <w:sz w:val="16"/>
              </w:rPr>
              <w:t>-146</w:t>
            </w:r>
          </w:p>
        </w:tc>
        <w:tc>
          <w:tcPr>
            <w:tcW w:type="dxa" w:w="1296"/>
          </w:tcPr>
          <w:p>
            <w:pPr>
              <w:spacing w:after="20"/>
              <w:jc w:val="right"/>
            </w:pPr>
            <w:r>
              <w:rPr>
                <w:color w:val="1C3A36"/>
                <w:sz w:val="16"/>
              </w:rPr>
              <w:t>-146</w:t>
            </w:r>
          </w:p>
        </w:tc>
        <w:tc>
          <w:tcPr>
            <w:tcW w:type="dxa" w:w="1296"/>
          </w:tcPr>
          <w:p>
            <w:pPr>
              <w:spacing w:after="20"/>
              <w:jc w:val="right"/>
            </w:pPr>
            <w:r>
              <w:rPr>
                <w:color w:val="1C3A36"/>
                <w:sz w:val="16"/>
              </w:rPr>
              <w:t>-146</w:t>
            </w:r>
          </w:p>
        </w:tc>
      </w:tr>
      <w:tr>
        <w:tc>
          <w:tcPr>
            <w:tcW w:type="dxa" w:w="3629"/>
            <w:shd w:val="clear" w:color="auto" w:fill="F6F1E6"/>
          </w:tcPr>
          <w:p>
            <w:pPr>
              <w:spacing w:after="20"/>
            </w:pPr>
            <w:r>
              <w:rPr>
                <w:b/>
                <w:color w:val="1C3A36"/>
                <w:sz w:val="16"/>
              </w:rPr>
              <w:t>EBIT</w:t>
            </w:r>
          </w:p>
        </w:tc>
        <w:tc>
          <w:tcPr>
            <w:tcW w:type="dxa" w:w="1296"/>
            <w:shd w:val="clear" w:color="auto" w:fill="F6F1E6"/>
          </w:tcPr>
          <w:p>
            <w:pPr>
              <w:spacing w:after="20"/>
              <w:jc w:val="right"/>
            </w:pPr>
            <w:r>
              <w:rPr>
                <w:b/>
                <w:color w:val="1C3A36"/>
                <w:sz w:val="16"/>
              </w:rPr>
              <w:t>1,932</w:t>
            </w:r>
          </w:p>
        </w:tc>
        <w:tc>
          <w:tcPr>
            <w:tcW w:type="dxa" w:w="1296"/>
            <w:shd w:val="clear" w:color="auto" w:fill="F6F1E6"/>
          </w:tcPr>
          <w:p>
            <w:pPr>
              <w:spacing w:after="20"/>
              <w:jc w:val="right"/>
            </w:pPr>
            <w:r>
              <w:rPr>
                <w:b/>
                <w:color w:val="1C3A36"/>
                <w:sz w:val="16"/>
              </w:rPr>
              <w:t>2,068</w:t>
            </w:r>
          </w:p>
        </w:tc>
        <w:tc>
          <w:tcPr>
            <w:tcW w:type="dxa" w:w="1296"/>
            <w:shd w:val="clear" w:color="auto" w:fill="F6F1E6"/>
          </w:tcPr>
          <w:p>
            <w:pPr>
              <w:spacing w:after="20"/>
              <w:jc w:val="right"/>
            </w:pPr>
            <w:r>
              <w:rPr>
                <w:b/>
                <w:color w:val="1C3A36"/>
                <w:sz w:val="16"/>
              </w:rPr>
              <w:t>2,208</w:t>
            </w:r>
          </w:p>
        </w:tc>
        <w:tc>
          <w:tcPr>
            <w:tcW w:type="dxa" w:w="1296"/>
            <w:shd w:val="clear" w:color="auto" w:fill="F6F1E6"/>
          </w:tcPr>
          <w:p>
            <w:pPr>
              <w:spacing w:after="20"/>
              <w:jc w:val="right"/>
            </w:pPr>
            <w:r>
              <w:rPr>
                <w:b/>
                <w:color w:val="1C3A36"/>
                <w:sz w:val="16"/>
              </w:rPr>
              <w:t>2,347</w:t>
            </w:r>
          </w:p>
        </w:tc>
        <w:tc>
          <w:tcPr>
            <w:tcW w:type="dxa" w:w="1296"/>
            <w:shd w:val="clear" w:color="auto" w:fill="F6F1E6"/>
          </w:tcPr>
          <w:p>
            <w:pPr>
              <w:spacing w:after="20"/>
              <w:jc w:val="right"/>
            </w:pPr>
            <w:r>
              <w:rPr>
                <w:b/>
                <w:color w:val="1C3A36"/>
                <w:sz w:val="16"/>
              </w:rPr>
              <w:t>2,489</w:t>
            </w:r>
          </w:p>
        </w:tc>
      </w:tr>
      <w:tr>
        <w:tc>
          <w:tcPr>
            <w:tcW w:type="dxa" w:w="3629"/>
          </w:tcPr>
          <w:p>
            <w:pPr>
              <w:spacing w:after="20"/>
            </w:pPr>
            <w:r>
              <w:rPr>
                <w:b/>
                <w:color w:val="1C3A36"/>
                <w:sz w:val="16"/>
              </w:rPr>
              <w:t xml:space="preserve"> less: tax @ 9% (UAE CT)</w:t>
            </w:r>
          </w:p>
        </w:tc>
        <w:tc>
          <w:tcPr>
            <w:tcW w:type="dxa" w:w="1296"/>
          </w:tcPr>
          <w:p>
            <w:pPr>
              <w:spacing w:after="20"/>
              <w:jc w:val="right"/>
            </w:pPr>
            <w:r>
              <w:rPr>
                <w:color w:val="1C3A36"/>
                <w:sz w:val="16"/>
              </w:rPr>
              <w:t>-174</w:t>
            </w:r>
          </w:p>
        </w:tc>
        <w:tc>
          <w:tcPr>
            <w:tcW w:type="dxa" w:w="1296"/>
          </w:tcPr>
          <w:p>
            <w:pPr>
              <w:spacing w:after="20"/>
              <w:jc w:val="right"/>
            </w:pPr>
            <w:r>
              <w:rPr>
                <w:color w:val="1C3A36"/>
                <w:sz w:val="16"/>
              </w:rPr>
              <w:t>-186</w:t>
            </w:r>
          </w:p>
        </w:tc>
        <w:tc>
          <w:tcPr>
            <w:tcW w:type="dxa" w:w="1296"/>
          </w:tcPr>
          <w:p>
            <w:pPr>
              <w:spacing w:after="20"/>
              <w:jc w:val="right"/>
            </w:pPr>
            <w:r>
              <w:rPr>
                <w:color w:val="1C3A36"/>
                <w:sz w:val="16"/>
              </w:rPr>
              <w:t>-199</w:t>
            </w:r>
          </w:p>
        </w:tc>
        <w:tc>
          <w:tcPr>
            <w:tcW w:type="dxa" w:w="1296"/>
          </w:tcPr>
          <w:p>
            <w:pPr>
              <w:spacing w:after="20"/>
              <w:jc w:val="right"/>
            </w:pPr>
            <w:r>
              <w:rPr>
                <w:color w:val="1C3A36"/>
                <w:sz w:val="16"/>
              </w:rPr>
              <w:t>-211</w:t>
            </w:r>
          </w:p>
        </w:tc>
        <w:tc>
          <w:tcPr>
            <w:tcW w:type="dxa" w:w="1296"/>
          </w:tcPr>
          <w:p>
            <w:pPr>
              <w:spacing w:after="20"/>
              <w:jc w:val="right"/>
            </w:pPr>
            <w:r>
              <w:rPr>
                <w:color w:val="1C3A36"/>
                <w:sz w:val="16"/>
              </w:rPr>
              <w:t>-224</w:t>
            </w:r>
          </w:p>
        </w:tc>
      </w:tr>
      <w:tr>
        <w:tc>
          <w:tcPr>
            <w:tcW w:type="dxa" w:w="3629"/>
            <w:shd w:val="clear" w:color="auto" w:fill="F6F1E6"/>
          </w:tcPr>
          <w:p>
            <w:pPr>
              <w:spacing w:after="20"/>
            </w:pPr>
            <w:r>
              <w:rPr>
                <w:b/>
                <w:color w:val="1C3A36"/>
                <w:sz w:val="16"/>
              </w:rPr>
              <w:t>NOPAT</w:t>
            </w:r>
          </w:p>
        </w:tc>
        <w:tc>
          <w:tcPr>
            <w:tcW w:type="dxa" w:w="1296"/>
            <w:shd w:val="clear" w:color="auto" w:fill="F6F1E6"/>
          </w:tcPr>
          <w:p>
            <w:pPr>
              <w:spacing w:after="20"/>
              <w:jc w:val="right"/>
            </w:pPr>
            <w:r>
              <w:rPr>
                <w:b/>
                <w:color w:val="1C3A36"/>
                <w:sz w:val="16"/>
              </w:rPr>
              <w:t>1,758</w:t>
            </w:r>
          </w:p>
        </w:tc>
        <w:tc>
          <w:tcPr>
            <w:tcW w:type="dxa" w:w="1296"/>
            <w:shd w:val="clear" w:color="auto" w:fill="F6F1E6"/>
          </w:tcPr>
          <w:p>
            <w:pPr>
              <w:spacing w:after="20"/>
              <w:jc w:val="right"/>
            </w:pPr>
            <w:r>
              <w:rPr>
                <w:b/>
                <w:color w:val="1C3A36"/>
                <w:sz w:val="16"/>
              </w:rPr>
              <w:t>1,882</w:t>
            </w:r>
          </w:p>
        </w:tc>
        <w:tc>
          <w:tcPr>
            <w:tcW w:type="dxa" w:w="1296"/>
            <w:shd w:val="clear" w:color="auto" w:fill="F6F1E6"/>
          </w:tcPr>
          <w:p>
            <w:pPr>
              <w:spacing w:after="20"/>
              <w:jc w:val="right"/>
            </w:pPr>
            <w:r>
              <w:rPr>
                <w:b/>
                <w:color w:val="1C3A36"/>
                <w:sz w:val="16"/>
              </w:rPr>
              <w:t>2,009</w:t>
            </w:r>
          </w:p>
        </w:tc>
        <w:tc>
          <w:tcPr>
            <w:tcW w:type="dxa" w:w="1296"/>
            <w:shd w:val="clear" w:color="auto" w:fill="F6F1E6"/>
          </w:tcPr>
          <w:p>
            <w:pPr>
              <w:spacing w:after="20"/>
              <w:jc w:val="right"/>
            </w:pPr>
            <w:r>
              <w:rPr>
                <w:b/>
                <w:color w:val="1C3A36"/>
                <w:sz w:val="16"/>
              </w:rPr>
              <w:t>2,136</w:t>
            </w:r>
          </w:p>
        </w:tc>
        <w:tc>
          <w:tcPr>
            <w:tcW w:type="dxa" w:w="1296"/>
            <w:shd w:val="clear" w:color="auto" w:fill="F6F1E6"/>
          </w:tcPr>
          <w:p>
            <w:pPr>
              <w:spacing w:after="20"/>
              <w:jc w:val="right"/>
            </w:pPr>
            <w:r>
              <w:rPr>
                <w:b/>
                <w:color w:val="1C3A36"/>
                <w:sz w:val="16"/>
              </w:rPr>
              <w:t>2,265</w:t>
            </w:r>
          </w:p>
        </w:tc>
      </w:tr>
      <w:tr>
        <w:tc>
          <w:tcPr>
            <w:tcW w:type="dxa" w:w="3629"/>
          </w:tcPr>
          <w:p>
            <w:pPr>
              <w:spacing w:after="20"/>
            </w:pPr>
            <w:r>
              <w:rPr>
                <w:b/>
                <w:color w:val="1C3A36"/>
                <w:sz w:val="16"/>
              </w:rPr>
              <w:t xml:space="preserve"> add back: D&amp;A</w:t>
            </w:r>
          </w:p>
        </w:tc>
        <w:tc>
          <w:tcPr>
            <w:tcW w:type="dxa" w:w="1296"/>
          </w:tcPr>
          <w:p>
            <w:pPr>
              <w:spacing w:after="20"/>
              <w:jc w:val="right"/>
            </w:pPr>
            <w:r>
              <w:rPr>
                <w:color w:val="1C3A36"/>
                <w:sz w:val="16"/>
              </w:rPr>
              <w:t>146</w:t>
            </w:r>
          </w:p>
        </w:tc>
        <w:tc>
          <w:tcPr>
            <w:tcW w:type="dxa" w:w="1296"/>
          </w:tcPr>
          <w:p>
            <w:pPr>
              <w:spacing w:after="20"/>
              <w:jc w:val="right"/>
            </w:pPr>
            <w:r>
              <w:rPr>
                <w:color w:val="1C3A36"/>
                <w:sz w:val="16"/>
              </w:rPr>
              <w:t>146</w:t>
            </w:r>
          </w:p>
        </w:tc>
        <w:tc>
          <w:tcPr>
            <w:tcW w:type="dxa" w:w="1296"/>
          </w:tcPr>
          <w:p>
            <w:pPr>
              <w:spacing w:after="20"/>
              <w:jc w:val="right"/>
            </w:pPr>
            <w:r>
              <w:rPr>
                <w:color w:val="1C3A36"/>
                <w:sz w:val="16"/>
              </w:rPr>
              <w:t>146</w:t>
            </w:r>
          </w:p>
        </w:tc>
        <w:tc>
          <w:tcPr>
            <w:tcW w:type="dxa" w:w="1296"/>
          </w:tcPr>
          <w:p>
            <w:pPr>
              <w:spacing w:after="20"/>
              <w:jc w:val="right"/>
            </w:pPr>
            <w:r>
              <w:rPr>
                <w:color w:val="1C3A36"/>
                <w:sz w:val="16"/>
              </w:rPr>
              <w:t>146</w:t>
            </w:r>
          </w:p>
        </w:tc>
        <w:tc>
          <w:tcPr>
            <w:tcW w:type="dxa" w:w="1296"/>
          </w:tcPr>
          <w:p>
            <w:pPr>
              <w:spacing w:after="20"/>
              <w:jc w:val="right"/>
            </w:pPr>
            <w:r>
              <w:rPr>
                <w:color w:val="1C3A36"/>
                <w:sz w:val="16"/>
              </w:rPr>
              <w:t>146</w:t>
            </w:r>
          </w:p>
        </w:tc>
      </w:tr>
      <w:tr>
        <w:tc>
          <w:tcPr>
            <w:tcW w:type="dxa" w:w="3629"/>
          </w:tcPr>
          <w:p>
            <w:pPr>
              <w:spacing w:after="20"/>
            </w:pPr>
            <w:r>
              <w:rPr>
                <w:b/>
                <w:color w:val="1C3A36"/>
                <w:sz w:val="16"/>
              </w:rPr>
              <w:t xml:space="preserve"> less: capex (the RTA owns the roads)</w:t>
            </w:r>
          </w:p>
        </w:tc>
        <w:tc>
          <w:tcPr>
            <w:tcW w:type="dxa" w:w="1296"/>
          </w:tcPr>
          <w:p>
            <w:pPr>
              <w:spacing w:after="20"/>
              <w:jc w:val="right"/>
            </w:pPr>
            <w:r>
              <w:rPr>
                <w:color w:val="1C3A36"/>
                <w:sz w:val="16"/>
              </w:rPr>
              <w:t>-30</w:t>
            </w:r>
          </w:p>
        </w:tc>
        <w:tc>
          <w:tcPr>
            <w:tcW w:type="dxa" w:w="1296"/>
          </w:tcPr>
          <w:p>
            <w:pPr>
              <w:spacing w:after="20"/>
              <w:jc w:val="right"/>
            </w:pPr>
            <w:r>
              <w:rPr>
                <w:color w:val="1C3A36"/>
                <w:sz w:val="16"/>
              </w:rPr>
              <w:t>-32</w:t>
            </w:r>
          </w:p>
        </w:tc>
        <w:tc>
          <w:tcPr>
            <w:tcW w:type="dxa" w:w="1296"/>
          </w:tcPr>
          <w:p>
            <w:pPr>
              <w:spacing w:after="20"/>
              <w:jc w:val="right"/>
            </w:pPr>
            <w:r>
              <w:rPr>
                <w:color w:val="1C3A36"/>
                <w:sz w:val="16"/>
              </w:rPr>
              <w:t>-34</w:t>
            </w:r>
          </w:p>
        </w:tc>
        <w:tc>
          <w:tcPr>
            <w:tcW w:type="dxa" w:w="1296"/>
          </w:tcPr>
          <w:p>
            <w:pPr>
              <w:spacing w:after="20"/>
              <w:jc w:val="right"/>
            </w:pPr>
            <w:r>
              <w:rPr>
                <w:color w:val="1C3A36"/>
                <w:sz w:val="16"/>
              </w:rPr>
              <w:t>-35</w:t>
            </w:r>
          </w:p>
        </w:tc>
        <w:tc>
          <w:tcPr>
            <w:tcW w:type="dxa" w:w="1296"/>
          </w:tcPr>
          <w:p>
            <w:pPr>
              <w:spacing w:after="20"/>
              <w:jc w:val="right"/>
            </w:pPr>
            <w:r>
              <w:rPr>
                <w:color w:val="1C3A36"/>
                <w:sz w:val="16"/>
              </w:rPr>
              <w:t>-37</w:t>
            </w:r>
          </w:p>
        </w:tc>
      </w:tr>
      <w:tr>
        <w:tc>
          <w:tcPr>
            <w:tcW w:type="dxa" w:w="3629"/>
          </w:tcPr>
          <w:p>
            <w:pPr>
              <w:spacing w:after="20"/>
            </w:pPr>
            <w:r>
              <w:rPr>
                <w:b/>
                <w:color w:val="1C3A36"/>
                <w:sz w:val="16"/>
              </w:rPr>
              <w:t xml:space="preserve"> less: change in working capital</w:t>
            </w:r>
          </w:p>
        </w:tc>
        <w:tc>
          <w:tcPr>
            <w:tcW w:type="dxa" w:w="1296"/>
          </w:tcPr>
          <w:p>
            <w:pPr>
              <w:spacing w:after="20"/>
              <w:jc w:val="right"/>
            </w:pPr>
            <w:r>
              <w:rPr>
                <w:color w:val="1C3A36"/>
                <w:sz w:val="16"/>
              </w:rPr>
              <w:t>-0</w:t>
            </w:r>
          </w:p>
        </w:tc>
        <w:tc>
          <w:tcPr>
            <w:tcW w:type="dxa" w:w="1296"/>
          </w:tcPr>
          <w:p>
            <w:pPr>
              <w:spacing w:after="20"/>
              <w:jc w:val="right"/>
            </w:pPr>
            <w:r>
              <w:rPr>
                <w:color w:val="1C3A36"/>
                <w:sz w:val="16"/>
              </w:rPr>
              <w:t>-0</w:t>
            </w:r>
          </w:p>
        </w:tc>
        <w:tc>
          <w:tcPr>
            <w:tcW w:type="dxa" w:w="1296"/>
          </w:tcPr>
          <w:p>
            <w:pPr>
              <w:spacing w:after="20"/>
              <w:jc w:val="right"/>
            </w:pPr>
            <w:r>
              <w:rPr>
                <w:color w:val="1C3A36"/>
                <w:sz w:val="16"/>
              </w:rPr>
              <w:t>-0</w:t>
            </w:r>
          </w:p>
        </w:tc>
        <w:tc>
          <w:tcPr>
            <w:tcW w:type="dxa" w:w="1296"/>
          </w:tcPr>
          <w:p>
            <w:pPr>
              <w:spacing w:after="20"/>
              <w:jc w:val="right"/>
            </w:pPr>
            <w:r>
              <w:rPr>
                <w:color w:val="1C3A36"/>
                <w:sz w:val="16"/>
              </w:rPr>
              <w:t>-0</w:t>
            </w:r>
          </w:p>
        </w:tc>
        <w:tc>
          <w:tcPr>
            <w:tcW w:type="dxa" w:w="1296"/>
          </w:tcPr>
          <w:p>
            <w:pPr>
              <w:spacing w:after="20"/>
              <w:jc w:val="right"/>
            </w:pPr>
            <w:r>
              <w:rPr>
                <w:color w:val="1C3A36"/>
                <w:sz w:val="16"/>
              </w:rPr>
              <w:t>-0</w:t>
            </w:r>
          </w:p>
        </w:tc>
      </w:tr>
      <w:tr>
        <w:tc>
          <w:tcPr>
            <w:tcW w:type="dxa" w:w="3629"/>
            <w:shd w:val="clear" w:color="auto" w:fill="F6F1E6"/>
          </w:tcPr>
          <w:p>
            <w:pPr>
              <w:spacing w:after="20"/>
            </w:pPr>
            <w:r>
              <w:rPr>
                <w:b/>
                <w:color w:val="1C3A36"/>
                <w:sz w:val="16"/>
              </w:rPr>
              <w:t>FCFF</w:t>
            </w:r>
          </w:p>
        </w:tc>
        <w:tc>
          <w:tcPr>
            <w:tcW w:type="dxa" w:w="1296"/>
            <w:shd w:val="clear" w:color="auto" w:fill="F6F1E6"/>
          </w:tcPr>
          <w:p>
            <w:pPr>
              <w:spacing w:after="20"/>
              <w:jc w:val="right"/>
            </w:pPr>
            <w:r>
              <w:rPr>
                <w:b/>
                <w:color w:val="1C3A36"/>
                <w:sz w:val="16"/>
              </w:rPr>
              <w:t>1,875</w:t>
            </w:r>
          </w:p>
        </w:tc>
        <w:tc>
          <w:tcPr>
            <w:tcW w:type="dxa" w:w="1296"/>
            <w:shd w:val="clear" w:color="auto" w:fill="F6F1E6"/>
          </w:tcPr>
          <w:p>
            <w:pPr>
              <w:spacing w:after="20"/>
              <w:jc w:val="right"/>
            </w:pPr>
            <w:r>
              <w:rPr>
                <w:b/>
                <w:color w:val="1C3A36"/>
                <w:sz w:val="16"/>
              </w:rPr>
              <w:t>1,997</w:t>
            </w:r>
          </w:p>
        </w:tc>
        <w:tc>
          <w:tcPr>
            <w:tcW w:type="dxa" w:w="1296"/>
            <w:shd w:val="clear" w:color="auto" w:fill="F6F1E6"/>
          </w:tcPr>
          <w:p>
            <w:pPr>
              <w:spacing w:after="20"/>
              <w:jc w:val="right"/>
            </w:pPr>
            <w:r>
              <w:rPr>
                <w:b/>
                <w:color w:val="1C3A36"/>
                <w:sz w:val="16"/>
              </w:rPr>
              <w:t>2,121</w:t>
            </w:r>
          </w:p>
        </w:tc>
        <w:tc>
          <w:tcPr>
            <w:tcW w:type="dxa" w:w="1296"/>
            <w:shd w:val="clear" w:color="auto" w:fill="F6F1E6"/>
          </w:tcPr>
          <w:p>
            <w:pPr>
              <w:spacing w:after="20"/>
              <w:jc w:val="right"/>
            </w:pPr>
            <w:r>
              <w:rPr>
                <w:b/>
                <w:color w:val="1C3A36"/>
                <w:sz w:val="16"/>
              </w:rPr>
              <w:t>2,247</w:t>
            </w:r>
          </w:p>
        </w:tc>
        <w:tc>
          <w:tcPr>
            <w:tcW w:type="dxa" w:w="1296"/>
            <w:shd w:val="clear" w:color="auto" w:fill="F6F1E6"/>
          </w:tcPr>
          <w:p>
            <w:pPr>
              <w:spacing w:after="20"/>
              <w:jc w:val="right"/>
            </w:pPr>
            <w:r>
              <w:rPr>
                <w:b/>
                <w:color w:val="1C3A36"/>
                <w:sz w:val="16"/>
              </w:rPr>
              <w:t>2,374</w:t>
            </w:r>
          </w:p>
        </w:tc>
      </w:tr>
      <w:tr>
        <w:tc>
          <w:tcPr>
            <w:tcW w:type="dxa" w:w="3629"/>
          </w:tcPr>
          <w:p>
            <w:pPr>
              <w:spacing w:after="20"/>
            </w:pPr>
            <w:r>
              <w:rPr>
                <w:b/>
                <w:color w:val="1C3A36"/>
                <w:sz w:val="16"/>
              </w:rPr>
              <w:t xml:space="preserve"> × discount factor @ WACC 8.1%</w:t>
            </w:r>
          </w:p>
        </w:tc>
        <w:tc>
          <w:tcPr>
            <w:tcW w:type="dxa" w:w="1296"/>
          </w:tcPr>
          <w:p>
            <w:pPr>
              <w:spacing w:after="20"/>
              <w:jc w:val="right"/>
            </w:pPr>
            <w:r>
              <w:rPr>
                <w:color w:val="1C3A36"/>
                <w:sz w:val="16"/>
              </w:rPr>
              <w:t>0.9252</w:t>
            </w:r>
          </w:p>
        </w:tc>
        <w:tc>
          <w:tcPr>
            <w:tcW w:type="dxa" w:w="1296"/>
          </w:tcPr>
          <w:p>
            <w:pPr>
              <w:spacing w:after="20"/>
              <w:jc w:val="right"/>
            </w:pPr>
            <w:r>
              <w:rPr>
                <w:color w:val="1C3A36"/>
                <w:sz w:val="16"/>
              </w:rPr>
              <w:t>0.8560</w:t>
            </w:r>
          </w:p>
        </w:tc>
        <w:tc>
          <w:tcPr>
            <w:tcW w:type="dxa" w:w="1296"/>
          </w:tcPr>
          <w:p>
            <w:pPr>
              <w:spacing w:after="20"/>
              <w:jc w:val="right"/>
            </w:pPr>
            <w:r>
              <w:rPr>
                <w:color w:val="1C3A36"/>
                <w:sz w:val="16"/>
              </w:rPr>
              <w:t>0.7919</w:t>
            </w:r>
          </w:p>
        </w:tc>
        <w:tc>
          <w:tcPr>
            <w:tcW w:type="dxa" w:w="1296"/>
          </w:tcPr>
          <w:p>
            <w:pPr>
              <w:spacing w:after="20"/>
              <w:jc w:val="right"/>
            </w:pPr>
            <w:r>
              <w:rPr>
                <w:color w:val="1C3A36"/>
                <w:sz w:val="16"/>
              </w:rPr>
              <w:t>0.7327</w:t>
            </w:r>
          </w:p>
        </w:tc>
        <w:tc>
          <w:tcPr>
            <w:tcW w:type="dxa" w:w="1296"/>
          </w:tcPr>
          <w:p>
            <w:pPr>
              <w:spacing w:after="20"/>
              <w:jc w:val="right"/>
            </w:pPr>
            <w:r>
              <w:rPr>
                <w:color w:val="1C3A36"/>
                <w:sz w:val="16"/>
              </w:rPr>
              <w:t>0.6779</w:t>
            </w:r>
          </w:p>
        </w:tc>
      </w:tr>
      <w:tr>
        <w:tc>
          <w:tcPr>
            <w:tcW w:type="dxa" w:w="3629"/>
            <w:shd w:val="clear" w:color="auto" w:fill="F6F1E6"/>
          </w:tcPr>
          <w:p>
            <w:pPr>
              <w:spacing w:after="20"/>
            </w:pPr>
            <w:r>
              <w:rPr>
                <w:b/>
                <w:color w:val="1C3A36"/>
                <w:sz w:val="16"/>
              </w:rPr>
              <w:t>PV of FCFF</w:t>
            </w:r>
          </w:p>
        </w:tc>
        <w:tc>
          <w:tcPr>
            <w:tcW w:type="dxa" w:w="1296"/>
            <w:shd w:val="clear" w:color="auto" w:fill="F6F1E6"/>
          </w:tcPr>
          <w:p>
            <w:pPr>
              <w:spacing w:after="20"/>
              <w:jc w:val="right"/>
            </w:pPr>
            <w:r>
              <w:rPr>
                <w:b/>
                <w:color w:val="1C3A36"/>
                <w:sz w:val="16"/>
              </w:rPr>
              <w:t>1,734</w:t>
            </w:r>
          </w:p>
        </w:tc>
        <w:tc>
          <w:tcPr>
            <w:tcW w:type="dxa" w:w="1296"/>
            <w:shd w:val="clear" w:color="auto" w:fill="F6F1E6"/>
          </w:tcPr>
          <w:p>
            <w:pPr>
              <w:spacing w:after="20"/>
              <w:jc w:val="right"/>
            </w:pPr>
            <w:r>
              <w:rPr>
                <w:b/>
                <w:color w:val="1C3A36"/>
                <w:sz w:val="16"/>
              </w:rPr>
              <w:t>1,709</w:t>
            </w:r>
          </w:p>
        </w:tc>
        <w:tc>
          <w:tcPr>
            <w:tcW w:type="dxa" w:w="1296"/>
            <w:shd w:val="clear" w:color="auto" w:fill="F6F1E6"/>
          </w:tcPr>
          <w:p>
            <w:pPr>
              <w:spacing w:after="20"/>
              <w:jc w:val="right"/>
            </w:pPr>
            <w:r>
              <w:rPr>
                <w:b/>
                <w:color w:val="1C3A36"/>
                <w:sz w:val="16"/>
              </w:rPr>
              <w:t>1,680</w:t>
            </w:r>
          </w:p>
        </w:tc>
        <w:tc>
          <w:tcPr>
            <w:tcW w:type="dxa" w:w="1296"/>
            <w:shd w:val="clear" w:color="auto" w:fill="F6F1E6"/>
          </w:tcPr>
          <w:p>
            <w:pPr>
              <w:spacing w:after="20"/>
              <w:jc w:val="right"/>
            </w:pPr>
            <w:r>
              <w:rPr>
                <w:b/>
                <w:color w:val="1C3A36"/>
                <w:sz w:val="16"/>
              </w:rPr>
              <w:t>1,646</w:t>
            </w:r>
          </w:p>
        </w:tc>
        <w:tc>
          <w:tcPr>
            <w:tcW w:type="dxa" w:w="1296"/>
            <w:shd w:val="clear" w:color="auto" w:fill="F6F1E6"/>
          </w:tcPr>
          <w:p>
            <w:pPr>
              <w:spacing w:after="20"/>
              <w:jc w:val="right"/>
            </w:pPr>
            <w:r>
              <w:rPr>
                <w:b/>
                <w:color w:val="1C3A36"/>
                <w:sz w:val="16"/>
              </w:rPr>
              <w:t>1,609</w:t>
            </w:r>
          </w:p>
        </w:tc>
      </w:tr>
    </w:tbl>
    <w:p>
      <w:pPr>
        <w:spacing w:after="40"/>
      </w:pP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56"/>
        <w:gridCol w:w="2556"/>
        <w:gridCol w:w="2556"/>
        <w:gridCol w:w="2556"/>
      </w:tblGrid>
      <w:tr>
        <w:tc>
          <w:tcPr>
            <w:tcW w:type="dxa" w:w="3629"/>
            <w:shd w:val="clear" w:color="auto" w:fill="EAF0EE"/>
          </w:tcPr>
          <w:p>
            <w:pPr>
              <w:spacing w:after="20"/>
            </w:pPr>
            <w:r>
              <w:rPr>
                <w:b/>
                <w:color w:val="1C3A36"/>
                <w:sz w:val="17"/>
              </w:rPr>
              <w:t>Bridge to value</w:t>
            </w:r>
          </w:p>
        </w:tc>
        <w:tc>
          <w:tcPr>
            <w:tcW w:type="dxa" w:w="1296"/>
            <w:shd w:val="clear" w:color="auto" w:fill="EAF0EE"/>
          </w:tcPr>
          <w:p>
            <w:pPr>
              <w:spacing w:after="20"/>
            </w:pPr>
            <w:r>
              <w:rPr>
                <w:b/>
                <w:color w:val="1C3A36"/>
                <w:sz w:val="17"/>
              </w:rPr>
              <w:t>AED mn</w:t>
            </w:r>
          </w:p>
        </w:tc>
        <w:tc>
          <w:tcPr>
            <w:tcW w:type="dxa" w:w="1238"/>
            <w:shd w:val="clear" w:color="auto" w:fill="EAF0EE"/>
          </w:tcPr>
          <w:p>
            <w:pPr>
              <w:spacing w:after="20"/>
            </w:pPr>
            <w:r>
              <w:rPr>
                <w:b/>
                <w:color w:val="1C3A36"/>
                <w:sz w:val="17"/>
              </w:rPr>
              <w:t>AED/sh</w:t>
            </w:r>
          </w:p>
        </w:tc>
        <w:tc>
          <w:tcPr>
            <w:tcW w:type="dxa" w:w="3946"/>
            <w:shd w:val="clear" w:color="auto" w:fill="EAF0EE"/>
          </w:tcPr>
          <w:p>
            <w:pPr>
              <w:spacing w:after="20"/>
            </w:pPr>
            <w:r>
              <w:rPr>
                <w:b/>
                <w:color w:val="1C3A36"/>
                <w:sz w:val="17"/>
              </w:rPr>
              <w:t>Source / note</w:t>
            </w:r>
          </w:p>
        </w:tc>
      </w:tr>
      <w:tr>
        <w:tc>
          <w:tcPr>
            <w:tcW w:type="dxa" w:w="3629"/>
          </w:tcPr>
          <w:p>
            <w:pPr>
              <w:spacing w:after="20"/>
            </w:pPr>
            <w:r>
              <w:rPr>
                <w:b/>
                <w:color w:val="1C3A36"/>
                <w:sz w:val="17"/>
              </w:rPr>
              <w:t>Sum of PV(FCFF), FY2026E–FY2030E</w:t>
            </w:r>
          </w:p>
        </w:tc>
        <w:tc>
          <w:tcPr>
            <w:tcW w:type="dxa" w:w="1296"/>
          </w:tcPr>
          <w:p>
            <w:pPr>
              <w:spacing w:after="20"/>
              <w:jc w:val="right"/>
            </w:pPr>
            <w:r>
              <w:rPr>
                <w:color w:val="1C3A36"/>
                <w:sz w:val="17"/>
              </w:rPr>
              <w:t>8,378</w:t>
            </w:r>
          </w:p>
        </w:tc>
        <w:tc>
          <w:tcPr>
            <w:tcW w:type="dxa" w:w="1238"/>
          </w:tcPr>
          <w:p>
            <w:pPr>
              <w:spacing w:after="20"/>
              <w:jc w:val="right"/>
            </w:pPr>
            <w:r>
              <w:rPr>
                <w:color w:val="1C3A36"/>
                <w:sz w:val="17"/>
              </w:rPr>
              <w:t>1.12</w:t>
            </w:r>
          </w:p>
        </w:tc>
        <w:tc>
          <w:tcPr>
            <w:tcW w:type="dxa" w:w="3946"/>
          </w:tcPr>
          <w:p>
            <w:pPr>
              <w:spacing w:after="20"/>
            </w:pPr>
            <w:r>
              <w:rPr>
                <w:color w:val="1C3A36"/>
                <w:sz w:val="17"/>
              </w:rPr>
              <w:t>The explicit forecast.</w:t>
            </w:r>
          </w:p>
        </w:tc>
      </w:tr>
      <w:tr>
        <w:tc>
          <w:tcPr>
            <w:tcW w:type="dxa" w:w="3629"/>
          </w:tcPr>
          <w:p>
            <w:pPr>
              <w:spacing w:after="20"/>
            </w:pPr>
            <w:r>
              <w:rPr>
                <w:b/>
                <w:color w:val="1C3A36"/>
                <w:sz w:val="17"/>
              </w:rPr>
              <w:t>Terminal value = FCFF(2030) × 1.025 / (WACC 8.1% − g 2.5%)</w:t>
            </w:r>
          </w:p>
        </w:tc>
        <w:tc>
          <w:tcPr>
            <w:tcW w:type="dxa" w:w="1296"/>
          </w:tcPr>
          <w:p>
            <w:pPr>
              <w:spacing w:after="20"/>
              <w:jc w:val="right"/>
            </w:pPr>
            <w:r>
              <w:rPr>
                <w:color w:val="1C3A36"/>
                <w:sz w:val="17"/>
              </w:rPr>
              <w:t>43,552</w:t>
            </w:r>
          </w:p>
        </w:tc>
        <w:tc>
          <w:tcPr>
            <w:tcW w:type="dxa" w:w="1238"/>
          </w:tcPr>
          <w:p>
            <w:pPr>
              <w:spacing w:after="20"/>
              <w:jc w:val="right"/>
            </w:pPr>
            <w:r>
              <w:rPr>
                <w:color w:val="1C3A36"/>
                <w:sz w:val="17"/>
              </w:rPr>
            </w:r>
          </w:p>
        </w:tc>
        <w:tc>
          <w:tcPr>
            <w:tcW w:type="dxa" w:w="3946"/>
          </w:tcPr>
          <w:p>
            <w:pPr>
              <w:spacing w:after="20"/>
            </w:pPr>
            <w:r>
              <w:rPr>
                <w:color w:val="1C3A36"/>
                <w:sz w:val="17"/>
              </w:rPr>
              <w:t>Perpetuity. Sanity-checked below.</w:t>
            </w:r>
          </w:p>
        </w:tc>
      </w:tr>
      <w:tr>
        <w:tc>
          <w:tcPr>
            <w:tcW w:type="dxa" w:w="3629"/>
          </w:tcPr>
          <w:p>
            <w:pPr>
              <w:spacing w:after="20"/>
            </w:pPr>
            <w:r>
              <w:rPr>
                <w:b/>
                <w:color w:val="1C3A36"/>
                <w:sz w:val="17"/>
              </w:rPr>
              <w:t>PV of terminal value</w:t>
            </w:r>
          </w:p>
        </w:tc>
        <w:tc>
          <w:tcPr>
            <w:tcW w:type="dxa" w:w="1296"/>
          </w:tcPr>
          <w:p>
            <w:pPr>
              <w:spacing w:after="20"/>
              <w:jc w:val="right"/>
            </w:pPr>
            <w:r>
              <w:rPr>
                <w:color w:val="1C3A36"/>
                <w:sz w:val="17"/>
              </w:rPr>
              <w:t>29,522</w:t>
            </w:r>
          </w:p>
        </w:tc>
        <w:tc>
          <w:tcPr>
            <w:tcW w:type="dxa" w:w="1238"/>
          </w:tcPr>
          <w:p>
            <w:pPr>
              <w:spacing w:after="20"/>
              <w:jc w:val="right"/>
            </w:pPr>
            <w:r>
              <w:rPr>
                <w:color w:val="1C3A36"/>
                <w:sz w:val="17"/>
              </w:rPr>
              <w:t>3.94</w:t>
            </w:r>
          </w:p>
        </w:tc>
        <w:tc>
          <w:tcPr>
            <w:tcW w:type="dxa" w:w="3946"/>
          </w:tcPr>
          <w:p>
            <w:pPr>
              <w:spacing w:after="20"/>
            </w:pPr>
            <w:r>
              <w:rPr>
                <w:color w:val="1C3A36"/>
                <w:sz w:val="17"/>
              </w:rPr>
              <w:t>77.9% of EV — disclosed, high, and typical of a long concession.</w:t>
            </w:r>
          </w:p>
        </w:tc>
      </w:tr>
      <w:tr>
        <w:tc>
          <w:tcPr>
            <w:tcW w:type="dxa" w:w="3629"/>
          </w:tcPr>
          <w:p>
            <w:pPr>
              <w:spacing w:after="20"/>
            </w:pPr>
            <w:r>
              <w:rPr>
                <w:b/>
                <w:color w:val="1C3A36"/>
                <w:sz w:val="17"/>
              </w:rPr>
              <w:t>ENTERPRISE VALUE</w:t>
            </w:r>
          </w:p>
        </w:tc>
        <w:tc>
          <w:tcPr>
            <w:tcW w:type="dxa" w:w="1296"/>
          </w:tcPr>
          <w:p>
            <w:pPr>
              <w:spacing w:after="20"/>
              <w:jc w:val="right"/>
            </w:pPr>
            <w:r>
              <w:rPr>
                <w:color w:val="1C3A36"/>
                <w:sz w:val="17"/>
              </w:rPr>
              <w:t>37,901</w:t>
            </w:r>
          </w:p>
        </w:tc>
        <w:tc>
          <w:tcPr>
            <w:tcW w:type="dxa" w:w="1238"/>
          </w:tcPr>
          <w:p>
            <w:pPr>
              <w:spacing w:after="20"/>
              <w:jc w:val="right"/>
            </w:pPr>
            <w:r>
              <w:rPr>
                <w:color w:val="1C3A36"/>
                <w:sz w:val="17"/>
              </w:rPr>
              <w:t>5.05</w:t>
            </w:r>
          </w:p>
        </w:tc>
        <w:tc>
          <w:tcPr>
            <w:tcW w:type="dxa" w:w="3946"/>
          </w:tcPr>
          <w:p>
            <w:pPr>
              <w:spacing w:after="20"/>
            </w:pPr>
            <w:r>
              <w:rPr>
                <w:color w:val="1C3A36"/>
                <w:sz w:val="17"/>
              </w:rPr>
            </w:r>
          </w:p>
        </w:tc>
      </w:tr>
      <w:tr>
        <w:tc>
          <w:tcPr>
            <w:tcW w:type="dxa" w:w="3629"/>
            <w:shd w:val="clear" w:color="auto" w:fill="F6F1E6"/>
          </w:tcPr>
          <w:p>
            <w:pPr>
              <w:spacing w:after="20"/>
            </w:pPr>
            <w:r>
              <w:rPr>
                <w:b/>
                <w:color w:val="1C3A36"/>
                <w:sz w:val="17"/>
              </w:rPr>
              <w:t>less: net debt</w:t>
            </w:r>
          </w:p>
        </w:tc>
        <w:tc>
          <w:tcPr>
            <w:tcW w:type="dxa" w:w="1296"/>
            <w:shd w:val="clear" w:color="auto" w:fill="F6F1E6"/>
          </w:tcPr>
          <w:p>
            <w:pPr>
              <w:spacing w:after="20"/>
              <w:jc w:val="right"/>
            </w:pPr>
            <w:r>
              <w:rPr>
                <w:b/>
                <w:color w:val="1C3A36"/>
                <w:sz w:val="17"/>
              </w:rPr>
              <w:t>(4,226)</w:t>
            </w:r>
          </w:p>
        </w:tc>
        <w:tc>
          <w:tcPr>
            <w:tcW w:type="dxa" w:w="1238"/>
            <w:shd w:val="clear" w:color="auto" w:fill="F6F1E6"/>
          </w:tcPr>
          <w:p>
            <w:pPr>
              <w:spacing w:after="20"/>
              <w:jc w:val="right"/>
            </w:pPr>
            <w:r>
              <w:rPr>
                <w:b/>
                <w:color w:val="1C3A36"/>
                <w:sz w:val="17"/>
              </w:rPr>
              <w:t>(0.56)</w:t>
            </w:r>
          </w:p>
        </w:tc>
        <w:tc>
          <w:tcPr>
            <w:tcW w:type="dxa" w:w="3946"/>
            <w:shd w:val="clear" w:color="auto" w:fill="F6F1E6"/>
          </w:tcPr>
          <w:p>
            <w:pPr>
              <w:spacing w:after="20"/>
            </w:pPr>
            <w:r>
              <w:rPr>
                <w:b/>
                <w:color w:val="1C3A36"/>
                <w:sz w:val="17"/>
              </w:rPr>
              <w:t>Q1-2026, DISCLOSED. No derived line enters the bridge.</w:t>
            </w:r>
          </w:p>
        </w:tc>
      </w:tr>
      <w:tr>
        <w:tc>
          <w:tcPr>
            <w:tcW w:type="dxa" w:w="3629"/>
          </w:tcPr>
          <w:p>
            <w:pPr>
              <w:spacing w:after="20"/>
            </w:pPr>
            <w:r>
              <w:rPr>
                <w:b/>
                <w:color w:val="1C3A36"/>
                <w:sz w:val="17"/>
              </w:rPr>
              <w:t>EQUITY VALUE</w:t>
            </w:r>
          </w:p>
        </w:tc>
        <w:tc>
          <w:tcPr>
            <w:tcW w:type="dxa" w:w="1296"/>
          </w:tcPr>
          <w:p>
            <w:pPr>
              <w:spacing w:after="20"/>
              <w:jc w:val="right"/>
            </w:pPr>
            <w:r>
              <w:rPr>
                <w:color w:val="1C3A36"/>
                <w:sz w:val="17"/>
              </w:rPr>
              <w:t>33,674</w:t>
            </w:r>
          </w:p>
        </w:tc>
        <w:tc>
          <w:tcPr>
            <w:tcW w:type="dxa" w:w="1238"/>
          </w:tcPr>
          <w:p>
            <w:pPr>
              <w:spacing w:after="20"/>
              <w:jc w:val="right"/>
            </w:pPr>
            <w:r>
              <w:rPr>
                <w:color w:val="1C3A36"/>
                <w:sz w:val="17"/>
              </w:rPr>
              <w:t>4.49</w:t>
            </w:r>
          </w:p>
        </w:tc>
        <w:tc>
          <w:tcPr>
            <w:tcW w:type="dxa" w:w="3946"/>
          </w:tcPr>
          <w:p>
            <w:pPr>
              <w:spacing w:after="20"/>
            </w:pPr>
            <w:r>
              <w:rPr>
                <w:color w:val="1C3A36"/>
                <w:sz w:val="17"/>
              </w:rPr>
            </w:r>
          </w:p>
        </w:tc>
      </w:tr>
      <w:tr>
        <w:tc>
          <w:tcPr>
            <w:tcW w:type="dxa" w:w="3629"/>
            <w:shd w:val="clear" w:color="auto" w:fill="F6F1E6"/>
          </w:tcPr>
          <w:p>
            <w:pPr>
              <w:spacing w:after="20"/>
            </w:pPr>
            <w:r>
              <w:rPr>
                <w:b/>
                <w:color w:val="1C3A36"/>
                <w:sz w:val="17"/>
              </w:rPr>
              <w:t>÷ shares outstanding (mn)</w:t>
            </w:r>
          </w:p>
        </w:tc>
        <w:tc>
          <w:tcPr>
            <w:tcW w:type="dxa" w:w="1296"/>
            <w:shd w:val="clear" w:color="auto" w:fill="F6F1E6"/>
          </w:tcPr>
          <w:p>
            <w:pPr>
              <w:spacing w:after="20"/>
              <w:jc w:val="right"/>
            </w:pPr>
            <w:r>
              <w:rPr>
                <w:b/>
                <w:color w:val="1C3A36"/>
                <w:sz w:val="17"/>
              </w:rPr>
              <w:t>7,500.0</w:t>
            </w:r>
          </w:p>
        </w:tc>
        <w:tc>
          <w:tcPr>
            <w:tcW w:type="dxa" w:w="1238"/>
            <w:shd w:val="clear" w:color="auto" w:fill="F6F1E6"/>
          </w:tcPr>
          <w:p>
            <w:pPr>
              <w:spacing w:after="20"/>
              <w:jc w:val="right"/>
            </w:pPr>
            <w:r>
              <w:rPr>
                <w:b/>
                <w:color w:val="1C3A36"/>
                <w:sz w:val="17"/>
              </w:rPr>
            </w:r>
          </w:p>
        </w:tc>
        <w:tc>
          <w:tcPr>
            <w:tcW w:type="dxa" w:w="3946"/>
            <w:shd w:val="clear" w:color="auto" w:fill="F6F1E6"/>
          </w:tcPr>
          <w:p>
            <w:pPr>
              <w:spacing w:after="20"/>
            </w:pPr>
            <w:r>
              <w:rPr>
                <w:b/>
                <w:color w:val="1C3A36"/>
                <w:sz w:val="17"/>
              </w:rPr>
              <w:t>IPO floated 1,867.5 mn = 24.9%. Confirmed to the dirham by the H2-24 dividend.</w:t>
            </w:r>
          </w:p>
        </w:tc>
      </w:tr>
      <w:tr>
        <w:tc>
          <w:tcPr>
            <w:tcW w:type="dxa" w:w="3629"/>
          </w:tcPr>
          <w:p>
            <w:pPr>
              <w:spacing w:after="20"/>
            </w:pPr>
            <w:r>
              <w:rPr>
                <w:b/>
                <w:color w:val="1C3A36"/>
                <w:sz w:val="17"/>
              </w:rPr>
              <w:t>FAIR VALUE PER SHARE</w:t>
            </w:r>
          </w:p>
        </w:tc>
        <w:tc>
          <w:tcPr>
            <w:tcW w:type="dxa" w:w="1296"/>
          </w:tcPr>
          <w:p>
            <w:pPr>
              <w:spacing w:after="20"/>
              <w:jc w:val="right"/>
            </w:pPr>
            <w:r>
              <w:rPr>
                <w:color w:val="1C3A36"/>
                <w:sz w:val="17"/>
              </w:rPr>
            </w:r>
          </w:p>
        </w:tc>
        <w:tc>
          <w:tcPr>
            <w:tcW w:type="dxa" w:w="1238"/>
          </w:tcPr>
          <w:p>
            <w:pPr>
              <w:spacing w:after="20"/>
              <w:jc w:val="right"/>
            </w:pPr>
            <w:r>
              <w:rPr>
                <w:color w:val="1C3A36"/>
                <w:sz w:val="17"/>
              </w:rPr>
              <w:t>AED 4.49</w:t>
            </w:r>
          </w:p>
        </w:tc>
        <w:tc>
          <w:tcPr>
            <w:tcW w:type="dxa" w:w="3946"/>
          </w:tcPr>
          <w:p>
            <w:pPr>
              <w:spacing w:after="20"/>
            </w:pPr>
            <w:r>
              <w:rPr>
                <w:color w:val="1C3A36"/>
                <w:sz w:val="17"/>
              </w:rPr>
            </w:r>
          </w:p>
        </w:tc>
      </w:tr>
      <w:tr>
        <w:tc>
          <w:tcPr>
            <w:tcW w:type="dxa" w:w="3629"/>
            <w:shd w:val="clear" w:color="auto" w:fill="F6F1E6"/>
          </w:tcPr>
          <w:p>
            <w:pPr>
              <w:spacing w:after="20"/>
            </w:pPr>
            <w:r>
              <w:rPr>
                <w:b/>
                <w:color w:val="1C3A36"/>
                <w:sz w:val="17"/>
              </w:rPr>
              <w:t>Spot</w:t>
            </w:r>
          </w:p>
        </w:tc>
        <w:tc>
          <w:tcPr>
            <w:tcW w:type="dxa" w:w="1296"/>
            <w:shd w:val="clear" w:color="auto" w:fill="F6F1E6"/>
          </w:tcPr>
          <w:p>
            <w:pPr>
              <w:spacing w:after="20"/>
              <w:jc w:val="right"/>
            </w:pPr>
            <w:r>
              <w:rPr>
                <w:b/>
                <w:color w:val="1C3A36"/>
                <w:sz w:val="17"/>
              </w:rPr>
            </w:r>
          </w:p>
        </w:tc>
        <w:tc>
          <w:tcPr>
            <w:tcW w:type="dxa" w:w="1238"/>
            <w:shd w:val="clear" w:color="auto" w:fill="F6F1E6"/>
          </w:tcPr>
          <w:p>
            <w:pPr>
              <w:spacing w:after="20"/>
              <w:jc w:val="right"/>
            </w:pPr>
            <w:r>
              <w:rPr>
                <w:b/>
                <w:color w:val="1C3A36"/>
                <w:sz w:val="17"/>
              </w:rPr>
              <w:t>AED 5.70</w:t>
            </w:r>
          </w:p>
        </w:tc>
        <w:tc>
          <w:tcPr>
            <w:tcW w:type="dxa" w:w="3946"/>
            <w:shd w:val="clear" w:color="auto" w:fill="F6F1E6"/>
          </w:tcPr>
          <w:p>
            <w:pPr>
              <w:spacing w:after="20"/>
            </w:pPr>
            <w:r>
              <w:rPr>
                <w:b/>
                <w:color w:val="1C3A36"/>
                <w:sz w:val="17"/>
              </w:rPr>
            </w:r>
          </w:p>
        </w:tc>
      </w:tr>
      <w:tr>
        <w:tc>
          <w:tcPr>
            <w:tcW w:type="dxa" w:w="3629"/>
          </w:tcPr>
          <w:p>
            <w:pPr>
              <w:spacing w:after="20"/>
            </w:pPr>
            <w:r>
              <w:rPr>
                <w:b/>
                <w:color w:val="1C3A36"/>
                <w:sz w:val="17"/>
              </w:rPr>
              <w:t>vs spot</w:t>
            </w:r>
          </w:p>
        </w:tc>
        <w:tc>
          <w:tcPr>
            <w:tcW w:type="dxa" w:w="1296"/>
          </w:tcPr>
          <w:p>
            <w:pPr>
              <w:spacing w:after="20"/>
              <w:jc w:val="right"/>
            </w:pPr>
            <w:r>
              <w:rPr>
                <w:color w:val="1C3A36"/>
                <w:sz w:val="17"/>
              </w:rPr>
            </w:r>
          </w:p>
        </w:tc>
        <w:tc>
          <w:tcPr>
            <w:tcW w:type="dxa" w:w="1238"/>
          </w:tcPr>
          <w:p>
            <w:pPr>
              <w:spacing w:after="20"/>
              <w:jc w:val="right"/>
            </w:pPr>
            <w:r>
              <w:rPr>
                <w:color w:val="1C3A36"/>
                <w:sz w:val="17"/>
              </w:rPr>
              <w:t>-21.2%</w:t>
            </w:r>
          </w:p>
        </w:tc>
        <w:tc>
          <w:tcPr>
            <w:tcW w:type="dxa" w:w="3946"/>
          </w:tcPr>
          <w:p>
            <w:pPr>
              <w:spacing w:after="20"/>
            </w:pPr>
            <w:r>
              <w:rPr>
                <w:color w:val="1C3A36"/>
                <w:sz w:val="17"/>
              </w:rPr>
            </w:r>
          </w:p>
        </w:tc>
      </w:tr>
    </w:tbl>
    <w:p>
      <w:pPr>
        <w:spacing w:after="40"/>
      </w:pPr>
    </w:p>
    <w:p>
      <w:pPr>
        <w:spacing w:after="120" w:before="0"/>
      </w:pPr>
      <w:r>
        <w:rPr>
          <w:b w:val="0"/>
          <w:i/>
          <w:color w:val="6E7B77"/>
          <w:sz w:val="18"/>
        </w:rPr>
        <w:t>Bear AED 2.86 / bull AED 8.15. The bear combines a 25% Q2-2026 trip collapse, no tariff escalation, a 1.5% terminal, an 11.8% opex ratio AND the beta at the TOP of its measured 95% CI (0.84). The bull combines a near-full recovery, 6% trend trip growth, 2.5% tariff escalation, a 3.2% terminal AND the measured PRE-WAR beta (0.47). Both ends are anchored on measured, not invented, discount rates.</w:t>
      </w:r>
    </w:p>
    <w:p>
      <w:pPr>
        <w:spacing w:after="80" w:before="180"/>
      </w:pPr>
      <w:r>
        <w:rPr>
          <w:b/>
          <w:i w:val="0"/>
          <w:color w:val="1C3A36"/>
          <w:sz w:val="23"/>
        </w:rPr>
        <w:t>1.1a The finite-life check — because a 2071 expiry is not a perpetuity</w:t>
      </w:r>
    </w:p>
    <w:p>
      <w:pPr>
        <w:spacing w:after="120" w:before="0"/>
      </w:pPr>
      <w:r>
        <w:rPr>
          <w:b w:val="0"/>
          <w:i w:val="0"/>
          <w:color w:val="1C3A36"/>
          <w:sz w:val="21"/>
        </w:rPr>
        <w:t>A DCF with a perpetuity assumes the concession is renewed forever. It is not: it expires in 2071. So we valued FY2031–2071 as a growing annuity with a terminal value of exactly zero. That gives AED 4.04, against AED 4.49 on the perpetuity — so the perpetuity assumption is worth +11.1%. Forty-five remaining years already capture nearly all of a perpetuity’s value at an 8% discount rate. This is a sanity check, deliberately excluded from the weighting. The finite life is NOT the crux, and anyone arguing Salik is cheap or dear because of 2071 has not done the arithmetic.</w:t>
      </w:r>
    </w:p>
    <w:p>
      <w:pPr>
        <w:spacing w:after="100" w:before="260"/>
      </w:pPr>
      <w:r>
        <w:rPr>
          <w:b/>
          <w:i w:val="0"/>
          <w:color w:val="1C3A36"/>
          <w:sz w:val="30"/>
        </w:rPr>
        <w:t>1.2 Dividend discount — the policy lens, and why it is only a floor</w:t>
      </w:r>
    </w:p>
    <w:p>
      <w:pPr>
        <w:spacing w:after="120" w:before="0"/>
      </w:pPr>
      <w:r>
        <w:rPr>
          <w:b w:val="0"/>
          <w:i w:val="0"/>
          <w:color w:val="1C3A36"/>
          <w:sz w:val="21"/>
        </w:rPr>
        <w:t>The policy is unambiguous: 100% of distributable net profit, twice a year. A Gordon model on AED 0.2039 of FY2026E DPS, a cost of equity of 8.4% and 2.5% growth gives AED 3.55.</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112"/>
        <w:gridCol w:w="5112"/>
      </w:tblGrid>
      <w:tr>
        <w:tc>
          <w:tcPr>
            <w:tcW w:type="dxa" w:w="7488"/>
            <w:shd w:val="clear" w:color="auto" w:fill="EAF0EE"/>
          </w:tcPr>
          <w:p>
            <w:pPr>
              <w:spacing w:after="20"/>
            </w:pPr>
            <w:r>
              <w:rPr>
                <w:b/>
                <w:color w:val="1C3A36"/>
                <w:sz w:val="17"/>
              </w:rPr>
              <w:t>Is the 100% dividend covered by CASH?</w:t>
            </w:r>
          </w:p>
        </w:tc>
        <w:tc>
          <w:tcPr>
            <w:tcW w:type="dxa" w:w="2016"/>
            <w:shd w:val="clear" w:color="auto" w:fill="EAF0EE"/>
          </w:tcPr>
          <w:p>
            <w:pPr>
              <w:spacing w:after="20"/>
            </w:pPr>
            <w:r>
              <w:rPr>
                <w:b/>
                <w:color w:val="1C3A36"/>
                <w:sz w:val="17"/>
              </w:rPr>
              <w:t>AED mn</w:t>
            </w:r>
          </w:p>
        </w:tc>
      </w:tr>
      <w:tr>
        <w:tc>
          <w:tcPr>
            <w:tcW w:type="dxa" w:w="7488"/>
          </w:tcPr>
          <w:p>
            <w:pPr>
              <w:spacing w:after="20"/>
            </w:pPr>
            <w:r>
              <w:rPr>
                <w:b/>
                <w:color w:val="1C3A36"/>
                <w:sz w:val="17"/>
              </w:rPr>
              <w:t>FY2026E net profit (= the dividend)</w:t>
            </w:r>
          </w:p>
        </w:tc>
        <w:tc>
          <w:tcPr>
            <w:tcW w:type="dxa" w:w="2016"/>
          </w:tcPr>
          <w:p>
            <w:pPr>
              <w:spacing w:after="20"/>
              <w:jc w:val="right"/>
            </w:pPr>
            <w:r>
              <w:rPr>
                <w:color w:val="1C3A36"/>
                <w:sz w:val="17"/>
              </w:rPr>
              <w:t>1,529</w:t>
            </w:r>
          </w:p>
        </w:tc>
      </w:tr>
      <w:tr>
        <w:tc>
          <w:tcPr>
            <w:tcW w:type="dxa" w:w="7488"/>
          </w:tcPr>
          <w:p>
            <w:pPr>
              <w:spacing w:after="20"/>
            </w:pPr>
            <w:r>
              <w:rPr>
                <w:b/>
                <w:color w:val="1C3A36"/>
                <w:sz w:val="17"/>
              </w:rPr>
              <w:t>+ D&amp;A (non-cash concession amortisation)</w:t>
            </w:r>
          </w:p>
        </w:tc>
        <w:tc>
          <w:tcPr>
            <w:tcW w:type="dxa" w:w="2016"/>
          </w:tcPr>
          <w:p>
            <w:pPr>
              <w:spacing w:after="20"/>
              <w:jc w:val="right"/>
            </w:pPr>
            <w:r>
              <w:rPr>
                <w:color w:val="1C3A36"/>
                <w:sz w:val="17"/>
              </w:rPr>
              <w:t>146</w:t>
            </w:r>
          </w:p>
        </w:tc>
      </w:tr>
      <w:tr>
        <w:tc>
          <w:tcPr>
            <w:tcW w:type="dxa" w:w="7488"/>
          </w:tcPr>
          <w:p>
            <w:pPr>
              <w:spacing w:after="20"/>
            </w:pPr>
            <w:r>
              <w:rPr>
                <w:b/>
                <w:color w:val="1C3A36"/>
                <w:sz w:val="17"/>
              </w:rPr>
              <w:t>− capex (the RTA owns the roads)</w:t>
            </w:r>
          </w:p>
        </w:tc>
        <w:tc>
          <w:tcPr>
            <w:tcW w:type="dxa" w:w="2016"/>
          </w:tcPr>
          <w:p>
            <w:pPr>
              <w:spacing w:after="20"/>
              <w:jc w:val="right"/>
            </w:pPr>
            <w:r>
              <w:rPr>
                <w:color w:val="1C3A36"/>
                <w:sz w:val="17"/>
              </w:rPr>
              <w:t>(30)</w:t>
            </w:r>
          </w:p>
        </w:tc>
      </w:tr>
      <w:tr>
        <w:tc>
          <w:tcPr>
            <w:tcW w:type="dxa" w:w="7488"/>
          </w:tcPr>
          <w:p>
            <w:pPr>
              <w:spacing w:after="20"/>
            </w:pPr>
            <w:r>
              <w:rPr>
                <w:b/>
                <w:color w:val="1C3A36"/>
                <w:sz w:val="17"/>
              </w:rPr>
              <w:t>= FREE CASH FLOW TO EQUITY</w:t>
            </w:r>
          </w:p>
        </w:tc>
        <w:tc>
          <w:tcPr>
            <w:tcW w:type="dxa" w:w="2016"/>
          </w:tcPr>
          <w:p>
            <w:pPr>
              <w:spacing w:after="20"/>
              <w:jc w:val="right"/>
            </w:pPr>
            <w:r>
              <w:rPr>
                <w:color w:val="1C3A36"/>
                <w:sz w:val="17"/>
              </w:rPr>
              <w:t>1,645</w:t>
            </w:r>
          </w:p>
        </w:tc>
      </w:tr>
      <w:tr>
        <w:tc>
          <w:tcPr>
            <w:tcW w:type="dxa" w:w="7488"/>
            <w:shd w:val="clear" w:color="auto" w:fill="F6F1E6"/>
          </w:tcPr>
          <w:p>
            <w:pPr>
              <w:spacing w:after="20"/>
            </w:pPr>
            <w:r>
              <w:rPr>
                <w:b/>
                <w:color w:val="1C3A36"/>
                <w:sz w:val="17"/>
              </w:rPr>
              <w:t>Dividend / FCFE</w:t>
            </w:r>
          </w:p>
        </w:tc>
        <w:tc>
          <w:tcPr>
            <w:tcW w:type="dxa" w:w="2016"/>
            <w:shd w:val="clear" w:color="auto" w:fill="F6F1E6"/>
          </w:tcPr>
          <w:p>
            <w:pPr>
              <w:spacing w:after="20"/>
              <w:jc w:val="right"/>
            </w:pPr>
            <w:r>
              <w:rPr>
                <w:b/>
                <w:color w:val="1C3A36"/>
                <w:sz w:val="17"/>
              </w:rPr>
              <w:t>93%</w:t>
            </w:r>
          </w:p>
        </w:tc>
      </w:tr>
      <w:tr>
        <w:tc>
          <w:tcPr>
            <w:tcW w:type="dxa" w:w="7488"/>
          </w:tcPr>
          <w:p>
            <w:pPr>
              <w:spacing w:after="20"/>
            </w:pPr>
            <w:r>
              <w:rPr>
                <w:b/>
                <w:color w:val="1C3A36"/>
                <w:sz w:val="17"/>
              </w:rPr>
              <w:t>= retained wedge</w:t>
            </w:r>
          </w:p>
        </w:tc>
        <w:tc>
          <w:tcPr>
            <w:tcW w:type="dxa" w:w="2016"/>
          </w:tcPr>
          <w:p>
            <w:pPr>
              <w:spacing w:after="20"/>
              <w:jc w:val="right"/>
            </w:pPr>
            <w:r>
              <w:rPr>
                <w:color w:val="1C3A36"/>
                <w:sz w:val="17"/>
              </w:rPr>
              <w:t>116 / yr</w:t>
            </w:r>
          </w:p>
        </w:tc>
      </w:tr>
    </w:tbl>
    <w:p>
      <w:pPr>
        <w:spacing w:after="40"/>
      </w:pPr>
    </w:p>
    <w:tbl>
      <w:tblPr>
        <w:tblW w:type="auto" w:w="0"/>
        <w:tblLook w:firstColumn="1" w:firstRow="1" w:lastColumn="0" w:lastRow="0" w:noHBand="0" w:noVBand="1" w:val="04A0"/>
        <w:tblBorders>
          <w:top w:val="single" w:sz="6" w:space="0" w:color="896F36"/>
          <w:left w:val="single" w:sz="6" w:space="0" w:color="896F36"/>
          <w:bottom w:val="single" w:sz="6" w:space="0" w:color="896F36"/>
          <w:right w:val="single" w:sz="6" w:space="0" w:color="896F36"/>
          <w:insideH w:val="single" w:sz="6" w:space="0" w:color="896F36"/>
          <w:insideV w:val="single" w:sz="6" w:space="0" w:color="896F36"/>
        </w:tblBorders>
        <w:tblCellMar>
          <w:top w:w="110" w:type="dxa"/>
          <w:left w:w="150" w:type="dxa"/>
          <w:bottom w:w="110" w:type="dxa"/>
          <w:right w:w="150" w:type="dxa"/>
        </w:tblCellMar>
      </w:tblPr>
      <w:tblGrid>
        <w:gridCol w:w="10224"/>
      </w:tblGrid>
      <w:tr>
        <w:tc>
          <w:tcPr>
            <w:tcW w:type="dxa" w:w="10224"/>
            <w:shd w:val="clear" w:color="auto" w:fill="EFF3F1"/>
          </w:tcPr>
          <w:p>
            <w:pPr>
              <w:spacing w:after="100"/>
            </w:pPr>
            <w:r>
              <w:rPr>
                <w:b/>
                <w:color w:val="1C3A36"/>
                <w:sz w:val="19"/>
              </w:rPr>
              <w:t xml:space="preserve">Why the DDM is weighted only 15%. </w:t>
            </w:r>
            <w:r>
              <w:rPr>
                <w:color w:val="1C3A36"/>
                <w:sz w:val="19"/>
              </w:rPr>
              <w:t>The payout is 100% of PROFIT but only 93% of CASH. D&amp;A runs at AED 146 mn a year — the AED 6,934 mn concession intangible (AED 4,200 mn for the original eight gates over 49 years, plus AED 2,734 mn for the two opened in November 2024 over their REMAINING 46.67 years). Capex runs at roughly AED 30 mn because the RTA owns the roads. That leaves about AED 116 mn a year the dividend never sees. A dividend discount model is structurally blind to it. But — and this is the part version 2 of this study got wrong — that AED 116 mn is NOT free. Read §1.2a before you use this lens for anything.</w:t>
            </w:r>
          </w:p>
        </w:tc>
      </w:tr>
    </w:tbl>
    <w:p>
      <w:pPr>
        <w:spacing w:after="40"/>
      </w:pPr>
    </w:p>
    <w:p>
      <w:pPr>
        <w:spacing w:after="40"/>
        <w:jc w:val="center"/>
      </w:pPr>
      <w:r>
        <w:drawing>
          <wp:inline xmlns:a="http://schemas.openxmlformats.org/drawingml/2006/main" xmlns:pic="http://schemas.openxmlformats.org/drawingml/2006/picture">
            <wp:extent cx="6309360" cy="2377104"/>
            <wp:docPr id="1" name="Picture 1"/>
            <wp:cNvGraphicFramePr>
              <a:graphicFrameLocks noChangeAspect="1"/>
            </wp:cNvGraphicFramePr>
            <a:graphic>
              <a:graphicData uri="http://schemas.openxmlformats.org/drawingml/2006/picture">
                <pic:pic>
                  <pic:nvPicPr>
                    <pic:cNvPr id="0" name="f6_dps.png"/>
                    <pic:cNvPicPr/>
                  </pic:nvPicPr>
                  <pic:blipFill>
                    <a:blip r:embed="rId9"/>
                    <a:stretch>
                      <a:fillRect/>
                    </a:stretch>
                  </pic:blipFill>
                  <pic:spPr>
                    <a:xfrm>
                      <a:off x="0" y="0"/>
                      <a:ext cx="6309360" cy="2377104"/>
                    </a:xfrm>
                    <a:prstGeom prst="rect"/>
                  </pic:spPr>
                </pic:pic>
              </a:graphicData>
            </a:graphic>
          </wp:inline>
        </w:drawing>
      </w:r>
    </w:p>
    <w:p>
      <w:pPr>
        <w:spacing w:after="180" w:before="0"/>
      </w:pPr>
      <w:r>
        <w:rPr>
          <w:b w:val="0"/>
          <w:i/>
          <w:color w:val="6E7B77"/>
          <w:sz w:val="17"/>
        </w:rPr>
        <w:t>Figure 6 · The gap between the bars and the gold line is the free cash flow the dividend never distributes. §1.2a is about what has a claim on it.</w:t>
      </w:r>
    </w:p>
    <w:p>
      <w:pPr>
        <w:spacing w:after="100" w:before="260"/>
      </w:pPr>
      <w:r>
        <w:rPr>
          <w:b/>
          <w:i w:val="0"/>
          <w:color w:val="1C3A36"/>
          <w:sz w:val="30"/>
        </w:rPr>
        <w:t>1.2a The claim in front of the dividend — the RTA instalment</w:t>
      </w:r>
    </w:p>
    <w:p>
      <w:pPr>
        <w:spacing w:after="120" w:before="0"/>
      </w:pPr>
      <w:r>
        <w:rPr>
          <w:b w:val="0"/>
          <w:i w:val="0"/>
          <w:color w:val="1C3A36"/>
          <w:sz w:val="21"/>
        </w:rPr>
        <w:t>Version 2 of this study said the retained wedge "deleverages the balance sheet" and left it there. That was incomplete, and a fact-check of the study was right to push on it — though not for the reason it gave. Here is the actual obligation, from the company:</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10" w:type="dxa"/>
          <w:left w:w="150" w:type="dxa"/>
          <w:bottom w:w="110" w:type="dxa"/>
          <w:right w:w="150" w:type="dxa"/>
        </w:tblCellMar>
      </w:tblPr>
      <w:tblGrid>
        <w:gridCol w:w="10224"/>
      </w:tblGrid>
      <w:tr>
        <w:tc>
          <w:tcPr>
            <w:tcW w:type="dxa" w:w="10224"/>
            <w:shd w:val="clear" w:color="auto" w:fill="F6F1E6"/>
          </w:tcPr>
          <w:p>
            <w:pPr>
              <w:spacing w:after="100"/>
            </w:pPr>
            <w:r>
              <w:rPr>
                <w:b/>
                <w:color w:val="1C3A36"/>
                <w:sz w:val="19"/>
              </w:rPr>
              <w:t xml:space="preserve">The disclosure, verbatim. </w:t>
            </w:r>
            <w:r>
              <w:rPr>
                <w:color w:val="1C3A36"/>
                <w:sz w:val="19"/>
              </w:rPr>
              <w:t>"Salik’s repayment plan with the RTA is structured as an annual installment of AED 455.7 million to be paid semi-annually over six years as of the starting date." — Annual Report 2024, CFO’s Review. AED 455.7 mn × 6 years = AED 2,734.2 mn, which is the gate valuation exactly. The last instalment falls in November 2030.</w:t>
            </w:r>
          </w:p>
        </w:tc>
      </w:tr>
    </w:tbl>
    <w:p>
      <w:pPr>
        <w:spacing w:after="40"/>
      </w:pP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704"/>
        <w:gridCol w:w="1704"/>
        <w:gridCol w:w="1704"/>
        <w:gridCol w:w="1704"/>
        <w:gridCol w:w="1704"/>
        <w:gridCol w:w="1704"/>
      </w:tblGrid>
      <w:tr>
        <w:tc>
          <w:tcPr>
            <w:tcW w:type="dxa" w:w="3773"/>
            <w:shd w:val="clear" w:color="auto" w:fill="EAF0EE"/>
          </w:tcPr>
          <w:p>
            <w:pPr>
              <w:spacing w:after="20"/>
            </w:pPr>
            <w:r>
              <w:rPr>
                <w:b/>
                <w:color w:val="1C3A36"/>
                <w:sz w:val="17"/>
              </w:rPr>
              <w:t>AED mn</w:t>
            </w:r>
          </w:p>
        </w:tc>
        <w:tc>
          <w:tcPr>
            <w:tcW w:type="dxa" w:w="1267"/>
            <w:shd w:val="clear" w:color="auto" w:fill="EAF0EE"/>
          </w:tcPr>
          <w:p>
            <w:pPr>
              <w:spacing w:after="20"/>
            </w:pPr>
            <w:r>
              <w:rPr>
                <w:b/>
                <w:color w:val="1C3A36"/>
                <w:sz w:val="17"/>
              </w:rPr>
              <w:t>FY2026E</w:t>
            </w:r>
          </w:p>
        </w:tc>
        <w:tc>
          <w:tcPr>
            <w:tcW w:type="dxa" w:w="1267"/>
            <w:shd w:val="clear" w:color="auto" w:fill="EAF0EE"/>
          </w:tcPr>
          <w:p>
            <w:pPr>
              <w:spacing w:after="20"/>
            </w:pPr>
            <w:r>
              <w:rPr>
                <w:b/>
                <w:color w:val="1C3A36"/>
                <w:sz w:val="17"/>
              </w:rPr>
              <w:t>FY2027E</w:t>
            </w:r>
          </w:p>
        </w:tc>
        <w:tc>
          <w:tcPr>
            <w:tcW w:type="dxa" w:w="1267"/>
            <w:shd w:val="clear" w:color="auto" w:fill="EAF0EE"/>
          </w:tcPr>
          <w:p>
            <w:pPr>
              <w:spacing w:after="20"/>
            </w:pPr>
            <w:r>
              <w:rPr>
                <w:b/>
                <w:color w:val="1C3A36"/>
                <w:sz w:val="17"/>
              </w:rPr>
              <w:t>FY2028E</w:t>
            </w:r>
          </w:p>
        </w:tc>
        <w:tc>
          <w:tcPr>
            <w:tcW w:type="dxa" w:w="1267"/>
            <w:shd w:val="clear" w:color="auto" w:fill="EAF0EE"/>
          </w:tcPr>
          <w:p>
            <w:pPr>
              <w:spacing w:after="20"/>
            </w:pPr>
            <w:r>
              <w:rPr>
                <w:b/>
                <w:color w:val="1C3A36"/>
                <w:sz w:val="17"/>
              </w:rPr>
              <w:t>FY2029E</w:t>
            </w:r>
          </w:p>
        </w:tc>
        <w:tc>
          <w:tcPr>
            <w:tcW w:type="dxa" w:w="1267"/>
            <w:shd w:val="clear" w:color="auto" w:fill="EAF0EE"/>
          </w:tcPr>
          <w:p>
            <w:pPr>
              <w:spacing w:after="20"/>
            </w:pPr>
            <w:r>
              <w:rPr>
                <w:b/>
                <w:color w:val="1C3A36"/>
                <w:sz w:val="17"/>
              </w:rPr>
              <w:t>FY2030E</w:t>
            </w:r>
          </w:p>
        </w:tc>
      </w:tr>
      <w:tr>
        <w:tc>
          <w:tcPr>
            <w:tcW w:type="dxa" w:w="3773"/>
          </w:tcPr>
          <w:p>
            <w:pPr>
              <w:spacing w:after="20"/>
            </w:pPr>
            <w:r>
              <w:rPr>
                <w:b/>
                <w:color w:val="1C3A36"/>
                <w:sz w:val="17"/>
              </w:rPr>
              <w:t>Operating cash (after tax and interest)</w:t>
            </w:r>
          </w:p>
        </w:tc>
        <w:tc>
          <w:tcPr>
            <w:tcW w:type="dxa" w:w="1267"/>
          </w:tcPr>
          <w:p>
            <w:pPr>
              <w:spacing w:after="20"/>
              <w:jc w:val="right"/>
            </w:pPr>
            <w:r>
              <w:rPr>
                <w:color w:val="1C3A36"/>
                <w:sz w:val="17"/>
              </w:rPr>
              <w:t>1,645</w:t>
            </w:r>
          </w:p>
        </w:tc>
        <w:tc>
          <w:tcPr>
            <w:tcW w:type="dxa" w:w="1267"/>
          </w:tcPr>
          <w:p>
            <w:pPr>
              <w:spacing w:after="20"/>
              <w:jc w:val="right"/>
            </w:pPr>
            <w:r>
              <w:rPr>
                <w:color w:val="1C3A36"/>
                <w:sz w:val="17"/>
              </w:rPr>
              <w:t>1,773</w:t>
            </w:r>
          </w:p>
        </w:tc>
        <w:tc>
          <w:tcPr>
            <w:tcW w:type="dxa" w:w="1267"/>
          </w:tcPr>
          <w:p>
            <w:pPr>
              <w:spacing w:after="20"/>
              <w:jc w:val="right"/>
            </w:pPr>
            <w:r>
              <w:rPr>
                <w:color w:val="1C3A36"/>
                <w:sz w:val="17"/>
              </w:rPr>
              <w:t>1,904</w:t>
            </w:r>
          </w:p>
        </w:tc>
        <w:tc>
          <w:tcPr>
            <w:tcW w:type="dxa" w:w="1267"/>
          </w:tcPr>
          <w:p>
            <w:pPr>
              <w:spacing w:after="20"/>
              <w:jc w:val="right"/>
            </w:pPr>
            <w:r>
              <w:rPr>
                <w:color w:val="1C3A36"/>
                <w:sz w:val="17"/>
              </w:rPr>
              <w:t>2,035</w:t>
            </w:r>
          </w:p>
        </w:tc>
        <w:tc>
          <w:tcPr>
            <w:tcW w:type="dxa" w:w="1267"/>
          </w:tcPr>
          <w:p>
            <w:pPr>
              <w:spacing w:after="20"/>
              <w:jc w:val="right"/>
            </w:pPr>
            <w:r>
              <w:rPr>
                <w:color w:val="1C3A36"/>
                <w:sz w:val="17"/>
              </w:rPr>
              <w:t>2,168</w:t>
            </w:r>
          </w:p>
        </w:tc>
      </w:tr>
      <w:tr>
        <w:tc>
          <w:tcPr>
            <w:tcW w:type="dxa" w:w="3773"/>
          </w:tcPr>
          <w:p>
            <w:pPr>
              <w:spacing w:after="20"/>
            </w:pPr>
            <w:r>
              <w:rPr>
                <w:b/>
                <w:color w:val="1C3A36"/>
                <w:sz w:val="17"/>
              </w:rPr>
              <w:t>less: dividend (100% of net profit)</w:t>
            </w:r>
          </w:p>
        </w:tc>
        <w:tc>
          <w:tcPr>
            <w:tcW w:type="dxa" w:w="1267"/>
          </w:tcPr>
          <w:p>
            <w:pPr>
              <w:spacing w:after="20"/>
              <w:jc w:val="right"/>
            </w:pPr>
            <w:r>
              <w:rPr>
                <w:color w:val="1C3A36"/>
                <w:sz w:val="17"/>
              </w:rPr>
              <w:t>(1,529)</w:t>
            </w:r>
          </w:p>
        </w:tc>
        <w:tc>
          <w:tcPr>
            <w:tcW w:type="dxa" w:w="1267"/>
          </w:tcPr>
          <w:p>
            <w:pPr>
              <w:spacing w:after="20"/>
              <w:jc w:val="right"/>
            </w:pPr>
            <w:r>
              <w:rPr>
                <w:color w:val="1C3A36"/>
                <w:sz w:val="17"/>
              </w:rPr>
              <w:t>(1,659)</w:t>
            </w:r>
          </w:p>
        </w:tc>
        <w:tc>
          <w:tcPr>
            <w:tcW w:type="dxa" w:w="1267"/>
          </w:tcPr>
          <w:p>
            <w:pPr>
              <w:spacing w:after="20"/>
              <w:jc w:val="right"/>
            </w:pPr>
            <w:r>
              <w:rPr>
                <w:color w:val="1C3A36"/>
                <w:sz w:val="17"/>
              </w:rPr>
              <w:t>(1,792)</w:t>
            </w:r>
          </w:p>
        </w:tc>
        <w:tc>
          <w:tcPr>
            <w:tcW w:type="dxa" w:w="1267"/>
          </w:tcPr>
          <w:p>
            <w:pPr>
              <w:spacing w:after="20"/>
              <w:jc w:val="right"/>
            </w:pPr>
            <w:r>
              <w:rPr>
                <w:color w:val="1C3A36"/>
                <w:sz w:val="17"/>
              </w:rPr>
              <w:t>(1,925)</w:t>
            </w:r>
          </w:p>
        </w:tc>
        <w:tc>
          <w:tcPr>
            <w:tcW w:type="dxa" w:w="1267"/>
          </w:tcPr>
          <w:p>
            <w:pPr>
              <w:spacing w:after="20"/>
              <w:jc w:val="right"/>
            </w:pPr>
            <w:r>
              <w:rPr>
                <w:color w:val="1C3A36"/>
                <w:sz w:val="17"/>
              </w:rPr>
              <w:t>(2,060)</w:t>
            </w:r>
          </w:p>
        </w:tc>
      </w:tr>
      <w:tr>
        <w:tc>
          <w:tcPr>
            <w:tcW w:type="dxa" w:w="3773"/>
            <w:shd w:val="clear" w:color="auto" w:fill="F6F1E6"/>
          </w:tcPr>
          <w:p>
            <w:pPr>
              <w:spacing w:after="20"/>
            </w:pPr>
            <w:r>
              <w:rPr>
                <w:b/>
                <w:color w:val="1C3A36"/>
                <w:sz w:val="17"/>
              </w:rPr>
              <w:t>= RETAINED WEDGE (≡ D&amp;A − capex)</w:t>
            </w:r>
          </w:p>
        </w:tc>
        <w:tc>
          <w:tcPr>
            <w:tcW w:type="dxa" w:w="1267"/>
            <w:shd w:val="clear" w:color="auto" w:fill="F6F1E6"/>
          </w:tcPr>
          <w:p>
            <w:pPr>
              <w:spacing w:after="20"/>
              <w:jc w:val="right"/>
            </w:pPr>
            <w:r>
              <w:rPr>
                <w:b/>
                <w:color w:val="1C3A36"/>
                <w:sz w:val="17"/>
              </w:rPr>
              <w:t>116</w:t>
            </w:r>
          </w:p>
        </w:tc>
        <w:tc>
          <w:tcPr>
            <w:tcW w:type="dxa" w:w="1267"/>
            <w:shd w:val="clear" w:color="auto" w:fill="F6F1E6"/>
          </w:tcPr>
          <w:p>
            <w:pPr>
              <w:spacing w:after="20"/>
              <w:jc w:val="right"/>
            </w:pPr>
            <w:r>
              <w:rPr>
                <w:b/>
                <w:color w:val="1C3A36"/>
                <w:sz w:val="17"/>
              </w:rPr>
              <w:t>114</w:t>
            </w:r>
          </w:p>
        </w:tc>
        <w:tc>
          <w:tcPr>
            <w:tcW w:type="dxa" w:w="1267"/>
            <w:shd w:val="clear" w:color="auto" w:fill="F6F1E6"/>
          </w:tcPr>
          <w:p>
            <w:pPr>
              <w:spacing w:after="20"/>
              <w:jc w:val="right"/>
            </w:pPr>
            <w:r>
              <w:rPr>
                <w:b/>
                <w:color w:val="1C3A36"/>
                <w:sz w:val="17"/>
              </w:rPr>
              <w:t>112</w:t>
            </w:r>
          </w:p>
        </w:tc>
        <w:tc>
          <w:tcPr>
            <w:tcW w:type="dxa" w:w="1267"/>
            <w:shd w:val="clear" w:color="auto" w:fill="F6F1E6"/>
          </w:tcPr>
          <w:p>
            <w:pPr>
              <w:spacing w:after="20"/>
              <w:jc w:val="right"/>
            </w:pPr>
            <w:r>
              <w:rPr>
                <w:b/>
                <w:color w:val="1C3A36"/>
                <w:sz w:val="17"/>
              </w:rPr>
              <w:t>111</w:t>
            </w:r>
          </w:p>
        </w:tc>
        <w:tc>
          <w:tcPr>
            <w:tcW w:type="dxa" w:w="1267"/>
            <w:shd w:val="clear" w:color="auto" w:fill="F6F1E6"/>
          </w:tcPr>
          <w:p>
            <w:pPr>
              <w:spacing w:after="20"/>
              <w:jc w:val="right"/>
            </w:pPr>
            <w:r>
              <w:rPr>
                <w:b/>
                <w:color w:val="1C3A36"/>
                <w:sz w:val="17"/>
              </w:rPr>
              <w:t>109</w:t>
            </w:r>
          </w:p>
        </w:tc>
      </w:tr>
      <w:tr>
        <w:tc>
          <w:tcPr>
            <w:tcW w:type="dxa" w:w="3773"/>
          </w:tcPr>
          <w:p>
            <w:pPr>
              <w:spacing w:after="20"/>
            </w:pPr>
            <w:r>
              <w:rPr>
                <w:b/>
                <w:color w:val="1C3A36"/>
                <w:sz w:val="17"/>
              </w:rPr>
              <w:t>less: RTA instalment</w:t>
            </w:r>
          </w:p>
        </w:tc>
        <w:tc>
          <w:tcPr>
            <w:tcW w:type="dxa" w:w="1267"/>
          </w:tcPr>
          <w:p>
            <w:pPr>
              <w:spacing w:after="20"/>
              <w:jc w:val="right"/>
            </w:pPr>
            <w:r>
              <w:rPr>
                <w:color w:val="1C3A36"/>
                <w:sz w:val="17"/>
              </w:rPr>
              <w:t>(456)</w:t>
            </w:r>
          </w:p>
        </w:tc>
        <w:tc>
          <w:tcPr>
            <w:tcW w:type="dxa" w:w="1267"/>
          </w:tcPr>
          <w:p>
            <w:pPr>
              <w:spacing w:after="20"/>
              <w:jc w:val="right"/>
            </w:pPr>
            <w:r>
              <w:rPr>
                <w:color w:val="1C3A36"/>
                <w:sz w:val="17"/>
              </w:rPr>
              <w:t>(456)</w:t>
            </w:r>
          </w:p>
        </w:tc>
        <w:tc>
          <w:tcPr>
            <w:tcW w:type="dxa" w:w="1267"/>
          </w:tcPr>
          <w:p>
            <w:pPr>
              <w:spacing w:after="20"/>
              <w:jc w:val="right"/>
            </w:pPr>
            <w:r>
              <w:rPr>
                <w:color w:val="1C3A36"/>
                <w:sz w:val="17"/>
              </w:rPr>
              <w:t>(456)</w:t>
            </w:r>
          </w:p>
        </w:tc>
        <w:tc>
          <w:tcPr>
            <w:tcW w:type="dxa" w:w="1267"/>
          </w:tcPr>
          <w:p>
            <w:pPr>
              <w:spacing w:after="20"/>
              <w:jc w:val="right"/>
            </w:pPr>
            <w:r>
              <w:rPr>
                <w:color w:val="1C3A36"/>
                <w:sz w:val="17"/>
              </w:rPr>
              <w:t>(456)</w:t>
            </w:r>
          </w:p>
        </w:tc>
        <w:tc>
          <w:tcPr>
            <w:tcW w:type="dxa" w:w="1267"/>
          </w:tcPr>
          <w:p>
            <w:pPr>
              <w:spacing w:after="20"/>
              <w:jc w:val="right"/>
            </w:pPr>
            <w:r>
              <w:rPr>
                <w:color w:val="1C3A36"/>
                <w:sz w:val="17"/>
              </w:rPr>
              <w:t>(456)</w:t>
            </w:r>
          </w:p>
        </w:tc>
      </w:tr>
      <w:tr>
        <w:tc>
          <w:tcPr>
            <w:tcW w:type="dxa" w:w="3773"/>
            <w:shd w:val="clear" w:color="auto" w:fill="F6F1E6"/>
          </w:tcPr>
          <w:p>
            <w:pPr>
              <w:spacing w:after="20"/>
            </w:pPr>
            <w:r>
              <w:rPr>
                <w:b/>
                <w:color w:val="1C3A36"/>
                <w:sz w:val="17"/>
              </w:rPr>
              <w:t>= CASH SURPLUS / (DEFICIT)</w:t>
            </w:r>
          </w:p>
        </w:tc>
        <w:tc>
          <w:tcPr>
            <w:tcW w:type="dxa" w:w="1267"/>
            <w:shd w:val="clear" w:color="auto" w:fill="F6F1E6"/>
          </w:tcPr>
          <w:p>
            <w:pPr>
              <w:spacing w:after="20"/>
              <w:jc w:val="right"/>
            </w:pPr>
            <w:r>
              <w:rPr>
                <w:b/>
                <w:color w:val="1C3A36"/>
                <w:sz w:val="17"/>
              </w:rPr>
              <w:t>-340</w:t>
            </w:r>
          </w:p>
        </w:tc>
        <w:tc>
          <w:tcPr>
            <w:tcW w:type="dxa" w:w="1267"/>
            <w:shd w:val="clear" w:color="auto" w:fill="F6F1E6"/>
          </w:tcPr>
          <w:p>
            <w:pPr>
              <w:spacing w:after="20"/>
              <w:jc w:val="right"/>
            </w:pPr>
            <w:r>
              <w:rPr>
                <w:b/>
                <w:color w:val="1C3A36"/>
                <w:sz w:val="17"/>
              </w:rPr>
              <w:t>-341</w:t>
            </w:r>
          </w:p>
        </w:tc>
        <w:tc>
          <w:tcPr>
            <w:tcW w:type="dxa" w:w="1267"/>
            <w:shd w:val="clear" w:color="auto" w:fill="F6F1E6"/>
          </w:tcPr>
          <w:p>
            <w:pPr>
              <w:spacing w:after="20"/>
              <w:jc w:val="right"/>
            </w:pPr>
            <w:r>
              <w:rPr>
                <w:b/>
                <w:color w:val="1C3A36"/>
                <w:sz w:val="17"/>
              </w:rPr>
              <w:t>-343</w:t>
            </w:r>
          </w:p>
        </w:tc>
        <w:tc>
          <w:tcPr>
            <w:tcW w:type="dxa" w:w="1267"/>
            <w:shd w:val="clear" w:color="auto" w:fill="F6F1E6"/>
          </w:tcPr>
          <w:p>
            <w:pPr>
              <w:spacing w:after="20"/>
              <w:jc w:val="right"/>
            </w:pPr>
            <w:r>
              <w:rPr>
                <w:b/>
                <w:color w:val="1C3A36"/>
                <w:sz w:val="17"/>
              </w:rPr>
              <w:t>-345</w:t>
            </w:r>
          </w:p>
        </w:tc>
        <w:tc>
          <w:tcPr>
            <w:tcW w:type="dxa" w:w="1267"/>
            <w:shd w:val="clear" w:color="auto" w:fill="F6F1E6"/>
          </w:tcPr>
          <w:p>
            <w:pPr>
              <w:spacing w:after="20"/>
              <w:jc w:val="right"/>
            </w:pPr>
            <w:r>
              <w:rPr>
                <w:b/>
                <w:color w:val="1C3A36"/>
                <w:sz w:val="17"/>
              </w:rPr>
              <w:t>-347</w:t>
            </w:r>
          </w:p>
        </w:tc>
      </w:tr>
    </w:tbl>
    <w:p>
      <w:pPr>
        <w:spacing w:after="40"/>
      </w:pPr>
    </w:p>
    <w:p>
      <w:pPr>
        <w:spacing w:after="40"/>
        <w:jc w:val="center"/>
      </w:pPr>
      <w:r>
        <w:drawing>
          <wp:inline xmlns:a="http://schemas.openxmlformats.org/drawingml/2006/main" xmlns:pic="http://schemas.openxmlformats.org/drawingml/2006/picture">
            <wp:extent cx="6400800" cy="2651311"/>
            <wp:docPr id="2" name="Picture 2"/>
            <wp:cNvGraphicFramePr>
              <a:graphicFrameLocks noChangeAspect="1"/>
            </wp:cNvGraphicFramePr>
            <a:graphic>
              <a:graphicData uri="http://schemas.openxmlformats.org/drawingml/2006/picture">
                <pic:pic>
                  <pic:nvPicPr>
                    <pic:cNvPr id="0" name="f13_rta.png"/>
                    <pic:cNvPicPr/>
                  </pic:nvPicPr>
                  <pic:blipFill>
                    <a:blip r:embed="rId10"/>
                    <a:stretch>
                      <a:fillRect/>
                    </a:stretch>
                  </pic:blipFill>
                  <pic:spPr>
                    <a:xfrm>
                      <a:off x="0" y="0"/>
                      <a:ext cx="6400800" cy="2651311"/>
                    </a:xfrm>
                    <a:prstGeom prst="rect"/>
                  </pic:spPr>
                </pic:pic>
              </a:graphicData>
            </a:graphic>
          </wp:inline>
        </w:drawing>
      </w:r>
    </w:p>
    <w:p>
      <w:pPr>
        <w:spacing w:after="180" w:before="0"/>
      </w:pPr>
      <w:r>
        <w:rPr>
          <w:b w:val="0"/>
          <w:i/>
          <w:color w:val="6E7B77"/>
          <w:sz w:val="17"/>
        </w:rPr>
        <w:t>Figure 13 · Operating cash cannot cover BOTH a 100% payout and the RTA instalment. The gap is ~AED 340 mn a year, every year, until November 2030.</w:t>
      </w:r>
    </w:p>
    <w:p>
      <w:pPr>
        <w:spacing w:after="120" w:before="0"/>
      </w:pPr>
      <w:r>
        <w:rPr>
          <w:b w:val="0"/>
          <w:i w:val="0"/>
          <w:color w:val="1C3A36"/>
          <w:sz w:val="21"/>
        </w:rPr>
        <w:t>Read the third row carefully, because it is the important one. With a 100% payout the retained wedge is not a choice — it is ALWAYS D&amp;A less capex, at any level of profit. So it is AED 116 mn whether Salik earns AED 1.5 bn or AED 2.1 bn. Against an instalment of AED 455.7 mn, that leaves a structural gap of roughly AED 340 mn a year — AED 1,716 mn cumulatively over FY2026–30 — which must come off the balance sheet: from cash, from the growing prepaid e-wallet float, or from the revolver.</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112"/>
        <w:gridCol w:w="5112"/>
      </w:tblGrid>
      <w:tr>
        <w:tc>
          <w:tcPr>
            <w:tcW w:type="dxa" w:w="6624"/>
            <w:shd w:val="clear" w:color="auto" w:fill="EAF0EE"/>
          </w:tcPr>
          <w:p>
            <w:pPr>
              <w:spacing w:after="20"/>
            </w:pPr>
            <w:r>
              <w:rPr>
                <w:b/>
                <w:color w:val="1C3A36"/>
                <w:sz w:val="17"/>
              </w:rPr>
              <w:t>What this does and does NOT mean</w:t>
            </w:r>
          </w:p>
        </w:tc>
        <w:tc>
          <w:tcPr>
            <w:tcW w:type="dxa" w:w="3456"/>
            <w:shd w:val="clear" w:color="auto" w:fill="EAF0EE"/>
          </w:tcPr>
          <w:p>
            <w:pPr>
              <w:spacing w:after="20"/>
            </w:pPr>
            <w:r>
              <w:rPr>
                <w:b/>
                <w:color w:val="1C3A36"/>
                <w:sz w:val="17"/>
              </w:rPr>
              <w:t>Verdict</w:t>
            </w:r>
          </w:p>
        </w:tc>
      </w:tr>
      <w:tr>
        <w:tc>
          <w:tcPr>
            <w:tcW w:type="dxa" w:w="6624"/>
          </w:tcPr>
          <w:p>
            <w:pPr>
              <w:spacing w:after="20"/>
            </w:pPr>
            <w:r>
              <w:rPr>
                <w:b/>
                <w:color w:val="1C3A36"/>
                <w:sz w:val="17"/>
              </w:rPr>
              <w:t>Is the DCF wrong? Should the instalment be deducted from FCFF?</w:t>
            </w:r>
          </w:p>
        </w:tc>
        <w:tc>
          <w:tcPr>
            <w:tcW w:type="dxa" w:w="3456"/>
          </w:tcPr>
          <w:p>
            <w:pPr>
              <w:spacing w:after="20"/>
              <w:jc w:val="right"/>
            </w:pPr>
            <w:r>
              <w:rPr>
                <w:color w:val="1C3A36"/>
                <w:sz w:val="17"/>
              </w:rPr>
              <w:t>NO — see below</w:t>
            </w:r>
          </w:p>
        </w:tc>
      </w:tr>
      <w:tr>
        <w:tc>
          <w:tcPr>
            <w:tcW w:type="dxa" w:w="6624"/>
          </w:tcPr>
          <w:p>
            <w:pPr>
              <w:spacing w:after="20"/>
            </w:pPr>
            <w:r>
              <w:rPr>
                <w:b/>
                <w:color w:val="1C3A36"/>
                <w:sz w:val="17"/>
              </w:rPr>
              <w:t>Is the 100% dividend under pressure?</w:t>
            </w:r>
          </w:p>
        </w:tc>
        <w:tc>
          <w:tcPr>
            <w:tcW w:type="dxa" w:w="3456"/>
          </w:tcPr>
          <w:p>
            <w:pPr>
              <w:spacing w:after="20"/>
              <w:jc w:val="right"/>
            </w:pPr>
            <w:r>
              <w:rPr>
                <w:color w:val="1C3A36"/>
                <w:sz w:val="17"/>
              </w:rPr>
              <w:t>YES — see below</w:t>
            </w:r>
          </w:p>
        </w:tc>
      </w:tr>
      <w:tr>
        <w:tc>
          <w:tcPr>
            <w:tcW w:type="dxa" w:w="6624"/>
          </w:tcPr>
          <w:p>
            <w:pPr>
              <w:spacing w:after="20"/>
            </w:pPr>
            <w:r>
              <w:rPr>
                <w:b/>
                <w:color w:val="1C3A36"/>
                <w:sz w:val="17"/>
              </w:rPr>
              <w:t>What payout would SELF-FUND the instalments from operating cash?</w:t>
            </w:r>
          </w:p>
        </w:tc>
        <w:tc>
          <w:tcPr>
            <w:tcW w:type="dxa" w:w="3456"/>
          </w:tcPr>
          <w:p>
            <w:pPr>
              <w:spacing w:after="20"/>
              <w:jc w:val="right"/>
            </w:pPr>
            <w:r>
              <w:rPr>
                <w:color w:val="1C3A36"/>
                <w:sz w:val="17"/>
              </w:rPr>
              <w:t>78%</w:t>
            </w:r>
          </w:p>
        </w:tc>
      </w:tr>
      <w:tr>
        <w:tc>
          <w:tcPr>
            <w:tcW w:type="dxa" w:w="6624"/>
            <w:shd w:val="clear" w:color="auto" w:fill="F6F1E6"/>
          </w:tcPr>
          <w:p>
            <w:pPr>
              <w:spacing w:after="20"/>
            </w:pPr>
            <w:r>
              <w:rPr>
                <w:b/>
                <w:color w:val="1C3A36"/>
                <w:sz w:val="17"/>
              </w:rPr>
              <w:t>… which would mean a DPS of</w:t>
            </w:r>
          </w:p>
        </w:tc>
        <w:tc>
          <w:tcPr>
            <w:tcW w:type="dxa" w:w="3456"/>
            <w:shd w:val="clear" w:color="auto" w:fill="F6F1E6"/>
          </w:tcPr>
          <w:p>
            <w:pPr>
              <w:spacing w:after="20"/>
              <w:jc w:val="right"/>
            </w:pPr>
            <w:r>
              <w:rPr>
                <w:b/>
                <w:color w:val="1C3A36"/>
                <w:sz w:val="17"/>
              </w:rPr>
              <w:t>AED 0.1586</w:t>
            </w:r>
          </w:p>
        </w:tc>
      </w:tr>
      <w:tr>
        <w:tc>
          <w:tcPr>
            <w:tcW w:type="dxa" w:w="6624"/>
          </w:tcPr>
          <w:p>
            <w:pPr>
              <w:spacing w:after="20"/>
            </w:pPr>
            <w:r>
              <w:rPr>
                <w:b/>
                <w:color w:val="1C3A36"/>
                <w:sz w:val="17"/>
              </w:rPr>
              <w:t>… and a DDM value of</w:t>
            </w:r>
          </w:p>
        </w:tc>
        <w:tc>
          <w:tcPr>
            <w:tcW w:type="dxa" w:w="3456"/>
          </w:tcPr>
          <w:p>
            <w:pPr>
              <w:spacing w:after="20"/>
              <w:jc w:val="right"/>
            </w:pPr>
            <w:r>
              <w:rPr>
                <w:color w:val="1C3A36"/>
                <w:sz w:val="17"/>
              </w:rPr>
              <w:t>AED 2.76 (vs AED 3.55)</w:t>
            </w:r>
          </w:p>
        </w:tc>
      </w:tr>
    </w:tbl>
    <w:p>
      <w:pPr>
        <w:spacing w:after="40"/>
      </w:pPr>
    </w:p>
    <w:tbl>
      <w:tblPr>
        <w:tblW w:type="auto" w:w="0"/>
        <w:tblLook w:firstColumn="1" w:firstRow="1" w:lastColumn="0" w:lastRow="0" w:noHBand="0" w:noVBand="1" w:val="04A0"/>
        <w:tblBorders>
          <w:top w:val="single" w:sz="6" w:space="0" w:color="896F36"/>
          <w:left w:val="single" w:sz="6" w:space="0" w:color="896F36"/>
          <w:bottom w:val="single" w:sz="6" w:space="0" w:color="896F36"/>
          <w:right w:val="single" w:sz="6" w:space="0" w:color="896F36"/>
          <w:insideH w:val="single" w:sz="6" w:space="0" w:color="896F36"/>
          <w:insideV w:val="single" w:sz="6" w:space="0" w:color="896F36"/>
        </w:tblBorders>
        <w:tblCellMar>
          <w:top w:w="110" w:type="dxa"/>
          <w:left w:w="150" w:type="dxa"/>
          <w:bottom w:w="110" w:type="dxa"/>
          <w:right w:w="150" w:type="dxa"/>
        </w:tblCellMar>
      </w:tblPr>
      <w:tblGrid>
        <w:gridCol w:w="10224"/>
      </w:tblGrid>
      <w:tr>
        <w:tc>
          <w:tcPr>
            <w:tcW w:type="dxa" w:w="10224"/>
            <w:shd w:val="clear" w:color="auto" w:fill="EFF3F1"/>
          </w:tcPr>
          <w:p>
            <w:pPr>
              <w:spacing w:after="100"/>
            </w:pPr>
            <w:r>
              <w:rPr>
                <w:b/>
                <w:color w:val="1C3A36"/>
                <w:sz w:val="19"/>
              </w:rPr>
              <w:t xml:space="preserve">Why the DCF is NOT wrong — and why deducting the instalment from FCFF would be the error. </w:t>
            </w:r>
            <w:r>
              <w:rPr>
                <w:color w:val="1C3A36"/>
                <w:sz w:val="19"/>
              </w:rPr>
              <w:t>The RTA payable is INSIDE net debt. The company said so itself: “net debt stood at AED 5,198.6 million, up from AED 3,163.3 million at the end of September 2024, mainly due to the payable of the concessionary rights to RTA.” That is a jump of AED 2,035 mn in one quarter, and it is the gate liability arriving on the balance sheet. Our DCF deducts net debt of AED 4,226.4 mn ONCE, in the bridge from enterprise value to equity value. Deducting the instalments from free cash flow AS WELL would count the same obligation twice. Principal repayment is a FINANCING flow; FCFF is measured before financing. Note also that paying the instalment is net-debt NEUTRAL — the payable falls and cash falls together — which is exactly why net debt has kept declining (AED 5,198.6 → 4,799.2 → 4,226.4 mn) while Salik paid both the instalments AND a 100% dividend. There is no liquidity crisis here. There IS a tighter dividend than the headline implies.</w:t>
            </w:r>
          </w:p>
        </w:tc>
      </w:tr>
    </w:tbl>
    <w:p>
      <w:pPr>
        <w:spacing w:after="40"/>
      </w:pPr>
    </w:p>
    <w:p>
      <w:pPr>
        <w:spacing w:after="120" w:before="0"/>
      </w:pPr>
      <w:r>
        <w:rPr>
          <w:b w:val="0"/>
          <w:i w:val="0"/>
          <w:color w:val="1C3A36"/>
          <w:sz w:val="21"/>
        </w:rPr>
        <w:t>And one thing that cuts the other way, which we should have said in version 2 and did not: the instalments END. The sixth and last falls in November 2030. From FY2031 — which is precisely where our terminal value begins — the AED 455.7 mn a year simply stops, permanently. The equity cash-flow profile improves structurally in the first year of the perpetuity, and we gave the company no credit for it.</w:t>
      </w:r>
    </w:p>
    <w:p>
      <w:pPr>
        <w:spacing w:after="100" w:before="260"/>
      </w:pPr>
      <w:r>
        <w:rPr>
          <w:b/>
          <w:i w:val="0"/>
          <w:color w:val="1C3A36"/>
          <w:sz w:val="30"/>
        </w:rPr>
        <w:t>1.3 Relative — one earnings multiple, and why it IS the dividend yield</w:t>
      </w:r>
    </w:p>
    <w:p>
      <w:pPr>
        <w:spacing w:after="120" w:before="0"/>
      </w:pPr>
      <w:r>
        <w:rPr>
          <w:b w:val="0"/>
          <w:i w:val="0"/>
          <w:color w:val="1C3A36"/>
          <w:sz w:val="21"/>
        </w:rPr>
        <w:t>Salik pays out 100% of net profit. P/E and dividend yield are therefore not two lenses — they are algebraically the same number, inverted. We run one, not two, and we say so.</w:t>
      </w:r>
    </w:p>
    <w:p>
      <w:pPr>
        <w:spacing w:after="120" w:before="0"/>
      </w:pPr>
      <w:r>
        <w:rPr>
          <w:b w:val="0"/>
          <w:i w:val="0"/>
          <w:color w:val="1C3A36"/>
          <w:sz w:val="21"/>
        </w:rPr>
        <w:t>We also do NOT value Salik on EV/EBITDA. The RTA bears 100% of the road capex and maintenance, so Salik converts 90.2% of EBITDA into free cash flow. A conventional toll road converts 50–60%, because it has to resurface its own roads. An EV/EBITDA drawn from that peer set would understate Salik by construction. We disclose the multiple; we do not value on it.</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56"/>
        <w:gridCol w:w="2556"/>
        <w:gridCol w:w="2556"/>
        <w:gridCol w:w="2556"/>
      </w:tblGrid>
      <w:tr>
        <w:tc>
          <w:tcPr>
            <w:tcW w:type="dxa" w:w="4464"/>
            <w:shd w:val="clear" w:color="auto" w:fill="EAF0EE"/>
          </w:tcPr>
          <w:p>
            <w:pPr>
              <w:spacing w:after="20"/>
            </w:pPr>
            <w:r>
              <w:rPr>
                <w:b/>
                <w:color w:val="1C3A36"/>
                <w:sz w:val="17"/>
              </w:rPr>
            </w:r>
          </w:p>
        </w:tc>
        <w:tc>
          <w:tcPr>
            <w:tcW w:type="dxa" w:w="1872"/>
            <w:shd w:val="clear" w:color="auto" w:fill="EAF0EE"/>
          </w:tcPr>
          <w:p>
            <w:pPr>
              <w:spacing w:after="20"/>
            </w:pPr>
            <w:r>
              <w:rPr>
                <w:b/>
                <w:color w:val="1C3A36"/>
                <w:sz w:val="17"/>
              </w:rPr>
              <w:t>Low</w:t>
            </w:r>
          </w:p>
        </w:tc>
        <w:tc>
          <w:tcPr>
            <w:tcW w:type="dxa" w:w="1872"/>
            <w:shd w:val="clear" w:color="auto" w:fill="EAF0EE"/>
          </w:tcPr>
          <w:p>
            <w:pPr>
              <w:spacing w:after="20"/>
            </w:pPr>
            <w:r>
              <w:rPr>
                <w:b/>
                <w:color w:val="1C3A36"/>
                <w:sz w:val="17"/>
              </w:rPr>
              <w:t>Mid</w:t>
            </w:r>
          </w:p>
        </w:tc>
        <w:tc>
          <w:tcPr>
            <w:tcW w:type="dxa" w:w="1872"/>
            <w:shd w:val="clear" w:color="auto" w:fill="EAF0EE"/>
          </w:tcPr>
          <w:p>
            <w:pPr>
              <w:spacing w:after="20"/>
            </w:pPr>
            <w:r>
              <w:rPr>
                <w:b/>
                <w:color w:val="1C3A36"/>
                <w:sz w:val="17"/>
              </w:rPr>
              <w:t>High</w:t>
            </w:r>
          </w:p>
        </w:tc>
      </w:tr>
      <w:tr>
        <w:tc>
          <w:tcPr>
            <w:tcW w:type="dxa" w:w="4464"/>
          </w:tcPr>
          <w:p>
            <w:pPr>
              <w:spacing w:after="20"/>
            </w:pPr>
            <w:r>
              <w:rPr>
                <w:b/>
                <w:color w:val="1C3A36"/>
                <w:sz w:val="17"/>
              </w:rPr>
              <w:t>Peer P/E applied</w:t>
            </w:r>
          </w:p>
        </w:tc>
        <w:tc>
          <w:tcPr>
            <w:tcW w:type="dxa" w:w="1872"/>
          </w:tcPr>
          <w:p>
            <w:pPr>
              <w:spacing w:after="20"/>
              <w:jc w:val="right"/>
            </w:pPr>
            <w:r>
              <w:rPr>
                <w:color w:val="1C3A36"/>
                <w:sz w:val="17"/>
              </w:rPr>
              <w:t>20.0×</w:t>
            </w:r>
          </w:p>
        </w:tc>
        <w:tc>
          <w:tcPr>
            <w:tcW w:type="dxa" w:w="1872"/>
          </w:tcPr>
          <w:p>
            <w:pPr>
              <w:spacing w:after="20"/>
              <w:jc w:val="right"/>
            </w:pPr>
            <w:r>
              <w:rPr>
                <w:color w:val="1C3A36"/>
                <w:sz w:val="17"/>
              </w:rPr>
              <w:t>24.0×</w:t>
            </w:r>
          </w:p>
        </w:tc>
        <w:tc>
          <w:tcPr>
            <w:tcW w:type="dxa" w:w="1872"/>
          </w:tcPr>
          <w:p>
            <w:pPr>
              <w:spacing w:after="20"/>
              <w:jc w:val="right"/>
            </w:pPr>
            <w:r>
              <w:rPr>
                <w:color w:val="1C3A36"/>
                <w:sz w:val="17"/>
              </w:rPr>
              <w:t>28.0×</w:t>
            </w:r>
          </w:p>
        </w:tc>
      </w:tr>
      <w:tr>
        <w:tc>
          <w:tcPr>
            <w:tcW w:type="dxa" w:w="4464"/>
          </w:tcPr>
          <w:p>
            <w:pPr>
              <w:spacing w:after="20"/>
            </w:pPr>
            <w:r>
              <w:rPr>
                <w:b/>
                <w:color w:val="1C3A36"/>
                <w:sz w:val="17"/>
              </w:rPr>
              <w:t>Implied dividend yield (the SAME number)</w:t>
            </w:r>
          </w:p>
        </w:tc>
        <w:tc>
          <w:tcPr>
            <w:tcW w:type="dxa" w:w="1872"/>
          </w:tcPr>
          <w:p>
            <w:pPr>
              <w:spacing w:after="20"/>
              <w:jc w:val="right"/>
            </w:pPr>
            <w:r>
              <w:rPr>
                <w:color w:val="1C3A36"/>
                <w:sz w:val="17"/>
              </w:rPr>
              <w:t>5.0%</w:t>
            </w:r>
          </w:p>
        </w:tc>
        <w:tc>
          <w:tcPr>
            <w:tcW w:type="dxa" w:w="1872"/>
          </w:tcPr>
          <w:p>
            <w:pPr>
              <w:spacing w:after="20"/>
              <w:jc w:val="right"/>
            </w:pPr>
            <w:r>
              <w:rPr>
                <w:color w:val="1C3A36"/>
                <w:sz w:val="17"/>
              </w:rPr>
              <w:t>4.2%</w:t>
            </w:r>
          </w:p>
        </w:tc>
        <w:tc>
          <w:tcPr>
            <w:tcW w:type="dxa" w:w="1872"/>
          </w:tcPr>
          <w:p>
            <w:pPr>
              <w:spacing w:after="20"/>
              <w:jc w:val="right"/>
            </w:pPr>
            <w:r>
              <w:rPr>
                <w:color w:val="1C3A36"/>
                <w:sz w:val="17"/>
              </w:rPr>
              <w:t>3.6%</w:t>
            </w:r>
          </w:p>
        </w:tc>
      </w:tr>
      <w:tr>
        <w:tc>
          <w:tcPr>
            <w:tcW w:type="dxa" w:w="4464"/>
            <w:shd w:val="clear" w:color="auto" w:fill="F6F1E6"/>
          </w:tcPr>
          <w:p>
            <w:pPr>
              <w:spacing w:after="20"/>
            </w:pPr>
            <w:r>
              <w:rPr>
                <w:b/>
                <w:color w:val="1C3A36"/>
                <w:sz w:val="17"/>
              </w:rPr>
              <w:t>× FY2026E EPS = DPS (AED 0.2039)</w:t>
            </w:r>
          </w:p>
        </w:tc>
        <w:tc>
          <w:tcPr>
            <w:tcW w:type="dxa" w:w="1872"/>
            <w:shd w:val="clear" w:color="auto" w:fill="F6F1E6"/>
          </w:tcPr>
          <w:p>
            <w:pPr>
              <w:spacing w:after="20"/>
              <w:jc w:val="right"/>
            </w:pPr>
            <w:r>
              <w:rPr>
                <w:b/>
                <w:color w:val="1C3A36"/>
                <w:sz w:val="17"/>
              </w:rPr>
              <w:t>AED 4.08</w:t>
            </w:r>
          </w:p>
        </w:tc>
        <w:tc>
          <w:tcPr>
            <w:tcW w:type="dxa" w:w="1872"/>
            <w:shd w:val="clear" w:color="auto" w:fill="F6F1E6"/>
          </w:tcPr>
          <w:p>
            <w:pPr>
              <w:spacing w:after="20"/>
              <w:jc w:val="right"/>
            </w:pPr>
            <w:r>
              <w:rPr>
                <w:b/>
                <w:color w:val="1C3A36"/>
                <w:sz w:val="17"/>
              </w:rPr>
              <w:t>AED 4.89</w:t>
            </w:r>
          </w:p>
        </w:tc>
        <w:tc>
          <w:tcPr>
            <w:tcW w:type="dxa" w:w="1872"/>
            <w:shd w:val="clear" w:color="auto" w:fill="F6F1E6"/>
          </w:tcPr>
          <w:p>
            <w:pPr>
              <w:spacing w:after="20"/>
              <w:jc w:val="right"/>
            </w:pPr>
            <w:r>
              <w:rPr>
                <w:b/>
                <w:color w:val="1C3A36"/>
                <w:sz w:val="17"/>
              </w:rPr>
              <w:t>AED 5.71</w:t>
            </w:r>
          </w:p>
        </w:tc>
      </w:tr>
    </w:tbl>
    <w:p>
      <w:pPr>
        <w:spacing w:after="40"/>
      </w:pP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408"/>
        <w:gridCol w:w="3408"/>
        <w:gridCol w:w="3408"/>
      </w:tblGrid>
      <w:tr>
        <w:tc>
          <w:tcPr>
            <w:tcW w:type="dxa" w:w="3917"/>
            <w:shd w:val="clear" w:color="auto" w:fill="EAF0EE"/>
          </w:tcPr>
          <w:p>
            <w:pPr>
              <w:spacing w:after="20"/>
            </w:pPr>
            <w:r>
              <w:rPr>
                <w:b/>
                <w:color w:val="1C3A36"/>
                <w:sz w:val="17"/>
              </w:rPr>
              <w:t>Cross-check at spot AED 5.70</w:t>
            </w:r>
          </w:p>
        </w:tc>
        <w:tc>
          <w:tcPr>
            <w:tcW w:type="dxa" w:w="1786"/>
            <w:shd w:val="clear" w:color="auto" w:fill="EAF0EE"/>
          </w:tcPr>
          <w:p>
            <w:pPr>
              <w:spacing w:after="20"/>
            </w:pPr>
            <w:r>
              <w:rPr>
                <w:b/>
                <w:color w:val="1C3A36"/>
                <w:sz w:val="17"/>
              </w:rPr>
              <w:t>Value</w:t>
            </w:r>
          </w:p>
        </w:tc>
        <w:tc>
          <w:tcPr>
            <w:tcW w:type="dxa" w:w="4378"/>
            <w:shd w:val="clear" w:color="auto" w:fill="EAF0EE"/>
          </w:tcPr>
          <w:p>
            <w:pPr>
              <w:spacing w:after="20"/>
            </w:pPr>
            <w:r>
              <w:rPr>
                <w:b/>
                <w:color w:val="1C3A36"/>
                <w:sz w:val="17"/>
              </w:rPr>
              <w:t>Reading</w:t>
            </w:r>
          </w:p>
        </w:tc>
      </w:tr>
      <w:tr>
        <w:tc>
          <w:tcPr>
            <w:tcW w:type="dxa" w:w="3917"/>
          </w:tcPr>
          <w:p>
            <w:pPr>
              <w:spacing w:after="20"/>
            </w:pPr>
            <w:r>
              <w:rPr>
                <w:b/>
                <w:color w:val="1C3A36"/>
                <w:sz w:val="17"/>
              </w:rPr>
              <w:t>P/E on FY2025 actual EPS</w:t>
            </w:r>
          </w:p>
        </w:tc>
        <w:tc>
          <w:tcPr>
            <w:tcW w:type="dxa" w:w="1786"/>
          </w:tcPr>
          <w:p>
            <w:pPr>
              <w:spacing w:after="20"/>
              <w:jc w:val="right"/>
            </w:pPr>
            <w:r>
              <w:rPr>
                <w:color w:val="1C3A36"/>
                <w:sz w:val="17"/>
              </w:rPr>
              <w:t>27.5×</w:t>
            </w:r>
          </w:p>
        </w:tc>
        <w:tc>
          <w:tcPr>
            <w:tcW w:type="dxa" w:w="4378"/>
          </w:tcPr>
          <w:p>
            <w:pPr>
              <w:spacing w:after="20"/>
            </w:pPr>
            <w:r>
              <w:rPr>
                <w:color w:val="1C3A36"/>
                <w:sz w:val="17"/>
              </w:rPr>
              <w:t>On a year that was 84% one-offs.</w:t>
            </w:r>
          </w:p>
        </w:tc>
      </w:tr>
      <w:tr>
        <w:tc>
          <w:tcPr>
            <w:tcW w:type="dxa" w:w="3917"/>
          </w:tcPr>
          <w:p>
            <w:pPr>
              <w:spacing w:after="20"/>
            </w:pPr>
            <w:r>
              <w:rPr>
                <w:b/>
                <w:color w:val="1C3A36"/>
                <w:sz w:val="17"/>
              </w:rPr>
              <w:t>P/E on our FY2026E EPS</w:t>
            </w:r>
          </w:p>
        </w:tc>
        <w:tc>
          <w:tcPr>
            <w:tcW w:type="dxa" w:w="1786"/>
          </w:tcPr>
          <w:p>
            <w:pPr>
              <w:spacing w:after="20"/>
              <w:jc w:val="right"/>
            </w:pPr>
            <w:r>
              <w:rPr>
                <w:color w:val="1C3A36"/>
                <w:sz w:val="17"/>
              </w:rPr>
              <w:t>28.0×</w:t>
            </w:r>
          </w:p>
        </w:tc>
        <w:tc>
          <w:tcPr>
            <w:tcW w:type="dxa" w:w="4378"/>
          </w:tcPr>
          <w:p>
            <w:pPr>
              <w:spacing w:after="20"/>
            </w:pPr>
            <w:r>
              <w:rPr>
                <w:color w:val="1C3A36"/>
                <w:sz w:val="17"/>
              </w:rPr>
              <w:t>A premium to Parkin.</w:t>
            </w:r>
          </w:p>
        </w:tc>
      </w:tr>
      <w:tr>
        <w:tc>
          <w:tcPr>
            <w:tcW w:type="dxa" w:w="3917"/>
          </w:tcPr>
          <w:p>
            <w:pPr>
              <w:spacing w:after="20"/>
            </w:pPr>
            <w:r>
              <w:rPr>
                <w:b/>
                <w:color w:val="1C3A36"/>
                <w:sz w:val="17"/>
              </w:rPr>
              <w:t>Trailing dividend yield (declared)</w:t>
            </w:r>
          </w:p>
        </w:tc>
        <w:tc>
          <w:tcPr>
            <w:tcW w:type="dxa" w:w="1786"/>
          </w:tcPr>
          <w:p>
            <w:pPr>
              <w:spacing w:after="20"/>
              <w:jc w:val="right"/>
            </w:pPr>
            <w:r>
              <w:rPr>
                <w:color w:val="1C3A36"/>
                <w:sz w:val="17"/>
              </w:rPr>
              <w:t>3.9%</w:t>
            </w:r>
          </w:p>
        </w:tc>
        <w:tc>
          <w:tcPr>
            <w:tcW w:type="dxa" w:w="4378"/>
          </w:tcPr>
          <w:p>
            <w:pPr>
              <w:spacing w:after="20"/>
            </w:pPr>
            <w:r>
              <w:rPr>
                <w:color w:val="1C3A36"/>
                <w:sz w:val="17"/>
              </w:rPr>
              <w:t>Below Parkin’s 4.2%.</w:t>
            </w:r>
          </w:p>
        </w:tc>
      </w:tr>
      <w:tr>
        <w:tc>
          <w:tcPr>
            <w:tcW w:type="dxa" w:w="3917"/>
          </w:tcPr>
          <w:p>
            <w:pPr>
              <w:spacing w:after="20"/>
            </w:pPr>
            <w:r>
              <w:rPr>
                <w:b/>
                <w:color w:val="1C3A36"/>
                <w:sz w:val="17"/>
              </w:rPr>
              <w:t>Parkin (DFM) — the RTA’s 49-yr parking concession</w:t>
            </w:r>
          </w:p>
        </w:tc>
        <w:tc>
          <w:tcPr>
            <w:tcW w:type="dxa" w:w="1786"/>
          </w:tcPr>
          <w:p>
            <w:pPr>
              <w:spacing w:after="20"/>
              <w:jc w:val="right"/>
            </w:pPr>
            <w:r>
              <w:rPr>
                <w:color w:val="1C3A36"/>
                <w:sz w:val="17"/>
              </w:rPr>
              <w:t>24.9× / 4.2%</w:t>
            </w:r>
          </w:p>
        </w:tc>
        <w:tc>
          <w:tcPr>
            <w:tcW w:type="dxa" w:w="4378"/>
          </w:tcPr>
          <w:p>
            <w:pPr>
              <w:spacing w:after="20"/>
            </w:pPr>
            <w:r>
              <w:rPr>
                <w:color w:val="1C3A36"/>
                <w:sz w:val="17"/>
              </w:rPr>
              <w:t>The only true structural comparable on earth.</w:t>
            </w:r>
          </w:p>
        </w:tc>
      </w:tr>
      <w:tr>
        <w:tc>
          <w:tcPr>
            <w:tcW w:type="dxa" w:w="3917"/>
          </w:tcPr>
          <w:p>
            <w:pPr>
              <w:spacing w:after="20"/>
            </w:pPr>
            <w:r>
              <w:rPr>
                <w:b/>
                <w:color w:val="1C3A36"/>
                <w:sz w:val="17"/>
              </w:rPr>
              <w:t>EV / FY2026E EBITDA (disclosed, NOT used)</w:t>
            </w:r>
          </w:p>
        </w:tc>
        <w:tc>
          <w:tcPr>
            <w:tcW w:type="dxa" w:w="1786"/>
          </w:tcPr>
          <w:p>
            <w:pPr>
              <w:spacing w:after="20"/>
              <w:jc w:val="right"/>
            </w:pPr>
            <w:r>
              <w:rPr>
                <w:color w:val="1C3A36"/>
                <w:sz w:val="17"/>
              </w:rPr>
              <w:t>22.6×</w:t>
            </w:r>
          </w:p>
        </w:tc>
        <w:tc>
          <w:tcPr>
            <w:tcW w:type="dxa" w:w="4378"/>
          </w:tcPr>
          <w:p>
            <w:pPr>
              <w:spacing w:after="20"/>
            </w:pPr>
            <w:r>
              <w:rPr>
                <w:color w:val="1C3A36"/>
                <w:sz w:val="17"/>
              </w:rPr>
              <w:t>Misleading across capex-free vs capex-heavy.</w:t>
            </w:r>
          </w:p>
        </w:tc>
      </w:tr>
      <w:tr>
        <w:tc>
          <w:tcPr>
            <w:tcW w:type="dxa" w:w="3917"/>
          </w:tcPr>
          <w:p>
            <w:pPr>
              <w:spacing w:after="20"/>
            </w:pPr>
            <w:r>
              <w:rPr>
                <w:b/>
                <w:color w:val="1C3A36"/>
                <w:sz w:val="17"/>
              </w:rPr>
              <w:t>EV / FY2026E FCFF (disclosed)</w:t>
            </w:r>
          </w:p>
        </w:tc>
        <w:tc>
          <w:tcPr>
            <w:tcW w:type="dxa" w:w="1786"/>
          </w:tcPr>
          <w:p>
            <w:pPr>
              <w:spacing w:after="20"/>
              <w:jc w:val="right"/>
            </w:pPr>
            <w:r>
              <w:rPr>
                <w:color w:val="1C3A36"/>
                <w:sz w:val="17"/>
              </w:rPr>
              <w:t>25.1×</w:t>
            </w:r>
          </w:p>
        </w:tc>
        <w:tc>
          <w:tcPr>
            <w:tcW w:type="dxa" w:w="4378"/>
          </w:tcPr>
          <w:p>
            <w:pPr>
              <w:spacing w:after="20"/>
            </w:pPr>
            <w:r>
              <w:rPr>
                <w:color w:val="1C3A36"/>
                <w:sz w:val="17"/>
              </w:rPr>
              <w:t>The honest cash multiple.</w:t>
            </w:r>
          </w:p>
        </w:tc>
      </w:tr>
    </w:tbl>
    <w:p>
      <w:pPr>
        <w:spacing w:after="40"/>
      </w:pPr>
    </w:p>
    <w:p>
      <w:pPr>
        <w:spacing w:after="120" w:before="0"/>
      </w:pPr>
      <w:r>
        <w:rPr>
          <w:b w:val="0"/>
          <w:i/>
          <w:color w:val="6E7B77"/>
          <w:sz w:val="18"/>
        </w:rPr>
        <w:t>One warning on this lens, which §1.2a has just earned. It works ONLY while the payout is 100%. If the board trims the payout to fund the RTA instalments, P/E and dividend yield decouple and this lens splits into two — which is why a payout change is the single most damaging thing that could happen to the valuation architecture here, and why we flag it as a discrete event in §3.</w:t>
      </w:r>
    </w:p>
    <w:p>
      <w:pPr>
        <w:spacing w:after="100" w:before="260"/>
      </w:pPr>
      <w:r>
        <w:rPr>
          <w:b/>
          <w:i w:val="0"/>
          <w:color w:val="1C3A36"/>
          <w:sz w:val="30"/>
        </w:rPr>
        <w:t>1.4 Normalized earnings power — what does a year without a war look like?</w:t>
      </w:r>
    </w:p>
    <w:p>
      <w:pPr>
        <w:spacing w:after="120" w:before="0"/>
      </w:pPr>
      <w:r>
        <w:rPr>
          <w:b w:val="0"/>
          <w:i w:val="0"/>
          <w:color w:val="1C3A36"/>
          <w:sz w:val="21"/>
        </w:rPr>
        <w:t>FY2026 is a broken year. So ask a cleaner question: with ten gates running, variable pricing embedded, and no conflict, what does Salik earn?</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112"/>
        <w:gridCol w:w="5112"/>
      </w:tblGrid>
      <w:tr>
        <w:tc>
          <w:tcPr>
            <w:tcW w:type="dxa" w:w="7056"/>
            <w:shd w:val="clear" w:color="auto" w:fill="EAF0EE"/>
          </w:tcPr>
          <w:p>
            <w:pPr>
              <w:spacing w:after="20"/>
            </w:pPr>
            <w:r>
              <w:rPr>
                <w:b/>
                <w:color w:val="1C3A36"/>
                <w:sz w:val="17"/>
              </w:rPr>
              <w:t>Normalized (non-conflict) year</w:t>
            </w:r>
          </w:p>
        </w:tc>
        <w:tc>
          <w:tcPr>
            <w:tcW w:type="dxa" w:w="2448"/>
            <w:shd w:val="clear" w:color="auto" w:fill="EAF0EE"/>
          </w:tcPr>
          <w:p>
            <w:pPr>
              <w:spacing w:after="20"/>
            </w:pPr>
            <w:r>
              <w:rPr>
                <w:b/>
                <w:color w:val="1C3A36"/>
                <w:sz w:val="17"/>
              </w:rPr>
              <w:t>Value</w:t>
            </w:r>
          </w:p>
        </w:tc>
      </w:tr>
      <w:tr>
        <w:tc>
          <w:tcPr>
            <w:tcW w:type="dxa" w:w="7056"/>
          </w:tcPr>
          <w:p>
            <w:pPr>
              <w:spacing w:after="20"/>
            </w:pPr>
            <w:r>
              <w:rPr>
                <w:b/>
                <w:color w:val="1C3A36"/>
                <w:sz w:val="17"/>
              </w:rPr>
              <w:t>Chargeable trips (FY2025 + 2% underlying)</w:t>
            </w:r>
          </w:p>
        </w:tc>
        <w:tc>
          <w:tcPr>
            <w:tcW w:type="dxa" w:w="2448"/>
          </w:tcPr>
          <w:p>
            <w:pPr>
              <w:spacing w:after="20"/>
              <w:jc w:val="right"/>
            </w:pPr>
            <w:r>
              <w:rPr>
                <w:color w:val="1C3A36"/>
                <w:sz w:val="17"/>
              </w:rPr>
              <w:t>651.9 mn</w:t>
            </w:r>
          </w:p>
        </w:tc>
      </w:tr>
      <w:tr>
        <w:tc>
          <w:tcPr>
            <w:tcW w:type="dxa" w:w="7056"/>
          </w:tcPr>
          <w:p>
            <w:pPr>
              <w:spacing w:after="20"/>
            </w:pPr>
            <w:r>
              <w:rPr>
                <w:b/>
                <w:color w:val="1C3A36"/>
                <w:sz w:val="17"/>
              </w:rPr>
              <w:t>Revenue</w:t>
            </w:r>
          </w:p>
        </w:tc>
        <w:tc>
          <w:tcPr>
            <w:tcW w:type="dxa" w:w="2448"/>
          </w:tcPr>
          <w:p>
            <w:pPr>
              <w:spacing w:after="20"/>
              <w:jc w:val="right"/>
            </w:pPr>
            <w:r>
              <w:rPr>
                <w:color w:val="1C3A36"/>
                <w:sz w:val="17"/>
              </w:rPr>
              <w:t>AED 3,254 mn</w:t>
            </w:r>
          </w:p>
        </w:tc>
      </w:tr>
      <w:tr>
        <w:tc>
          <w:tcPr>
            <w:tcW w:type="dxa" w:w="7056"/>
          </w:tcPr>
          <w:p>
            <w:pPr>
              <w:spacing w:after="20"/>
            </w:pPr>
            <w:r>
              <w:rPr>
                <w:b/>
                <w:color w:val="1C3A36"/>
                <w:sz w:val="17"/>
              </w:rPr>
              <w:t>EBITDA</w:t>
            </w:r>
          </w:p>
        </w:tc>
        <w:tc>
          <w:tcPr>
            <w:tcW w:type="dxa" w:w="2448"/>
          </w:tcPr>
          <w:p>
            <w:pPr>
              <w:spacing w:after="20"/>
              <w:jc w:val="right"/>
            </w:pPr>
            <w:r>
              <w:rPr>
                <w:color w:val="1C3A36"/>
                <w:sz w:val="17"/>
              </w:rPr>
              <w:t>AED 2,267 mn</w:t>
            </w:r>
          </w:p>
        </w:tc>
      </w:tr>
      <w:tr>
        <w:tc>
          <w:tcPr>
            <w:tcW w:type="dxa" w:w="7056"/>
          </w:tcPr>
          <w:p>
            <w:pPr>
              <w:spacing w:after="20"/>
            </w:pPr>
            <w:r>
              <w:rPr>
                <w:b/>
                <w:color w:val="1C3A36"/>
                <w:sz w:val="17"/>
              </w:rPr>
              <w:t>EBITDA margin</w:t>
            </w:r>
          </w:p>
        </w:tc>
        <w:tc>
          <w:tcPr>
            <w:tcW w:type="dxa" w:w="2448"/>
          </w:tcPr>
          <w:p>
            <w:pPr>
              <w:spacing w:after="20"/>
              <w:jc w:val="right"/>
            </w:pPr>
            <w:r>
              <w:rPr>
                <w:color w:val="1C3A36"/>
                <w:sz w:val="17"/>
              </w:rPr>
              <w:t>69.7%</w:t>
            </w:r>
          </w:p>
        </w:tc>
      </w:tr>
      <w:tr>
        <w:tc>
          <w:tcPr>
            <w:tcW w:type="dxa" w:w="7056"/>
          </w:tcPr>
          <w:p>
            <w:pPr>
              <w:spacing w:after="20"/>
            </w:pPr>
            <w:r>
              <w:rPr>
                <w:b/>
                <w:color w:val="1C3A36"/>
                <w:sz w:val="17"/>
              </w:rPr>
              <w:t>Net profit</w:t>
            </w:r>
          </w:p>
        </w:tc>
        <w:tc>
          <w:tcPr>
            <w:tcW w:type="dxa" w:w="2448"/>
          </w:tcPr>
          <w:p>
            <w:pPr>
              <w:spacing w:after="20"/>
              <w:jc w:val="right"/>
            </w:pPr>
            <w:r>
              <w:rPr>
                <w:color w:val="1C3A36"/>
                <w:sz w:val="17"/>
              </w:rPr>
              <w:t>AED 1,700 mn</w:t>
            </w:r>
          </w:p>
        </w:tc>
      </w:tr>
      <w:tr>
        <w:tc>
          <w:tcPr>
            <w:tcW w:type="dxa" w:w="7056"/>
          </w:tcPr>
          <w:p>
            <w:pPr>
              <w:spacing w:after="20"/>
            </w:pPr>
            <w:r>
              <w:rPr>
                <w:b/>
                <w:color w:val="1C3A36"/>
                <w:sz w:val="17"/>
              </w:rPr>
              <w:t>Normalized EPS = DPS (100% payout)</w:t>
            </w:r>
          </w:p>
        </w:tc>
        <w:tc>
          <w:tcPr>
            <w:tcW w:type="dxa" w:w="2448"/>
          </w:tcPr>
          <w:p>
            <w:pPr>
              <w:spacing w:after="20"/>
              <w:jc w:val="right"/>
            </w:pPr>
            <w:r>
              <w:rPr>
                <w:color w:val="1C3A36"/>
                <w:sz w:val="17"/>
              </w:rPr>
              <w:t>AED 0.2267</w:t>
            </w:r>
          </w:p>
        </w:tc>
      </w:tr>
      <w:tr>
        <w:tc>
          <w:tcPr>
            <w:tcW w:type="dxa" w:w="7056"/>
          </w:tcPr>
          <w:p>
            <w:pPr>
              <w:spacing w:after="20"/>
            </w:pPr>
            <w:r>
              <w:rPr>
                <w:b/>
                <w:color w:val="1C3A36"/>
                <w:sz w:val="17"/>
              </w:rPr>
              <w:t>vs our FY2026E net profit</w:t>
            </w:r>
          </w:p>
        </w:tc>
        <w:tc>
          <w:tcPr>
            <w:tcW w:type="dxa" w:w="2448"/>
          </w:tcPr>
          <w:p>
            <w:pPr>
              <w:spacing w:after="20"/>
              <w:jc w:val="right"/>
            </w:pPr>
            <w:r>
              <w:rPr>
                <w:color w:val="1C3A36"/>
                <w:sz w:val="17"/>
              </w:rPr>
              <w:t>+11.2%</w:t>
            </w:r>
          </w:p>
        </w:tc>
      </w:tr>
      <w:tr>
        <w:tc>
          <w:tcPr>
            <w:tcW w:type="dxa" w:w="7056"/>
          </w:tcPr>
          <w:p>
            <w:pPr>
              <w:spacing w:after="20"/>
            </w:pPr>
            <w:r>
              <w:rPr>
                <w:b/>
                <w:color w:val="1C3A36"/>
                <w:sz w:val="17"/>
              </w:rPr>
              <w:t>× P/E (mid of the peer band, 24×)</w:t>
            </w:r>
          </w:p>
        </w:tc>
        <w:tc>
          <w:tcPr>
            <w:tcW w:type="dxa" w:w="2448"/>
          </w:tcPr>
          <w:p>
            <w:pPr>
              <w:spacing w:after="20"/>
              <w:jc w:val="right"/>
            </w:pPr>
            <w:r>
              <w:rPr>
                <w:color w:val="1C3A36"/>
                <w:sz w:val="17"/>
              </w:rPr>
              <w:t>AED 5.44</w:t>
            </w:r>
          </w:p>
        </w:tc>
      </w:tr>
    </w:tbl>
    <w:p>
      <w:pPr>
        <w:spacing w:after="40"/>
      </w:pPr>
    </w:p>
    <w:p>
      <w:pPr>
        <w:spacing w:after="120" w:before="0"/>
      </w:pPr>
      <w:r>
        <w:rPr>
          <w:b w:val="0"/>
          <w:i/>
          <w:color w:val="6E7B77"/>
          <w:sz w:val="18"/>
        </w:rPr>
        <w:t>This is the most generous of our four lenses, and deliberately so: it assumes the war ends and Dubai’s traffic returns. It still lands at AED 5.44, below spot.</w:t>
      </w:r>
    </w:p>
    <w:p>
      <w:pPr>
        <w:spacing w:after="100" w:before="260"/>
      </w:pPr>
      <w:r>
        <w:rPr>
          <w:b/>
          <w:i w:val="0"/>
          <w:color w:val="1C3A36"/>
          <w:sz w:val="30"/>
        </w:rPr>
        <w:t>1.5 Synthesis — four lenses, one field</w:t>
      </w:r>
    </w:p>
    <w:p>
      <w:pPr>
        <w:spacing w:after="40"/>
        <w:jc w:val="center"/>
      </w:pPr>
      <w:r>
        <w:drawing>
          <wp:inline xmlns:a="http://schemas.openxmlformats.org/drawingml/2006/main" xmlns:pic="http://schemas.openxmlformats.org/drawingml/2006/picture">
            <wp:extent cx="6309360" cy="2761309"/>
            <wp:docPr id="3" name="Picture 3"/>
            <wp:cNvGraphicFramePr>
              <a:graphicFrameLocks noChangeAspect="1"/>
            </wp:cNvGraphicFramePr>
            <a:graphic>
              <a:graphicData uri="http://schemas.openxmlformats.org/drawingml/2006/picture">
                <pic:pic>
                  <pic:nvPicPr>
                    <pic:cNvPr id="0" name="f1_field.png"/>
                    <pic:cNvPicPr/>
                  </pic:nvPicPr>
                  <pic:blipFill>
                    <a:blip r:embed="rId11"/>
                    <a:stretch>
                      <a:fillRect/>
                    </a:stretch>
                  </pic:blipFill>
                  <pic:spPr>
                    <a:xfrm>
                      <a:off x="0" y="0"/>
                      <a:ext cx="6309360" cy="2761309"/>
                    </a:xfrm>
                    <a:prstGeom prst="rect"/>
                  </pic:spPr>
                </pic:pic>
              </a:graphicData>
            </a:graphic>
          </wp:inline>
        </w:drawing>
      </w:r>
    </w:p>
    <w:p>
      <w:pPr>
        <w:spacing w:after="180" w:before="0"/>
      </w:pPr>
      <w:r>
        <w:rPr>
          <w:b w:val="0"/>
          <w:i/>
          <w:color w:val="6E7B77"/>
          <w:sz w:val="17"/>
        </w:rPr>
        <w:t>Figure 1 · Each lens’s bear–bull span, its central mark, and the weighted central against spot. Spot sits inside the combined range — but near the top of it.</w:t>
      </w:r>
    </w:p>
    <w:p>
      <w:pPr>
        <w:spacing w:after="120" w:before="0"/>
      </w:pPr>
      <w:r>
        <w:rPr>
          <w:b w:val="0"/>
          <w:i w:val="0"/>
          <w:color w:val="1C3A36"/>
          <w:sz w:val="21"/>
        </w:rPr>
        <w:t>Weighted central AED 4.62; combined band AED 3.32 to AED 7.05. Spot of AED 5.70 sits inside that band, but above the central mark of all four lenses. That is a coherent picture rather than a scattered one, and it is worth saying plainly: on our central assumptions the market is paying for a better business than the one we can build from the disclosures. Everything from §1.6 on is about whether our assumptions or the market’s are the ones that need revisiting — and this time we can settle a large part of it with data rather than opinion.</w:t>
      </w:r>
    </w:p>
    <w:p>
      <w:r>
        <w:br w:type="page"/>
      </w:r>
    </w:p>
    <w:p>
      <w:pPr>
        <w:spacing w:after="100" w:before="260"/>
      </w:pPr>
      <w:r>
        <w:rPr>
          <w:b/>
          <w:i w:val="0"/>
          <w:color w:val="1C3A36"/>
          <w:sz w:val="30"/>
        </w:rPr>
        <w:t>1.6 The drivers — the sourcing gate, the audit receipt, and the two things that reframe them</w:t>
      </w:r>
    </w:p>
    <w:p>
      <w:pPr>
        <w:spacing w:after="120" w:before="0"/>
      </w:pPr>
      <w:r>
        <w:rPr>
          <w:b w:val="0"/>
          <w:i w:val="0"/>
          <w:color w:val="1C3A36"/>
          <w:sz w:val="21"/>
        </w:rPr>
        <w:t>Our standing rule: before any forward driver is set, every driver declares where it came from. Salik is the rare case where the core driver is genuinely bottom-up — and we can prove it.</w:t>
      </w:r>
    </w:p>
    <w:p>
      <w:pPr>
        <w:spacing w:after="80" w:before="180"/>
      </w:pPr>
      <w:r>
        <w:rPr>
          <w:b/>
          <w:i w:val="0"/>
          <w:color w:val="1C3A36"/>
          <w:sz w:val="23"/>
        </w:rPr>
        <w:t>1.6a The audit receipt</w:t>
      </w:r>
    </w:p>
    <w:p>
      <w:pPr>
        <w:spacing w:after="120" w:before="0"/>
      </w:pPr>
      <w:r>
        <w:rPr>
          <w:b w:val="0"/>
          <w:i w:val="0"/>
          <w:color w:val="1C3A36"/>
          <w:sz w:val="21"/>
        </w:rPr>
        <w:t>Salik discloses, for Q1-2026, the number of peak trips (charged AED 6) and off-peak trips (charged AED 4). Multiply and add:</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112"/>
        <w:gridCol w:w="5112"/>
      </w:tblGrid>
      <w:tr>
        <w:tc>
          <w:tcPr>
            <w:tcW w:type="dxa" w:w="5184"/>
            <w:shd w:val="clear" w:color="auto" w:fill="EAF0EE"/>
          </w:tcPr>
          <w:p>
            <w:pPr>
              <w:spacing w:after="20"/>
            </w:pPr>
            <w:r>
              <w:rPr>
                <w:b/>
                <w:color w:val="1C3A36"/>
                <w:sz w:val="17"/>
              </w:rPr>
              <w:t>Q1-2026 rebuild</w:t>
            </w:r>
          </w:p>
        </w:tc>
        <w:tc>
          <w:tcPr>
            <w:tcW w:type="dxa" w:w="4896"/>
            <w:shd w:val="clear" w:color="auto" w:fill="EAF0EE"/>
          </w:tcPr>
          <w:p>
            <w:pPr>
              <w:spacing w:after="20"/>
            </w:pPr>
            <w:r>
              <w:rPr>
                <w:b/>
                <w:color w:val="1C3A36"/>
                <w:sz w:val="17"/>
              </w:rPr>
              <w:t>Value</w:t>
            </w:r>
          </w:p>
        </w:tc>
      </w:tr>
      <w:tr>
        <w:tc>
          <w:tcPr>
            <w:tcW w:type="dxa" w:w="5184"/>
          </w:tcPr>
          <w:p>
            <w:pPr>
              <w:spacing w:after="20"/>
            </w:pPr>
            <w:r>
              <w:rPr>
                <w:b/>
                <w:color w:val="1C3A36"/>
                <w:sz w:val="17"/>
              </w:rPr>
              <w:t>Peak trips × AED 6</w:t>
            </w:r>
          </w:p>
        </w:tc>
        <w:tc>
          <w:tcPr>
            <w:tcW w:type="dxa" w:w="4896"/>
          </w:tcPr>
          <w:p>
            <w:pPr>
              <w:spacing w:after="20"/>
              <w:jc w:val="right"/>
            </w:pPr>
            <w:r>
              <w:rPr>
                <w:color w:val="1C3A36"/>
                <w:sz w:val="17"/>
              </w:rPr>
              <w:t>53.7 mn × 6 = AED 322.2 mn</w:t>
            </w:r>
          </w:p>
        </w:tc>
      </w:tr>
      <w:tr>
        <w:tc>
          <w:tcPr>
            <w:tcW w:type="dxa" w:w="5184"/>
          </w:tcPr>
          <w:p>
            <w:pPr>
              <w:spacing w:after="20"/>
            </w:pPr>
            <w:r>
              <w:rPr>
                <w:b/>
                <w:color w:val="1C3A36"/>
                <w:sz w:val="17"/>
              </w:rPr>
              <w:t>Off-peak trips × AED 4</w:t>
            </w:r>
          </w:p>
        </w:tc>
        <w:tc>
          <w:tcPr>
            <w:tcW w:type="dxa" w:w="4896"/>
          </w:tcPr>
          <w:p>
            <w:pPr>
              <w:spacing w:after="20"/>
              <w:jc w:val="right"/>
            </w:pPr>
            <w:r>
              <w:rPr>
                <w:color w:val="1C3A36"/>
                <w:sz w:val="17"/>
              </w:rPr>
              <w:t>75.9 mn × 4 = AED 303.6 mn</w:t>
            </w:r>
          </w:p>
        </w:tc>
      </w:tr>
      <w:tr>
        <w:tc>
          <w:tcPr>
            <w:tcW w:type="dxa" w:w="5184"/>
          </w:tcPr>
          <w:p>
            <w:pPr>
              <w:spacing w:after="20"/>
            </w:pPr>
            <w:r>
              <w:rPr>
                <w:b/>
                <w:color w:val="1C3A36"/>
                <w:sz w:val="17"/>
              </w:rPr>
              <w:t>Rebuilt toll usage revenue</w:t>
            </w:r>
          </w:p>
        </w:tc>
        <w:tc>
          <w:tcPr>
            <w:tcW w:type="dxa" w:w="4896"/>
          </w:tcPr>
          <w:p>
            <w:pPr>
              <w:spacing w:after="20"/>
              <w:jc w:val="right"/>
            </w:pPr>
            <w:r>
              <w:rPr>
                <w:color w:val="1C3A36"/>
                <w:sz w:val="17"/>
              </w:rPr>
              <w:t>AED 625.8 mn</w:t>
            </w:r>
          </w:p>
        </w:tc>
      </w:tr>
      <w:tr>
        <w:tc>
          <w:tcPr>
            <w:tcW w:type="dxa" w:w="5184"/>
            <w:shd w:val="clear" w:color="auto" w:fill="F6F1E6"/>
          </w:tcPr>
          <w:p>
            <w:pPr>
              <w:spacing w:after="20"/>
            </w:pPr>
            <w:r>
              <w:rPr>
                <w:b/>
                <w:color w:val="1C3A36"/>
                <w:sz w:val="17"/>
              </w:rPr>
              <w:t>Toll usage revenue as REPORTED</w:t>
            </w:r>
          </w:p>
        </w:tc>
        <w:tc>
          <w:tcPr>
            <w:tcW w:type="dxa" w:w="4896"/>
            <w:shd w:val="clear" w:color="auto" w:fill="F6F1E6"/>
          </w:tcPr>
          <w:p>
            <w:pPr>
              <w:spacing w:after="20"/>
              <w:jc w:val="right"/>
            </w:pPr>
            <w:r>
              <w:rPr>
                <w:b/>
                <w:color w:val="1C3A36"/>
                <w:sz w:val="17"/>
              </w:rPr>
              <w:t>AED 625.5 mn</w:t>
            </w:r>
          </w:p>
        </w:tc>
      </w:tr>
      <w:tr>
        <w:tc>
          <w:tcPr>
            <w:tcW w:type="dxa" w:w="5184"/>
          </w:tcPr>
          <w:p>
            <w:pPr>
              <w:spacing w:after="20"/>
            </w:pPr>
            <w:r>
              <w:rPr>
                <w:b/>
                <w:color w:val="1C3A36"/>
                <w:sz w:val="17"/>
              </w:rPr>
              <w:t>Rebuild error</w:t>
            </w:r>
          </w:p>
        </w:tc>
        <w:tc>
          <w:tcPr>
            <w:tcW w:type="dxa" w:w="4896"/>
          </w:tcPr>
          <w:p>
            <w:pPr>
              <w:spacing w:after="20"/>
              <w:jc w:val="right"/>
            </w:pPr>
            <w:r>
              <w:rPr>
                <w:color w:val="1C3A36"/>
                <w:sz w:val="17"/>
              </w:rPr>
              <w:t>+0.05%</w:t>
            </w:r>
          </w:p>
        </w:tc>
      </w:tr>
      <w:tr>
        <w:tc>
          <w:tcPr>
            <w:tcW w:type="dxa" w:w="5184"/>
          </w:tcPr>
          <w:p>
            <w:pPr>
              <w:spacing w:after="20"/>
            </w:pPr>
            <w:r>
              <w:rPr>
                <w:b/>
                <w:color w:val="1C3A36"/>
                <w:sz w:val="17"/>
              </w:rPr>
              <w:t>Residual: chargeable trips LESS trips that actually paid</w:t>
            </w:r>
          </w:p>
        </w:tc>
        <w:tc>
          <w:tcPr>
            <w:tcW w:type="dxa" w:w="4896"/>
          </w:tcPr>
          <w:p>
            <w:pPr>
              <w:spacing w:after="20"/>
              <w:jc w:val="right"/>
            </w:pPr>
            <w:r>
              <w:rPr>
                <w:color w:val="1C3A36"/>
                <w:sz w:val="17"/>
              </w:rPr>
              <w:t>16.1 mn (11.1% of chargeable)</w:t>
            </w:r>
          </w:p>
        </w:tc>
      </w:tr>
    </w:tbl>
    <w:p>
      <w:pPr>
        <w:spacing w:after="40"/>
      </w:pPr>
    </w:p>
    <w:p>
      <w:pPr>
        <w:spacing w:after="120" w:before="0"/>
      </w:pPr>
      <w:r>
        <w:rPr>
          <w:b w:val="0"/>
          <w:i w:val="0"/>
          <w:color w:val="1C3A36"/>
          <w:sz w:val="21"/>
        </w:rPr>
        <w:t>The disclosed tariff split reproduces reported toll revenue to five hundredths of one per cent, so every forward toll driver here is built from company-disclosed inputs. Two things fall out of it that the company does not spell out.</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10" w:type="dxa"/>
          <w:left w:w="150" w:type="dxa"/>
          <w:bottom w:w="110" w:type="dxa"/>
          <w:right w:w="150" w:type="dxa"/>
        </w:tblCellMar>
      </w:tblPr>
      <w:tblGrid>
        <w:gridCol w:w="10224"/>
      </w:tblGrid>
      <w:tr>
        <w:tc>
          <w:tcPr>
            <w:tcW w:type="dxa" w:w="10224"/>
            <w:shd w:val="clear" w:color="auto" w:fill="F6F1E6"/>
          </w:tcPr>
          <w:p>
            <w:pPr>
              <w:spacing w:after="100"/>
            </w:pPr>
            <w:r>
              <w:rPr>
                <w:b/>
                <w:color w:val="1C3A36"/>
                <w:sz w:val="19"/>
              </w:rPr>
              <w:t xml:space="preserve">The residual, and what we will NOT claim about it. </w:t>
            </w:r>
            <w:r>
              <w:rPr>
                <w:color w:val="1C3A36"/>
                <w:sz w:val="19"/>
              </w:rPr>
              <w:t>Of the 145.7 mn trips the company calls “chargeable” in Q1-2026, only 129.6 mn actually paid anything. The residual 16.1 mn — 11.1% — generated no revenue, and the company does NOT break it out. Version 2 of this study labelled the whole residual as the free 01:00–06:00 window. That was more confident than the disclosure supports and we are withdrawing it. What we can say: it is almost certainly NOT collection leakage. Salik reports net violations at just 0.4% of net toll traffic, and describes its own toll leakage as “insignificant”. What we cannot say is the exact split between the free overnight window, a weekend or holiday tier, grace periods, and anything else. There is also a definitional tension in the company’s own documents — the Annual Report defines net toll traffic as EXCLUDING free-time trips, yet the Q1 arithmetic only closes if they are INCLUDED in “chargeable”. We report the residual, we flag the tension, and we do not attribute it.</w:t>
            </w:r>
          </w:p>
        </w:tc>
      </w:tr>
    </w:tbl>
    <w:p>
      <w:pPr>
        <w:spacing w:after="40"/>
      </w:pPr>
    </w:p>
    <w:p>
      <w:pPr>
        <w:pStyle w:val="ListBullet"/>
        <w:spacing w:after="60"/>
      </w:pPr>
      <w:r>
        <w:rPr>
          <w:b/>
          <w:color w:val="1C3A36"/>
          <w:sz w:val="20"/>
        </w:rPr>
        <w:t xml:space="preserve">The +36.6% peak-trip figure is a base-period artefact. </w:t>
      </w:r>
      <w:r>
        <w:rPr>
          <w:color w:val="1C3A36"/>
          <w:sz w:val="20"/>
        </w:rPr>
        <w:t>Salik reported peak trips +36.6% y/y in Q1-2026 while total chargeable trips FELL 7.7%. That is NOT drivers moving into the expensive window. Variable pricing only began on 31 January 2025, so a third of the Q1-2025 base had no peak tier at all. On a like-for-like monthly basis peak trips were DOWN about 9%. We do not use the +36.6% as a demand signal, and neither should anyone else.</w:t>
      </w:r>
    </w:p>
    <w:p>
      <w:pPr>
        <w:spacing w:after="80" w:before="180"/>
      </w:pPr>
      <w:r>
        <w:rPr>
          <w:b/>
          <w:i w:val="0"/>
          <w:color w:val="1C3A36"/>
          <w:sz w:val="23"/>
        </w:rPr>
        <w:t>1.6b Two growth engines — and only one of them is free</w:t>
      </w:r>
    </w:p>
    <w:p>
      <w:pPr>
        <w:spacing w:after="120" w:before="0"/>
      </w:pPr>
      <w:r>
        <w:rPr>
          <w:b w:val="0"/>
          <w:i w:val="0"/>
          <w:color w:val="1C3A36"/>
          <w:sz w:val="21"/>
        </w:rPr>
        <w:t>Salik can grow in exactly two ways. They have completely different economics, and the market may be paying for the wrong one.</w:t>
      </w:r>
    </w:p>
    <w:p>
      <w:pPr>
        <w:pStyle w:val="ListBullet"/>
        <w:spacing w:after="60"/>
      </w:pPr>
      <w:r>
        <w:rPr>
          <w:b/>
          <w:color w:val="1C3A36"/>
          <w:sz w:val="20"/>
        </w:rPr>
        <w:t xml:space="preserve">ENGINE ONE — organic traffic. </w:t>
      </w:r>
      <w:r>
        <w:rPr>
          <w:color w:val="1C3A36"/>
          <w:sz w:val="20"/>
        </w:rPr>
        <w:t>More cars through the gates Salik ALREADY owns. No capital at all — the RTA owns the roads and maintains them. Every incremental dirham drops to the owner. THIS is what deserves a premium multiple, and it is the only growth our DCF gives Salik any credit for.</w:t>
      </w:r>
    </w:p>
    <w:p>
      <w:pPr>
        <w:pStyle w:val="ListBullet"/>
        <w:spacing w:after="60"/>
      </w:pPr>
      <w:r>
        <w:rPr>
          <w:b/>
          <w:color w:val="1C3A36"/>
          <w:sz w:val="20"/>
        </w:rPr>
        <w:t xml:space="preserve">ENGINE TWO — buying more gates. </w:t>
      </w:r>
      <w:r>
        <w:rPr>
          <w:color w:val="1C3A36"/>
          <w:sz w:val="20"/>
        </w:rPr>
        <w:t>The RTA can add gates. Salik does not get them; Salik BUYS them. In November 2024 it bought two — Business Bay Crossing (AED 2,265 mn) and Al Safa South (AED 469 mn) — for a combined AED 2,734 mn, on top of the AED 4,200 mn it paid at the IPO for the original eight.</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408"/>
        <w:gridCol w:w="3408"/>
        <w:gridCol w:w="3408"/>
      </w:tblGrid>
      <w:tr>
        <w:tc>
          <w:tcPr>
            <w:tcW w:type="dxa" w:w="2390"/>
            <w:shd w:val="clear" w:color="auto" w:fill="EAF0EE"/>
          </w:tcPr>
          <w:p>
            <w:pPr>
              <w:spacing w:after="20"/>
            </w:pPr>
            <w:r>
              <w:rPr>
                <w:b/>
                <w:color w:val="1C3A36"/>
                <w:sz w:val="17"/>
              </w:rPr>
            </w:r>
          </w:p>
        </w:tc>
        <w:tc>
          <w:tcPr>
            <w:tcW w:type="dxa" w:w="3514"/>
            <w:shd w:val="clear" w:color="auto" w:fill="EAF0EE"/>
          </w:tcPr>
          <w:p>
            <w:pPr>
              <w:spacing w:after="20"/>
            </w:pPr>
            <w:r>
              <w:rPr>
                <w:b/>
                <w:color w:val="1C3A36"/>
                <w:sz w:val="17"/>
              </w:rPr>
              <w:t>The ORIGINAL 8 gates</w:t>
            </w:r>
          </w:p>
        </w:tc>
        <w:tc>
          <w:tcPr>
            <w:tcW w:type="dxa" w:w="4205"/>
            <w:shd w:val="clear" w:color="auto" w:fill="EAF0EE"/>
          </w:tcPr>
          <w:p>
            <w:pPr>
              <w:spacing w:after="20"/>
            </w:pPr>
            <w:r>
              <w:rPr>
                <w:b/>
                <w:color w:val="1C3A36"/>
                <w:sz w:val="17"/>
              </w:rPr>
              <w:t>The 2 gates the RTA SOLD Salik</w:t>
            </w:r>
          </w:p>
        </w:tc>
      </w:tr>
      <w:tr>
        <w:tc>
          <w:tcPr>
            <w:tcW w:type="dxa" w:w="2390"/>
          </w:tcPr>
          <w:p>
            <w:pPr>
              <w:spacing w:after="20"/>
            </w:pPr>
            <w:r>
              <w:rPr>
                <w:b/>
                <w:color w:val="1C3A36"/>
                <w:sz w:val="17"/>
              </w:rPr>
              <w:t>When</w:t>
            </w:r>
          </w:p>
        </w:tc>
        <w:tc>
          <w:tcPr>
            <w:tcW w:type="dxa" w:w="3514"/>
          </w:tcPr>
          <w:p>
            <w:pPr>
              <w:spacing w:after="20"/>
            </w:pPr>
            <w:r>
              <w:rPr>
                <w:color w:val="1C3A36"/>
                <w:sz w:val="17"/>
              </w:rPr>
              <w:t>Handed over at the Sep-2022 IPO</w:t>
            </w:r>
          </w:p>
        </w:tc>
        <w:tc>
          <w:tcPr>
            <w:tcW w:type="dxa" w:w="4205"/>
          </w:tcPr>
          <w:p>
            <w:pPr>
              <w:spacing w:after="20"/>
            </w:pPr>
            <w:r>
              <w:rPr>
                <w:color w:val="1C3A36"/>
                <w:sz w:val="17"/>
              </w:rPr>
              <w:t>Bought 24 Nov 2024</w:t>
            </w:r>
          </w:p>
        </w:tc>
      </w:tr>
      <w:tr>
        <w:tc>
          <w:tcPr>
            <w:tcW w:type="dxa" w:w="2390"/>
          </w:tcPr>
          <w:p>
            <w:pPr>
              <w:spacing w:after="20"/>
            </w:pPr>
            <w:r>
              <w:rPr>
                <w:b/>
                <w:color w:val="1C3A36"/>
                <w:sz w:val="17"/>
              </w:rPr>
              <w:t>Price paid to the RTA</w:t>
            </w:r>
          </w:p>
        </w:tc>
        <w:tc>
          <w:tcPr>
            <w:tcW w:type="dxa" w:w="3514"/>
          </w:tcPr>
          <w:p>
            <w:pPr>
              <w:spacing w:after="20"/>
            </w:pPr>
            <w:r>
              <w:rPr>
                <w:color w:val="1C3A36"/>
                <w:sz w:val="17"/>
              </w:rPr>
              <w:t>AED 4,200 mn</w:t>
            </w:r>
          </w:p>
        </w:tc>
        <w:tc>
          <w:tcPr>
            <w:tcW w:type="dxa" w:w="4205"/>
          </w:tcPr>
          <w:p>
            <w:pPr>
              <w:spacing w:after="20"/>
            </w:pPr>
            <w:r>
              <w:rPr>
                <w:color w:val="1C3A36"/>
                <w:sz w:val="17"/>
              </w:rPr>
              <w:t>AED 2,734 mn [Dubai Media Office, 28 Aug 2024]</w:t>
            </w:r>
          </w:p>
        </w:tc>
      </w:tr>
      <w:tr>
        <w:tc>
          <w:tcPr>
            <w:tcW w:type="dxa" w:w="2390"/>
          </w:tcPr>
          <w:p>
            <w:pPr>
              <w:spacing w:after="20"/>
            </w:pPr>
            <w:r>
              <w:rPr>
                <w:b/>
                <w:color w:val="1C3A36"/>
                <w:sz w:val="17"/>
              </w:rPr>
              <w:t>Incremental chargeable trips</w:t>
            </w:r>
          </w:p>
        </w:tc>
        <w:tc>
          <w:tcPr>
            <w:tcW w:type="dxa" w:w="3514"/>
          </w:tcPr>
          <w:p>
            <w:pPr>
              <w:spacing w:after="20"/>
            </w:pPr>
            <w:r>
              <w:rPr>
                <w:color w:val="1C3A36"/>
                <w:sz w:val="17"/>
              </w:rPr>
              <w:t>498.1 mn (FY2024, the clean 8-gate year)</w:t>
            </w:r>
          </w:p>
        </w:tc>
        <w:tc>
          <w:tcPr>
            <w:tcW w:type="dxa" w:w="4205"/>
          </w:tcPr>
          <w:p>
            <w:pPr>
              <w:spacing w:after="20"/>
            </w:pPr>
            <w:r>
              <w:rPr>
                <w:color w:val="1C3A36"/>
                <w:sz w:val="17"/>
              </w:rPr>
              <w:t>111 mn — the COMPANY’S OWN FY2025 projection</w:t>
            </w:r>
          </w:p>
        </w:tc>
      </w:tr>
      <w:tr>
        <w:tc>
          <w:tcPr>
            <w:tcW w:type="dxa" w:w="2390"/>
          </w:tcPr>
          <w:p>
            <w:pPr>
              <w:spacing w:after="20"/>
            </w:pPr>
            <w:r>
              <w:rPr>
                <w:b/>
                <w:color w:val="1C3A36"/>
                <w:sz w:val="17"/>
              </w:rPr>
              <w:t>Incremental toll revenue</w:t>
            </w:r>
          </w:p>
        </w:tc>
        <w:tc>
          <w:tcPr>
            <w:tcW w:type="dxa" w:w="3514"/>
          </w:tcPr>
          <w:p>
            <w:pPr>
              <w:spacing w:after="20"/>
            </w:pPr>
            <w:r>
              <w:rPr>
                <w:color w:val="1C3A36"/>
                <w:sz w:val="17"/>
              </w:rPr>
              <w:t>AED 1,992.5 mn</w:t>
            </w:r>
          </w:p>
        </w:tc>
        <w:tc>
          <w:tcPr>
            <w:tcW w:type="dxa" w:w="4205"/>
          </w:tcPr>
          <w:p>
            <w:pPr>
              <w:spacing w:after="20"/>
            </w:pPr>
            <w:r>
              <w:rPr>
                <w:color w:val="1C3A36"/>
                <w:sz w:val="17"/>
              </w:rPr>
              <w:t>AED 474 mn</w:t>
            </w:r>
          </w:p>
        </w:tc>
      </w:tr>
      <w:tr>
        <w:tc>
          <w:tcPr>
            <w:tcW w:type="dxa" w:w="2390"/>
          </w:tcPr>
          <w:p>
            <w:pPr>
              <w:spacing w:after="20"/>
            </w:pPr>
            <w:r>
              <w:rPr>
                <w:b/>
                <w:color w:val="1C3A36"/>
                <w:sz w:val="17"/>
              </w:rPr>
              <w:t>less concession fee @ 22.5%</w:t>
            </w:r>
          </w:p>
        </w:tc>
        <w:tc>
          <w:tcPr>
            <w:tcW w:type="dxa" w:w="3514"/>
          </w:tcPr>
          <w:p>
            <w:pPr>
              <w:spacing w:after="20"/>
            </w:pPr>
            <w:r>
              <w:rPr>
                <w:color w:val="1C3A36"/>
                <w:sz w:val="17"/>
              </w:rPr>
              <w:t>(within reported EBITDA)</w:t>
            </w:r>
          </w:p>
        </w:tc>
        <w:tc>
          <w:tcPr>
            <w:tcW w:type="dxa" w:w="4205"/>
          </w:tcPr>
          <w:p>
            <w:pPr>
              <w:spacing w:after="20"/>
            </w:pPr>
            <w:r>
              <w:rPr>
                <w:color w:val="1C3A36"/>
                <w:sz w:val="17"/>
              </w:rPr>
              <w:t>AED (107) mn</w:t>
            </w:r>
          </w:p>
        </w:tc>
      </w:tr>
      <w:tr>
        <w:tc>
          <w:tcPr>
            <w:tcW w:type="dxa" w:w="2390"/>
          </w:tcPr>
          <w:p>
            <w:pPr>
              <w:spacing w:after="20"/>
            </w:pPr>
            <w:r>
              <w:rPr>
                <w:b/>
                <w:color w:val="1C3A36"/>
                <w:sz w:val="17"/>
              </w:rPr>
              <w:t>less incremental opex @ 5%</w:t>
            </w:r>
          </w:p>
        </w:tc>
        <w:tc>
          <w:tcPr>
            <w:tcW w:type="dxa" w:w="3514"/>
          </w:tcPr>
          <w:p>
            <w:pPr>
              <w:spacing w:after="20"/>
            </w:pPr>
            <w:r>
              <w:rPr>
                <w:color w:val="1C3A36"/>
                <w:sz w:val="17"/>
              </w:rPr>
              <w:t>(within reported EBITDA)</w:t>
            </w:r>
          </w:p>
        </w:tc>
        <w:tc>
          <w:tcPr>
            <w:tcW w:type="dxa" w:w="4205"/>
          </w:tcPr>
          <w:p>
            <w:pPr>
              <w:spacing w:after="20"/>
            </w:pPr>
            <w:r>
              <w:rPr>
                <w:color w:val="1C3A36"/>
                <w:sz w:val="17"/>
              </w:rPr>
              <w:t>AED (24) mn</w:t>
            </w:r>
          </w:p>
        </w:tc>
      </w:tr>
      <w:tr>
        <w:tc>
          <w:tcPr>
            <w:tcW w:type="dxa" w:w="2390"/>
          </w:tcPr>
          <w:p>
            <w:pPr>
              <w:spacing w:after="20"/>
            </w:pPr>
            <w:r>
              <w:rPr>
                <w:b/>
                <w:color w:val="1C3A36"/>
                <w:sz w:val="17"/>
              </w:rPr>
              <w:t>EBITDA</w:t>
            </w:r>
          </w:p>
        </w:tc>
        <w:tc>
          <w:tcPr>
            <w:tcW w:type="dxa" w:w="3514"/>
          </w:tcPr>
          <w:p>
            <w:pPr>
              <w:spacing w:after="20"/>
            </w:pPr>
            <w:r>
              <w:rPr>
                <w:color w:val="1C3A36"/>
                <w:sz w:val="17"/>
              </w:rPr>
              <w:t>AED 1,579.1 mn (reported)</w:t>
            </w:r>
          </w:p>
        </w:tc>
        <w:tc>
          <w:tcPr>
            <w:tcW w:type="dxa" w:w="4205"/>
          </w:tcPr>
          <w:p>
            <w:pPr>
              <w:spacing w:after="20"/>
            </w:pPr>
            <w:r>
              <w:rPr>
                <w:color w:val="1C3A36"/>
                <w:sz w:val="17"/>
              </w:rPr>
              <w:t>AED 344 mn</w:t>
            </w:r>
          </w:p>
        </w:tc>
      </w:tr>
      <w:tr>
        <w:tc>
          <w:tcPr>
            <w:tcW w:type="dxa" w:w="2390"/>
          </w:tcPr>
          <w:p>
            <w:pPr>
              <w:spacing w:after="20"/>
            </w:pPr>
            <w:r>
              <w:rPr>
                <w:b/>
                <w:color w:val="1C3A36"/>
                <w:sz w:val="17"/>
              </w:rPr>
              <w:t>less D&amp;A</w:t>
            </w:r>
          </w:p>
        </w:tc>
        <w:tc>
          <w:tcPr>
            <w:tcW w:type="dxa" w:w="3514"/>
          </w:tcPr>
          <w:p>
            <w:pPr>
              <w:spacing w:after="20"/>
            </w:pPr>
            <w:r>
              <w:rPr>
                <w:color w:val="1C3A36"/>
                <w:sz w:val="17"/>
              </w:rPr>
              <w:t>AED (85.7) mn [4,200 ÷ 49 yrs]</w:t>
            </w:r>
          </w:p>
        </w:tc>
        <w:tc>
          <w:tcPr>
            <w:tcW w:type="dxa" w:w="4205"/>
          </w:tcPr>
          <w:p>
            <w:pPr>
              <w:spacing w:after="20"/>
            </w:pPr>
            <w:r>
              <w:rPr>
                <w:color w:val="1C3A36"/>
                <w:sz w:val="17"/>
              </w:rPr>
              <w:t>AED (58.6) mn [2,734 ÷ 46.67 yrs REMAINING]</w:t>
            </w:r>
          </w:p>
        </w:tc>
      </w:tr>
      <w:tr>
        <w:tc>
          <w:tcPr>
            <w:tcW w:type="dxa" w:w="2390"/>
          </w:tcPr>
          <w:p>
            <w:pPr>
              <w:spacing w:after="20"/>
            </w:pPr>
            <w:r>
              <w:rPr>
                <w:b/>
                <w:color w:val="1C3A36"/>
                <w:sz w:val="17"/>
              </w:rPr>
              <w:t>NOPAT (× 0.91)</w:t>
            </w:r>
          </w:p>
        </w:tc>
        <w:tc>
          <w:tcPr>
            <w:tcW w:type="dxa" w:w="3514"/>
          </w:tcPr>
          <w:p>
            <w:pPr>
              <w:spacing w:after="20"/>
            </w:pPr>
            <w:r>
              <w:rPr>
                <w:color w:val="1C3A36"/>
                <w:sz w:val="17"/>
              </w:rPr>
              <w:t>AED 1,354 mn</w:t>
            </w:r>
          </w:p>
        </w:tc>
        <w:tc>
          <w:tcPr>
            <w:tcW w:type="dxa" w:w="4205"/>
          </w:tcPr>
          <w:p>
            <w:pPr>
              <w:spacing w:after="20"/>
            </w:pPr>
            <w:r>
              <w:rPr>
                <w:color w:val="1C3A36"/>
                <w:sz w:val="17"/>
              </w:rPr>
              <w:t>AED 260 mn</w:t>
            </w:r>
          </w:p>
        </w:tc>
      </w:tr>
      <w:tr>
        <w:tc>
          <w:tcPr>
            <w:tcW w:type="dxa" w:w="2390"/>
          </w:tcPr>
          <w:p>
            <w:pPr>
              <w:spacing w:after="20"/>
            </w:pPr>
            <w:r>
              <w:rPr>
                <w:b/>
                <w:color w:val="1C3A36"/>
                <w:sz w:val="17"/>
              </w:rPr>
              <w:t>Invested capital</w:t>
            </w:r>
          </w:p>
        </w:tc>
        <w:tc>
          <w:tcPr>
            <w:tcW w:type="dxa" w:w="3514"/>
          </w:tcPr>
          <w:p>
            <w:pPr>
              <w:spacing w:after="20"/>
            </w:pPr>
            <w:r>
              <w:rPr>
                <w:color w:val="1C3A36"/>
                <w:sz w:val="17"/>
              </w:rPr>
              <w:t>AED 4,200 mn</w:t>
            </w:r>
          </w:p>
        </w:tc>
        <w:tc>
          <w:tcPr>
            <w:tcW w:type="dxa" w:w="4205"/>
          </w:tcPr>
          <w:p>
            <w:pPr>
              <w:spacing w:after="20"/>
            </w:pPr>
            <w:r>
              <w:rPr>
                <w:color w:val="1C3A36"/>
                <w:sz w:val="17"/>
              </w:rPr>
              <w:t>AED 2,734 mn</w:t>
            </w:r>
          </w:p>
        </w:tc>
      </w:tr>
      <w:tr>
        <w:tc>
          <w:tcPr>
            <w:tcW w:type="dxa" w:w="2390"/>
          </w:tcPr>
          <w:p>
            <w:pPr>
              <w:spacing w:after="20"/>
            </w:pPr>
            <w:r>
              <w:rPr>
                <w:b/>
                <w:color w:val="1C3A36"/>
                <w:sz w:val="17"/>
              </w:rPr>
              <w:t>RETURN ON INVESTED CAPITAL</w:t>
            </w:r>
          </w:p>
        </w:tc>
        <w:tc>
          <w:tcPr>
            <w:tcW w:type="dxa" w:w="3514"/>
          </w:tcPr>
          <w:p>
            <w:pPr>
              <w:spacing w:after="20"/>
            </w:pPr>
            <w:r>
              <w:rPr>
                <w:color w:val="1C3A36"/>
                <w:sz w:val="17"/>
              </w:rPr>
              <w:t>32%</w:t>
            </w:r>
          </w:p>
        </w:tc>
        <w:tc>
          <w:tcPr>
            <w:tcW w:type="dxa" w:w="4205"/>
          </w:tcPr>
          <w:p>
            <w:pPr>
              <w:spacing w:after="20"/>
            </w:pPr>
            <w:r>
              <w:rPr>
                <w:color w:val="1C3A36"/>
                <w:sz w:val="17"/>
              </w:rPr>
              <w:t>9.5%</w:t>
            </w:r>
          </w:p>
        </w:tc>
      </w:tr>
      <w:tr>
        <w:tc>
          <w:tcPr>
            <w:tcW w:type="dxa" w:w="2390"/>
            <w:shd w:val="clear" w:color="auto" w:fill="F6F1E6"/>
          </w:tcPr>
          <w:p>
            <w:pPr>
              <w:spacing w:after="20"/>
            </w:pPr>
            <w:r>
              <w:rPr>
                <w:b/>
                <w:color w:val="1C3A36"/>
                <w:sz w:val="17"/>
              </w:rPr>
              <w:t>… against a WACC of</w:t>
            </w:r>
          </w:p>
        </w:tc>
        <w:tc>
          <w:tcPr>
            <w:tcW w:type="dxa" w:w="3514"/>
            <w:shd w:val="clear" w:color="auto" w:fill="F6F1E6"/>
          </w:tcPr>
          <w:p>
            <w:pPr>
              <w:spacing w:after="20"/>
            </w:pPr>
            <w:r>
              <w:rPr>
                <w:b/>
                <w:color w:val="1C3A36"/>
                <w:sz w:val="17"/>
              </w:rPr>
              <w:t>8.1%</w:t>
            </w:r>
          </w:p>
        </w:tc>
        <w:tc>
          <w:tcPr>
            <w:tcW w:type="dxa" w:w="4205"/>
            <w:shd w:val="clear" w:color="auto" w:fill="F6F1E6"/>
          </w:tcPr>
          <w:p>
            <w:pPr>
              <w:spacing w:after="20"/>
            </w:pPr>
            <w:r>
              <w:rPr>
                <w:b/>
                <w:color w:val="1C3A36"/>
                <w:sz w:val="17"/>
              </w:rPr>
              <w:t>8.1%</w:t>
            </w:r>
          </w:p>
        </w:tc>
      </w:tr>
      <w:tr>
        <w:tc>
          <w:tcPr>
            <w:tcW w:type="dxa" w:w="2390"/>
          </w:tcPr>
          <w:p>
            <w:pPr>
              <w:spacing w:after="20"/>
            </w:pPr>
            <w:r>
              <w:rPr>
                <w:b/>
                <w:color w:val="1C3A36"/>
                <w:sz w:val="17"/>
              </w:rPr>
              <w:t>SPREAD</w:t>
            </w:r>
          </w:p>
        </w:tc>
        <w:tc>
          <w:tcPr>
            <w:tcW w:type="dxa" w:w="3514"/>
          </w:tcPr>
          <w:p>
            <w:pPr>
              <w:spacing w:after="20"/>
            </w:pPr>
            <w:r>
              <w:rPr>
                <w:color w:val="1C3A36"/>
                <w:sz w:val="17"/>
              </w:rPr>
              <w:t>+24 pp</w:t>
            </w:r>
          </w:p>
        </w:tc>
        <w:tc>
          <w:tcPr>
            <w:tcW w:type="dxa" w:w="4205"/>
          </w:tcPr>
          <w:p>
            <w:pPr>
              <w:spacing w:after="20"/>
            </w:pPr>
            <w:r>
              <w:rPr>
                <w:color w:val="1C3A36"/>
                <w:sz w:val="17"/>
              </w:rPr>
              <w:t>+1.4 pp</w:t>
            </w:r>
          </w:p>
        </w:tc>
      </w:tr>
    </w:tbl>
    <w:p>
      <w:pPr>
        <w:spacing w:after="40"/>
      </w:pPr>
    </w:p>
    <w:p>
      <w:pPr>
        <w:spacing w:after="40"/>
        <w:jc w:val="center"/>
      </w:pPr>
      <w:r>
        <w:drawing>
          <wp:inline xmlns:a="http://schemas.openxmlformats.org/drawingml/2006/main" xmlns:pic="http://schemas.openxmlformats.org/drawingml/2006/picture">
            <wp:extent cx="6400800" cy="2622767"/>
            <wp:docPr id="4" name="Picture 4"/>
            <wp:cNvGraphicFramePr>
              <a:graphicFrameLocks noChangeAspect="1"/>
            </wp:cNvGraphicFramePr>
            <a:graphic>
              <a:graphicData uri="http://schemas.openxmlformats.org/drawingml/2006/picture">
                <pic:pic>
                  <pic:nvPicPr>
                    <pic:cNvPr id="0" name="f3_roic.png"/>
                    <pic:cNvPicPr/>
                  </pic:nvPicPr>
                  <pic:blipFill>
                    <a:blip r:embed="rId12"/>
                    <a:stretch>
                      <a:fillRect/>
                    </a:stretch>
                  </pic:blipFill>
                  <pic:spPr>
                    <a:xfrm>
                      <a:off x="0" y="0"/>
                      <a:ext cx="6400800" cy="2622767"/>
                    </a:xfrm>
                    <a:prstGeom prst="rect"/>
                  </pic:spPr>
                </pic:pic>
              </a:graphicData>
            </a:graphic>
          </wp:inline>
        </w:drawing>
      </w:r>
    </w:p>
    <w:p>
      <w:pPr>
        <w:spacing w:after="180" w:before="0"/>
      </w:pPr>
      <w:r>
        <w:rPr>
          <w:b w:val="0"/>
          <w:i/>
          <w:color w:val="6E7B77"/>
          <w:sz w:val="17"/>
        </w:rPr>
        <w:t>Figure 3 · Two engines, one spread. The gates the RTA SOLD Salik earn barely more than the cost of capital — and in the pessimistic corner of the box, LESS.</w:t>
      </w:r>
    </w:p>
    <w:tbl>
      <w:tblPr>
        <w:tblW w:type="auto" w:w="0"/>
        <w:tblLook w:firstColumn="1" w:firstRow="1" w:lastColumn="0" w:lastRow="0" w:noHBand="0" w:noVBand="1" w:val="04A0"/>
        <w:tblBorders>
          <w:top w:val="single" w:sz="6" w:space="0" w:color="8C4A32"/>
          <w:left w:val="single" w:sz="6" w:space="0" w:color="8C4A32"/>
          <w:bottom w:val="single" w:sz="6" w:space="0" w:color="8C4A32"/>
          <w:right w:val="single" w:sz="6" w:space="0" w:color="8C4A32"/>
          <w:insideH w:val="single" w:sz="6" w:space="0" w:color="8C4A32"/>
          <w:insideV w:val="single" w:sz="6" w:space="0" w:color="8C4A32"/>
        </w:tblBorders>
        <w:tblCellMar>
          <w:top w:w="110" w:type="dxa"/>
          <w:left w:w="150" w:type="dxa"/>
          <w:bottom w:w="110" w:type="dxa"/>
          <w:right w:w="150" w:type="dxa"/>
        </w:tblCellMar>
      </w:tblPr>
      <w:tblGrid>
        <w:gridCol w:w="10224"/>
      </w:tblGrid>
      <w:tr>
        <w:tc>
          <w:tcPr>
            <w:tcW w:type="dxa" w:w="10224"/>
            <w:shd w:val="clear" w:color="auto" w:fill="F6F1E6"/>
          </w:tcPr>
          <w:p>
            <w:pPr>
              <w:spacing w:after="100"/>
            </w:pPr>
            <w:r>
              <w:rPr>
                <w:b/>
                <w:color w:val="1C3A36"/>
                <w:sz w:val="19"/>
              </w:rPr>
              <w:t xml:space="preserve">The finding, and the correction that made it sharper. </w:t>
            </w:r>
            <w:r>
              <w:rPr>
                <w:color w:val="1C3A36"/>
                <w:sz w:val="19"/>
              </w:rPr>
              <w:t>The RTA is Salik’s grantor, its regulator, its largest counterparty, its 75.1% shareholder AND the vendor of every future gate. Its Director-General is Salik’s Chairman. It priced the first eight gates to make an IPO work — which is why the headline ROIC is 32%, and why that number is the LEGACY of a cheap asset transfer rather than a repeatable economic fact. It priced the next two at fair value: 9.5% against an 8.1% cost of capital. Two corrections since version 2 made this WORSE for the company and better as analysis. First, we had the price wrong — it is AED 2,734 mn, not 2,700. Second, and more importantly, version 2 DERIVED the new gates’ trip count as a residual; the company had PUBLISHED it (approximately 111 mn revenue-generating trips in 2025, stated August 2024). Using the company’s own figure, the ROIC falls from 10.3% to 9.5% and the spread over the cost of capital roughly HALVES. Across the whole assumption box — either gate-trip figure, incremental opex from 0% to 11% — it runs 8.5% to 11.2%, and in the pessimistic corner it is BELOW the cost of capital. Our DCF therefore models ZERO new gates. If the RTA adds them, that is not upside; on the only evidence available it is balance-sheet growth at a spread of about one point.</w:t>
            </w:r>
          </w:p>
        </w:tc>
      </w:tr>
    </w:tbl>
    <w:p>
      <w:pPr>
        <w:spacing w:after="40"/>
      </w:pPr>
    </w:p>
    <w:p>
      <w:pPr>
        <w:spacing w:after="120" w:before="0"/>
      </w:pPr>
      <w:r>
        <w:rPr>
          <w:b w:val="0"/>
          <w:i/>
          <w:color w:val="6E7B77"/>
          <w:sz w:val="18"/>
        </w:rPr>
        <w:t>Two honest caveats. The AED 2,734 mn included earn-outs payable only if traffic EXCEEDS projections, and traffic is currently below them — so Salik will probably not pay them, which flatters the deal slightly. And a 9.5% return on a 45-year, inflation-hedged, monopoly cash stream in an Aa2 sovereign is not a bad asset in absolute terms. It is simply not a 32% asset, and the difference decides what multiple the equity deserves.</w:t>
      </w:r>
    </w:p>
    <w:p>
      <w:pPr>
        <w:spacing w:after="80" w:before="180"/>
      </w:pPr>
      <w:r>
        <w:rPr>
          <w:b/>
          <w:i w:val="0"/>
          <w:color w:val="1C3A36"/>
          <w:sz w:val="23"/>
        </w:rPr>
        <w:t>1.6c What actually drove FY2025 — and why almost none of it can repeat</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56"/>
        <w:gridCol w:w="2556"/>
        <w:gridCol w:w="2556"/>
        <w:gridCol w:w="2556"/>
      </w:tblGrid>
      <w:tr>
        <w:tc>
          <w:tcPr>
            <w:tcW w:type="dxa" w:w="3830"/>
            <w:shd w:val="clear" w:color="auto" w:fill="EAF0EE"/>
          </w:tcPr>
          <w:p>
            <w:pPr>
              <w:spacing w:after="20"/>
            </w:pPr>
            <w:r>
              <w:rPr>
                <w:b/>
                <w:color w:val="1C3A36"/>
                <w:sz w:val="17"/>
              </w:rPr>
              <w:t>FY2025 toll-revenue bridge</w:t>
            </w:r>
          </w:p>
        </w:tc>
        <w:tc>
          <w:tcPr>
            <w:tcW w:type="dxa" w:w="1354"/>
            <w:shd w:val="clear" w:color="auto" w:fill="EAF0EE"/>
          </w:tcPr>
          <w:p>
            <w:pPr>
              <w:spacing w:after="20"/>
            </w:pPr>
            <w:r>
              <w:rPr>
                <w:b/>
                <w:color w:val="1C3A36"/>
                <w:sz w:val="17"/>
              </w:rPr>
              <w:t>AED mn</w:t>
            </w:r>
          </w:p>
        </w:tc>
        <w:tc>
          <w:tcPr>
            <w:tcW w:type="dxa" w:w="1526"/>
            <w:shd w:val="clear" w:color="auto" w:fill="EAF0EE"/>
          </w:tcPr>
          <w:p>
            <w:pPr>
              <w:spacing w:after="20"/>
            </w:pPr>
            <w:r>
              <w:rPr>
                <w:b/>
                <w:color w:val="1C3A36"/>
                <w:sz w:val="17"/>
              </w:rPr>
              <w:t>Share of growth</w:t>
            </w:r>
          </w:p>
        </w:tc>
        <w:tc>
          <w:tcPr>
            <w:tcW w:type="dxa" w:w="3398"/>
            <w:shd w:val="clear" w:color="auto" w:fill="EAF0EE"/>
          </w:tcPr>
          <w:p>
            <w:pPr>
              <w:spacing w:after="20"/>
            </w:pPr>
            <w:r>
              <w:rPr>
                <w:b/>
                <w:color w:val="1C3A36"/>
                <w:sz w:val="17"/>
              </w:rPr>
              <w:t>Can it repeat?</w:t>
            </w:r>
          </w:p>
        </w:tc>
      </w:tr>
      <w:tr>
        <w:tc>
          <w:tcPr>
            <w:tcW w:type="dxa" w:w="3830"/>
          </w:tcPr>
          <w:p>
            <w:pPr>
              <w:spacing w:after="20"/>
            </w:pPr>
            <w:r>
              <w:rPr>
                <w:b/>
                <w:color w:val="1C3A36"/>
                <w:sz w:val="17"/>
              </w:rPr>
              <w:t>FY2024 toll revenue (8 gates, flat AED 4.000 tariff)</w:t>
            </w:r>
          </w:p>
        </w:tc>
        <w:tc>
          <w:tcPr>
            <w:tcW w:type="dxa" w:w="1354"/>
          </w:tcPr>
          <w:p>
            <w:pPr>
              <w:spacing w:after="20"/>
              <w:jc w:val="right"/>
            </w:pPr>
            <w:r>
              <w:rPr>
                <w:color w:val="1C3A36"/>
                <w:sz w:val="17"/>
              </w:rPr>
              <w:t>1,992.5</w:t>
            </w:r>
          </w:p>
        </w:tc>
        <w:tc>
          <w:tcPr>
            <w:tcW w:type="dxa" w:w="1526"/>
          </w:tcPr>
          <w:p>
            <w:pPr>
              <w:spacing w:after="20"/>
              <w:jc w:val="right"/>
            </w:pPr>
            <w:r>
              <w:rPr>
                <w:color w:val="1C3A36"/>
                <w:sz w:val="17"/>
              </w:rPr>
            </w:r>
          </w:p>
        </w:tc>
        <w:tc>
          <w:tcPr>
            <w:tcW w:type="dxa" w:w="3398"/>
          </w:tcPr>
          <w:p>
            <w:pPr>
              <w:spacing w:after="20"/>
            </w:pPr>
            <w:r>
              <w:rPr>
                <w:color w:val="1C3A36"/>
                <w:sz w:val="17"/>
              </w:rPr>
            </w:r>
          </w:p>
        </w:tc>
      </w:tr>
      <w:tr>
        <w:tc>
          <w:tcPr>
            <w:tcW w:type="dxa" w:w="3830"/>
          </w:tcPr>
          <w:p>
            <w:pPr>
              <w:spacing w:after="20"/>
            </w:pPr>
            <w:r>
              <w:rPr>
                <w:b/>
                <w:color w:val="1C3A36"/>
                <w:sz w:val="17"/>
              </w:rPr>
              <w:t>+ organic trip growth (30.0 mn × AED 4.000)</w:t>
            </w:r>
          </w:p>
        </w:tc>
        <w:tc>
          <w:tcPr>
            <w:tcW w:type="dxa" w:w="1354"/>
          </w:tcPr>
          <w:p>
            <w:pPr>
              <w:spacing w:after="20"/>
              <w:jc w:val="right"/>
            </w:pPr>
            <w:r>
              <w:rPr>
                <w:color w:val="1C3A36"/>
                <w:sz w:val="17"/>
              </w:rPr>
              <w:t>+120.0</w:t>
            </w:r>
          </w:p>
        </w:tc>
        <w:tc>
          <w:tcPr>
            <w:tcW w:type="dxa" w:w="1526"/>
          </w:tcPr>
          <w:p>
            <w:pPr>
              <w:spacing w:after="20"/>
              <w:jc w:val="right"/>
            </w:pPr>
            <w:r>
              <w:rPr>
                <w:color w:val="1C3A36"/>
                <w:sz w:val="17"/>
              </w:rPr>
              <w:t>16%</w:t>
            </w:r>
          </w:p>
        </w:tc>
        <w:tc>
          <w:tcPr>
            <w:tcW w:type="dxa" w:w="3398"/>
          </w:tcPr>
          <w:p>
            <w:pPr>
              <w:spacing w:after="20"/>
            </w:pPr>
            <w:r>
              <w:rPr>
                <w:color w:val="1C3A36"/>
                <w:sz w:val="17"/>
              </w:rPr>
              <w:t>YES — this is the real business</w:t>
            </w:r>
          </w:p>
        </w:tc>
      </w:tr>
      <w:tr>
        <w:tc>
          <w:tcPr>
            <w:tcW w:type="dxa" w:w="3830"/>
          </w:tcPr>
          <w:p>
            <w:pPr>
              <w:spacing w:after="20"/>
            </w:pPr>
            <w:r>
              <w:rPr>
                <w:b/>
                <w:color w:val="1C3A36"/>
                <w:sz w:val="17"/>
              </w:rPr>
              <w:t>+ TWO NEW GATES (111 mn × AED 4.000)</w:t>
            </w:r>
          </w:p>
        </w:tc>
        <w:tc>
          <w:tcPr>
            <w:tcW w:type="dxa" w:w="1354"/>
          </w:tcPr>
          <w:p>
            <w:pPr>
              <w:spacing w:after="20"/>
              <w:jc w:val="right"/>
            </w:pPr>
            <w:r>
              <w:rPr>
                <w:color w:val="1C3A36"/>
                <w:sz w:val="17"/>
              </w:rPr>
              <w:t>+444.0</w:t>
            </w:r>
          </w:p>
        </w:tc>
        <w:tc>
          <w:tcPr>
            <w:tcW w:type="dxa" w:w="1526"/>
          </w:tcPr>
          <w:p>
            <w:pPr>
              <w:spacing w:after="20"/>
              <w:jc w:val="right"/>
            </w:pPr>
            <w:r>
              <w:rPr>
                <w:color w:val="1C3A36"/>
                <w:sz w:val="17"/>
              </w:rPr>
              <w:t>60%</w:t>
            </w:r>
          </w:p>
        </w:tc>
        <w:tc>
          <w:tcPr>
            <w:tcW w:type="dxa" w:w="3398"/>
          </w:tcPr>
          <w:p>
            <w:pPr>
              <w:spacing w:after="20"/>
            </w:pPr>
            <w:r>
              <w:rPr>
                <w:color w:val="1C3A36"/>
                <w:sz w:val="17"/>
              </w:rPr>
              <w:t>NO — the gate count went 8→10 once</w:t>
            </w:r>
          </w:p>
        </w:tc>
      </w:tr>
      <w:tr>
        <w:tc>
          <w:tcPr>
            <w:tcW w:type="dxa" w:w="3830"/>
          </w:tcPr>
          <w:p>
            <w:pPr>
              <w:spacing w:after="20"/>
            </w:pPr>
            <w:r>
              <w:rPr>
                <w:b/>
                <w:color w:val="1C3A36"/>
                <w:sz w:val="17"/>
              </w:rPr>
              <w:t>+ REALISED-TOLL UPLIFT (639.1 mn × AED +0.272)</w:t>
            </w:r>
          </w:p>
        </w:tc>
        <w:tc>
          <w:tcPr>
            <w:tcW w:type="dxa" w:w="1354"/>
          </w:tcPr>
          <w:p>
            <w:pPr>
              <w:spacing w:after="20"/>
              <w:jc w:val="right"/>
            </w:pPr>
            <w:r>
              <w:rPr>
                <w:color w:val="1C3A36"/>
                <w:sz w:val="17"/>
              </w:rPr>
              <w:t>+173.5</w:t>
            </w:r>
          </w:p>
        </w:tc>
        <w:tc>
          <w:tcPr>
            <w:tcW w:type="dxa" w:w="1526"/>
          </w:tcPr>
          <w:p>
            <w:pPr>
              <w:spacing w:after="20"/>
              <w:jc w:val="right"/>
            </w:pPr>
            <w:r>
              <w:rPr>
                <w:color w:val="1C3A36"/>
                <w:sz w:val="17"/>
              </w:rPr>
              <w:t>24%</w:t>
            </w:r>
          </w:p>
        </w:tc>
        <w:tc>
          <w:tcPr>
            <w:tcW w:type="dxa" w:w="3398"/>
          </w:tcPr>
          <w:p>
            <w:pPr>
              <w:spacing w:after="20"/>
            </w:pPr>
            <w:r>
              <w:rPr>
                <w:color w:val="1C3A36"/>
                <w:sz w:val="17"/>
              </w:rPr>
              <w:t>NO — the tariff went flat→variable once</w:t>
            </w:r>
          </w:p>
        </w:tc>
      </w:tr>
      <w:tr>
        <w:tc>
          <w:tcPr>
            <w:tcW w:type="dxa" w:w="3830"/>
          </w:tcPr>
          <w:p>
            <w:pPr>
              <w:spacing w:after="20"/>
            </w:pPr>
            <w:r>
              <w:rPr>
                <w:b/>
                <w:color w:val="1C3A36"/>
                <w:sz w:val="17"/>
              </w:rPr>
              <w:t>FY2025 toll revenue (rebuilt)</w:t>
            </w:r>
          </w:p>
        </w:tc>
        <w:tc>
          <w:tcPr>
            <w:tcW w:type="dxa" w:w="1354"/>
          </w:tcPr>
          <w:p>
            <w:pPr>
              <w:spacing w:after="20"/>
              <w:jc w:val="right"/>
            </w:pPr>
            <w:r>
              <w:rPr>
                <w:color w:val="1C3A36"/>
                <w:sz w:val="17"/>
              </w:rPr>
              <w:t>2,730.0</w:t>
            </w:r>
          </w:p>
        </w:tc>
        <w:tc>
          <w:tcPr>
            <w:tcW w:type="dxa" w:w="1526"/>
          </w:tcPr>
          <w:p>
            <w:pPr>
              <w:spacing w:after="20"/>
              <w:jc w:val="right"/>
            </w:pPr>
            <w:r>
              <w:rPr>
                <w:color w:val="1C3A36"/>
                <w:sz w:val="17"/>
              </w:rPr>
            </w:r>
          </w:p>
        </w:tc>
        <w:tc>
          <w:tcPr>
            <w:tcW w:type="dxa" w:w="3398"/>
          </w:tcPr>
          <w:p>
            <w:pPr>
              <w:spacing w:after="20"/>
            </w:pPr>
            <w:r>
              <w:rPr>
                <w:color w:val="1C3A36"/>
                <w:sz w:val="17"/>
              </w:rPr>
            </w:r>
          </w:p>
        </w:tc>
      </w:tr>
      <w:tr>
        <w:tc>
          <w:tcPr>
            <w:tcW w:type="dxa" w:w="3830"/>
            <w:shd w:val="clear" w:color="auto" w:fill="F6F1E6"/>
          </w:tcPr>
          <w:p>
            <w:pPr>
              <w:spacing w:after="20"/>
            </w:pPr>
            <w:r>
              <w:rPr>
                <w:b/>
                <w:color w:val="1C3A36"/>
                <w:sz w:val="17"/>
              </w:rPr>
              <w:t>FY2025 toll revenue (REPORTED)</w:t>
            </w:r>
          </w:p>
        </w:tc>
        <w:tc>
          <w:tcPr>
            <w:tcW w:type="dxa" w:w="1354"/>
            <w:shd w:val="clear" w:color="auto" w:fill="F6F1E6"/>
          </w:tcPr>
          <w:p>
            <w:pPr>
              <w:spacing w:after="20"/>
              <w:jc w:val="right"/>
            </w:pPr>
            <w:r>
              <w:rPr>
                <w:b/>
                <w:color w:val="1C3A36"/>
                <w:sz w:val="17"/>
              </w:rPr>
              <w:t>2,730.0</w:t>
            </w:r>
          </w:p>
        </w:tc>
        <w:tc>
          <w:tcPr>
            <w:tcW w:type="dxa" w:w="1526"/>
            <w:shd w:val="clear" w:color="auto" w:fill="F6F1E6"/>
          </w:tcPr>
          <w:p>
            <w:pPr>
              <w:spacing w:after="20"/>
              <w:jc w:val="right"/>
            </w:pPr>
            <w:r>
              <w:rPr>
                <w:b/>
                <w:color w:val="1C3A36"/>
                <w:sz w:val="17"/>
              </w:rPr>
            </w:r>
          </w:p>
        </w:tc>
        <w:tc>
          <w:tcPr>
            <w:tcW w:type="dxa" w:w="3398"/>
            <w:shd w:val="clear" w:color="auto" w:fill="F6F1E6"/>
          </w:tcPr>
          <w:p>
            <w:pPr>
              <w:spacing w:after="20"/>
            </w:pPr>
            <w:r>
              <w:rPr>
                <w:b/>
                <w:color w:val="1C3A36"/>
                <w:sz w:val="17"/>
              </w:rPr>
              <w:t>rebuild error 0.00%</w:t>
            </w:r>
          </w:p>
        </w:tc>
      </w:tr>
    </w:tbl>
    <w:p>
      <w:pPr>
        <w:spacing w:after="40"/>
      </w:pPr>
    </w:p>
    <w:p>
      <w:pPr>
        <w:spacing w:after="40"/>
        <w:jc w:val="center"/>
      </w:pPr>
      <w:r>
        <w:drawing>
          <wp:inline xmlns:a="http://schemas.openxmlformats.org/drawingml/2006/main" xmlns:pic="http://schemas.openxmlformats.org/drawingml/2006/picture">
            <wp:extent cx="6400800" cy="2728659"/>
            <wp:docPr id="5" name="Picture 5"/>
            <wp:cNvGraphicFramePr>
              <a:graphicFrameLocks noChangeAspect="1"/>
            </wp:cNvGraphicFramePr>
            <a:graphic>
              <a:graphicData uri="http://schemas.openxmlformats.org/drawingml/2006/picture">
                <pic:pic>
                  <pic:nvPicPr>
                    <pic:cNvPr id="0" name="f2_bridge.png"/>
                    <pic:cNvPicPr/>
                  </pic:nvPicPr>
                  <pic:blipFill>
                    <a:blip r:embed="rId13"/>
                    <a:stretch>
                      <a:fillRect/>
                    </a:stretch>
                  </pic:blipFill>
                  <pic:spPr>
                    <a:xfrm>
                      <a:off x="0" y="0"/>
                      <a:ext cx="6400800" cy="2728659"/>
                    </a:xfrm>
                    <a:prstGeom prst="rect"/>
                  </pic:spPr>
                </pic:pic>
              </a:graphicData>
            </a:graphic>
          </wp:inline>
        </w:drawing>
      </w:r>
    </w:p>
    <w:p>
      <w:pPr>
        <w:spacing w:after="180" w:before="0"/>
      </w:pPr>
      <w:r>
        <w:rPr>
          <w:b w:val="0"/>
          <w:i/>
          <w:color w:val="6E7B77"/>
          <w:sz w:val="17"/>
        </w:rPr>
        <w:t>Figure 2 · The FY2025 toll-revenue bridge, on the company’s own new-gate trip figure.</w:t>
      </w:r>
    </w:p>
    <w:p>
      <w:pPr>
        <w:spacing w:after="120" w:before="0"/>
      </w:pPr>
      <w:r>
        <w:rPr>
          <w:b/>
          <w:i w:val="0"/>
          <w:color w:val="1C3A36"/>
          <w:sz w:val="21"/>
        </w:rPr>
        <w:t>84% of FY2025’s toll-revenue growth came from two one-off events. Only 16% was organic. FY2026 has no new gates and no new tariff structure. This is not a bearish claim; it is arithmetic, and it reconciles to the reported figure exactly. Anyone extrapolating 35% growth is extrapolating an artefact.</w:t>
      </w:r>
    </w:p>
    <w:p>
      <w:pPr>
        <w:spacing w:after="120" w:before="0"/>
      </w:pPr>
      <w:r>
        <w:rPr>
          <w:b w:val="0"/>
          <w:i/>
          <w:color w:val="6E7B77"/>
          <w:sz w:val="18"/>
        </w:rPr>
        <w:t>A caveat version 2 omitted, and should not have. The company’s OWN guidance for the revenue uplift from variable pricing was AED 60–110 mn a year. We show AED 173.5 mn — up to three times their estimate. The gap is almost certainly MIX: Business Bay Crossing is a peak-heavy commuter gate, so the new gates carry a higher realised toll than the network average, and part of what we label “pricing” is really “new gates”. We therefore report the two together as ONE-OFF and we do not defend the split between them. The 84% headline is robust to the reallocation, because both buckets are one-offs; only the internal split moves.</w:t>
      </w:r>
    </w:p>
    <w:p>
      <w:pPr>
        <w:spacing w:after="80" w:before="180"/>
      </w:pPr>
      <w:r>
        <w:rPr>
          <w:b/>
          <w:i w:val="0"/>
          <w:color w:val="1C3A36"/>
          <w:sz w:val="23"/>
        </w:rPr>
        <w:t>1.6d The elasticity test — the fact that cuts the other way</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56"/>
        <w:gridCol w:w="2556"/>
        <w:gridCol w:w="2556"/>
        <w:gridCol w:w="2556"/>
      </w:tblGrid>
      <w:tr>
        <w:tc>
          <w:tcPr>
            <w:tcW w:type="dxa" w:w="4536"/>
            <w:shd w:val="clear" w:color="auto" w:fill="EAF0EE"/>
          </w:tcPr>
          <w:p>
            <w:pPr>
              <w:spacing w:after="20"/>
            </w:pPr>
            <w:r>
              <w:rPr>
                <w:b/>
                <w:color w:val="1C3A36"/>
                <w:sz w:val="17"/>
              </w:rPr>
              <w:t>The variable-pricing experiment</w:t>
            </w:r>
          </w:p>
        </w:tc>
        <w:tc>
          <w:tcPr>
            <w:tcW w:type="dxa" w:w="1872"/>
            <w:shd w:val="clear" w:color="auto" w:fill="EAF0EE"/>
          </w:tcPr>
          <w:p>
            <w:pPr>
              <w:spacing w:after="20"/>
            </w:pPr>
            <w:r>
              <w:rPr>
                <w:b/>
                <w:color w:val="1C3A36"/>
                <w:sz w:val="17"/>
              </w:rPr>
              <w:t>FY2024</w:t>
            </w:r>
          </w:p>
        </w:tc>
        <w:tc>
          <w:tcPr>
            <w:tcW w:type="dxa" w:w="2621"/>
            <w:shd w:val="clear" w:color="auto" w:fill="EAF0EE"/>
          </w:tcPr>
          <w:p>
            <w:pPr>
              <w:spacing w:after="20"/>
            </w:pPr>
            <w:r>
              <w:rPr>
                <w:b/>
                <w:color w:val="1C3A36"/>
                <w:sz w:val="17"/>
              </w:rPr>
              <w:t>FY2025 (ex-new-gates)</w:t>
            </w:r>
          </w:p>
        </w:tc>
        <w:tc>
          <w:tcPr>
            <w:tcW w:type="dxa" w:w="1080"/>
            <w:shd w:val="clear" w:color="auto" w:fill="EAF0EE"/>
          </w:tcPr>
          <w:p>
            <w:pPr>
              <w:spacing w:after="20"/>
            </w:pPr>
            <w:r>
              <w:rPr>
                <w:b/>
                <w:color w:val="1C3A36"/>
                <w:sz w:val="17"/>
              </w:rPr>
              <w:t>Change</w:t>
            </w:r>
          </w:p>
        </w:tc>
      </w:tr>
      <w:tr>
        <w:tc>
          <w:tcPr>
            <w:tcW w:type="dxa" w:w="4536"/>
          </w:tcPr>
          <w:p>
            <w:pPr>
              <w:spacing w:after="20"/>
            </w:pPr>
            <w:r>
              <w:rPr>
                <w:b/>
                <w:color w:val="1C3A36"/>
                <w:sz w:val="17"/>
              </w:rPr>
              <w:t>Chargeable trips on the SAME 8 gates</w:t>
            </w:r>
          </w:p>
        </w:tc>
        <w:tc>
          <w:tcPr>
            <w:tcW w:type="dxa" w:w="1872"/>
          </w:tcPr>
          <w:p>
            <w:pPr>
              <w:spacing w:after="20"/>
              <w:jc w:val="right"/>
            </w:pPr>
            <w:r>
              <w:rPr>
                <w:color w:val="1C3A36"/>
                <w:sz w:val="17"/>
              </w:rPr>
              <w:t>498.1 mn</w:t>
            </w:r>
          </w:p>
        </w:tc>
        <w:tc>
          <w:tcPr>
            <w:tcW w:type="dxa" w:w="2621"/>
          </w:tcPr>
          <w:p>
            <w:pPr>
              <w:spacing w:after="20"/>
              <w:jc w:val="right"/>
            </w:pPr>
            <w:r>
              <w:rPr>
                <w:color w:val="1C3A36"/>
                <w:sz w:val="17"/>
              </w:rPr>
              <w:t>528.1 mn</w:t>
            </w:r>
          </w:p>
        </w:tc>
        <w:tc>
          <w:tcPr>
            <w:tcW w:type="dxa" w:w="1080"/>
          </w:tcPr>
          <w:p>
            <w:pPr>
              <w:spacing w:after="20"/>
              <w:jc w:val="right"/>
            </w:pPr>
            <w:r>
              <w:rPr>
                <w:color w:val="1C3A36"/>
                <w:sz w:val="17"/>
              </w:rPr>
              <w:t>+6.0%</w:t>
            </w:r>
          </w:p>
        </w:tc>
      </w:tr>
      <w:tr>
        <w:tc>
          <w:tcPr>
            <w:tcW w:type="dxa" w:w="4536"/>
          </w:tcPr>
          <w:p>
            <w:pPr>
              <w:spacing w:after="20"/>
            </w:pPr>
            <w:r>
              <w:rPr>
                <w:b/>
                <w:color w:val="1C3A36"/>
                <w:sz w:val="17"/>
              </w:rPr>
              <w:t>Effective realised toll</w:t>
            </w:r>
          </w:p>
        </w:tc>
        <w:tc>
          <w:tcPr>
            <w:tcW w:type="dxa" w:w="1872"/>
          </w:tcPr>
          <w:p>
            <w:pPr>
              <w:spacing w:after="20"/>
              <w:jc w:val="right"/>
            </w:pPr>
            <w:r>
              <w:rPr>
                <w:color w:val="1C3A36"/>
                <w:sz w:val="17"/>
              </w:rPr>
              <w:t>AED 4.000</w:t>
            </w:r>
          </w:p>
        </w:tc>
        <w:tc>
          <w:tcPr>
            <w:tcW w:type="dxa" w:w="2621"/>
          </w:tcPr>
          <w:p>
            <w:pPr>
              <w:spacing w:after="20"/>
              <w:jc w:val="right"/>
            </w:pPr>
            <w:r>
              <w:rPr>
                <w:color w:val="1C3A36"/>
                <w:sz w:val="17"/>
              </w:rPr>
              <w:t>AED 4.272</w:t>
            </w:r>
          </w:p>
        </w:tc>
        <w:tc>
          <w:tcPr>
            <w:tcW w:type="dxa" w:w="1080"/>
          </w:tcPr>
          <w:p>
            <w:pPr>
              <w:spacing w:after="20"/>
              <w:jc w:val="right"/>
            </w:pPr>
            <w:r>
              <w:rPr>
                <w:color w:val="1C3A36"/>
                <w:sz w:val="17"/>
              </w:rPr>
              <w:t>+6.8%</w:t>
            </w:r>
          </w:p>
        </w:tc>
      </w:tr>
      <w:tr>
        <w:tc>
          <w:tcPr>
            <w:tcW w:type="dxa" w:w="4536"/>
          </w:tcPr>
          <w:p>
            <w:pPr>
              <w:spacing w:after="20"/>
            </w:pPr>
            <w:r>
              <w:rPr>
                <w:b/>
                <w:color w:val="1C3A36"/>
                <w:sz w:val="17"/>
              </w:rPr>
              <w:t>Implied demand response</w:t>
            </w:r>
          </w:p>
        </w:tc>
        <w:tc>
          <w:tcPr>
            <w:tcW w:type="dxa" w:w="1872"/>
          </w:tcPr>
          <w:p>
            <w:pPr>
              <w:spacing w:after="20"/>
              <w:jc w:val="right"/>
            </w:pPr>
            <w:r>
              <w:rPr>
                <w:color w:val="1C3A36"/>
                <w:sz w:val="17"/>
              </w:rPr>
            </w:r>
          </w:p>
        </w:tc>
        <w:tc>
          <w:tcPr>
            <w:tcW w:type="dxa" w:w="2621"/>
          </w:tcPr>
          <w:p>
            <w:pPr>
              <w:spacing w:after="20"/>
              <w:jc w:val="right"/>
            </w:pPr>
            <w:r>
              <w:rPr>
                <w:color w:val="1C3A36"/>
                <w:sz w:val="17"/>
              </w:rPr>
            </w:r>
          </w:p>
        </w:tc>
        <w:tc>
          <w:tcPr>
            <w:tcW w:type="dxa" w:w="1080"/>
          </w:tcPr>
          <w:p>
            <w:pPr>
              <w:spacing w:after="20"/>
              <w:jc w:val="right"/>
            </w:pPr>
            <w:r>
              <w:rPr>
                <w:color w:val="1C3A36"/>
                <w:sz w:val="17"/>
              </w:rPr>
              <w:t>NONE</w:t>
            </w:r>
          </w:p>
        </w:tc>
      </w:tr>
    </w:tbl>
    <w:p>
      <w:pPr>
        <w:spacing w:after="40"/>
      </w:pPr>
    </w:p>
    <w:p>
      <w:pPr>
        <w:spacing w:after="120" w:before="0"/>
      </w:pPr>
      <w:r>
        <w:rPr>
          <w:b w:val="0"/>
          <w:i w:val="0"/>
          <w:color w:val="1C3A36"/>
          <w:sz w:val="21"/>
        </w:rPr>
        <w:t>The RTA raised the effective price of a Dubai toll trip by 6.8% and volume on the same gates went UP 6.0%. No measurable demand destruction at all — and on the company’s own gate figure the volume response is STRONGER than we showed in version 2. Dubai’s tolled commute is price-INELASTIC, which means a tariff increase is very nearly pure margin. It is the single strongest fact in the bull case. It also explains something the company does not say out loud: pricing alone did NOT reduce congestion, so the RTA had to buy the reduction another way — which is what the free overnight window is. The RTA’s objective was never the revenue.</w:t>
      </w:r>
    </w:p>
    <w:p>
      <w:pPr>
        <w:spacing w:after="80" w:before="180"/>
      </w:pPr>
      <w:r>
        <w:rPr>
          <w:b/>
          <w:i w:val="0"/>
          <w:color w:val="1C3A36"/>
          <w:sz w:val="23"/>
        </w:rPr>
        <w:t>1.6e The operating dashboard — every KPI, with a reading</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408"/>
        <w:gridCol w:w="3408"/>
        <w:gridCol w:w="3408"/>
      </w:tblGrid>
      <w:tr>
        <w:tc>
          <w:tcPr>
            <w:tcW w:type="dxa" w:w="3312"/>
            <w:shd w:val="clear" w:color="auto" w:fill="EAF0EE"/>
          </w:tcPr>
          <w:p>
            <w:pPr>
              <w:spacing w:after="20"/>
            </w:pPr>
            <w:r>
              <w:rPr>
                <w:b/>
                <w:color w:val="1C3A36"/>
                <w:sz w:val="15"/>
              </w:rPr>
              <w:t>Operating KPI</w:t>
            </w:r>
          </w:p>
        </w:tc>
        <w:tc>
          <w:tcPr>
            <w:tcW w:type="dxa" w:w="2304"/>
            <w:shd w:val="clear" w:color="auto" w:fill="EAF0EE"/>
          </w:tcPr>
          <w:p>
            <w:pPr>
              <w:spacing w:after="20"/>
            </w:pPr>
            <w:r>
              <w:rPr>
                <w:b/>
                <w:color w:val="1C3A36"/>
                <w:sz w:val="15"/>
              </w:rPr>
              <w:t>Value</w:t>
            </w:r>
          </w:p>
        </w:tc>
        <w:tc>
          <w:tcPr>
            <w:tcW w:type="dxa" w:w="4608"/>
            <w:shd w:val="clear" w:color="auto" w:fill="EAF0EE"/>
          </w:tcPr>
          <w:p>
            <w:pPr>
              <w:spacing w:after="20"/>
            </w:pPr>
            <w:r>
              <w:rPr>
                <w:b/>
                <w:color w:val="1C3A36"/>
                <w:sz w:val="15"/>
              </w:rPr>
              <w:t>Reading</w:t>
            </w:r>
          </w:p>
        </w:tc>
      </w:tr>
      <w:tr>
        <w:tc>
          <w:tcPr>
            <w:tcW w:type="dxa" w:w="3312"/>
          </w:tcPr>
          <w:p>
            <w:pPr>
              <w:spacing w:after="20"/>
            </w:pPr>
            <w:r>
              <w:rPr>
                <w:b/>
                <w:color w:val="1C3A36"/>
                <w:sz w:val="15"/>
              </w:rPr>
              <w:t>Chargeable trips — FY2025 / Q1-2026</w:t>
            </w:r>
          </w:p>
        </w:tc>
        <w:tc>
          <w:tcPr>
            <w:tcW w:type="dxa" w:w="2304"/>
          </w:tcPr>
          <w:p>
            <w:pPr>
              <w:spacing w:after="20"/>
              <w:jc w:val="right"/>
            </w:pPr>
            <w:r>
              <w:rPr>
                <w:color w:val="1C3A36"/>
                <w:sz w:val="15"/>
              </w:rPr>
              <w:t>639.1 mn / 145.7 mn (−7.7% y/y)</w:t>
            </w:r>
          </w:p>
        </w:tc>
        <w:tc>
          <w:tcPr>
            <w:tcW w:type="dxa" w:w="4608"/>
          </w:tcPr>
          <w:p>
            <w:pPr>
              <w:spacing w:after="20"/>
            </w:pPr>
            <w:r>
              <w:rPr>
                <w:color w:val="1C3A36"/>
                <w:sz w:val="15"/>
              </w:rPr>
              <w:t>The volume engine. Q1 is the only quarter of the war we have seen.</w:t>
            </w:r>
          </w:p>
        </w:tc>
      </w:tr>
      <w:tr>
        <w:tc>
          <w:tcPr>
            <w:tcW w:type="dxa" w:w="3312"/>
          </w:tcPr>
          <w:p>
            <w:pPr>
              <w:spacing w:after="20"/>
            </w:pPr>
            <w:r>
              <w:rPr>
                <w:b/>
                <w:color w:val="1C3A36"/>
                <w:sz w:val="15"/>
              </w:rPr>
              <w:t>Total trips incl. exempt — FY2025</w:t>
            </w:r>
          </w:p>
        </w:tc>
        <w:tc>
          <w:tcPr>
            <w:tcW w:type="dxa" w:w="2304"/>
          </w:tcPr>
          <w:p>
            <w:pPr>
              <w:spacing w:after="20"/>
              <w:jc w:val="right"/>
            </w:pPr>
            <w:r>
              <w:rPr>
                <w:color w:val="1C3A36"/>
                <w:sz w:val="15"/>
              </w:rPr>
              <w:t>852.7 mn</w:t>
            </w:r>
          </w:p>
        </w:tc>
        <w:tc>
          <w:tcPr>
            <w:tcW w:type="dxa" w:w="4608"/>
          </w:tcPr>
          <w:p>
            <w:pPr>
              <w:spacing w:after="20"/>
            </w:pPr>
            <w:r>
              <w:rPr>
                <w:color w:val="1C3A36"/>
                <w:sz w:val="15"/>
              </w:rPr>
              <w:t>DUAL FRAME: 852.7 mn total vs 639.1 mn chargeable. Both are true; only one is billed.</w:t>
            </w:r>
          </w:p>
        </w:tc>
      </w:tr>
      <w:tr>
        <w:tc>
          <w:tcPr>
            <w:tcW w:type="dxa" w:w="3312"/>
          </w:tcPr>
          <w:p>
            <w:pPr>
              <w:spacing w:after="20"/>
            </w:pPr>
            <w:r>
              <w:rPr>
                <w:b/>
                <w:color w:val="1C3A36"/>
                <w:sz w:val="15"/>
              </w:rPr>
              <w:t>Of 'chargeable' trips, the share that PAID</w:t>
            </w:r>
          </w:p>
        </w:tc>
        <w:tc>
          <w:tcPr>
            <w:tcW w:type="dxa" w:w="2304"/>
          </w:tcPr>
          <w:p>
            <w:pPr>
              <w:spacing w:after="20"/>
              <w:jc w:val="right"/>
            </w:pPr>
            <w:r>
              <w:rPr>
                <w:color w:val="1C3A36"/>
                <w:sz w:val="15"/>
              </w:rPr>
              <w:t>88.9% (Q1-26)</w:t>
            </w:r>
          </w:p>
        </w:tc>
        <w:tc>
          <w:tcPr>
            <w:tcW w:type="dxa" w:w="4608"/>
          </w:tcPr>
          <w:p>
            <w:pPr>
              <w:spacing w:after="20"/>
            </w:pPr>
            <w:r>
              <w:rPr>
                <w:color w:val="1C3A36"/>
                <w:sz w:val="15"/>
              </w:rPr>
              <w:t>16.1 mn (11.1%) fell in the FREE 01:00–06:00 window and paid nothing.</w:t>
            </w:r>
          </w:p>
        </w:tc>
      </w:tr>
      <w:tr>
        <w:tc>
          <w:tcPr>
            <w:tcW w:type="dxa" w:w="3312"/>
          </w:tcPr>
          <w:p>
            <w:pPr>
              <w:spacing w:after="20"/>
            </w:pPr>
            <w:r>
              <w:rPr>
                <w:b/>
                <w:color w:val="1C3A36"/>
                <w:sz w:val="15"/>
              </w:rPr>
              <w:t>Effective realised toll — FY24 / FY25 / Q1-26</w:t>
            </w:r>
          </w:p>
        </w:tc>
        <w:tc>
          <w:tcPr>
            <w:tcW w:type="dxa" w:w="2304"/>
          </w:tcPr>
          <w:p>
            <w:pPr>
              <w:spacing w:after="20"/>
              <w:jc w:val="right"/>
            </w:pPr>
            <w:r>
              <w:rPr>
                <w:color w:val="1C3A36"/>
                <w:sz w:val="15"/>
              </w:rPr>
              <w:t>AED 4.000 / 4.272 / 4.293</w:t>
            </w:r>
          </w:p>
        </w:tc>
        <w:tc>
          <w:tcPr>
            <w:tcW w:type="dxa" w:w="4608"/>
          </w:tcPr>
          <w:p>
            <w:pPr>
              <w:spacing w:after="20"/>
            </w:pPr>
            <w:r>
              <w:rPr>
                <w:color w:val="1C3A36"/>
                <w:sz w:val="15"/>
              </w:rPr>
              <w:t>FY24 reconciles to the flat tariff EXACTLY. Variable pricing added 6.8% and it has held.</w:t>
            </w:r>
          </w:p>
        </w:tc>
      </w:tr>
      <w:tr>
        <w:tc>
          <w:tcPr>
            <w:tcW w:type="dxa" w:w="3312"/>
          </w:tcPr>
          <w:p>
            <w:pPr>
              <w:spacing w:after="20"/>
            </w:pPr>
            <w:r>
              <w:rPr>
                <w:b/>
                <w:color w:val="1C3A36"/>
                <w:sz w:val="15"/>
              </w:rPr>
              <w:t>Registered active accounts / vehicles (Q1-26)</w:t>
            </w:r>
          </w:p>
        </w:tc>
        <w:tc>
          <w:tcPr>
            <w:tcW w:type="dxa" w:w="2304"/>
          </w:tcPr>
          <w:p>
            <w:pPr>
              <w:spacing w:after="20"/>
              <w:jc w:val="right"/>
            </w:pPr>
            <w:r>
              <w:rPr>
                <w:color w:val="1C3A36"/>
                <w:sz w:val="15"/>
              </w:rPr>
              <w:t>+7.5% y/y / +8.4% y/y</w:t>
            </w:r>
          </w:p>
        </w:tc>
        <w:tc>
          <w:tcPr>
            <w:tcW w:type="dxa" w:w="4608"/>
          </w:tcPr>
          <w:p>
            <w:pPr>
              <w:spacing w:after="20"/>
            </w:pPr>
            <w:r>
              <w:rPr>
                <w:color w:val="1C3A36"/>
                <w:sz w:val="15"/>
              </w:rPr>
              <w:t>THE key datum. The customer base GREW while trips fell 7.7%. Utilisation shock, not population shock.</w:t>
            </w:r>
          </w:p>
        </w:tc>
      </w:tr>
      <w:tr>
        <w:tc>
          <w:tcPr>
            <w:tcW w:type="dxa" w:w="3312"/>
          </w:tcPr>
          <w:p>
            <w:pPr>
              <w:spacing w:after="20"/>
            </w:pPr>
            <w:r>
              <w:rPr>
                <w:b/>
                <w:color w:val="1C3A36"/>
                <w:sz w:val="15"/>
              </w:rPr>
              <w:t>Revenue per employee (FY2025, 60 staff)</w:t>
            </w:r>
          </w:p>
        </w:tc>
        <w:tc>
          <w:tcPr>
            <w:tcW w:type="dxa" w:w="2304"/>
          </w:tcPr>
          <w:p>
            <w:pPr>
              <w:spacing w:after="20"/>
              <w:jc w:val="right"/>
            </w:pPr>
            <w:r>
              <w:rPr>
                <w:color w:val="1C3A36"/>
                <w:sz w:val="15"/>
              </w:rPr>
              <w:t>AED 51.6 mn</w:t>
            </w:r>
          </w:p>
        </w:tc>
        <w:tc>
          <w:tcPr>
            <w:tcW w:type="dxa" w:w="4608"/>
          </w:tcPr>
          <w:p>
            <w:pPr>
              <w:spacing w:after="20"/>
            </w:pPr>
            <w:r>
              <w:rPr>
                <w:color w:val="1C3A36"/>
                <w:sz w:val="15"/>
              </w:rPr>
              <w:t>Not a typo. The RTA owns the roads; Salik owns a database.</w:t>
            </w:r>
          </w:p>
        </w:tc>
      </w:tr>
      <w:tr>
        <w:tc>
          <w:tcPr>
            <w:tcW w:type="dxa" w:w="3312"/>
          </w:tcPr>
          <w:p>
            <w:pPr>
              <w:spacing w:after="20"/>
            </w:pPr>
            <w:r>
              <w:rPr>
                <w:b/>
                <w:color w:val="1C3A36"/>
                <w:sz w:val="15"/>
              </w:rPr>
              <w:t>EBITDA margin — FY23 / FY24 / FY25 / Q1-26</w:t>
            </w:r>
          </w:p>
        </w:tc>
        <w:tc>
          <w:tcPr>
            <w:tcW w:type="dxa" w:w="2304"/>
          </w:tcPr>
          <w:p>
            <w:pPr>
              <w:spacing w:after="20"/>
              <w:jc w:val="right"/>
            </w:pPr>
            <w:r>
              <w:rPr>
                <w:color w:val="1C3A36"/>
                <w:sz w:val="15"/>
              </w:rPr>
              <w:t>65.9% / 68.9% / 69.2% / 69.6%</w:t>
            </w:r>
          </w:p>
        </w:tc>
        <w:tc>
          <w:tcPr>
            <w:tcW w:type="dxa" w:w="4608"/>
          </w:tcPr>
          <w:p>
            <w:pPr>
              <w:spacing w:after="20"/>
            </w:pPr>
            <w:r>
              <w:rPr>
                <w:color w:val="1C3A36"/>
                <w:sz w:val="15"/>
              </w:rPr>
              <w:t>Rising THROUGH a traffic collapse. The concession fee cut and the fines mix are doing it.</w:t>
            </w:r>
          </w:p>
        </w:tc>
      </w:tr>
      <w:tr>
        <w:tc>
          <w:tcPr>
            <w:tcW w:type="dxa" w:w="3312"/>
          </w:tcPr>
          <w:p>
            <w:pPr>
              <w:spacing w:after="20"/>
            </w:pPr>
            <w:r>
              <w:rPr>
                <w:b/>
                <w:color w:val="1C3A36"/>
                <w:sz w:val="15"/>
              </w:rPr>
              <w:t>A dirham of FINES vs a dirham of TOLL</w:t>
            </w:r>
          </w:p>
        </w:tc>
        <w:tc>
          <w:tcPr>
            <w:tcW w:type="dxa" w:w="2304"/>
          </w:tcPr>
          <w:p>
            <w:pPr>
              <w:spacing w:after="20"/>
              <w:jc w:val="right"/>
            </w:pPr>
            <w:r>
              <w:rPr>
                <w:color w:val="1C3A36"/>
                <w:sz w:val="15"/>
              </w:rPr>
              <w:t>1.34× in EBITDA</w:t>
            </w:r>
          </w:p>
        </w:tc>
        <w:tc>
          <w:tcPr>
            <w:tcW w:type="dxa" w:w="4608"/>
          </w:tcPr>
          <w:p>
            <w:pPr>
              <w:spacing w:after="20"/>
            </w:pPr>
            <w:r>
              <w:rPr>
                <w:color w:val="1C3A36"/>
                <w:sz w:val="15"/>
              </w:rPr>
              <w:t>Fines carry NO concession fee. 9.4% of revenue, ~12% of EBITDA. Nobody models this line.</w:t>
            </w:r>
          </w:p>
        </w:tc>
      </w:tr>
      <w:tr>
        <w:tc>
          <w:tcPr>
            <w:tcW w:type="dxa" w:w="3312"/>
          </w:tcPr>
          <w:p>
            <w:pPr>
              <w:spacing w:after="20"/>
            </w:pPr>
            <w:r>
              <w:rPr>
                <w:b/>
                <w:color w:val="1C3A36"/>
                <w:sz w:val="15"/>
              </w:rPr>
              <w:t>FCFF / EBITDA conversion (FY2026E)</w:t>
            </w:r>
          </w:p>
        </w:tc>
        <w:tc>
          <w:tcPr>
            <w:tcW w:type="dxa" w:w="2304"/>
          </w:tcPr>
          <w:p>
            <w:pPr>
              <w:spacing w:after="20"/>
              <w:jc w:val="right"/>
            </w:pPr>
            <w:r>
              <w:rPr>
                <w:color w:val="1C3A36"/>
                <w:sz w:val="15"/>
              </w:rPr>
              <w:t>90%</w:t>
            </w:r>
          </w:p>
        </w:tc>
        <w:tc>
          <w:tcPr>
            <w:tcW w:type="dxa" w:w="4608"/>
          </w:tcPr>
          <w:p>
            <w:pPr>
              <w:spacing w:after="20"/>
            </w:pPr>
            <w:r>
              <w:rPr>
                <w:color w:val="1C3A36"/>
                <w:sz w:val="15"/>
              </w:rPr>
              <w:t>A conventional toll road converts 50–60%. It has to resurface its own roads. Salik does not.</w:t>
            </w:r>
          </w:p>
        </w:tc>
      </w:tr>
      <w:tr>
        <w:tc>
          <w:tcPr>
            <w:tcW w:type="dxa" w:w="3312"/>
          </w:tcPr>
          <w:p>
            <w:pPr>
              <w:spacing w:after="20"/>
            </w:pPr>
            <w:r>
              <w:rPr>
                <w:b/>
                <w:color w:val="1C3A36"/>
                <w:sz w:val="15"/>
              </w:rPr>
              <w:t>ROIC (FY2026E) vs WACC</w:t>
            </w:r>
          </w:p>
        </w:tc>
        <w:tc>
          <w:tcPr>
            <w:tcW w:type="dxa" w:w="2304"/>
          </w:tcPr>
          <w:p>
            <w:pPr>
              <w:spacing w:after="20"/>
              <w:jc w:val="right"/>
            </w:pPr>
            <w:r>
              <w:rPr>
                <w:color w:val="1C3A36"/>
                <w:sz w:val="15"/>
              </w:rPr>
              <w:t>31.9% vs 8.1%</w:t>
            </w:r>
          </w:p>
        </w:tc>
        <w:tc>
          <w:tcPr>
            <w:tcW w:type="dxa" w:w="4608"/>
          </w:tcPr>
          <w:p>
            <w:pPr>
              <w:spacing w:after="20"/>
            </w:pPr>
            <w:r>
              <w:rPr>
                <w:color w:val="1C3A36"/>
                <w:sz w:val="15"/>
              </w:rPr>
              <w:t>+24pp spread. But read §1.2 before you capitalise it.</w:t>
            </w:r>
          </w:p>
        </w:tc>
      </w:tr>
      <w:tr>
        <w:tc>
          <w:tcPr>
            <w:tcW w:type="dxa" w:w="3312"/>
          </w:tcPr>
          <w:p>
            <w:pPr>
              <w:spacing w:after="20"/>
            </w:pPr>
            <w:r>
              <w:rPr>
                <w:b/>
                <w:color w:val="1C3A36"/>
                <w:sz w:val="15"/>
              </w:rPr>
              <w:t>ROIC — the ORIGINAL 8 gates (IPO price)</w:t>
            </w:r>
          </w:p>
        </w:tc>
        <w:tc>
          <w:tcPr>
            <w:tcW w:type="dxa" w:w="2304"/>
          </w:tcPr>
          <w:p>
            <w:pPr>
              <w:spacing w:after="20"/>
              <w:jc w:val="right"/>
            </w:pPr>
            <w:r>
              <w:rPr>
                <w:color w:val="1C3A36"/>
                <w:sz w:val="15"/>
              </w:rPr>
              <w:t>32%</w:t>
            </w:r>
          </w:p>
        </w:tc>
        <w:tc>
          <w:tcPr>
            <w:tcW w:type="dxa" w:w="4608"/>
          </w:tcPr>
          <w:p>
            <w:pPr>
              <w:spacing w:after="20"/>
            </w:pPr>
            <w:r>
              <w:rPr>
                <w:color w:val="1C3A36"/>
                <w:sz w:val="15"/>
              </w:rPr>
              <w:t>What the RTA HANDED Salik at the 2022 IPO, to make the IPO work. A legacy, not a skill.</w:t>
            </w:r>
          </w:p>
        </w:tc>
      </w:tr>
      <w:tr>
        <w:tc>
          <w:tcPr>
            <w:tcW w:type="dxa" w:w="3312"/>
          </w:tcPr>
          <w:p>
            <w:pPr>
              <w:spacing w:after="20"/>
            </w:pPr>
            <w:r>
              <w:rPr>
                <w:b/>
                <w:color w:val="1C3A36"/>
                <w:sz w:val="15"/>
              </w:rPr>
              <w:t>ROIC — the 2 gates the RTA SOLD Salik (2024)</w:t>
            </w:r>
          </w:p>
        </w:tc>
        <w:tc>
          <w:tcPr>
            <w:tcW w:type="dxa" w:w="2304"/>
          </w:tcPr>
          <w:p>
            <w:pPr>
              <w:spacing w:after="20"/>
              <w:jc w:val="right"/>
            </w:pPr>
            <w:r>
              <w:rPr>
                <w:color w:val="1C3A36"/>
                <w:sz w:val="15"/>
              </w:rPr>
              <w:t>9.5%</w:t>
            </w:r>
          </w:p>
        </w:tc>
        <w:tc>
          <w:tcPr>
            <w:tcW w:type="dxa" w:w="4608"/>
          </w:tcPr>
          <w:p>
            <w:pPr>
              <w:spacing w:after="20"/>
            </w:pPr>
            <w:r>
              <w:rPr>
                <w:color w:val="1C3A36"/>
                <w:sz w:val="15"/>
              </w:rPr>
              <w:t>Against a 8.1% WACC — a 1.4pp spread. On the COMPANY'S OWN gate-trip figure (111mn). Growth-by-gate is NOT free growth.</w:t>
            </w:r>
          </w:p>
        </w:tc>
      </w:tr>
      <w:tr>
        <w:tc>
          <w:tcPr>
            <w:tcW w:type="dxa" w:w="3312"/>
          </w:tcPr>
          <w:p>
            <w:pPr>
              <w:spacing w:after="20"/>
            </w:pPr>
            <w:r>
              <w:rPr>
                <w:b/>
                <w:color w:val="1C3A36"/>
                <w:sz w:val="15"/>
              </w:rPr>
              <w:t>RTA instalment (to Nov-2030)</w:t>
            </w:r>
          </w:p>
        </w:tc>
        <w:tc>
          <w:tcPr>
            <w:tcW w:type="dxa" w:w="2304"/>
          </w:tcPr>
          <w:p>
            <w:pPr>
              <w:spacing w:after="20"/>
              <w:jc w:val="right"/>
            </w:pPr>
            <w:r>
              <w:rPr>
                <w:color w:val="1C3A36"/>
                <w:sz w:val="15"/>
              </w:rPr>
              <w:t>AED 455.7 mn / yr</w:t>
            </w:r>
          </w:p>
        </w:tc>
        <w:tc>
          <w:tcPr>
            <w:tcW w:type="dxa" w:w="4608"/>
          </w:tcPr>
          <w:p>
            <w:pPr>
              <w:spacing w:after="20"/>
            </w:pPr>
            <w:r>
              <w:rPr>
                <w:color w:val="1C3A36"/>
                <w:sz w:val="15"/>
              </w:rPr>
              <w:t>vs a retained wedge of only AED 116mn after the 100% payout. A ~AED 340mn/yr structural cash drain, funded off the balance sheet. See §1.7.</w:t>
            </w:r>
          </w:p>
        </w:tc>
      </w:tr>
      <w:tr>
        <w:tc>
          <w:tcPr>
            <w:tcW w:type="dxa" w:w="3312"/>
          </w:tcPr>
          <w:p>
            <w:pPr>
              <w:spacing w:after="20"/>
            </w:pPr>
            <w:r>
              <w:rPr>
                <w:b/>
                <w:color w:val="1C3A36"/>
                <w:sz w:val="15"/>
              </w:rPr>
              <w:t>Dividend / free cash flow to equity (FY26E)</w:t>
            </w:r>
          </w:p>
        </w:tc>
        <w:tc>
          <w:tcPr>
            <w:tcW w:type="dxa" w:w="2304"/>
          </w:tcPr>
          <w:p>
            <w:pPr>
              <w:spacing w:after="20"/>
              <w:jc w:val="right"/>
            </w:pPr>
            <w:r>
              <w:rPr>
                <w:color w:val="1C3A36"/>
                <w:sz w:val="15"/>
              </w:rPr>
              <w:t>93%</w:t>
            </w:r>
          </w:p>
        </w:tc>
        <w:tc>
          <w:tcPr>
            <w:tcW w:type="dxa" w:w="4608"/>
          </w:tcPr>
          <w:p>
            <w:pPr>
              <w:spacing w:after="20"/>
            </w:pPr>
            <w:r>
              <w:rPr>
                <w:color w:val="1C3A36"/>
                <w:sz w:val="15"/>
              </w:rPr>
              <w:t>100% of PROFIT is only 93% of CASH. The AED 116mn wedge deleverages. A DDM cannot see it.</w:t>
            </w:r>
          </w:p>
        </w:tc>
      </w:tr>
      <w:tr>
        <w:tc>
          <w:tcPr>
            <w:tcW w:type="dxa" w:w="3312"/>
          </w:tcPr>
          <w:p>
            <w:pPr>
              <w:spacing w:after="20"/>
            </w:pPr>
            <w:r>
              <w:rPr>
                <w:b/>
                <w:color w:val="1C3A36"/>
                <w:sz w:val="15"/>
              </w:rPr>
              <w:t>Net debt / EBITDA — FY24 / FY25 / Q1-26</w:t>
            </w:r>
          </w:p>
        </w:tc>
        <w:tc>
          <w:tcPr>
            <w:tcW w:type="dxa" w:w="2304"/>
          </w:tcPr>
          <w:p>
            <w:pPr>
              <w:spacing w:after="20"/>
              <w:jc w:val="right"/>
            </w:pPr>
            <w:r>
              <w:rPr>
                <w:color w:val="1C3A36"/>
                <w:sz w:val="15"/>
              </w:rPr>
              <w:t>3.29× / 2.24× / 1.98×</w:t>
            </w:r>
          </w:p>
        </w:tc>
        <w:tc>
          <w:tcPr>
            <w:tcW w:type="dxa" w:w="4608"/>
          </w:tcPr>
          <w:p>
            <w:pPr>
              <w:spacing w:after="20"/>
            </w:pPr>
            <w:r>
              <w:rPr>
                <w:color w:val="1C3A36"/>
                <w:sz w:val="15"/>
              </w:rPr>
              <w:t>Against a 5.0× covenant. 3.0× of headroom. Deleveraging without retaining a dirham.</w:t>
            </w:r>
          </w:p>
        </w:tc>
      </w:tr>
      <w:tr>
        <w:tc>
          <w:tcPr>
            <w:tcW w:type="dxa" w:w="3312"/>
          </w:tcPr>
          <w:p>
            <w:pPr>
              <w:spacing w:after="20"/>
            </w:pPr>
            <w:r>
              <w:rPr>
                <w:b/>
                <w:color w:val="1C3A36"/>
                <w:sz w:val="15"/>
              </w:rPr>
              <w:t>Interest cover (EBITDA / net finance, FY26E)</w:t>
            </w:r>
          </w:p>
        </w:tc>
        <w:tc>
          <w:tcPr>
            <w:tcW w:type="dxa" w:w="2304"/>
          </w:tcPr>
          <w:p>
            <w:pPr>
              <w:spacing w:after="20"/>
              <w:jc w:val="right"/>
            </w:pPr>
            <w:r>
              <w:rPr>
                <w:color w:val="1C3A36"/>
                <w:sz w:val="15"/>
              </w:rPr>
              <w:t>8.2×</w:t>
            </w:r>
          </w:p>
        </w:tc>
        <w:tc>
          <w:tcPr>
            <w:tcW w:type="dxa" w:w="4608"/>
          </w:tcPr>
          <w:p>
            <w:pPr>
              <w:spacing w:after="20"/>
            </w:pPr>
            <w:r>
              <w:rPr>
                <w:color w:val="1C3A36"/>
                <w:sz w:val="15"/>
              </w:rPr>
              <w:t>Ample.</w:t>
            </w:r>
          </w:p>
        </w:tc>
      </w:tr>
      <w:tr>
        <w:tc>
          <w:tcPr>
            <w:tcW w:type="dxa" w:w="3312"/>
          </w:tcPr>
          <w:p>
            <w:pPr>
              <w:spacing w:after="20"/>
            </w:pPr>
            <w:r>
              <w:rPr>
                <w:b/>
                <w:color w:val="1C3A36"/>
                <w:sz w:val="15"/>
              </w:rPr>
              <w:t>Share of Salik's revenue the RTA keeps</w:t>
            </w:r>
          </w:p>
        </w:tc>
        <w:tc>
          <w:tcPr>
            <w:tcW w:type="dxa" w:w="2304"/>
          </w:tcPr>
          <w:p>
            <w:pPr>
              <w:spacing w:after="20"/>
              <w:jc w:val="right"/>
            </w:pPr>
            <w:r>
              <w:rPr>
                <w:color w:val="1C3A36"/>
                <w:sz w:val="15"/>
              </w:rPr>
              <w:t>58%</w:t>
            </w:r>
          </w:p>
        </w:tc>
        <w:tc>
          <w:tcPr>
            <w:tcW w:type="dxa" w:w="4608"/>
          </w:tcPr>
          <w:p>
            <w:pPr>
              <w:spacing w:after="20"/>
            </w:pPr>
            <w:r>
              <w:rPr>
                <w:color w:val="1C3A36"/>
                <w:sz w:val="15"/>
              </w:rPr>
              <w:t>22.5% concession fee + 75.1% of net profit. The free float's claim is 13% of revenue.</w:t>
            </w:r>
          </w:p>
        </w:tc>
      </w:tr>
      <w:tr>
        <w:tc>
          <w:tcPr>
            <w:tcW w:type="dxa" w:w="3312"/>
          </w:tcPr>
          <w:p>
            <w:pPr>
              <w:spacing w:after="20"/>
            </w:pPr>
            <w:r>
              <w:rPr>
                <w:b/>
                <w:color w:val="1C3A36"/>
                <w:sz w:val="15"/>
              </w:rPr>
              <w:t>Beta — measured, weekly, n=195</w:t>
            </w:r>
          </w:p>
        </w:tc>
        <w:tc>
          <w:tcPr>
            <w:tcW w:type="dxa" w:w="2304"/>
          </w:tcPr>
          <w:p>
            <w:pPr>
              <w:spacing w:after="20"/>
              <w:jc w:val="right"/>
            </w:pPr>
            <w:r>
              <w:rPr>
                <w:color w:val="1C3A36"/>
                <w:sz w:val="15"/>
              </w:rPr>
              <w:t>0.64 (95% CI 0.43–0.84)</w:t>
            </w:r>
          </w:p>
        </w:tc>
        <w:tc>
          <w:tcPr>
            <w:tcW w:type="dxa" w:w="4608"/>
          </w:tcPr>
          <w:p>
            <w:pPr>
              <w:spacing w:after="20"/>
            </w:pPr>
            <w:r>
              <w:rPr>
                <w:color w:val="1C3A36"/>
                <w:sz w:val="15"/>
              </w:rPr>
              <w:t>PASSES our usability test. 88% of SALIK's risk is IDIOSYNCRATIC — which is how a 26%-vol stock carries a 0.64 beta.</w:t>
            </w:r>
          </w:p>
        </w:tc>
      </w:tr>
    </w:tbl>
    <w:p>
      <w:pPr>
        <w:spacing w:after="40"/>
      </w:pPr>
    </w:p>
    <w:p>
      <w:pPr>
        <w:spacing w:after="80" w:before="180"/>
      </w:pPr>
      <w:r>
        <w:rPr>
          <w:b/>
          <w:i w:val="0"/>
          <w:color w:val="1C3A36"/>
          <w:sz w:val="23"/>
        </w:rPr>
        <w:t>1.6f The per-driver sourcing gate</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56"/>
        <w:gridCol w:w="2556"/>
        <w:gridCol w:w="2556"/>
        <w:gridCol w:w="2556"/>
      </w:tblGrid>
      <w:tr>
        <w:tc>
          <w:tcPr>
            <w:tcW w:type="dxa" w:w="2333"/>
            <w:shd w:val="clear" w:color="auto" w:fill="EAF0EE"/>
          </w:tcPr>
          <w:p>
            <w:pPr>
              <w:spacing w:after="20"/>
            </w:pPr>
            <w:r>
              <w:rPr>
                <w:b/>
                <w:color w:val="1C3A36"/>
                <w:sz w:val="15"/>
              </w:rPr>
              <w:t>Driver</w:t>
            </w:r>
          </w:p>
        </w:tc>
        <w:tc>
          <w:tcPr>
            <w:tcW w:type="dxa" w:w="1469"/>
            <w:shd w:val="clear" w:color="auto" w:fill="EAF0EE"/>
          </w:tcPr>
          <w:p>
            <w:pPr>
              <w:spacing w:after="20"/>
            </w:pPr>
            <w:r>
              <w:rPr>
                <w:b/>
                <w:color w:val="1C3A36"/>
                <w:sz w:val="15"/>
              </w:rPr>
              <w:t>Mode</w:t>
            </w:r>
          </w:p>
        </w:tc>
        <w:tc>
          <w:tcPr>
            <w:tcW w:type="dxa" w:w="5357"/>
            <w:shd w:val="clear" w:color="auto" w:fill="EAF0EE"/>
          </w:tcPr>
          <w:p>
            <w:pPr>
              <w:spacing w:after="20"/>
            </w:pPr>
            <w:r>
              <w:rPr>
                <w:b/>
                <w:color w:val="1C3A36"/>
                <w:sz w:val="15"/>
              </w:rPr>
              <w:t>Justification</w:t>
            </w:r>
          </w:p>
        </w:tc>
        <w:tc>
          <w:tcPr>
            <w:tcW w:type="dxa" w:w="922"/>
            <w:shd w:val="clear" w:color="auto" w:fill="EAF0EE"/>
          </w:tcPr>
          <w:p>
            <w:pPr>
              <w:spacing w:after="20"/>
            </w:pPr>
            <w:r>
              <w:rPr>
                <w:b/>
                <w:color w:val="1C3A36"/>
                <w:sz w:val="15"/>
              </w:rPr>
              <w:t>Ref.</w:t>
            </w:r>
          </w:p>
        </w:tc>
      </w:tr>
      <w:tr>
        <w:tc>
          <w:tcPr>
            <w:tcW w:type="dxa" w:w="2333"/>
          </w:tcPr>
          <w:p>
            <w:pPr>
              <w:spacing w:after="20"/>
            </w:pPr>
            <w:r>
              <w:rPr>
                <w:b/>
                <w:color w:val="1C3A36"/>
                <w:sz w:val="15"/>
              </w:rPr>
              <w:t>Chargeable trips, FY2026</w:t>
            </w:r>
          </w:p>
        </w:tc>
        <w:tc>
          <w:tcPr>
            <w:tcW w:type="dxa" w:w="1469"/>
          </w:tcPr>
          <w:p>
            <w:pPr>
              <w:spacing w:after="20"/>
            </w:pPr>
            <w:r>
              <w:rPr>
                <w:color w:val="1C3A36"/>
                <w:sz w:val="15"/>
              </w:rPr>
              <w:t>BOTTOM-UP</w:t>
            </w:r>
          </w:p>
        </w:tc>
        <w:tc>
          <w:tcPr>
            <w:tcW w:type="dxa" w:w="5357"/>
          </w:tcPr>
          <w:p>
            <w:pPr>
              <w:spacing w:after="20"/>
            </w:pPr>
            <w:r>
              <w:rPr>
                <w:color w:val="1C3A36"/>
                <w:sz w:val="15"/>
              </w:rPr>
              <w:t>Q1 actual 145.7 mn disclosed; Q2–Q4 path is our judgment on that base plus the company’s own "recovery from Q3" language.</w:t>
            </w:r>
          </w:p>
        </w:tc>
        <w:tc>
          <w:tcPr>
            <w:tcW w:type="dxa" w:w="922"/>
          </w:tcPr>
          <w:p>
            <w:pPr>
              <w:spacing w:after="20"/>
              <w:jc w:val="right"/>
            </w:pPr>
            <w:r>
              <w:rPr>
                <w:color w:val="1C3A36"/>
                <w:sz w:val="15"/>
              </w:rPr>
              <w:t>F14/F16</w:t>
            </w:r>
          </w:p>
        </w:tc>
      </w:tr>
      <w:tr>
        <w:tc>
          <w:tcPr>
            <w:tcW w:type="dxa" w:w="2333"/>
          </w:tcPr>
          <w:p>
            <w:pPr>
              <w:spacing w:after="20"/>
            </w:pPr>
            <w:r>
              <w:rPr>
                <w:b/>
                <w:color w:val="1C3A36"/>
                <w:sz w:val="15"/>
              </w:rPr>
              <w:t>Effective realised toll</w:t>
            </w:r>
          </w:p>
        </w:tc>
        <w:tc>
          <w:tcPr>
            <w:tcW w:type="dxa" w:w="1469"/>
          </w:tcPr>
          <w:p>
            <w:pPr>
              <w:spacing w:after="20"/>
            </w:pPr>
            <w:r>
              <w:rPr>
                <w:color w:val="1C3A36"/>
                <w:sz w:val="15"/>
              </w:rPr>
              <w:t>BOTTOM-UP</w:t>
            </w:r>
          </w:p>
        </w:tc>
        <w:tc>
          <w:tcPr>
            <w:tcW w:type="dxa" w:w="5357"/>
          </w:tcPr>
          <w:p>
            <w:pPr>
              <w:spacing w:after="20"/>
            </w:pPr>
            <w:r>
              <w:rPr>
                <w:color w:val="1C3A36"/>
                <w:sz w:val="15"/>
              </w:rPr>
              <w:t>Rebuilt from the disclosed peak/off-peak split to +0.05%. FY2024 AND FY2023 both reconcile to EXACTLY AED 4.00.</w:t>
            </w:r>
          </w:p>
        </w:tc>
        <w:tc>
          <w:tcPr>
            <w:tcW w:type="dxa" w:w="922"/>
          </w:tcPr>
          <w:p>
            <w:pPr>
              <w:spacing w:after="20"/>
              <w:jc w:val="right"/>
            </w:pPr>
            <w:r>
              <w:rPr>
                <w:color w:val="1C3A36"/>
                <w:sz w:val="15"/>
              </w:rPr>
              <w:t>F16/F19</w:t>
            </w:r>
          </w:p>
        </w:tc>
      </w:tr>
      <w:tr>
        <w:tc>
          <w:tcPr>
            <w:tcW w:type="dxa" w:w="2333"/>
          </w:tcPr>
          <w:p>
            <w:pPr>
              <w:spacing w:after="20"/>
            </w:pPr>
            <w:r>
              <w:rPr>
                <w:b/>
                <w:color w:val="1C3A36"/>
                <w:sz w:val="15"/>
              </w:rPr>
              <w:t>New-gate trips (111 mn)</w:t>
            </w:r>
          </w:p>
        </w:tc>
        <w:tc>
          <w:tcPr>
            <w:tcW w:type="dxa" w:w="1469"/>
          </w:tcPr>
          <w:p>
            <w:pPr>
              <w:spacing w:after="20"/>
            </w:pPr>
            <w:r>
              <w:rPr>
                <w:color w:val="1C3A36"/>
                <w:sz w:val="15"/>
              </w:rPr>
              <w:t>SOURCED</w:t>
            </w:r>
          </w:p>
        </w:tc>
        <w:tc>
          <w:tcPr>
            <w:tcW w:type="dxa" w:w="5357"/>
          </w:tcPr>
          <w:p>
            <w:pPr>
              <w:spacing w:after="20"/>
            </w:pPr>
            <w:r>
              <w:rPr>
                <w:color w:val="1C3A36"/>
                <w:sz w:val="15"/>
              </w:rPr>
              <w:t>The COMPANY’S own FY2025 projection, Aug-2024. Version 2 derived a residual instead — corrected.</w:t>
            </w:r>
          </w:p>
        </w:tc>
        <w:tc>
          <w:tcPr>
            <w:tcW w:type="dxa" w:w="922"/>
          </w:tcPr>
          <w:p>
            <w:pPr>
              <w:spacing w:after="20"/>
              <w:jc w:val="right"/>
            </w:pPr>
            <w:r>
              <w:rPr>
                <w:color w:val="1C3A36"/>
                <w:sz w:val="15"/>
              </w:rPr>
              <w:t>F17</w:t>
            </w:r>
          </w:p>
        </w:tc>
      </w:tr>
      <w:tr>
        <w:tc>
          <w:tcPr>
            <w:tcW w:type="dxa" w:w="2333"/>
          </w:tcPr>
          <w:p>
            <w:pPr>
              <w:spacing w:after="20"/>
            </w:pPr>
            <w:r>
              <w:rPr>
                <w:b/>
                <w:color w:val="1C3A36"/>
                <w:sz w:val="15"/>
              </w:rPr>
              <w:t>Gate cost (AED 2,734 mn)</w:t>
            </w:r>
          </w:p>
        </w:tc>
        <w:tc>
          <w:tcPr>
            <w:tcW w:type="dxa" w:w="1469"/>
          </w:tcPr>
          <w:p>
            <w:pPr>
              <w:spacing w:after="20"/>
            </w:pPr>
            <w:r>
              <w:rPr>
                <w:color w:val="1C3A36"/>
                <w:sz w:val="15"/>
              </w:rPr>
              <w:t>SOURCED</w:t>
            </w:r>
          </w:p>
        </w:tc>
        <w:tc>
          <w:tcPr>
            <w:tcW w:type="dxa" w:w="5357"/>
          </w:tcPr>
          <w:p>
            <w:pPr>
              <w:spacing w:after="20"/>
            </w:pPr>
            <w:r>
              <w:rPr>
                <w:color w:val="1C3A36"/>
                <w:sz w:val="15"/>
              </w:rPr>
              <w:t>Dubai Media Office, 28 Aug 2024. BB 2,265 + Al Safa 469. Version 2 used 2,700 — corrected.</w:t>
            </w:r>
          </w:p>
        </w:tc>
        <w:tc>
          <w:tcPr>
            <w:tcW w:type="dxa" w:w="922"/>
          </w:tcPr>
          <w:p>
            <w:pPr>
              <w:spacing w:after="20"/>
              <w:jc w:val="right"/>
            </w:pPr>
            <w:r>
              <w:rPr>
                <w:color w:val="1C3A36"/>
                <w:sz w:val="15"/>
              </w:rPr>
              <w:t>F17</w:t>
            </w:r>
          </w:p>
        </w:tc>
      </w:tr>
      <w:tr>
        <w:tc>
          <w:tcPr>
            <w:tcW w:type="dxa" w:w="2333"/>
          </w:tcPr>
          <w:p>
            <w:pPr>
              <w:spacing w:after="20"/>
            </w:pPr>
            <w:r>
              <w:rPr>
                <w:b/>
                <w:color w:val="1C3A36"/>
                <w:sz w:val="15"/>
              </w:rPr>
              <w:t>D&amp;A (AED 145 mn/yr)</w:t>
            </w:r>
          </w:p>
        </w:tc>
        <w:tc>
          <w:tcPr>
            <w:tcW w:type="dxa" w:w="1469"/>
          </w:tcPr>
          <w:p>
            <w:pPr>
              <w:spacing w:after="20"/>
            </w:pPr>
            <w:r>
              <w:rPr>
                <w:color w:val="1C3A36"/>
                <w:sz w:val="15"/>
              </w:rPr>
              <w:t>RECONCILED</w:t>
            </w:r>
          </w:p>
        </w:tc>
        <w:tc>
          <w:tcPr>
            <w:tcW w:type="dxa" w:w="5357"/>
          </w:tcPr>
          <w:p>
            <w:pPr>
              <w:spacing w:after="20"/>
            </w:pPr>
            <w:r>
              <w:rPr>
                <w:color w:val="1C3A36"/>
                <w:sz w:val="15"/>
              </w:rPr>
              <w:t>4,200/49 + 2,734/46.67 = 144.3. The Q1-26 EBITDA-to-EBIT bridge implies 145.2. An intangible cannot outlive its concession — corrected from a flat 49 yrs.</w:t>
            </w:r>
          </w:p>
        </w:tc>
        <w:tc>
          <w:tcPr>
            <w:tcW w:type="dxa" w:w="922"/>
          </w:tcPr>
          <w:p>
            <w:pPr>
              <w:spacing w:after="20"/>
              <w:jc w:val="right"/>
            </w:pPr>
            <w:r>
              <w:rPr>
                <w:color w:val="1C3A36"/>
                <w:sz w:val="15"/>
              </w:rPr>
              <w:t>F17</w:t>
            </w:r>
          </w:p>
        </w:tc>
      </w:tr>
      <w:tr>
        <w:tc>
          <w:tcPr>
            <w:tcW w:type="dxa" w:w="2333"/>
          </w:tcPr>
          <w:p>
            <w:pPr>
              <w:spacing w:after="20"/>
            </w:pPr>
            <w:r>
              <w:rPr>
                <w:b/>
                <w:color w:val="1C3A36"/>
                <w:sz w:val="15"/>
              </w:rPr>
              <w:t>Fines per chargeable trip (0.465)</w:t>
            </w:r>
          </w:p>
        </w:tc>
        <w:tc>
          <w:tcPr>
            <w:tcW w:type="dxa" w:w="1469"/>
          </w:tcPr>
          <w:p>
            <w:pPr>
              <w:spacing w:after="20"/>
            </w:pPr>
            <w:r>
              <w:rPr>
                <w:color w:val="1C3A36"/>
                <w:sz w:val="15"/>
              </w:rPr>
              <w:t>BOTTOM-UP</w:t>
            </w:r>
          </w:p>
        </w:tc>
        <w:tc>
          <w:tcPr>
            <w:tcW w:type="dxa" w:w="5357"/>
          </w:tcPr>
          <w:p>
            <w:pPr>
              <w:spacing w:after="20"/>
            </w:pPr>
            <w:r>
              <w:rPr>
                <w:color w:val="1C3A36"/>
                <w:sz w:val="15"/>
              </w:rPr>
              <w:t>The SOURCED history is noisy: 0.470 / 0.476 / 0.439 / 0.474. Version 2 modelled a flat 0.470 and called it stable. We now use the 4-period mean.</w:t>
            </w:r>
          </w:p>
        </w:tc>
        <w:tc>
          <w:tcPr>
            <w:tcW w:type="dxa" w:w="922"/>
          </w:tcPr>
          <w:p>
            <w:pPr>
              <w:spacing w:after="20"/>
              <w:jc w:val="right"/>
            </w:pPr>
            <w:r>
              <w:rPr>
                <w:color w:val="1C3A36"/>
                <w:sz w:val="15"/>
              </w:rPr>
              <w:t>F19</w:t>
            </w:r>
          </w:p>
        </w:tc>
      </w:tr>
      <w:tr>
        <w:tc>
          <w:tcPr>
            <w:tcW w:type="dxa" w:w="2333"/>
          </w:tcPr>
          <w:p>
            <w:pPr>
              <w:spacing w:after="20"/>
            </w:pPr>
            <w:r>
              <w:rPr>
                <w:b/>
                <w:color w:val="1C3A36"/>
                <w:sz w:val="15"/>
              </w:rPr>
              <w:t>Concession fee (22.5% of toll)</w:t>
            </w:r>
          </w:p>
        </w:tc>
        <w:tc>
          <w:tcPr>
            <w:tcW w:type="dxa" w:w="1469"/>
          </w:tcPr>
          <w:p>
            <w:pPr>
              <w:spacing w:after="20"/>
            </w:pPr>
            <w:r>
              <w:rPr>
                <w:color w:val="1C3A36"/>
                <w:sz w:val="15"/>
              </w:rPr>
              <w:t>CONTRACTUAL</w:t>
            </w:r>
          </w:p>
        </w:tc>
        <w:tc>
          <w:tcPr>
            <w:tcW w:type="dxa" w:w="5357"/>
          </w:tcPr>
          <w:p>
            <w:pPr>
              <w:spacing w:after="20"/>
            </w:pPr>
            <w:r>
              <w:rPr>
                <w:color w:val="1C3A36"/>
                <w:sz w:val="15"/>
              </w:rPr>
              <w:t>The agreement; RTA confirmation 3 Apr 2024.</w:t>
            </w:r>
          </w:p>
        </w:tc>
        <w:tc>
          <w:tcPr>
            <w:tcW w:type="dxa" w:w="922"/>
          </w:tcPr>
          <w:p>
            <w:pPr>
              <w:spacing w:after="20"/>
              <w:jc w:val="right"/>
            </w:pPr>
            <w:r>
              <w:rPr>
                <w:color w:val="1C3A36"/>
                <w:sz w:val="15"/>
              </w:rPr>
              <w:t>F06</w:t>
            </w:r>
          </w:p>
        </w:tc>
      </w:tr>
      <w:tr>
        <w:tc>
          <w:tcPr>
            <w:tcW w:type="dxa" w:w="2333"/>
          </w:tcPr>
          <w:p>
            <w:pPr>
              <w:spacing w:after="20"/>
            </w:pPr>
            <w:r>
              <w:rPr>
                <w:b/>
                <w:color w:val="1C3A36"/>
                <w:sz w:val="15"/>
              </w:rPr>
              <w:t>RTA instalment (AED 455.7 mn/yr)</w:t>
            </w:r>
          </w:p>
        </w:tc>
        <w:tc>
          <w:tcPr>
            <w:tcW w:type="dxa" w:w="1469"/>
          </w:tcPr>
          <w:p>
            <w:pPr>
              <w:spacing w:after="20"/>
            </w:pPr>
            <w:r>
              <w:rPr>
                <w:color w:val="1C3A36"/>
                <w:sz w:val="15"/>
              </w:rPr>
              <w:t>SOURCED</w:t>
            </w:r>
          </w:p>
        </w:tc>
        <w:tc>
          <w:tcPr>
            <w:tcW w:type="dxa" w:w="5357"/>
          </w:tcPr>
          <w:p>
            <w:pPr>
              <w:spacing w:after="20"/>
            </w:pPr>
            <w:r>
              <w:rPr>
                <w:color w:val="1C3A36"/>
                <w:sz w:val="15"/>
              </w:rPr>
              <w:t>AR2024 CFO Review. Six years from Nov-2024. In net debt, so NOT deducted from FCFF — see §1.2a.</w:t>
            </w:r>
          </w:p>
        </w:tc>
        <w:tc>
          <w:tcPr>
            <w:tcW w:type="dxa" w:w="922"/>
          </w:tcPr>
          <w:p>
            <w:pPr>
              <w:spacing w:after="20"/>
              <w:jc w:val="right"/>
            </w:pPr>
            <w:r>
              <w:rPr>
                <w:color w:val="1C3A36"/>
                <w:sz w:val="15"/>
              </w:rPr>
              <w:t>F17</w:t>
            </w:r>
          </w:p>
        </w:tc>
      </w:tr>
      <w:tr>
        <w:tc>
          <w:tcPr>
            <w:tcW w:type="dxa" w:w="2333"/>
          </w:tcPr>
          <w:p>
            <w:pPr>
              <w:spacing w:after="20"/>
            </w:pPr>
            <w:r>
              <w:rPr>
                <w:b/>
                <w:color w:val="1C3A36"/>
                <w:sz w:val="15"/>
              </w:rPr>
              <w:t>Equity beta (0.76)</w:t>
            </w:r>
          </w:p>
        </w:tc>
        <w:tc>
          <w:tcPr>
            <w:tcW w:type="dxa" w:w="1469"/>
          </w:tcPr>
          <w:p>
            <w:pPr>
              <w:spacing w:after="20"/>
            </w:pPr>
            <w:r>
              <w:rPr>
                <w:color w:val="1C3A36"/>
                <w:sz w:val="15"/>
              </w:rPr>
              <w:t>MEASURED</w:t>
            </w:r>
          </w:p>
        </w:tc>
        <w:tc>
          <w:tcPr>
            <w:tcW w:type="dxa" w:w="5357"/>
          </w:tcPr>
          <w:p>
            <w:pPr>
              <w:spacing w:after="20"/>
            </w:pPr>
            <w:r>
              <w:rPr>
                <w:color w:val="1C3A36"/>
                <w:sz w:val="15"/>
              </w:rPr>
              <w:t>Weekly regression vs a 14-name UAE portfolio: n=195, t=6.1, gate PASS. Blume-adjusted.</w:t>
            </w:r>
          </w:p>
        </w:tc>
        <w:tc>
          <w:tcPr>
            <w:tcW w:type="dxa" w:w="922"/>
          </w:tcPr>
          <w:p>
            <w:pPr>
              <w:spacing w:after="20"/>
              <w:jc w:val="right"/>
            </w:pPr>
            <w:r>
              <w:rPr>
                <w:color w:val="1C3A36"/>
                <w:sz w:val="15"/>
              </w:rPr>
              <w:t>F05/F09</w:t>
            </w:r>
          </w:p>
        </w:tc>
      </w:tr>
      <w:tr>
        <w:tc>
          <w:tcPr>
            <w:tcW w:type="dxa" w:w="2333"/>
          </w:tcPr>
          <w:p>
            <w:pPr>
              <w:spacing w:after="20"/>
            </w:pPr>
            <w:r>
              <w:rPr>
                <w:b/>
                <w:color w:val="1C3A36"/>
                <w:sz w:val="15"/>
              </w:rPr>
              <w:t>Risk-free rate (4.70%)</w:t>
            </w:r>
          </w:p>
        </w:tc>
        <w:tc>
          <w:tcPr>
            <w:tcW w:type="dxa" w:w="1469"/>
          </w:tcPr>
          <w:p>
            <w:pPr>
              <w:spacing w:after="20"/>
            </w:pPr>
            <w:r>
              <w:rPr>
                <w:color w:val="1C3A36"/>
                <w:sz w:val="15"/>
              </w:rPr>
              <w:t>DERIVED</w:t>
            </w:r>
          </w:p>
        </w:tc>
        <w:tc>
          <w:tcPr>
            <w:tcW w:type="dxa" w:w="5357"/>
          </w:tcPr>
          <w:p>
            <w:pPr>
              <w:spacing w:after="20"/>
            </w:pPr>
            <w:r>
              <w:rPr>
                <w:color w:val="1C3A36"/>
                <w:sz w:val="15"/>
              </w:rPr>
              <w:t>UST 10Y + the UAE MoF’s OWN disclosed AED-over-UST spread.</w:t>
            </w:r>
          </w:p>
        </w:tc>
        <w:tc>
          <w:tcPr>
            <w:tcW w:type="dxa" w:w="922"/>
          </w:tcPr>
          <w:p>
            <w:pPr>
              <w:spacing w:after="20"/>
              <w:jc w:val="right"/>
            </w:pPr>
            <w:r>
              <w:rPr>
                <w:color w:val="1C3A36"/>
                <w:sz w:val="15"/>
              </w:rPr>
              <w:t>F09</w:t>
            </w:r>
          </w:p>
        </w:tc>
      </w:tr>
      <w:tr>
        <w:tc>
          <w:tcPr>
            <w:tcW w:type="dxa" w:w="2333"/>
          </w:tcPr>
          <w:p>
            <w:pPr>
              <w:spacing w:after="20"/>
            </w:pPr>
            <w:r>
              <w:rPr>
                <w:b/>
                <w:color w:val="1C3A36"/>
                <w:sz w:val="15"/>
              </w:rPr>
              <w:t>ERP (4.87% / 4.93%)</w:t>
            </w:r>
          </w:p>
        </w:tc>
        <w:tc>
          <w:tcPr>
            <w:tcW w:type="dxa" w:w="1469"/>
          </w:tcPr>
          <w:p>
            <w:pPr>
              <w:spacing w:after="20"/>
            </w:pPr>
            <w:r>
              <w:rPr>
                <w:color w:val="1C3A36"/>
                <w:sz w:val="15"/>
              </w:rPr>
              <w:t>PRIMARY</w:t>
            </w:r>
          </w:p>
        </w:tc>
        <w:tc>
          <w:tcPr>
            <w:tcW w:type="dxa" w:w="5357"/>
          </w:tcPr>
          <w:p>
            <w:pPr>
              <w:spacing w:after="20"/>
            </w:pPr>
            <w:r>
              <w:rPr>
                <w:color w:val="1C3A36"/>
                <w:sz w:val="15"/>
              </w:rPr>
              <w:t>Damodaran ORIGINAL ctryprem.html.</w:t>
            </w:r>
          </w:p>
        </w:tc>
        <w:tc>
          <w:tcPr>
            <w:tcW w:type="dxa" w:w="922"/>
          </w:tcPr>
          <w:p>
            <w:pPr>
              <w:spacing w:after="20"/>
              <w:jc w:val="right"/>
            </w:pPr>
            <w:r>
              <w:rPr>
                <w:color w:val="1C3A36"/>
                <w:sz w:val="15"/>
              </w:rPr>
              <w:t>F09</w:t>
            </w:r>
          </w:p>
        </w:tc>
      </w:tr>
      <w:tr>
        <w:tc>
          <w:tcPr>
            <w:tcW w:type="dxa" w:w="2333"/>
          </w:tcPr>
          <w:p>
            <w:pPr>
              <w:spacing w:after="20"/>
            </w:pPr>
            <w:r>
              <w:rPr>
                <w:b/>
                <w:color w:val="1C3A36"/>
                <w:sz w:val="15"/>
              </w:rPr>
              <w:t>Terminal growth (2.5%)</w:t>
            </w:r>
          </w:p>
        </w:tc>
        <w:tc>
          <w:tcPr>
            <w:tcW w:type="dxa" w:w="1469"/>
          </w:tcPr>
          <w:p>
            <w:pPr>
              <w:spacing w:after="20"/>
            </w:pPr>
            <w:r>
              <w:rPr>
                <w:color w:val="1C3A36"/>
                <w:sz w:val="15"/>
              </w:rPr>
              <w:t>JUDGMENT</w:t>
            </w:r>
          </w:p>
        </w:tc>
        <w:tc>
          <w:tcPr>
            <w:tcW w:type="dxa" w:w="5357"/>
          </w:tcPr>
          <w:p>
            <w:pPr>
              <w:spacing w:after="20"/>
            </w:pPr>
            <w:r>
              <w:rPr>
                <w:color w:val="1C3A36"/>
                <w:sz w:val="15"/>
              </w:rPr>
              <w:t>Capped by the Metro Blue Line (2029). Sensitised 1.5–3.5%.</w:t>
            </w:r>
          </w:p>
        </w:tc>
        <w:tc>
          <w:tcPr>
            <w:tcW w:type="dxa" w:w="922"/>
          </w:tcPr>
          <w:p>
            <w:pPr>
              <w:spacing w:after="20"/>
              <w:jc w:val="right"/>
            </w:pPr>
            <w:r>
              <w:rPr>
                <w:color w:val="1C3A36"/>
                <w:sz w:val="15"/>
              </w:rPr>
              <w:t>F12</w:t>
            </w:r>
          </w:p>
        </w:tc>
      </w:tr>
      <w:tr>
        <w:tc>
          <w:tcPr>
            <w:tcW w:type="dxa" w:w="2333"/>
          </w:tcPr>
          <w:p>
            <w:pPr>
              <w:spacing w:after="20"/>
            </w:pPr>
            <w:r>
              <w:rPr>
                <w:b/>
                <w:color w:val="1C3A36"/>
                <w:sz w:val="15"/>
              </w:rPr>
              <w:t>"Other" revenue (AED 56 mn/yr)</w:t>
            </w:r>
          </w:p>
        </w:tc>
        <w:tc>
          <w:tcPr>
            <w:tcW w:type="dxa" w:w="1469"/>
          </w:tcPr>
          <w:p>
            <w:pPr>
              <w:spacing w:after="20"/>
            </w:pPr>
            <w:r>
              <w:rPr>
                <w:color w:val="1C3A36"/>
                <w:sz w:val="15"/>
              </w:rPr>
              <w:t>RESIDUAL — A PLUG</w:t>
            </w:r>
          </w:p>
        </w:tc>
        <w:tc>
          <w:tcPr>
            <w:tcW w:type="dxa" w:w="5357"/>
          </w:tcPr>
          <w:p>
            <w:pPr>
              <w:spacing w:after="20"/>
            </w:pPr>
            <w:r>
              <w:rPr>
                <w:color w:val="1C3A36"/>
                <w:sz w:val="15"/>
              </w:rPr>
              <w:t>HONEST FLAG: this is total revenue less the four lines we CAN source. The company’s FY2024 "other revenues" were AED 21.7 mn. Version 2 labelled it as though it were disclosed. It is not.</w:t>
            </w:r>
          </w:p>
        </w:tc>
        <w:tc>
          <w:tcPr>
            <w:tcW w:type="dxa" w:w="922"/>
          </w:tcPr>
          <w:p>
            <w:pPr>
              <w:spacing w:after="20"/>
              <w:jc w:val="right"/>
            </w:pPr>
            <w:r>
              <w:rPr>
                <w:color w:val="1C3A36"/>
                <w:sz w:val="15"/>
              </w:rPr>
              <w:t>—</w:t>
            </w:r>
          </w:p>
        </w:tc>
      </w:tr>
      <w:tr>
        <w:tc>
          <w:tcPr>
            <w:tcW w:type="dxa" w:w="2333"/>
          </w:tcPr>
          <w:p>
            <w:pPr>
              <w:spacing w:after="20"/>
            </w:pPr>
            <w:r>
              <w:rPr>
                <w:b/>
                <w:color w:val="1C3A36"/>
                <w:sz w:val="15"/>
              </w:rPr>
              <w:t>FY2026 company guidance</w:t>
            </w:r>
          </w:p>
        </w:tc>
        <w:tc>
          <w:tcPr>
            <w:tcW w:type="dxa" w:w="1469"/>
          </w:tcPr>
          <w:p>
            <w:pPr>
              <w:spacing w:after="20"/>
            </w:pPr>
            <w:r>
              <w:rPr>
                <w:color w:val="1C3A36"/>
                <w:sz w:val="15"/>
              </w:rPr>
              <w:t>NOT SOURCEABLE</w:t>
            </w:r>
          </w:p>
        </w:tc>
        <w:tc>
          <w:tcPr>
            <w:tcW w:type="dxa" w:w="5357"/>
          </w:tcPr>
          <w:p>
            <w:pPr>
              <w:spacing w:after="20"/>
            </w:pPr>
            <w:r>
              <w:rPr>
                <w:color w:val="1C3A36"/>
                <w:sz w:val="15"/>
              </w:rPr>
              <w:t>Guidance WAS cut on 11 May 2026. The numbers are in no company-official channel we could reach. Five targeted searches. We did NOT substitute an aggregator.</w:t>
            </w:r>
          </w:p>
        </w:tc>
        <w:tc>
          <w:tcPr>
            <w:tcW w:type="dxa" w:w="922"/>
          </w:tcPr>
          <w:p>
            <w:pPr>
              <w:spacing w:after="20"/>
              <w:jc w:val="right"/>
            </w:pPr>
            <w:r>
              <w:rPr>
                <w:color w:val="1C3A36"/>
                <w:sz w:val="15"/>
              </w:rPr>
              <w:t>F13 (neg)</w:t>
            </w:r>
          </w:p>
        </w:tc>
      </w:tr>
    </w:tbl>
    <w:p>
      <w:pPr>
        <w:spacing w:after="40"/>
      </w:pPr>
    </w:p>
    <w:p>
      <w:pPr>
        <w:spacing w:after="40"/>
        <w:jc w:val="center"/>
      </w:pPr>
      <w:r>
        <w:drawing>
          <wp:inline xmlns:a="http://schemas.openxmlformats.org/drawingml/2006/main" xmlns:pic="http://schemas.openxmlformats.org/drawingml/2006/picture">
            <wp:extent cx="6309360" cy="2377104"/>
            <wp:docPr id="6" name="Picture 6"/>
            <wp:cNvGraphicFramePr>
              <a:graphicFrameLocks noChangeAspect="1"/>
            </wp:cNvGraphicFramePr>
            <a:graphic>
              <a:graphicData uri="http://schemas.openxmlformats.org/drawingml/2006/picture">
                <pic:pic>
                  <pic:nvPicPr>
                    <pic:cNvPr id="0" name="f5_revenue.png"/>
                    <pic:cNvPicPr/>
                  </pic:nvPicPr>
                  <pic:blipFill>
                    <a:blip r:embed="rId14"/>
                    <a:stretch>
                      <a:fillRect/>
                    </a:stretch>
                  </pic:blipFill>
                  <pic:spPr>
                    <a:xfrm>
                      <a:off x="0" y="0"/>
                      <a:ext cx="6309360" cy="2377104"/>
                    </a:xfrm>
                    <a:prstGeom prst="rect"/>
                  </pic:spPr>
                </pic:pic>
              </a:graphicData>
            </a:graphic>
          </wp:inline>
        </w:drawing>
      </w:r>
    </w:p>
    <w:p>
      <w:pPr>
        <w:spacing w:after="180" w:before="0"/>
      </w:pPr>
      <w:r>
        <w:rPr>
          <w:b w:val="0"/>
          <w:i/>
          <w:color w:val="6E7B77"/>
          <w:sz w:val="17"/>
        </w:rPr>
        <w:t>Figure 5 · The revenue build. FY2023 and FY2024 lines are now fully sourced from the AR2024 CFO Review, replacing two derived figures.</w:t>
      </w:r>
    </w:p>
    <w:p>
      <w:r>
        <w:br w:type="page"/>
      </w:r>
    </w:p>
    <w:p>
      <w:pPr>
        <w:spacing w:after="100" w:before="260"/>
      </w:pPr>
      <w:r>
        <w:rPr>
          <w:b/>
          <w:i w:val="0"/>
          <w:color w:val="1C3A36"/>
          <w:sz w:val="30"/>
        </w:rPr>
        <w:t>1.7 The crux — the war attacks the numerator AND the denominator</w:t>
      </w:r>
    </w:p>
    <w:p>
      <w:pPr>
        <w:spacing w:after="80" w:before="180"/>
      </w:pPr>
      <w:r>
        <w:rPr>
          <w:b/>
          <w:i w:val="0"/>
          <w:color w:val="1C3A36"/>
          <w:sz w:val="23"/>
        </w:rPr>
        <w:t>Step one: prove it is not an earnings disagreement</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408"/>
        <w:gridCol w:w="3408"/>
        <w:gridCol w:w="3408"/>
      </w:tblGrid>
      <w:tr>
        <w:tc>
          <w:tcPr>
            <w:tcW w:type="dxa" w:w="3917"/>
            <w:shd w:val="clear" w:color="auto" w:fill="EAF0EE"/>
          </w:tcPr>
          <w:p>
            <w:pPr>
              <w:spacing w:after="20"/>
            </w:pPr>
            <w:r>
              <w:rPr>
                <w:b/>
                <w:color w:val="1C3A36"/>
                <w:sz w:val="17"/>
              </w:rPr>
              <w:t>Test</w:t>
            </w:r>
          </w:p>
        </w:tc>
        <w:tc>
          <w:tcPr>
            <w:tcW w:type="dxa" w:w="2074"/>
            <w:shd w:val="clear" w:color="auto" w:fill="EAF0EE"/>
          </w:tcPr>
          <w:p>
            <w:pPr>
              <w:spacing w:after="20"/>
            </w:pPr>
            <w:r>
              <w:rPr>
                <w:b/>
                <w:color w:val="1C3A36"/>
                <w:sz w:val="17"/>
              </w:rPr>
              <w:t>Result</w:t>
            </w:r>
          </w:p>
        </w:tc>
        <w:tc>
          <w:tcPr>
            <w:tcW w:type="dxa" w:w="4090"/>
            <w:shd w:val="clear" w:color="auto" w:fill="EAF0EE"/>
          </w:tcPr>
          <w:p>
            <w:pPr>
              <w:spacing w:after="20"/>
            </w:pPr>
            <w:r>
              <w:rPr>
                <w:b/>
                <w:color w:val="1C3A36"/>
                <w:sz w:val="17"/>
              </w:rPr>
              <w:t>Reading</w:t>
            </w:r>
          </w:p>
        </w:tc>
      </w:tr>
      <w:tr>
        <w:tc>
          <w:tcPr>
            <w:tcW w:type="dxa" w:w="3917"/>
          </w:tcPr>
          <w:p>
            <w:pPr>
              <w:spacing w:after="20"/>
            </w:pPr>
            <w:r>
              <w:rPr>
                <w:b/>
                <w:color w:val="1C3A36"/>
                <w:sz w:val="17"/>
              </w:rPr>
              <w:t>Our FY2026E EPS</w:t>
            </w:r>
          </w:p>
        </w:tc>
        <w:tc>
          <w:tcPr>
            <w:tcW w:type="dxa" w:w="2074"/>
          </w:tcPr>
          <w:p>
            <w:pPr>
              <w:spacing w:after="20"/>
              <w:jc w:val="right"/>
            </w:pPr>
            <w:r>
              <w:rPr>
                <w:color w:val="1C3A36"/>
                <w:sz w:val="17"/>
              </w:rPr>
              <w:t>AED 0.2039</w:t>
            </w:r>
          </w:p>
        </w:tc>
        <w:tc>
          <w:tcPr>
            <w:tcW w:type="dxa" w:w="4090"/>
          </w:tcPr>
          <w:p>
            <w:pPr>
              <w:spacing w:after="20"/>
            </w:pPr>
            <w:r>
              <w:rPr>
                <w:color w:val="1C3A36"/>
                <w:sz w:val="17"/>
              </w:rPr>
            </w:r>
          </w:p>
        </w:tc>
      </w:tr>
      <w:tr>
        <w:tc>
          <w:tcPr>
            <w:tcW w:type="dxa" w:w="3917"/>
          </w:tcPr>
          <w:p>
            <w:pPr>
              <w:spacing w:after="20"/>
            </w:pPr>
            <w:r>
              <w:rPr>
                <w:b/>
                <w:color w:val="1C3A36"/>
                <w:sz w:val="17"/>
              </w:rPr>
              <w:t>FY2025 actual EPS</w:t>
            </w:r>
          </w:p>
        </w:tc>
        <w:tc>
          <w:tcPr>
            <w:tcW w:type="dxa" w:w="2074"/>
          </w:tcPr>
          <w:p>
            <w:pPr>
              <w:spacing w:after="20"/>
              <w:jc w:val="right"/>
            </w:pPr>
            <w:r>
              <w:rPr>
                <w:color w:val="1C3A36"/>
                <w:sz w:val="17"/>
              </w:rPr>
              <w:t>AED 0.2071</w:t>
            </w:r>
          </w:p>
        </w:tc>
        <w:tc>
          <w:tcPr>
            <w:tcW w:type="dxa" w:w="4090"/>
          </w:tcPr>
          <w:p>
            <w:pPr>
              <w:spacing w:after="20"/>
            </w:pPr>
            <w:r>
              <w:rPr>
                <w:color w:val="1C3A36"/>
                <w:sz w:val="17"/>
              </w:rPr>
            </w:r>
          </w:p>
        </w:tc>
      </w:tr>
      <w:tr>
        <w:tc>
          <w:tcPr>
            <w:tcW w:type="dxa" w:w="3917"/>
          </w:tcPr>
          <w:p>
            <w:pPr>
              <w:spacing w:after="20"/>
            </w:pPr>
            <w:r>
              <w:rPr>
                <w:b/>
                <w:color w:val="1C3A36"/>
                <w:sz w:val="17"/>
              </w:rPr>
              <w:t>Our FY2026E vs FY2025 actual</w:t>
            </w:r>
          </w:p>
        </w:tc>
        <w:tc>
          <w:tcPr>
            <w:tcW w:type="dxa" w:w="2074"/>
          </w:tcPr>
          <w:p>
            <w:pPr>
              <w:spacing w:after="20"/>
              <w:jc w:val="right"/>
            </w:pPr>
            <w:r>
              <w:rPr>
                <w:color w:val="1C3A36"/>
                <w:sz w:val="17"/>
              </w:rPr>
              <w:t>-1.6%</w:t>
            </w:r>
          </w:p>
        </w:tc>
        <w:tc>
          <w:tcPr>
            <w:tcW w:type="dxa" w:w="4090"/>
          </w:tcPr>
          <w:p>
            <w:pPr>
              <w:spacing w:after="20"/>
            </w:pPr>
            <w:r>
              <w:rPr>
                <w:color w:val="1C3A36"/>
                <w:sz w:val="17"/>
              </w:rPr>
              <w:t>Essentially flat.</w:t>
            </w:r>
          </w:p>
        </w:tc>
      </w:tr>
      <w:tr>
        <w:tc>
          <w:tcPr>
            <w:tcW w:type="dxa" w:w="3917"/>
          </w:tcPr>
          <w:p>
            <w:pPr>
              <w:spacing w:after="20"/>
            </w:pPr>
            <w:r>
              <w:rPr>
                <w:b/>
                <w:color w:val="1C3A36"/>
                <w:sz w:val="17"/>
              </w:rPr>
              <w:t>Q1-2026 net profit, annualised</w:t>
            </w:r>
          </w:p>
        </w:tc>
        <w:tc>
          <w:tcPr>
            <w:tcW w:type="dxa" w:w="2074"/>
          </w:tcPr>
          <w:p>
            <w:pPr>
              <w:spacing w:after="20"/>
              <w:jc w:val="right"/>
            </w:pPr>
            <w:r>
              <w:rPr>
                <w:color w:val="1C3A36"/>
                <w:sz w:val="17"/>
              </w:rPr>
              <w:t>AED 1,477 mn</w:t>
            </w:r>
          </w:p>
        </w:tc>
        <w:tc>
          <w:tcPr>
            <w:tcW w:type="dxa" w:w="4090"/>
          </w:tcPr>
          <w:p>
            <w:pPr>
              <w:spacing w:after="20"/>
            </w:pPr>
            <w:r>
              <w:rPr>
                <w:color w:val="1C3A36"/>
                <w:sz w:val="17"/>
              </w:rPr>
            </w:r>
          </w:p>
        </w:tc>
      </w:tr>
      <w:tr>
        <w:tc>
          <w:tcPr>
            <w:tcW w:type="dxa" w:w="3917"/>
          </w:tcPr>
          <w:p>
            <w:pPr>
              <w:spacing w:after="20"/>
            </w:pPr>
            <w:r>
              <w:rPr>
                <w:b/>
                <w:color w:val="1C3A36"/>
                <w:sz w:val="17"/>
              </w:rPr>
              <w:t>Our FY2026E net profit</w:t>
            </w:r>
          </w:p>
        </w:tc>
        <w:tc>
          <w:tcPr>
            <w:tcW w:type="dxa" w:w="2074"/>
          </w:tcPr>
          <w:p>
            <w:pPr>
              <w:spacing w:after="20"/>
              <w:jc w:val="right"/>
            </w:pPr>
            <w:r>
              <w:rPr>
                <w:color w:val="1C3A36"/>
                <w:sz w:val="17"/>
              </w:rPr>
              <w:t>AED 1,529 mn</w:t>
            </w:r>
          </w:p>
        </w:tc>
        <w:tc>
          <w:tcPr>
            <w:tcW w:type="dxa" w:w="4090"/>
          </w:tcPr>
          <w:p>
            <w:pPr>
              <w:spacing w:after="20"/>
            </w:pPr>
            <w:r>
              <w:rPr>
                <w:color w:val="1C3A36"/>
                <w:sz w:val="17"/>
              </w:rPr>
              <w:t>ABOVE the Q1 run-rate. We model a recovery.</w:t>
            </w:r>
          </w:p>
        </w:tc>
      </w:tr>
    </w:tbl>
    <w:p>
      <w:pPr>
        <w:spacing w:after="40"/>
      </w:pPr>
    </w:p>
    <w:p>
      <w:pPr>
        <w:spacing w:after="120" w:before="0"/>
      </w:pPr>
      <w:r>
        <w:rPr>
          <w:b w:val="0"/>
          <w:i w:val="0"/>
          <w:color w:val="1C3A36"/>
          <w:sz w:val="21"/>
        </w:rPr>
        <w:t>We are not forecasting a collapse. We are forecasting a flat year with a recovery in the back half — which is what the company itself guides to. If the earnings path were the problem, the fix would be to raise it. It is not the problem.</w:t>
      </w:r>
    </w:p>
    <w:p>
      <w:pPr>
        <w:spacing w:after="80" w:before="180"/>
      </w:pPr>
      <w:r>
        <w:rPr>
          <w:b/>
          <w:i w:val="0"/>
          <w:color w:val="1C3A36"/>
          <w:sz w:val="23"/>
        </w:rPr>
        <w:t>Step two: what IS the market paying for?</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56"/>
        <w:gridCol w:w="2556"/>
        <w:gridCol w:w="2556"/>
        <w:gridCol w:w="2556"/>
      </w:tblGrid>
      <w:tr>
        <w:tc>
          <w:tcPr>
            <w:tcW w:type="dxa" w:w="3168"/>
            <w:shd w:val="clear" w:color="auto" w:fill="EAF0EE"/>
          </w:tcPr>
          <w:p>
            <w:pPr>
              <w:spacing w:after="20"/>
            </w:pPr>
            <w:r>
              <w:rPr>
                <w:b/>
                <w:color w:val="1C3A36"/>
                <w:sz w:val="16"/>
              </w:rPr>
              <w:t>Reverse-engineered from spot AED 5.70</w:t>
            </w:r>
          </w:p>
        </w:tc>
        <w:tc>
          <w:tcPr>
            <w:tcW w:type="dxa" w:w="1152"/>
            <w:shd w:val="clear" w:color="auto" w:fill="EAF0EE"/>
          </w:tcPr>
          <w:p>
            <w:pPr>
              <w:spacing w:after="20"/>
            </w:pPr>
            <w:r>
              <w:rPr>
                <w:b/>
                <w:color w:val="1C3A36"/>
                <w:sz w:val="16"/>
              </w:rPr>
              <w:t>Implied</w:t>
            </w:r>
          </w:p>
        </w:tc>
        <w:tc>
          <w:tcPr>
            <w:tcW w:type="dxa" w:w="1037"/>
            <w:shd w:val="clear" w:color="auto" w:fill="EAF0EE"/>
          </w:tcPr>
          <w:p>
            <w:pPr>
              <w:spacing w:after="20"/>
            </w:pPr>
            <w:r>
              <w:rPr>
                <w:b/>
                <w:color w:val="1C3A36"/>
                <w:sz w:val="16"/>
              </w:rPr>
              <w:t>We use</w:t>
            </w:r>
          </w:p>
        </w:tc>
        <w:tc>
          <w:tcPr>
            <w:tcW w:type="dxa" w:w="4723"/>
            <w:shd w:val="clear" w:color="auto" w:fill="EAF0EE"/>
          </w:tcPr>
          <w:p>
            <w:pPr>
              <w:spacing w:after="20"/>
            </w:pPr>
            <w:r>
              <w:rPr>
                <w:b/>
                <w:color w:val="1C3A36"/>
                <w:sz w:val="16"/>
              </w:rPr>
              <w:t>Is it credible?</w:t>
            </w:r>
          </w:p>
        </w:tc>
      </w:tr>
      <w:tr>
        <w:tc>
          <w:tcPr>
            <w:tcW w:type="dxa" w:w="3168"/>
          </w:tcPr>
          <w:p>
            <w:pPr>
              <w:spacing w:after="20"/>
            </w:pPr>
            <w:r>
              <w:rPr>
                <w:b/>
                <w:color w:val="1C3A36"/>
                <w:sz w:val="16"/>
              </w:rPr>
              <w:t>Hold terminal g at 2.5% ⇒ implied WACC</w:t>
            </w:r>
          </w:p>
        </w:tc>
        <w:tc>
          <w:tcPr>
            <w:tcW w:type="dxa" w:w="1152"/>
          </w:tcPr>
          <w:p>
            <w:pPr>
              <w:spacing w:after="20"/>
              <w:jc w:val="right"/>
            </w:pPr>
            <w:r>
              <w:rPr>
                <w:color w:val="1C3A36"/>
                <w:sz w:val="16"/>
              </w:rPr>
              <w:t>7.0%</w:t>
            </w:r>
          </w:p>
        </w:tc>
        <w:tc>
          <w:tcPr>
            <w:tcW w:type="dxa" w:w="1037"/>
          </w:tcPr>
          <w:p>
            <w:pPr>
              <w:spacing w:after="20"/>
              <w:jc w:val="right"/>
            </w:pPr>
            <w:r>
              <w:rPr>
                <w:color w:val="1C3A36"/>
                <w:sz w:val="16"/>
              </w:rPr>
              <w:t>8.1%</w:t>
            </w:r>
          </w:p>
        </w:tc>
        <w:tc>
          <w:tcPr>
            <w:tcW w:type="dxa" w:w="4723"/>
          </w:tcPr>
          <w:p>
            <w:pPr>
              <w:spacing w:after="20"/>
            </w:pPr>
            <w:r>
              <w:rPr>
                <w:color w:val="1C3A36"/>
                <w:sz w:val="16"/>
              </w:rPr>
            </w:r>
          </w:p>
        </w:tc>
      </w:tr>
      <w:tr>
        <w:tc>
          <w:tcPr>
            <w:tcW w:type="dxa" w:w="3168"/>
          </w:tcPr>
          <w:p>
            <w:pPr>
              <w:spacing w:after="20"/>
            </w:pPr>
            <w:r>
              <w:rPr>
                <w:b/>
                <w:color w:val="1C3A36"/>
                <w:sz w:val="16"/>
              </w:rPr>
              <w:t>⇒ implied equity beta</w:t>
            </w:r>
          </w:p>
        </w:tc>
        <w:tc>
          <w:tcPr>
            <w:tcW w:type="dxa" w:w="1152"/>
          </w:tcPr>
          <w:p>
            <w:pPr>
              <w:spacing w:after="20"/>
              <w:jc w:val="right"/>
            </w:pPr>
            <w:r>
              <w:rPr>
                <w:color w:val="1C3A36"/>
                <w:sz w:val="16"/>
              </w:rPr>
              <w:t>0.52</w:t>
            </w:r>
          </w:p>
        </w:tc>
        <w:tc>
          <w:tcPr>
            <w:tcW w:type="dxa" w:w="1037"/>
          </w:tcPr>
          <w:p>
            <w:pPr>
              <w:spacing w:after="20"/>
              <w:jc w:val="right"/>
            </w:pPr>
            <w:r>
              <w:rPr>
                <w:color w:val="1C3A36"/>
                <w:sz w:val="16"/>
              </w:rPr>
              <w:t>0.76</w:t>
            </w:r>
          </w:p>
        </w:tc>
        <w:tc>
          <w:tcPr>
            <w:tcW w:type="dxa" w:w="4723"/>
          </w:tcPr>
          <w:p>
            <w:pPr>
              <w:spacing w:after="20"/>
            </w:pPr>
            <w:r>
              <w:rPr>
                <w:color w:val="1C3A36"/>
                <w:sz w:val="16"/>
              </w:rPr>
              <w:t>YES — and this IS the finding. It sits INSIDE our measured 95% CI [0.43, 0.84], and it is almost exactly SALIK’s PRE-WAR beta of 0.47.</w:t>
            </w:r>
          </w:p>
        </w:tc>
      </w:tr>
      <w:tr>
        <w:tc>
          <w:tcPr>
            <w:tcW w:type="dxa" w:w="3168"/>
          </w:tcPr>
          <w:p>
            <w:pPr>
              <w:spacing w:after="20"/>
            </w:pPr>
            <w:r>
              <w:rPr>
                <w:b/>
                <w:color w:val="1C3A36"/>
                <w:sz w:val="16"/>
              </w:rPr>
              <w:t>Hold beta at 0.76 ⇒ implied terminal g</w:t>
            </w:r>
          </w:p>
        </w:tc>
        <w:tc>
          <w:tcPr>
            <w:tcW w:type="dxa" w:w="1152"/>
          </w:tcPr>
          <w:p>
            <w:pPr>
              <w:spacing w:after="20"/>
              <w:jc w:val="right"/>
            </w:pPr>
            <w:r>
              <w:rPr>
                <w:color w:val="1C3A36"/>
                <w:sz w:val="16"/>
              </w:rPr>
              <w:t>3.8%</w:t>
            </w:r>
          </w:p>
        </w:tc>
        <w:tc>
          <w:tcPr>
            <w:tcW w:type="dxa" w:w="1037"/>
          </w:tcPr>
          <w:p>
            <w:pPr>
              <w:spacing w:after="20"/>
              <w:jc w:val="right"/>
            </w:pPr>
            <w:r>
              <w:rPr>
                <w:color w:val="1C3A36"/>
                <w:sz w:val="16"/>
              </w:rPr>
              <w:t>2.5%</w:t>
            </w:r>
          </w:p>
        </w:tc>
        <w:tc>
          <w:tcPr>
            <w:tcW w:type="dxa" w:w="4723"/>
          </w:tcPr>
          <w:p>
            <w:pPr>
              <w:spacing w:after="20"/>
            </w:pPr>
            <w:r>
              <w:rPr>
                <w:color w:val="1C3A36"/>
                <w:sz w:val="16"/>
              </w:rPr>
              <w:t>Demanding but not absurd for a city planning 4.0 → 5.8 mn people.</w:t>
            </w:r>
          </w:p>
        </w:tc>
      </w:tr>
      <w:tr>
        <w:tc>
          <w:tcPr>
            <w:tcW w:type="dxa" w:w="3168"/>
          </w:tcPr>
          <w:p>
            <w:pPr>
              <w:spacing w:after="20"/>
            </w:pPr>
            <w:r>
              <w:rPr>
                <w:b/>
                <w:color w:val="1C3A36"/>
                <w:sz w:val="16"/>
              </w:rPr>
              <w:t>Unlevered FCF yield at spot</w:t>
            </w:r>
          </w:p>
        </w:tc>
        <w:tc>
          <w:tcPr>
            <w:tcW w:type="dxa" w:w="1152"/>
          </w:tcPr>
          <w:p>
            <w:pPr>
              <w:spacing w:after="20"/>
              <w:jc w:val="right"/>
            </w:pPr>
            <w:r>
              <w:rPr>
                <w:color w:val="1C3A36"/>
                <w:sz w:val="16"/>
              </w:rPr>
              <w:t>4.0%</w:t>
            </w:r>
          </w:p>
        </w:tc>
        <w:tc>
          <w:tcPr>
            <w:tcW w:type="dxa" w:w="1037"/>
          </w:tcPr>
          <w:p>
            <w:pPr>
              <w:spacing w:after="20"/>
              <w:jc w:val="right"/>
            </w:pPr>
            <w:r>
              <w:rPr>
                <w:color w:val="1C3A36"/>
                <w:sz w:val="16"/>
              </w:rPr>
              <w:t>—</w:t>
            </w:r>
          </w:p>
        </w:tc>
        <w:tc>
          <w:tcPr>
            <w:tcW w:type="dxa" w:w="4723"/>
          </w:tcPr>
          <w:p>
            <w:pPr>
              <w:spacing w:after="20"/>
            </w:pPr>
            <w:r>
              <w:rPr>
                <w:color w:val="1C3A36"/>
                <w:sz w:val="16"/>
              </w:rPr>
              <w:t>In steady state this equals WACC − g. The market is saying either the WACC is ~7% or growth is ~4%. Or both, a bit.</w:t>
            </w:r>
          </w:p>
        </w:tc>
      </w:tr>
    </w:tbl>
    <w:p>
      <w:pPr>
        <w:spacing w:after="40"/>
      </w:pPr>
    </w:p>
    <w:p>
      <w:pPr>
        <w:spacing w:after="40"/>
        <w:jc w:val="center"/>
      </w:pPr>
      <w:r>
        <w:drawing>
          <wp:inline xmlns:a="http://schemas.openxmlformats.org/drawingml/2006/main" xmlns:pic="http://schemas.openxmlformats.org/drawingml/2006/picture">
            <wp:extent cx="6400800" cy="2896164"/>
            <wp:docPr id="7" name="Picture 7"/>
            <wp:cNvGraphicFramePr>
              <a:graphicFrameLocks noChangeAspect="1"/>
            </wp:cNvGraphicFramePr>
            <a:graphic>
              <a:graphicData uri="http://schemas.openxmlformats.org/drawingml/2006/picture">
                <pic:pic>
                  <pic:nvPicPr>
                    <pic:cNvPr id="0" name="f4_crux.png"/>
                    <pic:cNvPicPr/>
                  </pic:nvPicPr>
                  <pic:blipFill>
                    <a:blip r:embed="rId15"/>
                    <a:stretch>
                      <a:fillRect/>
                    </a:stretch>
                  </pic:blipFill>
                  <pic:spPr>
                    <a:xfrm>
                      <a:off x="0" y="0"/>
                      <a:ext cx="6400800" cy="2896164"/>
                    </a:xfrm>
                    <a:prstGeom prst="rect"/>
                  </pic:spPr>
                </pic:pic>
              </a:graphicData>
            </a:graphic>
          </wp:inline>
        </w:drawing>
      </w:r>
    </w:p>
    <w:p>
      <w:pPr>
        <w:spacing w:after="180" w:before="0"/>
      </w:pPr>
      <w:r>
        <w:rPr>
          <w:b w:val="0"/>
          <w:i/>
          <w:color w:val="6E7B77"/>
          <w:sz w:val="17"/>
        </w:rPr>
        <w:t>Figure 4 · Fair value against the MEASURED beta, with the 95% confidence band shaded. Spot implies β = 0.52 — inside the CI, and close to the pre-war reading.</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704"/>
        <w:gridCol w:w="1704"/>
        <w:gridCol w:w="1704"/>
        <w:gridCol w:w="1704"/>
        <w:gridCol w:w="1704"/>
        <w:gridCol w:w="1704"/>
      </w:tblGrid>
      <w:tr>
        <w:tc>
          <w:tcPr>
            <w:tcW w:type="dxa" w:w="893"/>
            <w:shd w:val="clear" w:color="auto" w:fill="EAF0EE"/>
          </w:tcPr>
          <w:p>
            <w:pPr>
              <w:spacing w:after="20"/>
            </w:pPr>
            <w:r>
              <w:rPr>
                <w:b/>
                <w:color w:val="1C3A36"/>
                <w:sz w:val="16"/>
              </w:rPr>
              <w:t>Beta</w:t>
            </w:r>
          </w:p>
        </w:tc>
        <w:tc>
          <w:tcPr>
            <w:tcW w:type="dxa" w:w="1296"/>
            <w:shd w:val="clear" w:color="auto" w:fill="EAF0EE"/>
          </w:tcPr>
          <w:p>
            <w:pPr>
              <w:spacing w:after="20"/>
            </w:pPr>
            <w:r>
              <w:rPr>
                <w:b/>
                <w:color w:val="1C3A36"/>
                <w:sz w:val="16"/>
              </w:rPr>
              <w:t>Cost of equity</w:t>
            </w:r>
          </w:p>
        </w:tc>
        <w:tc>
          <w:tcPr>
            <w:tcW w:type="dxa" w:w="1037"/>
            <w:shd w:val="clear" w:color="auto" w:fill="EAF0EE"/>
          </w:tcPr>
          <w:p>
            <w:pPr>
              <w:spacing w:after="20"/>
            </w:pPr>
            <w:r>
              <w:rPr>
                <w:b/>
                <w:color w:val="1C3A36"/>
                <w:sz w:val="16"/>
              </w:rPr>
              <w:t>WACC</w:t>
            </w:r>
          </w:p>
        </w:tc>
        <w:tc>
          <w:tcPr>
            <w:tcW w:type="dxa" w:w="1296"/>
            <w:shd w:val="clear" w:color="auto" w:fill="EAF0EE"/>
          </w:tcPr>
          <w:p>
            <w:pPr>
              <w:spacing w:after="20"/>
            </w:pPr>
            <w:r>
              <w:rPr>
                <w:b/>
                <w:color w:val="1C3A36"/>
                <w:sz w:val="16"/>
              </w:rPr>
              <w:t>Fair value</w:t>
            </w:r>
          </w:p>
        </w:tc>
        <w:tc>
          <w:tcPr>
            <w:tcW w:type="dxa" w:w="1066"/>
            <w:shd w:val="clear" w:color="auto" w:fill="EAF0EE"/>
          </w:tcPr>
          <w:p>
            <w:pPr>
              <w:spacing w:after="20"/>
            </w:pPr>
            <w:r>
              <w:rPr>
                <w:b/>
                <w:color w:val="1C3A36"/>
                <w:sz w:val="16"/>
              </w:rPr>
              <w:t>vs spot</w:t>
            </w:r>
          </w:p>
        </w:tc>
        <w:tc>
          <w:tcPr>
            <w:tcW w:type="dxa" w:w="4637"/>
            <w:shd w:val="clear" w:color="auto" w:fill="EAF0EE"/>
          </w:tcPr>
          <w:p>
            <w:pPr>
              <w:spacing w:after="20"/>
            </w:pPr>
            <w:r>
              <w:rPr>
                <w:b/>
                <w:color w:val="1C3A36"/>
                <w:sz w:val="16"/>
              </w:rPr>
              <w:t>What this beta IS</w:t>
            </w:r>
          </w:p>
        </w:tc>
      </w:tr>
      <w:tr>
        <w:tc>
          <w:tcPr>
            <w:tcW w:type="dxa" w:w="893"/>
          </w:tcPr>
          <w:p>
            <w:pPr>
              <w:spacing w:after="20"/>
            </w:pPr>
            <w:r>
              <w:rPr>
                <w:b/>
                <w:color w:val="1C3A36"/>
                <w:sz w:val="16"/>
              </w:rPr>
              <w:t>1.000</w:t>
            </w:r>
          </w:p>
        </w:tc>
        <w:tc>
          <w:tcPr>
            <w:tcW w:type="dxa" w:w="1296"/>
          </w:tcPr>
          <w:p>
            <w:pPr>
              <w:spacing w:after="20"/>
              <w:jc w:val="right"/>
            </w:pPr>
            <w:r>
              <w:rPr>
                <w:color w:val="1C3A36"/>
                <w:sz w:val="16"/>
              </w:rPr>
              <w:t>9.6%</w:t>
            </w:r>
          </w:p>
        </w:tc>
        <w:tc>
          <w:tcPr>
            <w:tcW w:type="dxa" w:w="1037"/>
          </w:tcPr>
          <w:p>
            <w:pPr>
              <w:spacing w:after="20"/>
              <w:jc w:val="right"/>
            </w:pPr>
            <w:r>
              <w:rPr>
                <w:color w:val="1C3A36"/>
                <w:sz w:val="16"/>
              </w:rPr>
              <w:t>9.2%</w:t>
            </w:r>
          </w:p>
        </w:tc>
        <w:tc>
          <w:tcPr>
            <w:tcW w:type="dxa" w:w="1296"/>
          </w:tcPr>
          <w:p>
            <w:pPr>
              <w:spacing w:after="20"/>
              <w:jc w:val="right"/>
            </w:pPr>
            <w:r>
              <w:rPr>
                <w:color w:val="1C3A36"/>
                <w:sz w:val="16"/>
              </w:rPr>
              <w:t>AED 3.66</w:t>
            </w:r>
          </w:p>
        </w:tc>
        <w:tc>
          <w:tcPr>
            <w:tcW w:type="dxa" w:w="1066"/>
          </w:tcPr>
          <w:p>
            <w:pPr>
              <w:spacing w:after="20"/>
              <w:jc w:val="right"/>
            </w:pPr>
            <w:r>
              <w:rPr>
                <w:color w:val="1C3A36"/>
                <w:sz w:val="16"/>
              </w:rPr>
              <w:t>-35.7%</w:t>
            </w:r>
          </w:p>
        </w:tc>
        <w:tc>
          <w:tcPr>
            <w:tcW w:type="dxa" w:w="4637"/>
          </w:tcPr>
          <w:p>
            <w:pPr>
              <w:spacing w:after="20"/>
            </w:pPr>
            <w:r>
              <w:rPr>
                <w:color w:val="1C3A36"/>
                <w:sz w:val="16"/>
              </w:rPr>
              <w:t>what v1 used, on a FAILED gate — void</w:t>
            </w:r>
          </w:p>
        </w:tc>
      </w:tr>
      <w:tr>
        <w:tc>
          <w:tcPr>
            <w:tcW w:type="dxa" w:w="893"/>
          </w:tcPr>
          <w:p>
            <w:pPr>
              <w:spacing w:after="20"/>
            </w:pPr>
            <w:r>
              <w:rPr>
                <w:b/>
                <w:color w:val="1C3A36"/>
                <w:sz w:val="16"/>
              </w:rPr>
              <w:t>0.800</w:t>
            </w:r>
          </w:p>
        </w:tc>
        <w:tc>
          <w:tcPr>
            <w:tcW w:type="dxa" w:w="1296"/>
          </w:tcPr>
          <w:p>
            <w:pPr>
              <w:spacing w:after="20"/>
              <w:jc w:val="right"/>
            </w:pPr>
            <w:r>
              <w:rPr>
                <w:color w:val="1C3A36"/>
                <w:sz w:val="16"/>
              </w:rPr>
              <w:t>8.6%</w:t>
            </w:r>
          </w:p>
        </w:tc>
        <w:tc>
          <w:tcPr>
            <w:tcW w:type="dxa" w:w="1037"/>
          </w:tcPr>
          <w:p>
            <w:pPr>
              <w:spacing w:after="20"/>
              <w:jc w:val="right"/>
            </w:pPr>
            <w:r>
              <w:rPr>
                <w:color w:val="1C3A36"/>
                <w:sz w:val="16"/>
              </w:rPr>
              <w:t>8.3%</w:t>
            </w:r>
          </w:p>
        </w:tc>
        <w:tc>
          <w:tcPr>
            <w:tcW w:type="dxa" w:w="1296"/>
          </w:tcPr>
          <w:p>
            <w:pPr>
              <w:spacing w:after="20"/>
              <w:jc w:val="right"/>
            </w:pPr>
            <w:r>
              <w:rPr>
                <w:color w:val="1C3A36"/>
                <w:sz w:val="16"/>
              </w:rPr>
              <w:t>AED 4.32</w:t>
            </w:r>
          </w:p>
        </w:tc>
        <w:tc>
          <w:tcPr>
            <w:tcW w:type="dxa" w:w="1066"/>
          </w:tcPr>
          <w:p>
            <w:pPr>
              <w:spacing w:after="20"/>
              <w:jc w:val="right"/>
            </w:pPr>
            <w:r>
              <w:rPr>
                <w:color w:val="1C3A36"/>
                <w:sz w:val="16"/>
              </w:rPr>
              <w:t>-24.1%</w:t>
            </w:r>
          </w:p>
        </w:tc>
        <w:tc>
          <w:tcPr>
            <w:tcW w:type="dxa" w:w="4637"/>
          </w:tcPr>
          <w:p>
            <w:pPr>
              <w:spacing w:after="20"/>
            </w:pPr>
            <w:r>
              <w:rPr>
                <w:color w:val="1C3A36"/>
                <w:sz w:val="16"/>
              </w:rPr>
              <w:t>the EFG-Hermes convention (see below) — conclusion UNCHANGED</w:t>
            </w:r>
          </w:p>
        </w:tc>
      </w:tr>
      <w:tr>
        <w:tc>
          <w:tcPr>
            <w:tcW w:type="dxa" w:w="893"/>
          </w:tcPr>
          <w:p>
            <w:pPr>
              <w:spacing w:after="20"/>
            </w:pPr>
            <w:r>
              <w:rPr>
                <w:b/>
                <w:color w:val="1C3A36"/>
                <w:sz w:val="16"/>
              </w:rPr>
              <w:t>0.841</w:t>
            </w:r>
          </w:p>
        </w:tc>
        <w:tc>
          <w:tcPr>
            <w:tcW w:type="dxa" w:w="1296"/>
          </w:tcPr>
          <w:p>
            <w:pPr>
              <w:spacing w:after="20"/>
              <w:jc w:val="right"/>
            </w:pPr>
            <w:r>
              <w:rPr>
                <w:color w:val="1C3A36"/>
                <w:sz w:val="16"/>
              </w:rPr>
              <w:t>8.8%</w:t>
            </w:r>
          </w:p>
        </w:tc>
        <w:tc>
          <w:tcPr>
            <w:tcW w:type="dxa" w:w="1037"/>
          </w:tcPr>
          <w:p>
            <w:pPr>
              <w:spacing w:after="20"/>
              <w:jc w:val="right"/>
            </w:pPr>
            <w:r>
              <w:rPr>
                <w:color w:val="1C3A36"/>
                <w:sz w:val="16"/>
              </w:rPr>
              <w:t>8.5%</w:t>
            </w:r>
          </w:p>
        </w:tc>
        <w:tc>
          <w:tcPr>
            <w:tcW w:type="dxa" w:w="1296"/>
          </w:tcPr>
          <w:p>
            <w:pPr>
              <w:spacing w:after="20"/>
              <w:jc w:val="right"/>
            </w:pPr>
            <w:r>
              <w:rPr>
                <w:color w:val="1C3A36"/>
                <w:sz w:val="16"/>
              </w:rPr>
              <w:t>AED 4.17</w:t>
            </w:r>
          </w:p>
        </w:tc>
        <w:tc>
          <w:tcPr>
            <w:tcW w:type="dxa" w:w="1066"/>
          </w:tcPr>
          <w:p>
            <w:pPr>
              <w:spacing w:after="20"/>
              <w:jc w:val="right"/>
            </w:pPr>
            <w:r>
              <w:rPr>
                <w:color w:val="1C3A36"/>
                <w:sz w:val="16"/>
              </w:rPr>
              <w:t>-26.8%</w:t>
            </w:r>
          </w:p>
        </w:tc>
        <w:tc>
          <w:tcPr>
            <w:tcW w:type="dxa" w:w="4637"/>
          </w:tcPr>
          <w:p>
            <w:pPr>
              <w:spacing w:after="20"/>
            </w:pPr>
            <w:r>
              <w:rPr>
                <w:color w:val="1C3A36"/>
                <w:sz w:val="16"/>
              </w:rPr>
              <w:t>upper bound of the 95% CI on the measured beta</w:t>
            </w:r>
          </w:p>
        </w:tc>
      </w:tr>
      <w:tr>
        <w:tc>
          <w:tcPr>
            <w:tcW w:type="dxa" w:w="893"/>
            <w:shd w:val="clear" w:color="auto" w:fill="F6F1E6"/>
          </w:tcPr>
          <w:p>
            <w:pPr>
              <w:spacing w:after="20"/>
            </w:pPr>
            <w:r>
              <w:rPr>
                <w:b/>
                <w:color w:val="1C3A36"/>
                <w:sz w:val="16"/>
              </w:rPr>
              <w:t>0.760</w:t>
            </w:r>
          </w:p>
        </w:tc>
        <w:tc>
          <w:tcPr>
            <w:tcW w:type="dxa" w:w="1296"/>
            <w:shd w:val="clear" w:color="auto" w:fill="F6F1E6"/>
          </w:tcPr>
          <w:p>
            <w:pPr>
              <w:spacing w:after="20"/>
              <w:jc w:val="right"/>
            </w:pPr>
            <w:r>
              <w:rPr>
                <w:b/>
                <w:color w:val="1C3A36"/>
                <w:sz w:val="16"/>
              </w:rPr>
              <w:t>8.4%</w:t>
            </w:r>
          </w:p>
        </w:tc>
        <w:tc>
          <w:tcPr>
            <w:tcW w:type="dxa" w:w="1037"/>
            <w:shd w:val="clear" w:color="auto" w:fill="F6F1E6"/>
          </w:tcPr>
          <w:p>
            <w:pPr>
              <w:spacing w:after="20"/>
              <w:jc w:val="right"/>
            </w:pPr>
            <w:r>
              <w:rPr>
                <w:b/>
                <w:color w:val="1C3A36"/>
                <w:sz w:val="16"/>
              </w:rPr>
              <w:t>8.1%</w:t>
            </w:r>
          </w:p>
        </w:tc>
        <w:tc>
          <w:tcPr>
            <w:tcW w:type="dxa" w:w="1296"/>
            <w:shd w:val="clear" w:color="auto" w:fill="F6F1E6"/>
          </w:tcPr>
          <w:p>
            <w:pPr>
              <w:spacing w:after="20"/>
              <w:jc w:val="right"/>
            </w:pPr>
            <w:r>
              <w:rPr>
                <w:b/>
                <w:color w:val="1C3A36"/>
                <w:sz w:val="16"/>
              </w:rPr>
              <w:t>AED 4.48</w:t>
            </w:r>
          </w:p>
        </w:tc>
        <w:tc>
          <w:tcPr>
            <w:tcW w:type="dxa" w:w="1066"/>
            <w:shd w:val="clear" w:color="auto" w:fill="F6F1E6"/>
          </w:tcPr>
          <w:p>
            <w:pPr>
              <w:spacing w:after="20"/>
              <w:jc w:val="right"/>
            </w:pPr>
            <w:r>
              <w:rPr>
                <w:b/>
                <w:color w:val="1C3A36"/>
                <w:sz w:val="16"/>
              </w:rPr>
              <w:t>-21.4%</w:t>
            </w:r>
          </w:p>
        </w:tc>
        <w:tc>
          <w:tcPr>
            <w:tcW w:type="dxa" w:w="4637"/>
            <w:shd w:val="clear" w:color="auto" w:fill="F6F1E6"/>
          </w:tcPr>
          <w:p>
            <w:pPr>
              <w:spacing w:after="20"/>
            </w:pPr>
            <w:r>
              <w:rPr>
                <w:b/>
                <w:color w:val="1C3A36"/>
                <w:sz w:val="16"/>
              </w:rPr>
              <w:t>PUBLISHED — Blume-adjusted (2/3 x 0.637 + 1/3 x 1.0)</w:t>
            </w:r>
          </w:p>
        </w:tc>
      </w:tr>
      <w:tr>
        <w:tc>
          <w:tcPr>
            <w:tcW w:type="dxa" w:w="893"/>
          </w:tcPr>
          <w:p>
            <w:pPr>
              <w:spacing w:after="20"/>
            </w:pPr>
            <w:r>
              <w:rPr>
                <w:b/>
                <w:color w:val="1C3A36"/>
                <w:sz w:val="16"/>
              </w:rPr>
              <w:t>0.640</w:t>
            </w:r>
          </w:p>
        </w:tc>
        <w:tc>
          <w:tcPr>
            <w:tcW w:type="dxa" w:w="1296"/>
          </w:tcPr>
          <w:p>
            <w:pPr>
              <w:spacing w:after="20"/>
              <w:jc w:val="right"/>
            </w:pPr>
            <w:r>
              <w:rPr>
                <w:color w:val="1C3A36"/>
                <w:sz w:val="16"/>
              </w:rPr>
              <w:t>7.8%</w:t>
            </w:r>
          </w:p>
        </w:tc>
        <w:tc>
          <w:tcPr>
            <w:tcW w:type="dxa" w:w="1037"/>
          </w:tcPr>
          <w:p>
            <w:pPr>
              <w:spacing w:after="20"/>
              <w:jc w:val="right"/>
            </w:pPr>
            <w:r>
              <w:rPr>
                <w:color w:val="1C3A36"/>
                <w:sz w:val="16"/>
              </w:rPr>
              <w:t>7.6%</w:t>
            </w:r>
          </w:p>
        </w:tc>
        <w:tc>
          <w:tcPr>
            <w:tcW w:type="dxa" w:w="1296"/>
          </w:tcPr>
          <w:p>
            <w:pPr>
              <w:spacing w:after="20"/>
              <w:jc w:val="right"/>
            </w:pPr>
            <w:r>
              <w:rPr>
                <w:color w:val="1C3A36"/>
                <w:sz w:val="16"/>
              </w:rPr>
              <w:t>AED 5.02</w:t>
            </w:r>
          </w:p>
        </w:tc>
        <w:tc>
          <w:tcPr>
            <w:tcW w:type="dxa" w:w="1066"/>
          </w:tcPr>
          <w:p>
            <w:pPr>
              <w:spacing w:after="20"/>
              <w:jc w:val="right"/>
            </w:pPr>
            <w:r>
              <w:rPr>
                <w:color w:val="1C3A36"/>
                <w:sz w:val="16"/>
              </w:rPr>
              <w:t>-11.9%</w:t>
            </w:r>
          </w:p>
        </w:tc>
        <w:tc>
          <w:tcPr>
            <w:tcW w:type="dxa" w:w="4637"/>
          </w:tcPr>
          <w:p>
            <w:pPr>
              <w:spacing w:after="20"/>
            </w:pPr>
            <w:r>
              <w:rPr>
                <w:color w:val="1C3A36"/>
                <w:sz w:val="16"/>
              </w:rPr>
              <w:t>RAW measured weekly beta, n=195, t=6.10</w:t>
            </w:r>
          </w:p>
        </w:tc>
      </w:tr>
      <w:tr>
        <w:tc>
          <w:tcPr>
            <w:tcW w:type="dxa" w:w="893"/>
          </w:tcPr>
          <w:p>
            <w:pPr>
              <w:spacing w:after="20"/>
            </w:pPr>
            <w:r>
              <w:rPr>
                <w:b/>
                <w:color w:val="1C3A36"/>
                <w:sz w:val="16"/>
              </w:rPr>
              <w:t>0.470</w:t>
            </w:r>
          </w:p>
        </w:tc>
        <w:tc>
          <w:tcPr>
            <w:tcW w:type="dxa" w:w="1296"/>
          </w:tcPr>
          <w:p>
            <w:pPr>
              <w:spacing w:after="20"/>
              <w:jc w:val="right"/>
            </w:pPr>
            <w:r>
              <w:rPr>
                <w:color w:val="1C3A36"/>
                <w:sz w:val="16"/>
              </w:rPr>
              <w:t>7.0%</w:t>
            </w:r>
          </w:p>
        </w:tc>
        <w:tc>
          <w:tcPr>
            <w:tcW w:type="dxa" w:w="1037"/>
          </w:tcPr>
          <w:p>
            <w:pPr>
              <w:spacing w:after="20"/>
              <w:jc w:val="right"/>
            </w:pPr>
            <w:r>
              <w:rPr>
                <w:color w:val="1C3A36"/>
                <w:sz w:val="16"/>
              </w:rPr>
              <w:t>6.8%</w:t>
            </w:r>
          </w:p>
        </w:tc>
        <w:tc>
          <w:tcPr>
            <w:tcW w:type="dxa" w:w="1296"/>
          </w:tcPr>
          <w:p>
            <w:pPr>
              <w:spacing w:after="20"/>
              <w:jc w:val="right"/>
            </w:pPr>
            <w:r>
              <w:rPr>
                <w:color w:val="1C3A36"/>
                <w:sz w:val="16"/>
              </w:rPr>
              <w:t>AED 6.01</w:t>
            </w:r>
          </w:p>
        </w:tc>
        <w:tc>
          <w:tcPr>
            <w:tcW w:type="dxa" w:w="1066"/>
          </w:tcPr>
          <w:p>
            <w:pPr>
              <w:spacing w:after="20"/>
              <w:jc w:val="right"/>
            </w:pPr>
            <w:r>
              <w:rPr>
                <w:color w:val="1C3A36"/>
                <w:sz w:val="16"/>
              </w:rPr>
              <w:t>+5.4%</w:t>
            </w:r>
          </w:p>
        </w:tc>
        <w:tc>
          <w:tcPr>
            <w:tcW w:type="dxa" w:w="4637"/>
          </w:tcPr>
          <w:p>
            <w:pPr>
              <w:spacing w:after="20"/>
            </w:pPr>
            <w:r>
              <w:rPr>
                <w:color w:val="1C3A36"/>
                <w:sz w:val="16"/>
              </w:rPr>
              <w:t>measured PRE-WAR only (n=177) — the peacetime beta</w:t>
            </w:r>
          </w:p>
        </w:tc>
      </w:tr>
      <w:tr>
        <w:tc>
          <w:tcPr>
            <w:tcW w:type="dxa" w:w="893"/>
          </w:tcPr>
          <w:p>
            <w:pPr>
              <w:spacing w:after="20"/>
            </w:pPr>
            <w:r>
              <w:rPr>
                <w:b/>
                <w:color w:val="1C3A36"/>
                <w:sz w:val="16"/>
              </w:rPr>
              <w:t>0.432</w:t>
            </w:r>
          </w:p>
        </w:tc>
        <w:tc>
          <w:tcPr>
            <w:tcW w:type="dxa" w:w="1296"/>
          </w:tcPr>
          <w:p>
            <w:pPr>
              <w:spacing w:after="20"/>
              <w:jc w:val="right"/>
            </w:pPr>
            <w:r>
              <w:rPr>
                <w:color w:val="1C3A36"/>
                <w:sz w:val="16"/>
              </w:rPr>
              <w:t>6.8%</w:t>
            </w:r>
          </w:p>
        </w:tc>
        <w:tc>
          <w:tcPr>
            <w:tcW w:type="dxa" w:w="1037"/>
          </w:tcPr>
          <w:p>
            <w:pPr>
              <w:spacing w:after="20"/>
              <w:jc w:val="right"/>
            </w:pPr>
            <w:r>
              <w:rPr>
                <w:color w:val="1C3A36"/>
                <w:sz w:val="16"/>
              </w:rPr>
              <w:t>6.6%</w:t>
            </w:r>
          </w:p>
        </w:tc>
        <w:tc>
          <w:tcPr>
            <w:tcW w:type="dxa" w:w="1296"/>
          </w:tcPr>
          <w:p>
            <w:pPr>
              <w:spacing w:after="20"/>
              <w:jc w:val="right"/>
            </w:pPr>
            <w:r>
              <w:rPr>
                <w:color w:val="1C3A36"/>
                <w:sz w:val="16"/>
              </w:rPr>
              <w:t>AED 6.28</w:t>
            </w:r>
          </w:p>
        </w:tc>
        <w:tc>
          <w:tcPr>
            <w:tcW w:type="dxa" w:w="1066"/>
          </w:tcPr>
          <w:p>
            <w:pPr>
              <w:spacing w:after="20"/>
              <w:jc w:val="right"/>
            </w:pPr>
            <w:r>
              <w:rPr>
                <w:color w:val="1C3A36"/>
                <w:sz w:val="16"/>
              </w:rPr>
              <w:t>+10.1%</w:t>
            </w:r>
          </w:p>
        </w:tc>
        <w:tc>
          <w:tcPr>
            <w:tcW w:type="dxa" w:w="4637"/>
          </w:tcPr>
          <w:p>
            <w:pPr>
              <w:spacing w:after="20"/>
            </w:pPr>
            <w:r>
              <w:rPr>
                <w:color w:val="1C3A36"/>
                <w:sz w:val="16"/>
              </w:rPr>
              <w:t>lower bound of the 95% CI on the measured beta</w:t>
            </w:r>
          </w:p>
        </w:tc>
      </w:tr>
    </w:tbl>
    <w:p>
      <w:pPr>
        <w:spacing w:after="40"/>
      </w:pPr>
    </w:p>
    <w:tbl>
      <w:tblPr>
        <w:tblW w:type="auto" w:w="0"/>
        <w:tblLook w:firstColumn="1" w:firstRow="1" w:lastColumn="0" w:lastRow="0" w:noHBand="0" w:noVBand="1" w:val="04A0"/>
        <w:tblBorders>
          <w:top w:val="single" w:sz="6" w:space="0" w:color="8C4A32"/>
          <w:left w:val="single" w:sz="6" w:space="0" w:color="8C4A32"/>
          <w:bottom w:val="single" w:sz="6" w:space="0" w:color="8C4A32"/>
          <w:right w:val="single" w:sz="6" w:space="0" w:color="8C4A32"/>
          <w:insideH w:val="single" w:sz="6" w:space="0" w:color="8C4A32"/>
          <w:insideV w:val="single" w:sz="6" w:space="0" w:color="8C4A32"/>
        </w:tblBorders>
        <w:tblCellMar>
          <w:top w:w="110" w:type="dxa"/>
          <w:left w:w="150" w:type="dxa"/>
          <w:bottom w:w="110" w:type="dxa"/>
          <w:right w:w="150" w:type="dxa"/>
        </w:tblCellMar>
      </w:tblPr>
      <w:tblGrid>
        <w:gridCol w:w="10224"/>
      </w:tblGrid>
      <w:tr>
        <w:tc>
          <w:tcPr>
            <w:tcW w:type="dxa" w:w="10224"/>
            <w:shd w:val="clear" w:color="auto" w:fill="F6F1E6"/>
          </w:tcPr>
          <w:p>
            <w:pPr>
              <w:spacing w:after="100"/>
            </w:pPr>
            <w:r>
              <w:rPr>
                <w:b/>
                <w:color w:val="1C3A36"/>
                <w:sz w:val="19"/>
              </w:rPr>
              <w:t xml:space="preserve">The honest verdict, stated as sharply as we can. </w:t>
            </w:r>
            <w:r>
              <w:rPr>
                <w:color w:val="1C3A36"/>
                <w:sz w:val="19"/>
              </w:rPr>
              <w:t>At the beta we publish (0.76, Blume-adjusted, deliberately conservative), Salik is worth AED 4.49 and spot is 21% too high. At the RAW measured beta (0.64), it is worth AED 5.03. At the measured PRE-WAR beta (0.47), it is worth AED 6.02 — and spot is CHEAP. All three are betas we MEASURED, on the same portfolio, with the same method. So the entire question reduces to one thing: IS THE WAR A PERMANENT FEATURE OF DUBAI’S RISK PROFILE, OR IS IT NOT? If it is, the war-inclusive beta is the right forward-looking number and the stock is expensive. If it is not, the pre-war beta is right and the stock is not expensive at all. We take the conservative side because we cannot know, and because the truce was called over three days before this study’s anchor date. We are not going to pretend the question is settled. It is not.</w:t>
            </w:r>
          </w:p>
        </w:tc>
      </w:tr>
    </w:tbl>
    <w:p>
      <w:pPr>
        <w:spacing w:after="40"/>
      </w:pPr>
    </w:p>
    <w:p>
      <w:pPr>
        <w:spacing w:after="120" w:before="0"/>
      </w:pPr>
      <w:r>
        <w:rPr>
          <w:b w:val="0"/>
          <w:i w:val="0"/>
          <w:color w:val="1C3A36"/>
          <w:sz w:val="21"/>
        </w:rPr>
        <w:t>The war is not two independent risks; it is one risk hitting from two directions. It cut chargeable trips 7.7% in the only quarter we have seen, and it doubled the measured beta. A recovery reverses both together. A relapse worsens both together. There is no scenario in which traffic recovers but the beta stays at 1.0. That correlation is why spot — which needs BOTH to go right — is a coherent bet rather than a contradictory one, and also why it is a demanding one.</w:t>
      </w:r>
    </w:p>
    <w:p>
      <w:r>
        <w:br w:type="page"/>
      </w:r>
    </w:p>
    <w:p>
      <w:pPr>
        <w:spacing w:after="100" w:before="260"/>
      </w:pPr>
      <w:r>
        <w:rPr>
          <w:b/>
          <w:i w:val="0"/>
          <w:color w:val="1C3A36"/>
          <w:sz w:val="30"/>
        </w:rPr>
        <w:t>1.8 Macro, the war, and the cost of capital — measured, not assumed</w:t>
      </w:r>
    </w:p>
    <w:p>
      <w:pPr>
        <w:spacing w:after="120" w:before="0"/>
      </w:pPr>
      <w:r>
        <w:rPr>
          <w:b w:val="0"/>
          <w:i w:val="0"/>
          <w:color w:val="1C3A36"/>
          <w:sz w:val="21"/>
        </w:rPr>
        <w:t>Version one of this study defaulted beta to 1.00 because a regression failed a sample-size gate. That was an honest failure, but it was a failure, and it dominated the answer. We went back and did the work properly.</w:t>
      </w:r>
    </w:p>
    <w:p>
      <w:pPr>
        <w:spacing w:after="80" w:before="180"/>
      </w:pPr>
      <w:r>
        <w:rPr>
          <w:b/>
          <w:i w:val="0"/>
          <w:color w:val="1C3A36"/>
          <w:sz w:val="23"/>
        </w:rPr>
        <w:t>The market portfolio we could not find, and the one we built</w:t>
      </w:r>
    </w:p>
    <w:p>
      <w:pPr>
        <w:spacing w:after="120" w:before="0"/>
      </w:pPr>
      <w:r>
        <w:rPr>
          <w:b w:val="0"/>
          <w:i w:val="0"/>
          <w:color w:val="1C3A36"/>
          <w:sz w:val="21"/>
        </w:rPr>
        <w:t>The DFM General Index publishes no programmatically retrievable history beyond a rolling ~20 sessions, which is what killed the first attempt (n = 19 against a 24-observation floor). But a market portfolio does not have to be an exchange’s own index. We rebuilt one from the fourteen UAE names that Testahil’s own Monte-Carlo engine uses to calibrate this market: ADCB, ADIB, ADNOC Gas, Agthia, Aldar, Alpha Dhabi, DIB, e&amp;, Emaar, Emaar Development, Emirates NBD, FAB, IHC and 2PointZero. Equal-weighted, spanning BOTH exchanges, spanning banks, real estate, telecoms, utilities and holding companies, with every constituent put through the same data-quality gate as Salik itself.</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61"/>
        <w:gridCol w:w="1461"/>
        <w:gridCol w:w="1461"/>
        <w:gridCol w:w="1461"/>
        <w:gridCol w:w="1461"/>
        <w:gridCol w:w="1461"/>
        <w:gridCol w:w="1461"/>
      </w:tblGrid>
      <w:tr>
        <w:tc>
          <w:tcPr>
            <w:tcW w:type="dxa" w:w="4032"/>
            <w:shd w:val="clear" w:color="auto" w:fill="EAF0EE"/>
          </w:tcPr>
          <w:p>
            <w:pPr>
              <w:spacing w:after="20"/>
            </w:pPr>
            <w:r>
              <w:rPr>
                <w:b/>
                <w:color w:val="1C3A36"/>
                <w:sz w:val="17"/>
              </w:rPr>
              <w:t>Regression: SALIK vs the 14-name UAE market portfolio</w:t>
            </w:r>
          </w:p>
        </w:tc>
        <w:tc>
          <w:tcPr>
            <w:tcW w:type="dxa" w:w="634"/>
            <w:shd w:val="clear" w:color="auto" w:fill="EAF0EE"/>
          </w:tcPr>
          <w:p>
            <w:pPr>
              <w:spacing w:after="20"/>
            </w:pPr>
            <w:r>
              <w:rPr>
                <w:b/>
                <w:color w:val="1C3A36"/>
                <w:sz w:val="17"/>
              </w:rPr>
              <w:t>n</w:t>
            </w:r>
          </w:p>
        </w:tc>
        <w:tc>
          <w:tcPr>
            <w:tcW w:type="dxa" w:w="806"/>
            <w:shd w:val="clear" w:color="auto" w:fill="EAF0EE"/>
          </w:tcPr>
          <w:p>
            <w:pPr>
              <w:spacing w:after="20"/>
            </w:pPr>
            <w:r>
              <w:rPr>
                <w:b/>
                <w:color w:val="1C3A36"/>
                <w:sz w:val="17"/>
              </w:rPr>
              <w:t>β</w:t>
            </w:r>
          </w:p>
        </w:tc>
        <w:tc>
          <w:tcPr>
            <w:tcW w:type="dxa" w:w="720"/>
            <w:shd w:val="clear" w:color="auto" w:fill="EAF0EE"/>
          </w:tcPr>
          <w:p>
            <w:pPr>
              <w:spacing w:after="20"/>
            </w:pPr>
            <w:r>
              <w:rPr>
                <w:b/>
                <w:color w:val="1C3A36"/>
                <w:sz w:val="17"/>
              </w:rPr>
              <w:t>SE</w:t>
            </w:r>
          </w:p>
        </w:tc>
        <w:tc>
          <w:tcPr>
            <w:tcW w:type="dxa" w:w="778"/>
            <w:shd w:val="clear" w:color="auto" w:fill="EAF0EE"/>
          </w:tcPr>
          <w:p>
            <w:pPr>
              <w:spacing w:after="20"/>
            </w:pPr>
            <w:r>
              <w:rPr>
                <w:b/>
                <w:color w:val="1C3A36"/>
                <w:sz w:val="17"/>
              </w:rPr>
              <w:t>t</w:t>
            </w:r>
          </w:p>
        </w:tc>
        <w:tc>
          <w:tcPr>
            <w:tcW w:type="dxa" w:w="806"/>
            <w:shd w:val="clear" w:color="auto" w:fill="EAF0EE"/>
          </w:tcPr>
          <w:p>
            <w:pPr>
              <w:spacing w:after="20"/>
            </w:pPr>
            <w:r>
              <w:rPr>
                <w:b/>
                <w:color w:val="1C3A36"/>
                <w:sz w:val="17"/>
              </w:rPr>
              <w:t>R²</w:t>
            </w:r>
          </w:p>
        </w:tc>
        <w:tc>
          <w:tcPr>
            <w:tcW w:type="dxa" w:w="950"/>
            <w:shd w:val="clear" w:color="auto" w:fill="EAF0EE"/>
          </w:tcPr>
          <w:p>
            <w:pPr>
              <w:spacing w:after="20"/>
            </w:pPr>
            <w:r>
              <w:rPr>
                <w:b/>
                <w:color w:val="1C3A36"/>
                <w:sz w:val="17"/>
              </w:rPr>
              <w:t>Gate</w:t>
            </w:r>
          </w:p>
        </w:tc>
      </w:tr>
      <w:tr>
        <w:tc>
          <w:tcPr>
            <w:tcW w:type="dxa" w:w="4032"/>
          </w:tcPr>
          <w:p>
            <w:pPr>
              <w:spacing w:after="20"/>
            </w:pPr>
            <w:r>
              <w:rPr>
                <w:b/>
                <w:color w:val="1C3A36"/>
                <w:sz w:val="17"/>
              </w:rPr>
              <w:t>WEEKLY log returns, full history since IPO</w:t>
            </w:r>
          </w:p>
        </w:tc>
        <w:tc>
          <w:tcPr>
            <w:tcW w:type="dxa" w:w="634"/>
          </w:tcPr>
          <w:p>
            <w:pPr>
              <w:spacing w:after="20"/>
              <w:jc w:val="right"/>
            </w:pPr>
            <w:r>
              <w:rPr>
                <w:color w:val="1C3A36"/>
                <w:sz w:val="17"/>
              </w:rPr>
              <w:t>195</w:t>
            </w:r>
          </w:p>
        </w:tc>
        <w:tc>
          <w:tcPr>
            <w:tcW w:type="dxa" w:w="806"/>
          </w:tcPr>
          <w:p>
            <w:pPr>
              <w:spacing w:after="20"/>
              <w:jc w:val="right"/>
            </w:pPr>
            <w:r>
              <w:rPr>
                <w:color w:val="1C3A36"/>
                <w:sz w:val="17"/>
              </w:rPr>
              <w:t>0.637</w:t>
            </w:r>
          </w:p>
        </w:tc>
        <w:tc>
          <w:tcPr>
            <w:tcW w:type="dxa" w:w="720"/>
          </w:tcPr>
          <w:p>
            <w:pPr>
              <w:spacing w:after="20"/>
              <w:jc w:val="right"/>
            </w:pPr>
            <w:r>
              <w:rPr>
                <w:color w:val="1C3A36"/>
                <w:sz w:val="17"/>
              </w:rPr>
              <w:t>0.104</w:t>
            </w:r>
          </w:p>
        </w:tc>
        <w:tc>
          <w:tcPr>
            <w:tcW w:type="dxa" w:w="778"/>
          </w:tcPr>
          <w:p>
            <w:pPr>
              <w:spacing w:after="20"/>
              <w:jc w:val="right"/>
            </w:pPr>
            <w:r>
              <w:rPr>
                <w:color w:val="1C3A36"/>
                <w:sz w:val="17"/>
              </w:rPr>
              <w:t>6.10</w:t>
            </w:r>
          </w:p>
        </w:tc>
        <w:tc>
          <w:tcPr>
            <w:tcW w:type="dxa" w:w="806"/>
          </w:tcPr>
          <w:p>
            <w:pPr>
              <w:spacing w:after="20"/>
              <w:jc w:val="right"/>
            </w:pPr>
            <w:r>
              <w:rPr>
                <w:color w:val="1C3A36"/>
                <w:sz w:val="17"/>
              </w:rPr>
              <w:t>16.2%</w:t>
            </w:r>
          </w:p>
        </w:tc>
        <w:tc>
          <w:tcPr>
            <w:tcW w:type="dxa" w:w="950"/>
          </w:tcPr>
          <w:p>
            <w:pPr>
              <w:spacing w:after="20"/>
              <w:jc w:val="right"/>
            </w:pPr>
            <w:r>
              <w:rPr>
                <w:color w:val="1C3A36"/>
                <w:sz w:val="17"/>
              </w:rPr>
              <w:t>PASS</w:t>
            </w:r>
          </w:p>
        </w:tc>
      </w:tr>
      <w:tr>
        <w:tc>
          <w:tcPr>
            <w:tcW w:type="dxa" w:w="4032"/>
          </w:tcPr>
          <w:p>
            <w:pPr>
              <w:spacing w:after="20"/>
            </w:pPr>
            <w:r>
              <w:rPr>
                <w:b/>
                <w:color w:val="1C3A36"/>
                <w:sz w:val="17"/>
              </w:rPr>
              <w:t>DAILY log returns, full history since IPO</w:t>
            </w:r>
          </w:p>
        </w:tc>
        <w:tc>
          <w:tcPr>
            <w:tcW w:type="dxa" w:w="634"/>
          </w:tcPr>
          <w:p>
            <w:pPr>
              <w:spacing w:after="20"/>
              <w:jc w:val="right"/>
            </w:pPr>
            <w:r>
              <w:rPr>
                <w:color w:val="1C3A36"/>
                <w:sz w:val="17"/>
              </w:rPr>
              <w:t>940</w:t>
            </w:r>
          </w:p>
        </w:tc>
        <w:tc>
          <w:tcPr>
            <w:tcW w:type="dxa" w:w="806"/>
          </w:tcPr>
          <w:p>
            <w:pPr>
              <w:spacing w:after="20"/>
              <w:jc w:val="right"/>
            </w:pPr>
            <w:r>
              <w:rPr>
                <w:color w:val="1C3A36"/>
                <w:sz w:val="17"/>
              </w:rPr>
              <w:t>0.578</w:t>
            </w:r>
          </w:p>
        </w:tc>
        <w:tc>
          <w:tcPr>
            <w:tcW w:type="dxa" w:w="720"/>
          </w:tcPr>
          <w:p>
            <w:pPr>
              <w:spacing w:after="20"/>
              <w:jc w:val="right"/>
            </w:pPr>
            <w:r>
              <w:rPr>
                <w:color w:val="1C3A36"/>
                <w:sz w:val="17"/>
              </w:rPr>
              <w:t>0.052</w:t>
            </w:r>
          </w:p>
        </w:tc>
        <w:tc>
          <w:tcPr>
            <w:tcW w:type="dxa" w:w="778"/>
          </w:tcPr>
          <w:p>
            <w:pPr>
              <w:spacing w:after="20"/>
              <w:jc w:val="right"/>
            </w:pPr>
            <w:r>
              <w:rPr>
                <w:color w:val="1C3A36"/>
                <w:sz w:val="17"/>
              </w:rPr>
              <w:t>11.20</w:t>
            </w:r>
          </w:p>
        </w:tc>
        <w:tc>
          <w:tcPr>
            <w:tcW w:type="dxa" w:w="806"/>
          </w:tcPr>
          <w:p>
            <w:pPr>
              <w:spacing w:after="20"/>
              <w:jc w:val="right"/>
            </w:pPr>
            <w:r>
              <w:rPr>
                <w:color w:val="1C3A36"/>
                <w:sz w:val="17"/>
              </w:rPr>
              <w:t>11.8%</w:t>
            </w:r>
          </w:p>
        </w:tc>
        <w:tc>
          <w:tcPr>
            <w:tcW w:type="dxa" w:w="950"/>
          </w:tcPr>
          <w:p>
            <w:pPr>
              <w:spacing w:after="20"/>
              <w:jc w:val="right"/>
            </w:pPr>
            <w:r>
              <w:rPr>
                <w:color w:val="1C3A36"/>
                <w:sz w:val="17"/>
              </w:rPr>
              <w:t>PASS</w:t>
            </w:r>
          </w:p>
        </w:tc>
      </w:tr>
      <w:tr>
        <w:tc>
          <w:tcPr>
            <w:tcW w:type="dxa" w:w="4032"/>
          </w:tcPr>
          <w:p>
            <w:pPr>
              <w:spacing w:after="20"/>
            </w:pPr>
            <w:r>
              <w:rPr>
                <w:b/>
                <w:color w:val="1C3A36"/>
                <w:sz w:val="17"/>
              </w:rPr>
              <w:t>WEEKLY, PRE-WAR only (to 27 Feb 2026)</w:t>
            </w:r>
          </w:p>
        </w:tc>
        <w:tc>
          <w:tcPr>
            <w:tcW w:type="dxa" w:w="634"/>
          </w:tcPr>
          <w:p>
            <w:pPr>
              <w:spacing w:after="20"/>
              <w:jc w:val="right"/>
            </w:pPr>
            <w:r>
              <w:rPr>
                <w:color w:val="1C3A36"/>
                <w:sz w:val="17"/>
              </w:rPr>
              <w:t>177</w:t>
            </w:r>
          </w:p>
        </w:tc>
        <w:tc>
          <w:tcPr>
            <w:tcW w:type="dxa" w:w="806"/>
          </w:tcPr>
          <w:p>
            <w:pPr>
              <w:spacing w:after="20"/>
              <w:jc w:val="right"/>
            </w:pPr>
            <w:r>
              <w:rPr>
                <w:color w:val="1C3A36"/>
                <w:sz w:val="17"/>
              </w:rPr>
              <w:t>0.475</w:t>
            </w:r>
          </w:p>
        </w:tc>
        <w:tc>
          <w:tcPr>
            <w:tcW w:type="dxa" w:w="720"/>
          </w:tcPr>
          <w:p>
            <w:pPr>
              <w:spacing w:after="20"/>
              <w:jc w:val="right"/>
            </w:pPr>
            <w:r>
              <w:rPr>
                <w:color w:val="1C3A36"/>
                <w:sz w:val="17"/>
              </w:rPr>
              <w:t>0.120</w:t>
            </w:r>
          </w:p>
        </w:tc>
        <w:tc>
          <w:tcPr>
            <w:tcW w:type="dxa" w:w="778"/>
          </w:tcPr>
          <w:p>
            <w:pPr>
              <w:spacing w:after="20"/>
              <w:jc w:val="right"/>
            </w:pPr>
            <w:r>
              <w:rPr>
                <w:color w:val="1C3A36"/>
                <w:sz w:val="17"/>
              </w:rPr>
              <w:t>3.97</w:t>
            </w:r>
          </w:p>
        </w:tc>
        <w:tc>
          <w:tcPr>
            <w:tcW w:type="dxa" w:w="806"/>
          </w:tcPr>
          <w:p>
            <w:pPr>
              <w:spacing w:after="20"/>
              <w:jc w:val="right"/>
            </w:pPr>
            <w:r>
              <w:rPr>
                <w:color w:val="1C3A36"/>
                <w:sz w:val="17"/>
              </w:rPr>
              <w:t>8.3%</w:t>
            </w:r>
          </w:p>
        </w:tc>
        <w:tc>
          <w:tcPr>
            <w:tcW w:type="dxa" w:w="950"/>
          </w:tcPr>
          <w:p>
            <w:pPr>
              <w:spacing w:after="20"/>
              <w:jc w:val="right"/>
            </w:pPr>
            <w:r>
              <w:rPr>
                <w:color w:val="1C3A36"/>
                <w:sz w:val="17"/>
              </w:rPr>
              <w:t>PASS</w:t>
            </w:r>
          </w:p>
        </w:tc>
      </w:tr>
      <w:tr>
        <w:tc>
          <w:tcPr>
            <w:tcW w:type="dxa" w:w="4032"/>
          </w:tcPr>
          <w:p>
            <w:pPr>
              <w:spacing w:after="20"/>
            </w:pPr>
            <w:r>
              <w:rPr>
                <w:b/>
                <w:color w:val="1C3A36"/>
                <w:sz w:val="17"/>
              </w:rPr>
              <w:t>WEEKLY, WAR PERIOD only (from 28 Feb 2026)</w:t>
            </w:r>
          </w:p>
        </w:tc>
        <w:tc>
          <w:tcPr>
            <w:tcW w:type="dxa" w:w="634"/>
          </w:tcPr>
          <w:p>
            <w:pPr>
              <w:spacing w:after="20"/>
              <w:jc w:val="right"/>
            </w:pPr>
            <w:r>
              <w:rPr>
                <w:color w:val="1C3A36"/>
                <w:sz w:val="17"/>
              </w:rPr>
              <w:t>18</w:t>
            </w:r>
          </w:p>
        </w:tc>
        <w:tc>
          <w:tcPr>
            <w:tcW w:type="dxa" w:w="806"/>
          </w:tcPr>
          <w:p>
            <w:pPr>
              <w:spacing w:after="20"/>
              <w:jc w:val="right"/>
            </w:pPr>
            <w:r>
              <w:rPr>
                <w:color w:val="1C3A36"/>
                <w:sz w:val="17"/>
              </w:rPr>
              <w:t>1.001</w:t>
            </w:r>
          </w:p>
        </w:tc>
        <w:tc>
          <w:tcPr>
            <w:tcW w:type="dxa" w:w="720"/>
          </w:tcPr>
          <w:p>
            <w:pPr>
              <w:spacing w:after="20"/>
              <w:jc w:val="right"/>
            </w:pPr>
            <w:r>
              <w:rPr>
                <w:color w:val="1C3A36"/>
                <w:sz w:val="17"/>
              </w:rPr>
              <w:t>0.251</w:t>
            </w:r>
          </w:p>
        </w:tc>
        <w:tc>
          <w:tcPr>
            <w:tcW w:type="dxa" w:w="778"/>
          </w:tcPr>
          <w:p>
            <w:pPr>
              <w:spacing w:after="20"/>
              <w:jc w:val="right"/>
            </w:pPr>
            <w:r>
              <w:rPr>
                <w:color w:val="1C3A36"/>
                <w:sz w:val="17"/>
              </w:rPr>
              <w:t>3.99</w:t>
            </w:r>
          </w:p>
        </w:tc>
        <w:tc>
          <w:tcPr>
            <w:tcW w:type="dxa" w:w="806"/>
          </w:tcPr>
          <w:p>
            <w:pPr>
              <w:spacing w:after="20"/>
              <w:jc w:val="right"/>
            </w:pPr>
            <w:r>
              <w:rPr>
                <w:color w:val="1C3A36"/>
                <w:sz w:val="17"/>
              </w:rPr>
              <w:t>49.8%</w:t>
            </w:r>
          </w:p>
        </w:tc>
        <w:tc>
          <w:tcPr>
            <w:tcW w:type="dxa" w:w="950"/>
          </w:tcPr>
          <w:p>
            <w:pPr>
              <w:spacing w:after="20"/>
              <w:jc w:val="right"/>
            </w:pPr>
            <w:r>
              <w:rPr>
                <w:color w:val="1C3A36"/>
                <w:sz w:val="17"/>
              </w:rPr>
              <w:t>FAIL (n)</w:t>
            </w:r>
          </w:p>
        </w:tc>
      </w:tr>
    </w:tbl>
    <w:p>
      <w:pPr>
        <w:spacing w:after="40"/>
      </w:pPr>
    </w:p>
    <w:tbl>
      <w:tblPr>
        <w:tblW w:type="auto" w:w="0"/>
        <w:tblLook w:firstColumn="1" w:firstRow="1" w:lastColumn="0" w:lastRow="0" w:noHBand="0" w:noVBand="1" w:val="04A0"/>
        <w:tblBorders>
          <w:top w:val="single" w:sz="6" w:space="0" w:color="8C4A32"/>
          <w:left w:val="single" w:sz="6" w:space="0" w:color="8C4A32"/>
          <w:bottom w:val="single" w:sz="6" w:space="0" w:color="8C4A32"/>
          <w:right w:val="single" w:sz="6" w:space="0" w:color="8C4A32"/>
          <w:insideH w:val="single" w:sz="6" w:space="0" w:color="8C4A32"/>
          <w:insideV w:val="single" w:sz="6" w:space="0" w:color="8C4A32"/>
        </w:tblBorders>
        <w:tblCellMar>
          <w:top w:w="110" w:type="dxa"/>
          <w:left w:w="150" w:type="dxa"/>
          <w:bottom w:w="110" w:type="dxa"/>
          <w:right w:w="150" w:type="dxa"/>
        </w:tblCellMar>
      </w:tblPr>
      <w:tblGrid>
        <w:gridCol w:w="10224"/>
      </w:tblGrid>
      <w:tr>
        <w:tc>
          <w:tcPr>
            <w:tcW w:type="dxa" w:w="10224"/>
            <w:shd w:val="clear" w:color="auto" w:fill="F6F1E6"/>
          </w:tcPr>
          <w:p>
            <w:pPr>
              <w:spacing w:after="100"/>
            </w:pPr>
            <w:r>
              <w:rPr>
                <w:b/>
                <w:color w:val="1C3A36"/>
                <w:sz w:val="19"/>
              </w:rPr>
              <w:t xml:space="preserve">The single most important number in this study. </w:t>
            </w:r>
            <w:r>
              <w:rPr>
                <w:color w:val="1C3A36"/>
                <w:sz w:val="19"/>
              </w:rPr>
              <w:t>SALIK’s beta BEFORE the war was 0.47. DURING the war it is 1.00. The war DOUBLED it. That is what a crisis does: correlations go to one, and a stock that normally trades on its own dividend and its own traffic starts trading on whether the Strait of Hormuz reopens. It also fully explains why version one measured 0.89 from a 19-session window in May–June 2026: that window sat entirely INSIDE the war. It was a crisis beta. The consequence is that the war is doing DOUBLE damage — it cut Q1 chargeable trips by 7.7% (the numerator) and it doubled the discount rate’s equity risk loading (the denominator). Those two effects reverse together or not at all.</w:t>
            </w:r>
          </w:p>
        </w:tc>
      </w:tr>
    </w:tbl>
    <w:p>
      <w:pPr>
        <w:spacing w:after="40"/>
      </w:pPr>
    </w:p>
    <w:p>
      <w:pPr>
        <w:spacing w:after="120" w:before="0"/>
      </w:pPr>
      <w:r>
        <w:rPr>
          <w:b w:val="0"/>
          <w:i w:val="0"/>
          <w:color w:val="1C3A36"/>
          <w:sz w:val="21"/>
        </w:rPr>
        <w:t>Which beta do we publish? The conservative one. We take the full-history weekly β of 0.637 — which INCLUDES the war and therefore already leans high — and Blume-adjust it (two-thirds raw plus one-third of 1.0, the convention Bloomberg and Value Line both use) to 0.76. For a low-beta stock the Blume adjustment pushes the discount rate UP and the fair value DOWN, so it is the cautious choice.</w:t>
      </w:r>
    </w:p>
    <w:tbl>
      <w:tblPr>
        <w:tblW w:type="auto" w:w="0"/>
        <w:tblLook w:firstColumn="1" w:firstRow="1" w:lastColumn="0" w:lastRow="0" w:noHBand="0" w:noVBand="1" w:val="04A0"/>
        <w:tblBorders>
          <w:top w:val="single" w:sz="6" w:space="0" w:color="896F36"/>
          <w:left w:val="single" w:sz="6" w:space="0" w:color="896F36"/>
          <w:bottom w:val="single" w:sz="6" w:space="0" w:color="896F36"/>
          <w:right w:val="single" w:sz="6" w:space="0" w:color="896F36"/>
          <w:insideH w:val="single" w:sz="6" w:space="0" w:color="896F36"/>
          <w:insideV w:val="single" w:sz="6" w:space="0" w:color="896F36"/>
        </w:tblBorders>
        <w:tblCellMar>
          <w:top w:w="110" w:type="dxa"/>
          <w:left w:w="150" w:type="dxa"/>
          <w:bottom w:w="110" w:type="dxa"/>
          <w:right w:w="150" w:type="dxa"/>
        </w:tblCellMar>
      </w:tblPr>
      <w:tblGrid>
        <w:gridCol w:w="10224"/>
      </w:tblGrid>
      <w:tr>
        <w:tc>
          <w:tcPr>
            <w:tcW w:type="dxa" w:w="10224"/>
            <w:shd w:val="clear" w:color="auto" w:fill="EFF3F1"/>
          </w:tcPr>
          <w:p>
            <w:pPr>
              <w:spacing w:after="100"/>
            </w:pPr>
            <w:r>
              <w:rPr>
                <w:b/>
                <w:color w:val="1C3A36"/>
                <w:sz w:val="19"/>
              </w:rPr>
              <w:t xml:space="preserve">A note on our standing rule, because a fact-check of this study challenged it. </w:t>
            </w:r>
            <w:r>
              <w:rPr>
                <w:color w:val="1C3A36"/>
                <w:sz w:val="19"/>
              </w:rPr>
              <w:t>It was put to us that Testahil mandates a beta floor of 0.80 and that publishing 0.76 is therefore a breach. We have checked. The our published research standards says: “Beta: genuinely attempt a regression; default to 1.0 ONLY on a real usability-gate failure (n≥24, R²≥5%, SE(β)&lt;|β|).” Our regression clears all three by a wide margin, and our cost-of-capital module carries no floor — its only reference to 0.8 is a rung on a SENSITIVITY ladder. The 0.8–1.3 band that was cited belongs to the EFG-Hermes portable lessons, which describe what EFG does, and the standing instruction on those is explicit: adopt EFG’s machinery, not their optimistic assumptions. Applying a 0.80 floor to a stock whose beta we measured at 0.637 with a t-statistic of 6.1 would be exactly that. That said, we have added the 0.80 rung to the ladder above so the reader can see what it costs: fair value AED 4.32, versus AED 4.49 at our published beta. The conclusion of this study does not change either way, and we would rather show that than argue about it.</w:t>
            </w:r>
          </w:p>
        </w:tc>
      </w:tr>
    </w:tbl>
    <w:p>
      <w:pPr>
        <w:spacing w:after="40"/>
      </w:pPr>
    </w:p>
    <w:p>
      <w:pPr>
        <w:spacing w:after="80" w:before="180"/>
      </w:pPr>
      <w:r>
        <w:rPr>
          <w:b/>
          <w:i w:val="0"/>
          <w:color w:val="1C3A36"/>
          <w:sz w:val="23"/>
        </w:rPr>
        <w:t>Two things the beta tells you that the volatility does not</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408"/>
        <w:gridCol w:w="3408"/>
        <w:gridCol w:w="3408"/>
      </w:tblGrid>
      <w:tr>
        <w:tc>
          <w:tcPr>
            <w:tcW w:type="dxa" w:w="4118"/>
            <w:shd w:val="clear" w:color="auto" w:fill="EAF0EE"/>
          </w:tcPr>
          <w:p>
            <w:pPr>
              <w:spacing w:after="20"/>
            </w:pPr>
            <w:r>
              <w:rPr>
                <w:b/>
                <w:color w:val="1C3A36"/>
                <w:sz w:val="17"/>
              </w:rPr>
              <w:t>Diagnostic</w:t>
            </w:r>
          </w:p>
        </w:tc>
        <w:tc>
          <w:tcPr>
            <w:tcW w:type="dxa" w:w="1526"/>
            <w:shd w:val="clear" w:color="auto" w:fill="EAF0EE"/>
          </w:tcPr>
          <w:p>
            <w:pPr>
              <w:spacing w:after="20"/>
            </w:pPr>
            <w:r>
              <w:rPr>
                <w:b/>
                <w:color w:val="1C3A36"/>
                <w:sz w:val="17"/>
              </w:rPr>
              <w:t>Value</w:t>
            </w:r>
          </w:p>
        </w:tc>
        <w:tc>
          <w:tcPr>
            <w:tcW w:type="dxa" w:w="4435"/>
            <w:shd w:val="clear" w:color="auto" w:fill="EAF0EE"/>
          </w:tcPr>
          <w:p>
            <w:pPr>
              <w:spacing w:after="20"/>
            </w:pPr>
            <w:r>
              <w:rPr>
                <w:b/>
                <w:color w:val="1C3A36"/>
                <w:sz w:val="17"/>
              </w:rPr>
              <w:t>Reading</w:t>
            </w:r>
          </w:p>
        </w:tc>
      </w:tr>
      <w:tr>
        <w:tc>
          <w:tcPr>
            <w:tcW w:type="dxa" w:w="4118"/>
          </w:tcPr>
          <w:p>
            <w:pPr>
              <w:spacing w:after="20"/>
            </w:pPr>
            <w:r>
              <w:rPr>
                <w:b/>
                <w:color w:val="1C3A36"/>
                <w:sz w:val="17"/>
              </w:rPr>
              <w:t>SALIK annualised volatility (daily, full history)</w:t>
            </w:r>
          </w:p>
        </w:tc>
        <w:tc>
          <w:tcPr>
            <w:tcW w:type="dxa" w:w="1526"/>
          </w:tcPr>
          <w:p>
            <w:pPr>
              <w:spacing w:after="20"/>
              <w:jc w:val="right"/>
            </w:pPr>
            <w:r>
              <w:rPr>
                <w:color w:val="1C3A36"/>
                <w:sz w:val="17"/>
              </w:rPr>
              <w:t>25.8%</w:t>
            </w:r>
          </w:p>
        </w:tc>
        <w:tc>
          <w:tcPr>
            <w:tcW w:type="dxa" w:w="4435"/>
          </w:tcPr>
          <w:p>
            <w:pPr>
              <w:spacing w:after="20"/>
            </w:pPr>
            <w:r>
              <w:rPr>
                <w:color w:val="1C3A36"/>
                <w:sz w:val="17"/>
              </w:rPr>
              <w:t>HIGH. Not a sleepy utility.</w:t>
            </w:r>
          </w:p>
        </w:tc>
      </w:tr>
      <w:tr>
        <w:tc>
          <w:tcPr>
            <w:tcW w:type="dxa" w:w="4118"/>
          </w:tcPr>
          <w:p>
            <w:pPr>
              <w:spacing w:after="20"/>
            </w:pPr>
            <w:r>
              <w:rPr>
                <w:b/>
                <w:color w:val="1C3A36"/>
                <w:sz w:val="17"/>
              </w:rPr>
              <w:t>UAE market-portfolio volatility, same window</w:t>
            </w:r>
          </w:p>
        </w:tc>
        <w:tc>
          <w:tcPr>
            <w:tcW w:type="dxa" w:w="1526"/>
          </w:tcPr>
          <w:p>
            <w:pPr>
              <w:spacing w:after="20"/>
              <w:jc w:val="right"/>
            </w:pPr>
            <w:r>
              <w:rPr>
                <w:color w:val="1C3A36"/>
                <w:sz w:val="17"/>
              </w:rPr>
              <w:t>15.3%</w:t>
            </w:r>
          </w:p>
        </w:tc>
        <w:tc>
          <w:tcPr>
            <w:tcW w:type="dxa" w:w="4435"/>
          </w:tcPr>
          <w:p>
            <w:pPr>
              <w:spacing w:after="20"/>
            </w:pPr>
            <w:r>
              <w:rPr>
                <w:color w:val="1C3A36"/>
                <w:sz w:val="17"/>
              </w:rPr>
            </w:r>
          </w:p>
        </w:tc>
      </w:tr>
      <w:tr>
        <w:tc>
          <w:tcPr>
            <w:tcW w:type="dxa" w:w="4118"/>
          </w:tcPr>
          <w:p>
            <w:pPr>
              <w:spacing w:after="20"/>
            </w:pPr>
            <w:r>
              <w:rPr>
                <w:b/>
                <w:color w:val="1C3A36"/>
                <w:sz w:val="17"/>
              </w:rPr>
              <w:t>Correlation with the market portfolio</w:t>
            </w:r>
          </w:p>
        </w:tc>
        <w:tc>
          <w:tcPr>
            <w:tcW w:type="dxa" w:w="1526"/>
          </w:tcPr>
          <w:p>
            <w:pPr>
              <w:spacing w:after="20"/>
              <w:jc w:val="right"/>
            </w:pPr>
            <w:r>
              <w:rPr>
                <w:color w:val="1C3A36"/>
                <w:sz w:val="17"/>
              </w:rPr>
              <w:t>+0.343</w:t>
            </w:r>
          </w:p>
        </w:tc>
        <w:tc>
          <w:tcPr>
            <w:tcW w:type="dxa" w:w="4435"/>
          </w:tcPr>
          <w:p>
            <w:pPr>
              <w:spacing w:after="20"/>
            </w:pPr>
            <w:r>
              <w:rPr>
                <w:color w:val="1C3A36"/>
                <w:sz w:val="17"/>
              </w:rPr>
              <w:t>Low.</w:t>
            </w:r>
          </w:p>
        </w:tc>
      </w:tr>
      <w:tr>
        <w:tc>
          <w:tcPr>
            <w:tcW w:type="dxa" w:w="4118"/>
          </w:tcPr>
          <w:p>
            <w:pPr>
              <w:spacing w:after="20"/>
            </w:pPr>
            <w:r>
              <w:rPr>
                <w:b/>
                <w:color w:val="1C3A36"/>
                <w:sz w:val="17"/>
              </w:rPr>
              <w:t>⇒ share of SALIK’s variance that is IDIOSYNCRATIC</w:t>
            </w:r>
          </w:p>
        </w:tc>
        <w:tc>
          <w:tcPr>
            <w:tcW w:type="dxa" w:w="1526"/>
          </w:tcPr>
          <w:p>
            <w:pPr>
              <w:spacing w:after="20"/>
              <w:jc w:val="right"/>
            </w:pPr>
            <w:r>
              <w:rPr>
                <w:color w:val="1C3A36"/>
                <w:sz w:val="17"/>
              </w:rPr>
              <w:t>88.2%</w:t>
            </w:r>
          </w:p>
        </w:tc>
        <w:tc>
          <w:tcPr>
            <w:tcW w:type="dxa" w:w="4435"/>
          </w:tcPr>
          <w:p>
            <w:pPr>
              <w:spacing w:after="20"/>
            </w:pPr>
            <w:r>
              <w:rPr>
                <w:color w:val="1C3A36"/>
                <w:sz w:val="17"/>
              </w:rPr>
              <w:t>THE resolution of the paradox. A 26%-vol stock can carry a 0.64 beta because almost nine-tenths of its risk is its own, not the market’s. For a diversified holder that risk diversifies away. For a concentrated one, it does not.</w:t>
            </w:r>
          </w:p>
        </w:tc>
      </w:tr>
      <w:tr>
        <w:tc>
          <w:tcPr>
            <w:tcW w:type="dxa" w:w="4118"/>
          </w:tcPr>
          <w:p>
            <w:pPr>
              <w:spacing w:after="20"/>
            </w:pPr>
            <w:r>
              <w:rPr>
                <w:b/>
                <w:color w:val="1C3A36"/>
                <w:sz w:val="17"/>
              </w:rPr>
              <w:t>Asset (unlevered) beta at D/E of 0.10, tax 9%</w:t>
            </w:r>
          </w:p>
        </w:tc>
        <w:tc>
          <w:tcPr>
            <w:tcW w:type="dxa" w:w="1526"/>
          </w:tcPr>
          <w:p>
            <w:pPr>
              <w:spacing w:after="20"/>
              <w:jc w:val="right"/>
            </w:pPr>
            <w:r>
              <w:rPr>
                <w:color w:val="1C3A36"/>
                <w:sz w:val="17"/>
              </w:rPr>
              <w:t>0.584</w:t>
            </w:r>
          </w:p>
        </w:tc>
        <w:tc>
          <w:tcPr>
            <w:tcW w:type="dxa" w:w="4435"/>
          </w:tcPr>
          <w:p>
            <w:pPr>
              <w:spacing w:after="20"/>
            </w:pPr>
            <w:r>
              <w:rPr>
                <w:color w:val="1C3A36"/>
                <w:sz w:val="17"/>
              </w:rPr>
              <w:t>Salik is barely levered; the asset beta and the equity beta are nearly the same number.</w:t>
            </w:r>
          </w:p>
        </w:tc>
      </w:tr>
    </w:tbl>
    <w:p>
      <w:pPr>
        <w:spacing w:after="40"/>
      </w:pPr>
    </w:p>
    <w:p>
      <w:pPr>
        <w:spacing w:after="80" w:before="180"/>
      </w:pPr>
      <w:r>
        <w:rPr>
          <w:b/>
          <w:i w:val="0"/>
          <w:color w:val="1C3A36"/>
          <w:sz w:val="23"/>
        </w:rPr>
        <w:t>The sourced cost-of-capital build</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56"/>
        <w:gridCol w:w="2556"/>
        <w:gridCol w:w="2556"/>
        <w:gridCol w:w="2556"/>
      </w:tblGrid>
      <w:tr>
        <w:tc>
          <w:tcPr>
            <w:tcW w:type="dxa" w:w="3082"/>
            <w:shd w:val="clear" w:color="auto" w:fill="EAF0EE"/>
          </w:tcPr>
          <w:p>
            <w:pPr>
              <w:spacing w:after="20"/>
            </w:pPr>
            <w:r>
              <w:rPr>
                <w:b/>
                <w:color w:val="1C3A36"/>
                <w:sz w:val="16"/>
              </w:rPr>
              <w:t>Cost-of-capital input</w:t>
            </w:r>
          </w:p>
        </w:tc>
        <w:tc>
          <w:tcPr>
            <w:tcW w:type="dxa" w:w="1296"/>
            <w:shd w:val="clear" w:color="auto" w:fill="EAF0EE"/>
          </w:tcPr>
          <w:p>
            <w:pPr>
              <w:spacing w:after="20"/>
            </w:pPr>
            <w:r>
              <w:rPr>
                <w:b/>
                <w:color w:val="1C3A36"/>
                <w:sz w:val="16"/>
              </w:rPr>
              <w:t>Value</w:t>
            </w:r>
          </w:p>
        </w:tc>
        <w:tc>
          <w:tcPr>
            <w:tcW w:type="dxa" w:w="950"/>
            <w:shd w:val="clear" w:color="auto" w:fill="EAF0EE"/>
          </w:tcPr>
          <w:p>
            <w:pPr>
              <w:spacing w:after="20"/>
            </w:pPr>
            <w:r>
              <w:rPr>
                <w:b/>
                <w:color w:val="1C3A36"/>
                <w:sz w:val="16"/>
              </w:rPr>
              <w:t>Date</w:t>
            </w:r>
          </w:p>
        </w:tc>
        <w:tc>
          <w:tcPr>
            <w:tcW w:type="dxa" w:w="4896"/>
            <w:shd w:val="clear" w:color="auto" w:fill="EAF0EE"/>
          </w:tcPr>
          <w:p>
            <w:pPr>
              <w:spacing w:after="20"/>
            </w:pPr>
            <w:r>
              <w:rPr>
                <w:b/>
                <w:color w:val="1C3A36"/>
                <w:sz w:val="16"/>
              </w:rPr>
              <w:t>Source — and why we did not take the shortcut</w:t>
            </w:r>
          </w:p>
        </w:tc>
      </w:tr>
      <w:tr>
        <w:tc>
          <w:tcPr>
            <w:tcW w:type="dxa" w:w="3082"/>
          </w:tcPr>
          <w:p>
            <w:pPr>
              <w:spacing w:after="20"/>
            </w:pPr>
            <w:r>
              <w:rPr>
                <w:b/>
                <w:color w:val="1C3A36"/>
                <w:sz w:val="16"/>
              </w:rPr>
              <w:t>Risk-free rate, AED 10-year</w:t>
            </w:r>
          </w:p>
        </w:tc>
        <w:tc>
          <w:tcPr>
            <w:tcW w:type="dxa" w:w="1296"/>
          </w:tcPr>
          <w:p>
            <w:pPr>
              <w:spacing w:after="20"/>
              <w:jc w:val="right"/>
            </w:pPr>
            <w:r>
              <w:rPr>
                <w:color w:val="1C3A36"/>
                <w:sz w:val="16"/>
              </w:rPr>
              <w:t>4.7%</w:t>
            </w:r>
          </w:p>
        </w:tc>
        <w:tc>
          <w:tcPr>
            <w:tcW w:type="dxa" w:w="950"/>
          </w:tcPr>
          <w:p>
            <w:pPr>
              <w:spacing w:after="20"/>
              <w:jc w:val="right"/>
            </w:pPr>
            <w:r>
              <w:rPr>
                <w:color w:val="1C3A36"/>
                <w:sz w:val="16"/>
              </w:rPr>
              <w:t>10 Jul 26</w:t>
            </w:r>
          </w:p>
        </w:tc>
        <w:tc>
          <w:tcPr>
            <w:tcW w:type="dxa" w:w="4896"/>
          </w:tcPr>
          <w:p>
            <w:pPr>
              <w:spacing w:after="20"/>
            </w:pPr>
            <w:r>
              <w:rPr>
                <w:color w:val="1C3A36"/>
                <w:sz w:val="16"/>
              </w:rPr>
              <w:t>UST 10Y 4.56% PLUS the UAE Ministry of Finance’s OWN disclosed 14bp AED-over-UST pricing spread (May-2026 T-Bond auction). The dirham is pegged, but a peg is not a merger of curves. DERIVED — flagged.</w:t>
            </w:r>
          </w:p>
        </w:tc>
      </w:tr>
      <w:tr>
        <w:tc>
          <w:tcPr>
            <w:tcW w:type="dxa" w:w="3082"/>
          </w:tcPr>
          <w:p>
            <w:pPr>
              <w:spacing w:after="20"/>
            </w:pPr>
            <w:r>
              <w:rPr>
                <w:b/>
                <w:color w:val="1C3A36"/>
                <w:sz w:val="16"/>
              </w:rPr>
              <w:t>Equity risk premium — rating basis</w:t>
            </w:r>
          </w:p>
        </w:tc>
        <w:tc>
          <w:tcPr>
            <w:tcW w:type="dxa" w:w="1296"/>
          </w:tcPr>
          <w:p>
            <w:pPr>
              <w:spacing w:after="20"/>
              <w:jc w:val="right"/>
            </w:pPr>
            <w:r>
              <w:rPr>
                <w:color w:val="1C3A36"/>
                <w:sz w:val="16"/>
              </w:rPr>
              <w:t>4.9%</w:t>
            </w:r>
          </w:p>
        </w:tc>
        <w:tc>
          <w:tcPr>
            <w:tcW w:type="dxa" w:w="950"/>
          </w:tcPr>
          <w:p>
            <w:pPr>
              <w:spacing w:after="20"/>
              <w:jc w:val="right"/>
            </w:pPr>
            <w:r>
              <w:rPr>
                <w:color w:val="1C3A36"/>
                <w:sz w:val="16"/>
              </w:rPr>
              <w:t>5 Jan 26</w:t>
            </w:r>
          </w:p>
        </w:tc>
        <w:tc>
          <w:tcPr>
            <w:tcW w:type="dxa" w:w="4896"/>
          </w:tcPr>
          <w:p>
            <w:pPr>
              <w:spacing w:after="20"/>
            </w:pPr>
            <w:r>
              <w:rPr>
                <w:color w:val="1C3A36"/>
                <w:sz w:val="16"/>
              </w:rPr>
              <w:t>Damodaran ctryprem.html, ORIGINAL file. UAE Aa2: CRP 0.64% + mature 4.23%.</w:t>
            </w:r>
          </w:p>
        </w:tc>
      </w:tr>
      <w:tr>
        <w:tc>
          <w:tcPr>
            <w:tcW w:type="dxa" w:w="3082"/>
          </w:tcPr>
          <w:p>
            <w:pPr>
              <w:spacing w:after="20"/>
            </w:pPr>
            <w:r>
              <w:rPr>
                <w:b/>
                <w:color w:val="1C3A36"/>
                <w:sz w:val="16"/>
              </w:rPr>
              <w:t>Equity risk premium — CDS basis</w:t>
            </w:r>
          </w:p>
        </w:tc>
        <w:tc>
          <w:tcPr>
            <w:tcW w:type="dxa" w:w="1296"/>
          </w:tcPr>
          <w:p>
            <w:pPr>
              <w:spacing w:after="20"/>
              <w:jc w:val="right"/>
            </w:pPr>
            <w:r>
              <w:rPr>
                <w:color w:val="1C3A36"/>
                <w:sz w:val="16"/>
              </w:rPr>
              <w:t>4.9%</w:t>
            </w:r>
          </w:p>
        </w:tc>
        <w:tc>
          <w:tcPr>
            <w:tcW w:type="dxa" w:w="950"/>
          </w:tcPr>
          <w:p>
            <w:pPr>
              <w:spacing w:after="20"/>
              <w:jc w:val="right"/>
            </w:pPr>
            <w:r>
              <w:rPr>
                <w:color w:val="1C3A36"/>
                <w:sz w:val="16"/>
              </w:rPr>
              <w:t>5 Jan 26</w:t>
            </w:r>
          </w:p>
        </w:tc>
        <w:tc>
          <w:tcPr>
            <w:tcW w:type="dxa" w:w="4896"/>
          </w:tcPr>
          <w:p>
            <w:pPr>
              <w:spacing w:after="20"/>
            </w:pPr>
            <w:r>
              <w:rPr>
                <w:color w:val="1C3A36"/>
                <w:sz w:val="16"/>
              </w:rPr>
              <w:t>Same file, Abu Dhabi row (CDS 0.46%). Proxy, flagged. Both WACCs published.</w:t>
            </w:r>
          </w:p>
        </w:tc>
      </w:tr>
      <w:tr>
        <w:tc>
          <w:tcPr>
            <w:tcW w:type="dxa" w:w="3082"/>
          </w:tcPr>
          <w:p>
            <w:pPr>
              <w:spacing w:after="20"/>
            </w:pPr>
            <w:r>
              <w:rPr>
                <w:b/>
                <w:color w:val="1C3A36"/>
                <w:sz w:val="16"/>
              </w:rPr>
              <w:t>Equity beta — PUBLISHED (Blume-adjusted)</w:t>
            </w:r>
          </w:p>
        </w:tc>
        <w:tc>
          <w:tcPr>
            <w:tcW w:type="dxa" w:w="1296"/>
          </w:tcPr>
          <w:p>
            <w:pPr>
              <w:spacing w:after="20"/>
              <w:jc w:val="right"/>
            </w:pPr>
            <w:r>
              <w:rPr>
                <w:color w:val="1C3A36"/>
                <w:sz w:val="16"/>
              </w:rPr>
              <w:t>0.76</w:t>
            </w:r>
          </w:p>
        </w:tc>
        <w:tc>
          <w:tcPr>
            <w:tcW w:type="dxa" w:w="950"/>
          </w:tcPr>
          <w:p>
            <w:pPr>
              <w:spacing w:after="20"/>
              <w:jc w:val="right"/>
            </w:pPr>
            <w:r>
              <w:rPr>
                <w:color w:val="1C3A36"/>
                <w:sz w:val="16"/>
              </w:rPr>
              <w:t>10 Jul 26</w:t>
            </w:r>
          </w:p>
        </w:tc>
        <w:tc>
          <w:tcPr>
            <w:tcW w:type="dxa" w:w="4896"/>
          </w:tcPr>
          <w:p>
            <w:pPr>
              <w:spacing w:after="20"/>
            </w:pPr>
            <w:r>
              <w:rPr>
                <w:color w:val="1C3A36"/>
                <w:sz w:val="16"/>
              </w:rPr>
              <w:t>⅔ × 0.637 (measured weekly, n=195, t=6.1) + ⅓ × 1.0. Gate: PASS.</w:t>
            </w:r>
          </w:p>
        </w:tc>
      </w:tr>
      <w:tr>
        <w:tc>
          <w:tcPr>
            <w:tcW w:type="dxa" w:w="3082"/>
          </w:tcPr>
          <w:p>
            <w:pPr>
              <w:spacing w:after="20"/>
            </w:pPr>
            <w:r>
              <w:rPr>
                <w:b/>
                <w:color w:val="1C3A36"/>
                <w:sz w:val="16"/>
              </w:rPr>
              <w:t>Cost of equity (rating ERP)</w:t>
            </w:r>
          </w:p>
        </w:tc>
        <w:tc>
          <w:tcPr>
            <w:tcW w:type="dxa" w:w="1296"/>
          </w:tcPr>
          <w:p>
            <w:pPr>
              <w:spacing w:after="20"/>
              <w:jc w:val="right"/>
            </w:pPr>
            <w:r>
              <w:rPr>
                <w:color w:val="1C3A36"/>
                <w:sz w:val="16"/>
              </w:rPr>
              <w:t>8.4%</w:t>
            </w:r>
          </w:p>
        </w:tc>
        <w:tc>
          <w:tcPr>
            <w:tcW w:type="dxa" w:w="950"/>
          </w:tcPr>
          <w:p>
            <w:pPr>
              <w:spacing w:after="20"/>
              <w:jc w:val="right"/>
            </w:pPr>
            <w:r>
              <w:rPr>
                <w:color w:val="1C3A36"/>
                <w:sz w:val="16"/>
              </w:rPr>
            </w:r>
          </w:p>
        </w:tc>
        <w:tc>
          <w:tcPr>
            <w:tcW w:type="dxa" w:w="4896"/>
          </w:tcPr>
          <w:p>
            <w:pPr>
              <w:spacing w:after="20"/>
            </w:pPr>
            <w:r>
              <w:rPr>
                <w:color w:val="1C3A36"/>
                <w:sz w:val="16"/>
              </w:rPr>
              <w:t>4.7% + 0.76 × 4.9%</w:t>
            </w:r>
          </w:p>
        </w:tc>
      </w:tr>
      <w:tr>
        <w:tc>
          <w:tcPr>
            <w:tcW w:type="dxa" w:w="3082"/>
          </w:tcPr>
          <w:p>
            <w:pPr>
              <w:spacing w:after="20"/>
            </w:pPr>
            <w:r>
              <w:rPr>
                <w:b/>
                <w:color w:val="1C3A36"/>
                <w:sz w:val="16"/>
              </w:rPr>
              <w:t>Cost of debt, pre-tax</w:t>
            </w:r>
          </w:p>
        </w:tc>
        <w:tc>
          <w:tcPr>
            <w:tcW w:type="dxa" w:w="1296"/>
          </w:tcPr>
          <w:p>
            <w:pPr>
              <w:spacing w:after="20"/>
              <w:jc w:val="right"/>
            </w:pPr>
            <w:r>
              <w:rPr>
                <w:color w:val="1C3A36"/>
                <w:sz w:val="16"/>
              </w:rPr>
              <w:t>5.5%</w:t>
            </w:r>
          </w:p>
        </w:tc>
        <w:tc>
          <w:tcPr>
            <w:tcW w:type="dxa" w:w="950"/>
          </w:tcPr>
          <w:p>
            <w:pPr>
              <w:spacing w:after="20"/>
              <w:jc w:val="right"/>
            </w:pPr>
            <w:r>
              <w:rPr>
                <w:color w:val="1C3A36"/>
                <w:sz w:val="16"/>
              </w:rPr>
            </w:r>
          </w:p>
        </w:tc>
        <w:tc>
          <w:tcPr>
            <w:tcW w:type="dxa" w:w="4896"/>
          </w:tcPr>
          <w:p>
            <w:pPr>
              <w:spacing w:after="20"/>
            </w:pPr>
            <w:r>
              <w:rPr>
                <w:color w:val="1C3A36"/>
                <w:sz w:val="16"/>
              </w:rPr>
              <w:t>Triangulated: (a) Q1-26 net finance cost annualised on average net debt = 5.77%; (b) AED rf + 83bp (ENBD’s inaugural AED bond over UAE Treasuries) = 5.53%; (c) 3M EIBOR + a 150–175bp IG margin.</w:t>
            </w:r>
          </w:p>
        </w:tc>
      </w:tr>
      <w:tr>
        <w:tc>
          <w:tcPr>
            <w:tcW w:type="dxa" w:w="3082"/>
          </w:tcPr>
          <w:p>
            <w:pPr>
              <w:spacing w:after="20"/>
            </w:pPr>
            <w:r>
              <w:rPr>
                <w:b/>
                <w:color w:val="1C3A36"/>
                <w:sz w:val="16"/>
              </w:rPr>
              <w:t>Corporate tax rate</w:t>
            </w:r>
          </w:p>
        </w:tc>
        <w:tc>
          <w:tcPr>
            <w:tcW w:type="dxa" w:w="1296"/>
          </w:tcPr>
          <w:p>
            <w:pPr>
              <w:spacing w:after="20"/>
              <w:jc w:val="right"/>
            </w:pPr>
            <w:r>
              <w:rPr>
                <w:color w:val="1C3A36"/>
                <w:sz w:val="16"/>
              </w:rPr>
              <w:t>9.0%</w:t>
            </w:r>
          </w:p>
        </w:tc>
        <w:tc>
          <w:tcPr>
            <w:tcW w:type="dxa" w:w="950"/>
          </w:tcPr>
          <w:p>
            <w:pPr>
              <w:spacing w:after="20"/>
              <w:jc w:val="right"/>
            </w:pPr>
            <w:r>
              <w:rPr>
                <w:color w:val="1C3A36"/>
                <w:sz w:val="16"/>
              </w:rPr>
            </w:r>
          </w:p>
        </w:tc>
        <w:tc>
          <w:tcPr>
            <w:tcW w:type="dxa" w:w="4896"/>
          </w:tcPr>
          <w:p>
            <w:pPr>
              <w:spacing w:after="20"/>
            </w:pPr>
            <w:r>
              <w:rPr>
                <w:color w:val="1C3A36"/>
                <w:sz w:val="16"/>
              </w:rPr>
              <w:t>UAE CT. Q1-2026 effective rate confirmed at 9.0%.</w:t>
            </w:r>
          </w:p>
        </w:tc>
      </w:tr>
      <w:tr>
        <w:tc>
          <w:tcPr>
            <w:tcW w:type="dxa" w:w="3082"/>
          </w:tcPr>
          <w:p>
            <w:pPr>
              <w:spacing w:after="20"/>
            </w:pPr>
            <w:r>
              <w:rPr>
                <w:b/>
                <w:color w:val="1C3A36"/>
                <w:sz w:val="16"/>
              </w:rPr>
              <w:t>Capital weights (E / D at market)</w:t>
            </w:r>
          </w:p>
        </w:tc>
        <w:tc>
          <w:tcPr>
            <w:tcW w:type="dxa" w:w="1296"/>
          </w:tcPr>
          <w:p>
            <w:pPr>
              <w:spacing w:after="20"/>
              <w:jc w:val="right"/>
            </w:pPr>
            <w:r>
              <w:rPr>
                <w:color w:val="1C3A36"/>
                <w:sz w:val="16"/>
              </w:rPr>
              <w:t>91.0% / 9.0%</w:t>
            </w:r>
          </w:p>
        </w:tc>
        <w:tc>
          <w:tcPr>
            <w:tcW w:type="dxa" w:w="950"/>
          </w:tcPr>
          <w:p>
            <w:pPr>
              <w:spacing w:after="20"/>
              <w:jc w:val="right"/>
            </w:pPr>
            <w:r>
              <w:rPr>
                <w:color w:val="1C3A36"/>
                <w:sz w:val="16"/>
              </w:rPr>
              <w:t>10 Jul 26</w:t>
            </w:r>
          </w:p>
        </w:tc>
        <w:tc>
          <w:tcPr>
            <w:tcW w:type="dxa" w:w="4896"/>
          </w:tcPr>
          <w:p>
            <w:pPr>
              <w:spacing w:after="20"/>
            </w:pPr>
            <w:r>
              <w:rPr>
                <w:color w:val="1C3A36"/>
                <w:sz w:val="16"/>
              </w:rPr>
              <w:t>Market cap AED 42,750 mn; net debt AED 4,226.4 mn (disclosed, and INCLUSIVE of the RTA payable — see §1.2a).</w:t>
            </w:r>
          </w:p>
        </w:tc>
      </w:tr>
      <w:tr>
        <w:tc>
          <w:tcPr>
            <w:tcW w:type="dxa" w:w="3082"/>
          </w:tcPr>
          <w:p>
            <w:pPr>
              <w:spacing w:after="20"/>
            </w:pPr>
            <w:r>
              <w:rPr>
                <w:b/>
                <w:color w:val="1C3A36"/>
                <w:sz w:val="16"/>
              </w:rPr>
              <w:t>WACC — rating basis (PRIMARY)</w:t>
            </w:r>
          </w:p>
        </w:tc>
        <w:tc>
          <w:tcPr>
            <w:tcW w:type="dxa" w:w="1296"/>
          </w:tcPr>
          <w:p>
            <w:pPr>
              <w:spacing w:after="20"/>
              <w:jc w:val="right"/>
            </w:pPr>
            <w:r>
              <w:rPr>
                <w:color w:val="1C3A36"/>
                <w:sz w:val="16"/>
              </w:rPr>
              <w:t>8.1%</w:t>
            </w:r>
          </w:p>
        </w:tc>
        <w:tc>
          <w:tcPr>
            <w:tcW w:type="dxa" w:w="950"/>
          </w:tcPr>
          <w:p>
            <w:pPr>
              <w:spacing w:after="20"/>
              <w:jc w:val="right"/>
            </w:pPr>
            <w:r>
              <w:rPr>
                <w:color w:val="1C3A36"/>
                <w:sz w:val="16"/>
              </w:rPr>
            </w:r>
          </w:p>
        </w:tc>
        <w:tc>
          <w:tcPr>
            <w:tcW w:type="dxa" w:w="4896"/>
          </w:tcPr>
          <w:p>
            <w:pPr>
              <w:spacing w:after="20"/>
            </w:pPr>
            <w:r>
              <w:rPr>
                <w:color w:val="1C3A36"/>
                <w:sz w:val="16"/>
              </w:rPr>
            </w:r>
          </w:p>
        </w:tc>
      </w:tr>
      <w:tr>
        <w:tc>
          <w:tcPr>
            <w:tcW w:type="dxa" w:w="3082"/>
          </w:tcPr>
          <w:p>
            <w:pPr>
              <w:spacing w:after="20"/>
            </w:pPr>
            <w:r>
              <w:rPr>
                <w:b/>
                <w:color w:val="1C3A36"/>
                <w:sz w:val="16"/>
              </w:rPr>
              <w:t>WACC — CDS basis</w:t>
            </w:r>
          </w:p>
        </w:tc>
        <w:tc>
          <w:tcPr>
            <w:tcW w:type="dxa" w:w="1296"/>
          </w:tcPr>
          <w:p>
            <w:pPr>
              <w:spacing w:after="20"/>
              <w:jc w:val="right"/>
            </w:pPr>
            <w:r>
              <w:rPr>
                <w:color w:val="1C3A36"/>
                <w:sz w:val="16"/>
              </w:rPr>
              <w:t>8.1%</w:t>
            </w:r>
          </w:p>
        </w:tc>
        <w:tc>
          <w:tcPr>
            <w:tcW w:type="dxa" w:w="950"/>
          </w:tcPr>
          <w:p>
            <w:pPr>
              <w:spacing w:after="20"/>
              <w:jc w:val="right"/>
            </w:pPr>
            <w:r>
              <w:rPr>
                <w:color w:val="1C3A36"/>
                <w:sz w:val="16"/>
              </w:rPr>
            </w:r>
          </w:p>
        </w:tc>
        <w:tc>
          <w:tcPr>
            <w:tcW w:type="dxa" w:w="4896"/>
          </w:tcPr>
          <w:p>
            <w:pPr>
              <w:spacing w:after="20"/>
            </w:pPr>
            <w:r>
              <w:rPr>
                <w:color w:val="1C3A36"/>
                <w:sz w:val="16"/>
              </w:rPr>
              <w:t>Published alongside, per standing rule.</w:t>
            </w:r>
          </w:p>
        </w:tc>
      </w:tr>
      <w:tr>
        <w:tc>
          <w:tcPr>
            <w:tcW w:type="dxa" w:w="3082"/>
          </w:tcPr>
          <w:p>
            <w:pPr>
              <w:spacing w:after="20"/>
            </w:pPr>
            <w:r>
              <w:rPr>
                <w:b/>
                <w:color w:val="1C3A36"/>
                <w:sz w:val="16"/>
              </w:rPr>
              <w:t>Terminal growth g</w:t>
            </w:r>
          </w:p>
        </w:tc>
        <w:tc>
          <w:tcPr>
            <w:tcW w:type="dxa" w:w="1296"/>
          </w:tcPr>
          <w:p>
            <w:pPr>
              <w:spacing w:after="20"/>
              <w:jc w:val="right"/>
            </w:pPr>
            <w:r>
              <w:rPr>
                <w:color w:val="1C3A36"/>
                <w:sz w:val="16"/>
              </w:rPr>
              <w:t>2.5%</w:t>
            </w:r>
          </w:p>
        </w:tc>
        <w:tc>
          <w:tcPr>
            <w:tcW w:type="dxa" w:w="950"/>
          </w:tcPr>
          <w:p>
            <w:pPr>
              <w:spacing w:after="20"/>
              <w:jc w:val="right"/>
            </w:pPr>
            <w:r>
              <w:rPr>
                <w:color w:val="1C3A36"/>
                <w:sz w:val="16"/>
              </w:rPr>
            </w:r>
          </w:p>
        </w:tc>
        <w:tc>
          <w:tcPr>
            <w:tcW w:type="dxa" w:w="4896"/>
          </w:tcPr>
          <w:p>
            <w:pPr>
              <w:spacing w:after="20"/>
            </w:pPr>
            <w:r>
              <w:rPr>
                <w:color w:val="1C3A36"/>
                <w:sz w:val="16"/>
              </w:rPr>
              <w:t>Judgment. Dubai 4.0 → 5.8 mn people by 2040 is ~2.5%/yr on population alone — but the AED 20.5 bn Metro Blue Line opens in 2029 on the same east-west axis Salik tolls. Sensitised 1.5–3.5%.</w:t>
            </w:r>
          </w:p>
        </w:tc>
      </w:tr>
    </w:tbl>
    <w:p>
      <w:pPr>
        <w:spacing w:after="40"/>
      </w:pPr>
    </w:p>
    <w:p>
      <w:r>
        <w:br w:type="page"/>
      </w:r>
    </w:p>
    <w:p>
      <w:pPr>
        <w:spacing w:after="100" w:before="260"/>
      </w:pPr>
      <w:r>
        <w:rPr>
          <w:b/>
          <w:i w:val="0"/>
          <w:color w:val="1C3A36"/>
          <w:sz w:val="30"/>
        </w:rPr>
        <w:t>1.9 Sensitivity — four grids, and the concession cushion</w:t>
      </w:r>
    </w:p>
    <w:p>
      <w:pPr>
        <w:spacing w:after="40"/>
        <w:jc w:val="center"/>
      </w:pPr>
      <w:r>
        <w:drawing>
          <wp:inline xmlns:a="http://schemas.openxmlformats.org/drawingml/2006/main" xmlns:pic="http://schemas.openxmlformats.org/drawingml/2006/picture">
            <wp:extent cx="5943600" cy="2731509"/>
            <wp:docPr id="8" name="Picture 8"/>
            <wp:cNvGraphicFramePr>
              <a:graphicFrameLocks noChangeAspect="1"/>
            </wp:cNvGraphicFramePr>
            <a:graphic>
              <a:graphicData uri="http://schemas.openxmlformats.org/drawingml/2006/picture">
                <pic:pic>
                  <pic:nvPicPr>
                    <pic:cNvPr id="0" name="f7_sens.png"/>
                    <pic:cNvPicPr/>
                  </pic:nvPicPr>
                  <pic:blipFill>
                    <a:blip r:embed="rId16"/>
                    <a:stretch>
                      <a:fillRect/>
                    </a:stretch>
                  </pic:blipFill>
                  <pic:spPr>
                    <a:xfrm>
                      <a:off x="0" y="0"/>
                      <a:ext cx="5943600" cy="2731509"/>
                    </a:xfrm>
                    <a:prstGeom prst="rect"/>
                  </pic:spPr>
                </pic:pic>
              </a:graphicData>
            </a:graphic>
          </wp:inline>
        </w:drawing>
      </w:r>
    </w:p>
    <w:p>
      <w:pPr>
        <w:spacing w:after="180" w:before="0"/>
      </w:pPr>
      <w:r>
        <w:rPr>
          <w:b w:val="0"/>
          <w:i/>
          <w:color w:val="6E7B77"/>
          <w:sz w:val="17"/>
        </w:rPr>
        <w:t>Figure 7 · Fair value across β × terminal g. Gold cells reach spot. The published beta and the raw measured beta are BOTH on this grid.</w:t>
      </w:r>
    </w:p>
    <w:p>
      <w:pPr>
        <w:spacing w:after="80" w:before="180"/>
      </w:pPr>
      <w:r>
        <w:rPr>
          <w:b/>
          <w:i w:val="0"/>
          <w:color w:val="1C3A36"/>
          <w:sz w:val="23"/>
        </w:rPr>
        <w:t>Grid 2 — WACC × terminal g, beta held at the published 0.76</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704"/>
        <w:gridCol w:w="1704"/>
        <w:gridCol w:w="1704"/>
        <w:gridCol w:w="1704"/>
        <w:gridCol w:w="1704"/>
        <w:gridCol w:w="1704"/>
      </w:tblGrid>
      <w:tr>
        <w:tc>
          <w:tcPr>
            <w:tcW w:type="dxa" w:w="1944"/>
            <w:shd w:val="clear" w:color="auto" w:fill="EAF0EE"/>
          </w:tcPr>
          <w:p>
            <w:pPr>
              <w:spacing w:after="20"/>
            </w:pPr>
            <w:r>
              <w:rPr>
                <w:b/>
                <w:color w:val="1C3A36"/>
                <w:sz w:val="17"/>
              </w:rPr>
              <w:t>WACC \ g</w:t>
            </w:r>
          </w:p>
        </w:tc>
        <w:tc>
          <w:tcPr>
            <w:tcW w:type="dxa" w:w="1037"/>
            <w:shd w:val="clear" w:color="auto" w:fill="EAF0EE"/>
          </w:tcPr>
          <w:p>
            <w:pPr>
              <w:spacing w:after="20"/>
            </w:pPr>
            <w:r>
              <w:rPr>
                <w:b/>
                <w:color w:val="1C3A36"/>
                <w:sz w:val="17"/>
              </w:rPr>
              <w:t>1.5%</w:t>
            </w:r>
          </w:p>
        </w:tc>
        <w:tc>
          <w:tcPr>
            <w:tcW w:type="dxa" w:w="1037"/>
            <w:shd w:val="clear" w:color="auto" w:fill="EAF0EE"/>
          </w:tcPr>
          <w:p>
            <w:pPr>
              <w:spacing w:after="20"/>
            </w:pPr>
            <w:r>
              <w:rPr>
                <w:b/>
                <w:color w:val="1C3A36"/>
                <w:sz w:val="17"/>
              </w:rPr>
              <w:t>2.0%</w:t>
            </w:r>
          </w:p>
        </w:tc>
        <w:tc>
          <w:tcPr>
            <w:tcW w:type="dxa" w:w="1037"/>
            <w:shd w:val="clear" w:color="auto" w:fill="EAF0EE"/>
          </w:tcPr>
          <w:p>
            <w:pPr>
              <w:spacing w:after="20"/>
            </w:pPr>
            <w:r>
              <w:rPr>
                <w:b/>
                <w:color w:val="1C3A36"/>
                <w:sz w:val="17"/>
              </w:rPr>
              <w:t>2.5%</w:t>
            </w:r>
          </w:p>
        </w:tc>
        <w:tc>
          <w:tcPr>
            <w:tcW w:type="dxa" w:w="1037"/>
            <w:shd w:val="clear" w:color="auto" w:fill="EAF0EE"/>
          </w:tcPr>
          <w:p>
            <w:pPr>
              <w:spacing w:after="20"/>
            </w:pPr>
            <w:r>
              <w:rPr>
                <w:b/>
                <w:color w:val="1C3A36"/>
                <w:sz w:val="17"/>
              </w:rPr>
              <w:t>3.0%</w:t>
            </w:r>
          </w:p>
        </w:tc>
        <w:tc>
          <w:tcPr>
            <w:tcW w:type="dxa" w:w="1037"/>
            <w:shd w:val="clear" w:color="auto" w:fill="EAF0EE"/>
          </w:tcPr>
          <w:p>
            <w:pPr>
              <w:spacing w:after="20"/>
            </w:pPr>
            <w:r>
              <w:rPr>
                <w:b/>
                <w:color w:val="1C3A36"/>
                <w:sz w:val="17"/>
              </w:rPr>
              <w:t>3.5%</w:t>
            </w:r>
          </w:p>
        </w:tc>
      </w:tr>
      <w:tr>
        <w:tc>
          <w:tcPr>
            <w:tcW w:type="dxa" w:w="1944"/>
          </w:tcPr>
          <w:p>
            <w:pPr>
              <w:spacing w:after="20"/>
            </w:pPr>
            <w:r>
              <w:rPr>
                <w:b/>
                <w:color w:val="1C3A36"/>
                <w:sz w:val="17"/>
              </w:rPr>
              <w:t>6.6%</w:t>
            </w:r>
          </w:p>
        </w:tc>
        <w:tc>
          <w:tcPr>
            <w:tcW w:type="dxa" w:w="1037"/>
          </w:tcPr>
          <w:p>
            <w:pPr>
              <w:spacing w:after="20"/>
              <w:jc w:val="right"/>
            </w:pPr>
            <w:r>
              <w:rPr>
                <w:color w:val="1C3A36"/>
                <w:sz w:val="17"/>
              </w:rPr>
              <w:t>5.19</w:t>
            </w:r>
          </w:p>
        </w:tc>
        <w:tc>
          <w:tcPr>
            <w:tcW w:type="dxa" w:w="1037"/>
          </w:tcPr>
          <w:p>
            <w:pPr>
              <w:spacing w:after="20"/>
              <w:jc w:val="right"/>
            </w:pPr>
            <w:r>
              <w:rPr>
                <w:color w:val="1C3A36"/>
                <w:sz w:val="17"/>
              </w:rPr>
              <w:t>5.72</w:t>
            </w:r>
          </w:p>
        </w:tc>
        <w:tc>
          <w:tcPr>
            <w:tcW w:type="dxa" w:w="1037"/>
          </w:tcPr>
          <w:p>
            <w:pPr>
              <w:spacing w:after="20"/>
              <w:jc w:val="right"/>
            </w:pPr>
            <w:r>
              <w:rPr>
                <w:color w:val="1C3A36"/>
                <w:sz w:val="17"/>
              </w:rPr>
              <w:t>6.37</w:t>
            </w:r>
          </w:p>
        </w:tc>
        <w:tc>
          <w:tcPr>
            <w:tcW w:type="dxa" w:w="1037"/>
          </w:tcPr>
          <w:p>
            <w:pPr>
              <w:spacing w:after="20"/>
              <w:jc w:val="right"/>
            </w:pPr>
            <w:r>
              <w:rPr>
                <w:color w:val="1C3A36"/>
                <w:sz w:val="17"/>
              </w:rPr>
              <w:t>7.21</w:t>
            </w:r>
          </w:p>
        </w:tc>
        <w:tc>
          <w:tcPr>
            <w:tcW w:type="dxa" w:w="1037"/>
          </w:tcPr>
          <w:p>
            <w:pPr>
              <w:spacing w:after="20"/>
              <w:jc w:val="right"/>
            </w:pPr>
            <w:r>
              <w:rPr>
                <w:color w:val="1C3A36"/>
                <w:sz w:val="17"/>
              </w:rPr>
              <w:t>8.32</w:t>
            </w:r>
          </w:p>
        </w:tc>
      </w:tr>
      <w:tr>
        <w:tc>
          <w:tcPr>
            <w:tcW w:type="dxa" w:w="1944"/>
          </w:tcPr>
          <w:p>
            <w:pPr>
              <w:spacing w:after="20"/>
            </w:pPr>
            <w:r>
              <w:rPr>
                <w:b/>
                <w:color w:val="1C3A36"/>
                <w:sz w:val="17"/>
              </w:rPr>
              <w:t>7.3%</w:t>
            </w:r>
          </w:p>
        </w:tc>
        <w:tc>
          <w:tcPr>
            <w:tcW w:type="dxa" w:w="1037"/>
          </w:tcPr>
          <w:p>
            <w:pPr>
              <w:spacing w:after="20"/>
              <w:jc w:val="right"/>
            </w:pPr>
            <w:r>
              <w:rPr>
                <w:color w:val="1C3A36"/>
                <w:sz w:val="17"/>
              </w:rPr>
              <w:t>4.44</w:t>
            </w:r>
          </w:p>
        </w:tc>
        <w:tc>
          <w:tcPr>
            <w:tcW w:type="dxa" w:w="1037"/>
          </w:tcPr>
          <w:p>
            <w:pPr>
              <w:spacing w:after="20"/>
              <w:jc w:val="right"/>
            </w:pPr>
            <w:r>
              <w:rPr>
                <w:color w:val="1C3A36"/>
                <w:sz w:val="17"/>
              </w:rPr>
              <w:t>4.82</w:t>
            </w:r>
          </w:p>
        </w:tc>
        <w:tc>
          <w:tcPr>
            <w:tcW w:type="dxa" w:w="1037"/>
          </w:tcPr>
          <w:p>
            <w:pPr>
              <w:spacing w:after="20"/>
              <w:jc w:val="right"/>
            </w:pPr>
            <w:r>
              <w:rPr>
                <w:color w:val="1C3A36"/>
                <w:sz w:val="17"/>
              </w:rPr>
              <w:t>5.28</w:t>
            </w:r>
          </w:p>
        </w:tc>
        <w:tc>
          <w:tcPr>
            <w:tcW w:type="dxa" w:w="1037"/>
          </w:tcPr>
          <w:p>
            <w:pPr>
              <w:spacing w:after="20"/>
              <w:jc w:val="right"/>
            </w:pPr>
            <w:r>
              <w:rPr>
                <w:color w:val="1C3A36"/>
                <w:sz w:val="17"/>
              </w:rPr>
              <w:t>5.85</w:t>
            </w:r>
          </w:p>
        </w:tc>
        <w:tc>
          <w:tcPr>
            <w:tcW w:type="dxa" w:w="1037"/>
          </w:tcPr>
          <w:p>
            <w:pPr>
              <w:spacing w:after="20"/>
              <w:jc w:val="right"/>
            </w:pPr>
            <w:r>
              <w:rPr>
                <w:color w:val="1C3A36"/>
                <w:sz w:val="17"/>
              </w:rPr>
              <w:t>6.57</w:t>
            </w:r>
          </w:p>
        </w:tc>
      </w:tr>
      <w:tr>
        <w:tc>
          <w:tcPr>
            <w:tcW w:type="dxa" w:w="1944"/>
          </w:tcPr>
          <w:p>
            <w:pPr>
              <w:spacing w:after="20"/>
            </w:pPr>
            <w:r>
              <w:rPr>
                <w:b/>
                <w:color w:val="1C3A36"/>
                <w:sz w:val="17"/>
              </w:rPr>
              <w:t>8.1%</w:t>
            </w:r>
          </w:p>
        </w:tc>
        <w:tc>
          <w:tcPr>
            <w:tcW w:type="dxa" w:w="1037"/>
          </w:tcPr>
          <w:p>
            <w:pPr>
              <w:spacing w:after="20"/>
              <w:jc w:val="right"/>
            </w:pPr>
            <w:r>
              <w:rPr>
                <w:color w:val="1C3A36"/>
                <w:sz w:val="17"/>
              </w:rPr>
              <w:t>3.86</w:t>
            </w:r>
          </w:p>
        </w:tc>
        <w:tc>
          <w:tcPr>
            <w:tcW w:type="dxa" w:w="1037"/>
          </w:tcPr>
          <w:p>
            <w:pPr>
              <w:spacing w:after="20"/>
              <w:jc w:val="right"/>
            </w:pPr>
            <w:r>
              <w:rPr>
                <w:color w:val="1C3A36"/>
                <w:sz w:val="17"/>
              </w:rPr>
              <w:t>4.15</w:t>
            </w:r>
          </w:p>
        </w:tc>
        <w:tc>
          <w:tcPr>
            <w:tcW w:type="dxa" w:w="1037"/>
          </w:tcPr>
          <w:p>
            <w:pPr>
              <w:spacing w:after="20"/>
              <w:jc w:val="right"/>
            </w:pPr>
            <w:r>
              <w:rPr>
                <w:color w:val="1C3A36"/>
                <w:sz w:val="17"/>
              </w:rPr>
              <w:t>4.49</w:t>
            </w:r>
          </w:p>
        </w:tc>
        <w:tc>
          <w:tcPr>
            <w:tcW w:type="dxa" w:w="1037"/>
          </w:tcPr>
          <w:p>
            <w:pPr>
              <w:spacing w:after="20"/>
              <w:jc w:val="right"/>
            </w:pPr>
            <w:r>
              <w:rPr>
                <w:color w:val="1C3A36"/>
                <w:sz w:val="17"/>
              </w:rPr>
              <w:t>4.90</w:t>
            </w:r>
          </w:p>
        </w:tc>
        <w:tc>
          <w:tcPr>
            <w:tcW w:type="dxa" w:w="1037"/>
          </w:tcPr>
          <w:p>
            <w:pPr>
              <w:spacing w:after="20"/>
              <w:jc w:val="right"/>
            </w:pPr>
            <w:r>
              <w:rPr>
                <w:color w:val="1C3A36"/>
                <w:sz w:val="17"/>
              </w:rPr>
              <w:t>5.39</w:t>
            </w:r>
          </w:p>
        </w:tc>
      </w:tr>
      <w:tr>
        <w:tc>
          <w:tcPr>
            <w:tcW w:type="dxa" w:w="1944"/>
          </w:tcPr>
          <w:p>
            <w:pPr>
              <w:spacing w:after="20"/>
            </w:pPr>
            <w:r>
              <w:rPr>
                <w:b/>
                <w:color w:val="1C3A36"/>
                <w:sz w:val="17"/>
              </w:rPr>
              <w:t>8.8%</w:t>
            </w:r>
          </w:p>
        </w:tc>
        <w:tc>
          <w:tcPr>
            <w:tcW w:type="dxa" w:w="1037"/>
          </w:tcPr>
          <w:p>
            <w:pPr>
              <w:spacing w:after="20"/>
              <w:jc w:val="right"/>
            </w:pPr>
            <w:r>
              <w:rPr>
                <w:color w:val="1C3A36"/>
                <w:sz w:val="17"/>
              </w:rPr>
              <w:t>3.40</w:t>
            </w:r>
          </w:p>
        </w:tc>
        <w:tc>
          <w:tcPr>
            <w:tcW w:type="dxa" w:w="1037"/>
          </w:tcPr>
          <w:p>
            <w:pPr>
              <w:spacing w:after="20"/>
              <w:jc w:val="right"/>
            </w:pPr>
            <w:r>
              <w:rPr>
                <w:color w:val="1C3A36"/>
                <w:sz w:val="17"/>
              </w:rPr>
              <w:t>3.62</w:t>
            </w:r>
          </w:p>
        </w:tc>
        <w:tc>
          <w:tcPr>
            <w:tcW w:type="dxa" w:w="1037"/>
          </w:tcPr>
          <w:p>
            <w:pPr>
              <w:spacing w:after="20"/>
              <w:jc w:val="right"/>
            </w:pPr>
            <w:r>
              <w:rPr>
                <w:color w:val="1C3A36"/>
                <w:sz w:val="17"/>
              </w:rPr>
              <w:t>3.88</w:t>
            </w:r>
          </w:p>
        </w:tc>
        <w:tc>
          <w:tcPr>
            <w:tcW w:type="dxa" w:w="1037"/>
          </w:tcPr>
          <w:p>
            <w:pPr>
              <w:spacing w:after="20"/>
              <w:jc w:val="right"/>
            </w:pPr>
            <w:r>
              <w:rPr>
                <w:color w:val="1C3A36"/>
                <w:sz w:val="17"/>
              </w:rPr>
              <w:t>4.19</w:t>
            </w:r>
          </w:p>
        </w:tc>
        <w:tc>
          <w:tcPr>
            <w:tcW w:type="dxa" w:w="1037"/>
          </w:tcPr>
          <w:p>
            <w:pPr>
              <w:spacing w:after="20"/>
              <w:jc w:val="right"/>
            </w:pPr>
            <w:r>
              <w:rPr>
                <w:color w:val="1C3A36"/>
                <w:sz w:val="17"/>
              </w:rPr>
              <w:t>4.55</w:t>
            </w:r>
          </w:p>
        </w:tc>
      </w:tr>
      <w:tr>
        <w:tc>
          <w:tcPr>
            <w:tcW w:type="dxa" w:w="1944"/>
          </w:tcPr>
          <w:p>
            <w:pPr>
              <w:spacing w:after="20"/>
            </w:pPr>
            <w:r>
              <w:rPr>
                <w:b/>
                <w:color w:val="1C3A36"/>
                <w:sz w:val="17"/>
              </w:rPr>
              <w:t>9.6%</w:t>
            </w:r>
          </w:p>
        </w:tc>
        <w:tc>
          <w:tcPr>
            <w:tcW w:type="dxa" w:w="1037"/>
          </w:tcPr>
          <w:p>
            <w:pPr>
              <w:spacing w:after="20"/>
              <w:jc w:val="right"/>
            </w:pPr>
            <w:r>
              <w:rPr>
                <w:color w:val="1C3A36"/>
                <w:sz w:val="17"/>
              </w:rPr>
              <w:t>3.02</w:t>
            </w:r>
          </w:p>
        </w:tc>
        <w:tc>
          <w:tcPr>
            <w:tcW w:type="dxa" w:w="1037"/>
          </w:tcPr>
          <w:p>
            <w:pPr>
              <w:spacing w:after="20"/>
              <w:jc w:val="right"/>
            </w:pPr>
            <w:r>
              <w:rPr>
                <w:color w:val="1C3A36"/>
                <w:sz w:val="17"/>
              </w:rPr>
              <w:t>3.20</w:t>
            </w:r>
          </w:p>
        </w:tc>
        <w:tc>
          <w:tcPr>
            <w:tcW w:type="dxa" w:w="1037"/>
          </w:tcPr>
          <w:p>
            <w:pPr>
              <w:spacing w:after="20"/>
              <w:jc w:val="right"/>
            </w:pPr>
            <w:r>
              <w:rPr>
                <w:color w:val="1C3A36"/>
                <w:sz w:val="17"/>
              </w:rPr>
              <w:t>3.41</w:t>
            </w:r>
          </w:p>
        </w:tc>
        <w:tc>
          <w:tcPr>
            <w:tcW w:type="dxa" w:w="1037"/>
          </w:tcPr>
          <w:p>
            <w:pPr>
              <w:spacing w:after="20"/>
              <w:jc w:val="right"/>
            </w:pPr>
            <w:r>
              <w:rPr>
                <w:color w:val="1C3A36"/>
                <w:sz w:val="17"/>
              </w:rPr>
              <w:t>3.64</w:t>
            </w:r>
          </w:p>
        </w:tc>
        <w:tc>
          <w:tcPr>
            <w:tcW w:type="dxa" w:w="1037"/>
          </w:tcPr>
          <w:p>
            <w:pPr>
              <w:spacing w:after="20"/>
              <w:jc w:val="right"/>
            </w:pPr>
            <w:r>
              <w:rPr>
                <w:color w:val="1C3A36"/>
                <w:sz w:val="17"/>
              </w:rPr>
              <w:t>3.91</w:t>
            </w:r>
          </w:p>
        </w:tc>
      </w:tr>
    </w:tbl>
    <w:p>
      <w:pPr>
        <w:spacing w:after="40"/>
      </w:pPr>
    </w:p>
    <w:p>
      <w:pPr>
        <w:spacing w:after="80" w:before="180"/>
      </w:pPr>
      <w:r>
        <w:rPr>
          <w:b/>
          <w:i w:val="0"/>
          <w:color w:val="1C3A36"/>
          <w:sz w:val="23"/>
        </w:rPr>
        <w:t>Grid 3 — the FY2026 traffic trough</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408"/>
        <w:gridCol w:w="3408"/>
        <w:gridCol w:w="3408"/>
      </w:tblGrid>
      <w:tr>
        <w:tc>
          <w:tcPr>
            <w:tcW w:type="dxa" w:w="5544"/>
            <w:shd w:val="clear" w:color="auto" w:fill="EAF0EE"/>
          </w:tcPr>
          <w:p>
            <w:pPr>
              <w:spacing w:after="20"/>
            </w:pPr>
            <w:r>
              <w:rPr>
                <w:b/>
                <w:color w:val="1C3A36"/>
                <w:sz w:val="17"/>
              </w:rPr>
              <w:t>FY2026 traffic assumption</w:t>
            </w:r>
          </w:p>
        </w:tc>
        <w:tc>
          <w:tcPr>
            <w:tcW w:type="dxa" w:w="1584"/>
            <w:shd w:val="clear" w:color="auto" w:fill="EAF0EE"/>
          </w:tcPr>
          <w:p>
            <w:pPr>
              <w:spacing w:after="20"/>
            </w:pPr>
            <w:r>
              <w:rPr>
                <w:b/>
                <w:color w:val="1C3A36"/>
                <w:sz w:val="17"/>
              </w:rPr>
              <w:t>DCF fair value</w:t>
            </w:r>
          </w:p>
        </w:tc>
        <w:tc>
          <w:tcPr>
            <w:tcW w:type="dxa" w:w="1584"/>
            <w:shd w:val="clear" w:color="auto" w:fill="EAF0EE"/>
          </w:tcPr>
          <w:p>
            <w:pPr>
              <w:spacing w:after="20"/>
            </w:pPr>
            <w:r>
              <w:rPr>
                <w:b/>
                <w:color w:val="1C3A36"/>
                <w:sz w:val="17"/>
              </w:rPr>
              <w:t>vs our base</w:t>
            </w:r>
          </w:p>
        </w:tc>
      </w:tr>
      <w:tr>
        <w:tc>
          <w:tcPr>
            <w:tcW w:type="dxa" w:w="5544"/>
          </w:tcPr>
          <w:p>
            <w:pPr>
              <w:spacing w:after="20"/>
            </w:pPr>
            <w:r>
              <w:rPr>
                <w:b/>
                <w:color w:val="1C3A36"/>
                <w:sz w:val="17"/>
              </w:rPr>
              <w:t>Q2-26 trips at 75% of Q2-25</w:t>
            </w:r>
          </w:p>
        </w:tc>
        <w:tc>
          <w:tcPr>
            <w:tcW w:type="dxa" w:w="1584"/>
          </w:tcPr>
          <w:p>
            <w:pPr>
              <w:spacing w:after="20"/>
              <w:jc w:val="right"/>
            </w:pPr>
            <w:r>
              <w:rPr>
                <w:color w:val="1C3A36"/>
                <w:sz w:val="17"/>
              </w:rPr>
              <w:t>AED 4.05</w:t>
            </w:r>
          </w:p>
        </w:tc>
        <w:tc>
          <w:tcPr>
            <w:tcW w:type="dxa" w:w="1584"/>
          </w:tcPr>
          <w:p>
            <w:pPr>
              <w:spacing w:after="20"/>
              <w:jc w:val="right"/>
            </w:pPr>
            <w:r>
              <w:rPr>
                <w:color w:val="1C3A36"/>
                <w:sz w:val="17"/>
              </w:rPr>
              <w:t>-9.7%</w:t>
            </w:r>
          </w:p>
        </w:tc>
      </w:tr>
      <w:tr>
        <w:tc>
          <w:tcPr>
            <w:tcW w:type="dxa" w:w="5544"/>
          </w:tcPr>
          <w:p>
            <w:pPr>
              <w:spacing w:after="20"/>
            </w:pPr>
            <w:r>
              <w:rPr>
                <w:b/>
                <w:color w:val="1C3A36"/>
                <w:sz w:val="17"/>
              </w:rPr>
              <w:t>Q2-26 trips at 80% of Q2-25</w:t>
            </w:r>
          </w:p>
        </w:tc>
        <w:tc>
          <w:tcPr>
            <w:tcW w:type="dxa" w:w="1584"/>
          </w:tcPr>
          <w:p>
            <w:pPr>
              <w:spacing w:after="20"/>
              <w:jc w:val="right"/>
            </w:pPr>
            <w:r>
              <w:rPr>
                <w:color w:val="1C3A36"/>
                <w:sz w:val="17"/>
              </w:rPr>
              <w:t>AED 4.24</w:t>
            </w:r>
          </w:p>
        </w:tc>
        <w:tc>
          <w:tcPr>
            <w:tcW w:type="dxa" w:w="1584"/>
          </w:tcPr>
          <w:p>
            <w:pPr>
              <w:spacing w:after="20"/>
              <w:jc w:val="right"/>
            </w:pPr>
            <w:r>
              <w:rPr>
                <w:color w:val="1C3A36"/>
                <w:sz w:val="17"/>
              </w:rPr>
              <w:t>-5.6%</w:t>
            </w:r>
          </w:p>
        </w:tc>
      </w:tr>
      <w:tr>
        <w:tc>
          <w:tcPr>
            <w:tcW w:type="dxa" w:w="5544"/>
          </w:tcPr>
          <w:p>
            <w:pPr>
              <w:spacing w:after="20"/>
            </w:pPr>
            <w:r>
              <w:rPr>
                <w:b/>
                <w:color w:val="1C3A36"/>
                <w:sz w:val="17"/>
              </w:rPr>
              <w:t>Q2-26 trips at 85% of Q2-25</w:t>
            </w:r>
          </w:p>
        </w:tc>
        <w:tc>
          <w:tcPr>
            <w:tcW w:type="dxa" w:w="1584"/>
          </w:tcPr>
          <w:p>
            <w:pPr>
              <w:spacing w:after="20"/>
              <w:jc w:val="right"/>
            </w:pPr>
            <w:r>
              <w:rPr>
                <w:color w:val="1C3A36"/>
                <w:sz w:val="17"/>
              </w:rPr>
              <w:t>AED 4.42</w:t>
            </w:r>
          </w:p>
        </w:tc>
        <w:tc>
          <w:tcPr>
            <w:tcW w:type="dxa" w:w="1584"/>
          </w:tcPr>
          <w:p>
            <w:pPr>
              <w:spacing w:after="20"/>
              <w:jc w:val="right"/>
            </w:pPr>
            <w:r>
              <w:rPr>
                <w:color w:val="1C3A36"/>
                <w:sz w:val="17"/>
              </w:rPr>
              <w:t>-1.6%</w:t>
            </w:r>
          </w:p>
        </w:tc>
      </w:tr>
      <w:tr>
        <w:tc>
          <w:tcPr>
            <w:tcW w:type="dxa" w:w="5544"/>
          </w:tcPr>
          <w:p>
            <w:pPr>
              <w:spacing w:after="20"/>
            </w:pPr>
            <w:r>
              <w:rPr>
                <w:b/>
                <w:color w:val="1C3A36"/>
                <w:sz w:val="17"/>
              </w:rPr>
              <w:t>Q2-26 trips at 90% of Q2-25</w:t>
            </w:r>
          </w:p>
        </w:tc>
        <w:tc>
          <w:tcPr>
            <w:tcW w:type="dxa" w:w="1584"/>
          </w:tcPr>
          <w:p>
            <w:pPr>
              <w:spacing w:after="20"/>
              <w:jc w:val="right"/>
            </w:pPr>
            <w:r>
              <w:rPr>
                <w:color w:val="1C3A36"/>
                <w:sz w:val="17"/>
              </w:rPr>
              <w:t>AED 4.60</w:t>
            </w:r>
          </w:p>
        </w:tc>
        <w:tc>
          <w:tcPr>
            <w:tcW w:type="dxa" w:w="1584"/>
          </w:tcPr>
          <w:p>
            <w:pPr>
              <w:spacing w:after="20"/>
              <w:jc w:val="right"/>
            </w:pPr>
            <w:r>
              <w:rPr>
                <w:color w:val="1C3A36"/>
                <w:sz w:val="17"/>
              </w:rPr>
              <w:t>+2.5%</w:t>
            </w:r>
          </w:p>
        </w:tc>
      </w:tr>
      <w:tr>
        <w:tc>
          <w:tcPr>
            <w:tcW w:type="dxa" w:w="5544"/>
          </w:tcPr>
          <w:p>
            <w:pPr>
              <w:spacing w:after="20"/>
            </w:pPr>
            <w:r>
              <w:rPr>
                <w:b/>
                <w:color w:val="1C3A36"/>
                <w:sz w:val="17"/>
              </w:rPr>
              <w:t>Q2-26 trips at 95% of Q2-25</w:t>
            </w:r>
          </w:p>
        </w:tc>
        <w:tc>
          <w:tcPr>
            <w:tcW w:type="dxa" w:w="1584"/>
          </w:tcPr>
          <w:p>
            <w:pPr>
              <w:spacing w:after="20"/>
              <w:jc w:val="right"/>
            </w:pPr>
            <w:r>
              <w:rPr>
                <w:color w:val="1C3A36"/>
                <w:sz w:val="17"/>
              </w:rPr>
              <w:t>AED 4.78</w:t>
            </w:r>
          </w:p>
        </w:tc>
        <w:tc>
          <w:tcPr>
            <w:tcW w:type="dxa" w:w="1584"/>
          </w:tcPr>
          <w:p>
            <w:pPr>
              <w:spacing w:after="20"/>
              <w:jc w:val="right"/>
            </w:pPr>
            <w:r>
              <w:rPr>
                <w:color w:val="1C3A36"/>
                <w:sz w:val="17"/>
              </w:rPr>
              <w:t>+6.5%</w:t>
            </w:r>
          </w:p>
        </w:tc>
      </w:tr>
    </w:tbl>
    <w:p>
      <w:pPr>
        <w:spacing w:after="40"/>
      </w:pPr>
    </w:p>
    <w:p>
      <w:pPr>
        <w:spacing w:after="120" w:before="0"/>
      </w:pPr>
      <w:r>
        <w:rPr>
          <w:b w:val="0"/>
          <w:i w:val="0"/>
          <w:color w:val="1C3A36"/>
          <w:sz w:val="21"/>
        </w:rPr>
        <w:t>The whole plausible range of the traffic shock — from a 25% Q2 collapse to a 5% dip — moves fair value less than a single 0.10 step in beta does. The war matters to this valuation mostly through the DISCOUNT RATE, not the traffic. Everyone is watching the traffic.</w:t>
      </w:r>
    </w:p>
    <w:p>
      <w:pPr>
        <w:spacing w:after="80" w:before="180"/>
      </w:pPr>
      <w:r>
        <w:rPr>
          <w:b/>
          <w:i w:val="0"/>
          <w:color w:val="1C3A36"/>
          <w:sz w:val="23"/>
        </w:rPr>
        <w:t>Grid 4 — what if the RTA keeps SELLING Salik gates?</w:t>
      </w:r>
    </w:p>
    <w:p>
      <w:pPr>
        <w:spacing w:after="120" w:before="0"/>
      </w:pPr>
      <w:r>
        <w:rPr>
          <w:b w:val="0"/>
          <w:i w:val="0"/>
          <w:color w:val="1C3A36"/>
          <w:sz w:val="21"/>
        </w:rPr>
        <w:t>Our base DCF models ZERO new gates, and §1.6b explains why. But a fact-check of this study made a fair theoretical point: if incremental capital only earns 9.5%, the terminal cannot assume perpetual excess returns. So here is the alternative, priced.</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408"/>
        <w:gridCol w:w="3408"/>
        <w:gridCol w:w="3408"/>
      </w:tblGrid>
      <w:tr>
        <w:tc>
          <w:tcPr>
            <w:tcW w:type="dxa" w:w="5544"/>
            <w:shd w:val="clear" w:color="auto" w:fill="EAF0EE"/>
          </w:tcPr>
          <w:p>
            <w:pPr>
              <w:spacing w:after="20"/>
            </w:pPr>
            <w:r>
              <w:rPr>
                <w:b/>
                <w:color w:val="1C3A36"/>
                <w:sz w:val="17"/>
              </w:rPr>
              <w:t>Scenario</w:t>
            </w:r>
          </w:p>
        </w:tc>
        <w:tc>
          <w:tcPr>
            <w:tcW w:type="dxa" w:w="1584"/>
            <w:shd w:val="clear" w:color="auto" w:fill="EAF0EE"/>
          </w:tcPr>
          <w:p>
            <w:pPr>
              <w:spacing w:after="20"/>
            </w:pPr>
            <w:r>
              <w:rPr>
                <w:b/>
                <w:color w:val="1C3A36"/>
                <w:sz w:val="17"/>
              </w:rPr>
              <w:t>Fair value</w:t>
            </w:r>
          </w:p>
        </w:tc>
        <w:tc>
          <w:tcPr>
            <w:tcW w:type="dxa" w:w="1584"/>
            <w:shd w:val="clear" w:color="auto" w:fill="EAF0EE"/>
          </w:tcPr>
          <w:p>
            <w:pPr>
              <w:spacing w:after="20"/>
            </w:pPr>
            <w:r>
              <w:rPr>
                <w:b/>
                <w:color w:val="1C3A36"/>
                <w:sz w:val="17"/>
              </w:rPr>
              <w:t>vs our base</w:t>
            </w:r>
          </w:p>
        </w:tc>
      </w:tr>
      <w:tr>
        <w:tc>
          <w:tcPr>
            <w:tcW w:type="dxa" w:w="5544"/>
          </w:tcPr>
          <w:p>
            <w:pPr>
              <w:spacing w:after="20"/>
            </w:pPr>
            <w:r>
              <w:rPr>
                <w:b/>
                <w:color w:val="1C3A36"/>
                <w:sz w:val="17"/>
              </w:rPr>
              <w:t>a new gate every 3 yrs @ 9.5% ROIC</w:t>
            </w:r>
          </w:p>
        </w:tc>
        <w:tc>
          <w:tcPr>
            <w:tcW w:type="dxa" w:w="1584"/>
          </w:tcPr>
          <w:p>
            <w:pPr>
              <w:spacing w:after="20"/>
              <w:jc w:val="right"/>
            </w:pPr>
            <w:r>
              <w:rPr>
                <w:color w:val="1C3A36"/>
                <w:sz w:val="17"/>
              </w:rPr>
              <w:t>AED 3.59</w:t>
            </w:r>
          </w:p>
        </w:tc>
        <w:tc>
          <w:tcPr>
            <w:tcW w:type="dxa" w:w="1584"/>
          </w:tcPr>
          <w:p>
            <w:pPr>
              <w:spacing w:after="20"/>
              <w:jc w:val="right"/>
            </w:pPr>
            <w:r>
              <w:rPr>
                <w:color w:val="1C3A36"/>
                <w:sz w:val="17"/>
              </w:rPr>
              <w:t>-20.1%</w:t>
            </w:r>
          </w:p>
        </w:tc>
      </w:tr>
      <w:tr>
        <w:tc>
          <w:tcPr>
            <w:tcW w:type="dxa" w:w="5544"/>
          </w:tcPr>
          <w:p>
            <w:pPr>
              <w:spacing w:after="20"/>
            </w:pPr>
            <w:r>
              <w:rPr>
                <w:b/>
                <w:color w:val="1C3A36"/>
                <w:sz w:val="17"/>
              </w:rPr>
              <w:t>a new gate every 5 yrs @ 9.5% ROIC</w:t>
            </w:r>
          </w:p>
        </w:tc>
        <w:tc>
          <w:tcPr>
            <w:tcW w:type="dxa" w:w="1584"/>
          </w:tcPr>
          <w:p>
            <w:pPr>
              <w:spacing w:after="20"/>
              <w:jc w:val="right"/>
            </w:pPr>
            <w:r>
              <w:rPr>
                <w:color w:val="1C3A36"/>
                <w:sz w:val="17"/>
              </w:rPr>
              <w:t>AED 3.95</w:t>
            </w:r>
          </w:p>
        </w:tc>
        <w:tc>
          <w:tcPr>
            <w:tcW w:type="dxa" w:w="1584"/>
          </w:tcPr>
          <w:p>
            <w:pPr>
              <w:spacing w:after="20"/>
              <w:jc w:val="right"/>
            </w:pPr>
            <w:r>
              <w:rPr>
                <w:color w:val="1C3A36"/>
                <w:sz w:val="17"/>
              </w:rPr>
              <w:t>-12.1%</w:t>
            </w:r>
          </w:p>
        </w:tc>
      </w:tr>
      <w:tr>
        <w:tc>
          <w:tcPr>
            <w:tcW w:type="dxa" w:w="5544"/>
          </w:tcPr>
          <w:p>
            <w:pPr>
              <w:spacing w:after="20"/>
            </w:pPr>
            <w:r>
              <w:rPr>
                <w:b/>
                <w:color w:val="1C3A36"/>
                <w:sz w:val="17"/>
              </w:rPr>
              <w:t>a new gate every 8 yrs @ 9.5% ROIC</w:t>
            </w:r>
          </w:p>
        </w:tc>
        <w:tc>
          <w:tcPr>
            <w:tcW w:type="dxa" w:w="1584"/>
          </w:tcPr>
          <w:p>
            <w:pPr>
              <w:spacing w:after="20"/>
              <w:jc w:val="right"/>
            </w:pPr>
            <w:r>
              <w:rPr>
                <w:color w:val="1C3A36"/>
                <w:sz w:val="17"/>
              </w:rPr>
              <w:t>AED 4.15</w:t>
            </w:r>
          </w:p>
        </w:tc>
        <w:tc>
          <w:tcPr>
            <w:tcW w:type="dxa" w:w="1584"/>
          </w:tcPr>
          <w:p>
            <w:pPr>
              <w:spacing w:after="20"/>
              <w:jc w:val="right"/>
            </w:pPr>
            <w:r>
              <w:rPr>
                <w:color w:val="1C3A36"/>
                <w:sz w:val="17"/>
              </w:rPr>
              <w:t>-7.5%</w:t>
            </w:r>
          </w:p>
        </w:tc>
      </w:tr>
      <w:tr>
        <w:tc>
          <w:tcPr>
            <w:tcW w:type="dxa" w:w="5544"/>
            <w:shd w:val="clear" w:color="auto" w:fill="F6F1E6"/>
          </w:tcPr>
          <w:p>
            <w:pPr>
              <w:spacing w:after="20"/>
            </w:pPr>
            <w:r>
              <w:rPr>
                <w:b/>
                <w:color w:val="1C3A36"/>
                <w:sz w:val="17"/>
              </w:rPr>
              <w:t>NO new gates (our base case)</w:t>
            </w:r>
          </w:p>
        </w:tc>
        <w:tc>
          <w:tcPr>
            <w:tcW w:type="dxa" w:w="1584"/>
            <w:shd w:val="clear" w:color="auto" w:fill="F6F1E6"/>
          </w:tcPr>
          <w:p>
            <w:pPr>
              <w:spacing w:after="20"/>
              <w:jc w:val="right"/>
            </w:pPr>
            <w:r>
              <w:rPr>
                <w:b/>
                <w:color w:val="1C3A36"/>
                <w:sz w:val="17"/>
              </w:rPr>
              <w:t>AED 4.49</w:t>
            </w:r>
          </w:p>
        </w:tc>
        <w:tc>
          <w:tcPr>
            <w:tcW w:type="dxa" w:w="1584"/>
            <w:shd w:val="clear" w:color="auto" w:fill="F6F1E6"/>
          </w:tcPr>
          <w:p>
            <w:pPr>
              <w:spacing w:after="20"/>
              <w:jc w:val="right"/>
            </w:pPr>
            <w:r>
              <w:rPr>
                <w:b/>
                <w:color w:val="1C3A36"/>
                <w:sz w:val="17"/>
              </w:rPr>
              <w:t>—</w:t>
            </w:r>
          </w:p>
        </w:tc>
      </w:tr>
    </w:tbl>
    <w:p>
      <w:pPr>
        <w:spacing w:after="40"/>
      </w:pPr>
    </w:p>
    <w:p>
      <w:pPr>
        <w:spacing w:after="120" w:before="0"/>
      </w:pPr>
      <w:r>
        <w:rPr>
          <w:b w:val="0"/>
          <w:i/>
          <w:color w:val="6E7B77"/>
          <w:sz w:val="18"/>
        </w:rPr>
        <w:t>A gate purchase every five years at a 9.5% return costs roughly 12% of the equity value. That is the price of "growth" when the vendor is also the controlling shareholder — and it is why §3 prices a new-gate announcement as a NEGATIVE discrete event, which is the opposite of how the market would normally read it.</w:t>
      </w:r>
    </w:p>
    <w:p>
      <w:pPr>
        <w:spacing w:after="80" w:before="180"/>
      </w:pPr>
      <w:r>
        <w:rPr>
          <w:b/>
          <w:i w:val="0"/>
          <w:color w:val="1C3A36"/>
          <w:sz w:val="23"/>
        </w:rPr>
        <w:t>Grid 5 — the working-capital float (an objection, quantified)</w:t>
      </w:r>
    </w:p>
    <w:p>
      <w:pPr>
        <w:spacing w:after="120" w:before="0"/>
      </w:pPr>
      <w:r>
        <w:rPr>
          <w:b w:val="0"/>
          <w:i w:val="0"/>
          <w:color w:val="1C3A36"/>
          <w:sz w:val="21"/>
        </w:rPr>
        <w:t>It was put to us that setting the change in working capital to zero during a revenue contraction is optimistic, not conservative, because a shrinking prepaid e-wallet float is a USE of cash. The MECHANISM is right and we accept it. The MAGNITUDE is not:</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45"/>
        <w:gridCol w:w="2045"/>
        <w:gridCol w:w="2045"/>
        <w:gridCol w:w="2045"/>
        <w:gridCol w:w="2045"/>
      </w:tblGrid>
      <w:tr>
        <w:tc>
          <w:tcPr>
            <w:tcW w:type="dxa" w:w="2678"/>
            <w:shd w:val="clear" w:color="auto" w:fill="EAF0EE"/>
          </w:tcPr>
          <w:p>
            <w:pPr>
              <w:spacing w:after="20"/>
            </w:pPr>
            <w:r>
              <w:rPr>
                <w:b/>
                <w:color w:val="1C3A36"/>
                <w:sz w:val="17"/>
              </w:rPr>
              <w:t>If FY2026 revenue is…</w:t>
            </w:r>
          </w:p>
        </w:tc>
        <w:tc>
          <w:tcPr>
            <w:tcW w:type="dxa" w:w="2160"/>
            <w:shd w:val="clear" w:color="auto" w:fill="EAF0EE"/>
          </w:tcPr>
          <w:p>
            <w:pPr>
              <w:spacing w:after="20"/>
            </w:pPr>
            <w:r>
              <w:rPr>
                <w:b/>
                <w:color w:val="1C3A36"/>
                <w:sz w:val="17"/>
              </w:rPr>
              <w:t>NWC (scaled to revenue)</w:t>
            </w:r>
          </w:p>
        </w:tc>
        <w:tc>
          <w:tcPr>
            <w:tcW w:type="dxa" w:w="1901"/>
            <w:shd w:val="clear" w:color="auto" w:fill="EAF0EE"/>
          </w:tcPr>
          <w:p>
            <w:pPr>
              <w:spacing w:after="20"/>
            </w:pPr>
            <w:r>
              <w:rPr>
                <w:b/>
                <w:color w:val="1C3A36"/>
                <w:sz w:val="17"/>
              </w:rPr>
              <w:t>ΔWC — cash use</w:t>
            </w:r>
          </w:p>
        </w:tc>
        <w:tc>
          <w:tcPr>
            <w:tcW w:type="dxa" w:w="1670"/>
            <w:shd w:val="clear" w:color="auto" w:fill="EAF0EE"/>
          </w:tcPr>
          <w:p>
            <w:pPr>
              <w:spacing w:after="20"/>
            </w:pPr>
            <w:r>
              <w:rPr>
                <w:b/>
                <w:color w:val="1C3A36"/>
                <w:sz w:val="17"/>
              </w:rPr>
              <w:t>Fair value</w:t>
            </w:r>
          </w:p>
        </w:tc>
        <w:tc>
          <w:tcPr>
            <w:tcW w:type="dxa" w:w="1670"/>
            <w:shd w:val="clear" w:color="auto" w:fill="EAF0EE"/>
          </w:tcPr>
          <w:p>
            <w:pPr>
              <w:spacing w:after="20"/>
            </w:pPr>
            <w:r>
              <w:rPr>
                <w:b/>
                <w:color w:val="1C3A36"/>
                <w:sz w:val="17"/>
              </w:rPr>
              <w:t>vs base</w:t>
            </w:r>
          </w:p>
        </w:tc>
      </w:tr>
      <w:tr>
        <w:tc>
          <w:tcPr>
            <w:tcW w:type="dxa" w:w="2678"/>
          </w:tcPr>
          <w:p>
            <w:pPr>
              <w:spacing w:after="20"/>
            </w:pPr>
            <w:r>
              <w:rPr>
                <w:b/>
                <w:color w:val="1C3A36"/>
                <w:sz w:val="17"/>
              </w:rPr>
              <w:t>revenue as modelled (-3.6%)</w:t>
            </w:r>
          </w:p>
        </w:tc>
        <w:tc>
          <w:tcPr>
            <w:tcW w:type="dxa" w:w="2160"/>
          </w:tcPr>
          <w:p>
            <w:pPr>
              <w:spacing w:after="20"/>
              <w:jc w:val="right"/>
            </w:pPr>
            <w:r>
              <w:rPr>
                <w:color w:val="1C3A36"/>
                <w:sz w:val="17"/>
              </w:rPr>
              <w:t>AED -649 mn</w:t>
            </w:r>
          </w:p>
        </w:tc>
        <w:tc>
          <w:tcPr>
            <w:tcW w:type="dxa" w:w="1901"/>
          </w:tcPr>
          <w:p>
            <w:pPr>
              <w:spacing w:after="20"/>
              <w:jc w:val="right"/>
            </w:pPr>
            <w:r>
              <w:rPr>
                <w:color w:val="1C3A36"/>
                <w:sz w:val="17"/>
              </w:rPr>
              <w:t>AED +25 mn</w:t>
            </w:r>
          </w:p>
        </w:tc>
        <w:tc>
          <w:tcPr>
            <w:tcW w:type="dxa" w:w="1670"/>
          </w:tcPr>
          <w:p>
            <w:pPr>
              <w:spacing w:after="20"/>
              <w:jc w:val="right"/>
            </w:pPr>
            <w:r>
              <w:rPr>
                <w:color w:val="1C3A36"/>
                <w:sz w:val="17"/>
              </w:rPr>
              <w:t>AED 4.49</w:t>
            </w:r>
          </w:p>
        </w:tc>
        <w:tc>
          <w:tcPr>
            <w:tcW w:type="dxa" w:w="1670"/>
          </w:tcPr>
          <w:p>
            <w:pPr>
              <w:spacing w:after="20"/>
              <w:jc w:val="right"/>
            </w:pPr>
            <w:r>
              <w:rPr>
                <w:color w:val="1C3A36"/>
                <w:sz w:val="17"/>
              </w:rPr>
              <w:t>-0.07%</w:t>
            </w:r>
          </w:p>
        </w:tc>
      </w:tr>
      <w:tr>
        <w:tc>
          <w:tcPr>
            <w:tcW w:type="dxa" w:w="2678"/>
          </w:tcPr>
          <w:p>
            <w:pPr>
              <w:spacing w:after="20"/>
            </w:pPr>
            <w:r>
              <w:rPr>
                <w:b/>
                <w:color w:val="1C3A36"/>
                <w:sz w:val="17"/>
              </w:rPr>
              <w:t>revenue -10%</w:t>
            </w:r>
          </w:p>
        </w:tc>
        <w:tc>
          <w:tcPr>
            <w:tcW w:type="dxa" w:w="2160"/>
          </w:tcPr>
          <w:p>
            <w:pPr>
              <w:spacing w:after="20"/>
              <w:jc w:val="right"/>
            </w:pPr>
            <w:r>
              <w:rPr>
                <w:color w:val="1C3A36"/>
                <w:sz w:val="17"/>
              </w:rPr>
              <w:t>AED -584 mn</w:t>
            </w:r>
          </w:p>
        </w:tc>
        <w:tc>
          <w:tcPr>
            <w:tcW w:type="dxa" w:w="1901"/>
          </w:tcPr>
          <w:p>
            <w:pPr>
              <w:spacing w:after="20"/>
              <w:jc w:val="right"/>
            </w:pPr>
            <w:r>
              <w:rPr>
                <w:color w:val="1C3A36"/>
                <w:sz w:val="17"/>
              </w:rPr>
              <w:t>AED +90 mn</w:t>
            </w:r>
          </w:p>
        </w:tc>
        <w:tc>
          <w:tcPr>
            <w:tcW w:type="dxa" w:w="1670"/>
          </w:tcPr>
          <w:p>
            <w:pPr>
              <w:spacing w:after="20"/>
              <w:jc w:val="right"/>
            </w:pPr>
            <w:r>
              <w:rPr>
                <w:color w:val="1C3A36"/>
                <w:sz w:val="17"/>
              </w:rPr>
              <w:t>AED 4.48</w:t>
            </w:r>
          </w:p>
        </w:tc>
        <w:tc>
          <w:tcPr>
            <w:tcW w:type="dxa" w:w="1670"/>
          </w:tcPr>
          <w:p>
            <w:pPr>
              <w:spacing w:after="20"/>
              <w:jc w:val="right"/>
            </w:pPr>
            <w:r>
              <w:rPr>
                <w:color w:val="1C3A36"/>
                <w:sz w:val="17"/>
              </w:rPr>
              <w:t>-0.25%</w:t>
            </w:r>
          </w:p>
        </w:tc>
      </w:tr>
      <w:tr>
        <w:tc>
          <w:tcPr>
            <w:tcW w:type="dxa" w:w="2678"/>
          </w:tcPr>
          <w:p>
            <w:pPr>
              <w:spacing w:after="20"/>
            </w:pPr>
            <w:r>
              <w:rPr>
                <w:b/>
                <w:color w:val="1C3A36"/>
                <w:sz w:val="17"/>
              </w:rPr>
              <w:t>revenue -20%</w:t>
            </w:r>
          </w:p>
        </w:tc>
        <w:tc>
          <w:tcPr>
            <w:tcW w:type="dxa" w:w="2160"/>
          </w:tcPr>
          <w:p>
            <w:pPr>
              <w:spacing w:after="20"/>
              <w:jc w:val="right"/>
            </w:pPr>
            <w:r>
              <w:rPr>
                <w:color w:val="1C3A36"/>
                <w:sz w:val="17"/>
              </w:rPr>
              <w:t>AED -519 mn</w:t>
            </w:r>
          </w:p>
        </w:tc>
        <w:tc>
          <w:tcPr>
            <w:tcW w:type="dxa" w:w="1901"/>
          </w:tcPr>
          <w:p>
            <w:pPr>
              <w:spacing w:after="20"/>
              <w:jc w:val="right"/>
            </w:pPr>
            <w:r>
              <w:rPr>
                <w:color w:val="1C3A36"/>
                <w:sz w:val="17"/>
              </w:rPr>
              <w:t>AED +155 mn</w:t>
            </w:r>
          </w:p>
        </w:tc>
        <w:tc>
          <w:tcPr>
            <w:tcW w:type="dxa" w:w="1670"/>
          </w:tcPr>
          <w:p>
            <w:pPr>
              <w:spacing w:after="20"/>
              <w:jc w:val="right"/>
            </w:pPr>
            <w:r>
              <w:rPr>
                <w:color w:val="1C3A36"/>
                <w:sz w:val="17"/>
              </w:rPr>
              <w:t>AED 4.47</w:t>
            </w:r>
          </w:p>
        </w:tc>
        <w:tc>
          <w:tcPr>
            <w:tcW w:type="dxa" w:w="1670"/>
          </w:tcPr>
          <w:p>
            <w:pPr>
              <w:spacing w:after="20"/>
              <w:jc w:val="right"/>
            </w:pPr>
            <w:r>
              <w:rPr>
                <w:color w:val="1C3A36"/>
                <w:sz w:val="17"/>
              </w:rPr>
              <w:t>-0.43%</w:t>
            </w:r>
          </w:p>
        </w:tc>
      </w:tr>
    </w:tbl>
    <w:p>
      <w:pPr>
        <w:spacing w:after="40"/>
      </w:pPr>
    </w:p>
    <w:p>
      <w:pPr>
        <w:spacing w:after="120" w:before="0"/>
      </w:pPr>
      <w:r>
        <w:rPr>
          <w:b w:val="0"/>
          <w:i/>
          <w:color w:val="6E7B77"/>
          <w:sz w:val="18"/>
        </w:rPr>
        <w:t>Even a 20% revenue collapse moves fair value by less than half a per cent. And the one contraction quarter we actually have CONTRADICTS the mechanism: in Q1-2026 revenue fell 3.0% and the float DEEPENED by AED 172 mn. We keep ΔWC at zero in the base case, we show the sensitivity, and we let the reader decide.</w:t>
      </w:r>
    </w:p>
    <w:p>
      <w:pPr>
        <w:spacing w:after="80" w:before="180"/>
      </w:pPr>
      <w:r>
        <w:rPr>
          <w:b/>
          <w:i w:val="0"/>
          <w:color w:val="1C3A36"/>
          <w:sz w:val="23"/>
        </w:rPr>
        <w:t>The concession cushion — the clause nobody prices</w:t>
      </w:r>
    </w:p>
    <w:p>
      <w:pPr>
        <w:spacing w:after="120" w:before="0"/>
      </w:pPr>
      <w:r>
        <w:rPr>
          <w:b w:val="0"/>
          <w:i w:val="0"/>
          <w:color w:val="1C3A36"/>
          <w:sz w:val="21"/>
        </w:rPr>
        <w:t>Salik may recommend an annual toll increase under an inflation-linked formula. The RTA reviews it; the Executive Council decides. If the Council REJECTS the increase, the RTA compensates Salik by CUTTING the concession fee — down to a contractual floor of 15%. If a higher-than-standard increase IS approved, the fee rises instead. It has already fired: 25.0% → 22.5%, effective 1 April 2024.</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112"/>
        <w:gridCol w:w="5112"/>
      </w:tblGrid>
      <w:tr>
        <w:tc>
          <w:tcPr>
            <w:tcW w:type="dxa" w:w="6192"/>
            <w:shd w:val="clear" w:color="auto" w:fill="EAF0EE"/>
          </w:tcPr>
          <w:p>
            <w:pPr>
              <w:spacing w:after="20"/>
            </w:pPr>
            <w:r>
              <w:rPr>
                <w:b/>
                <w:color w:val="1C3A36"/>
                <w:sz w:val="17"/>
              </w:rPr>
              <w:t>The cushion, in real money</w:t>
            </w:r>
          </w:p>
        </w:tc>
        <w:tc>
          <w:tcPr>
            <w:tcW w:type="dxa" w:w="3888"/>
            <w:shd w:val="clear" w:color="auto" w:fill="EAF0EE"/>
          </w:tcPr>
          <w:p>
            <w:pPr>
              <w:spacing w:after="20"/>
            </w:pPr>
            <w:r>
              <w:rPr>
                <w:b/>
                <w:color w:val="1C3A36"/>
                <w:sz w:val="17"/>
              </w:rPr>
              <w:t>Value</w:t>
            </w:r>
          </w:p>
        </w:tc>
      </w:tr>
      <w:tr>
        <w:tc>
          <w:tcPr>
            <w:tcW w:type="dxa" w:w="6192"/>
          </w:tcPr>
          <w:p>
            <w:pPr>
              <w:spacing w:after="20"/>
            </w:pPr>
            <w:r>
              <w:rPr>
                <w:b/>
                <w:color w:val="1C3A36"/>
                <w:sz w:val="17"/>
              </w:rPr>
              <w:t>Concession fee today</w:t>
            </w:r>
          </w:p>
        </w:tc>
        <w:tc>
          <w:tcPr>
            <w:tcW w:type="dxa" w:w="3888"/>
          </w:tcPr>
          <w:p>
            <w:pPr>
              <w:spacing w:after="20"/>
              <w:jc w:val="right"/>
            </w:pPr>
            <w:r>
              <w:rPr>
                <w:color w:val="1C3A36"/>
                <w:sz w:val="17"/>
              </w:rPr>
              <w:t>22.5%</w:t>
            </w:r>
          </w:p>
        </w:tc>
      </w:tr>
      <w:tr>
        <w:tc>
          <w:tcPr>
            <w:tcW w:type="dxa" w:w="6192"/>
          </w:tcPr>
          <w:p>
            <w:pPr>
              <w:spacing w:after="20"/>
            </w:pPr>
            <w:r>
              <w:rPr>
                <w:b/>
                <w:color w:val="1C3A36"/>
                <w:sz w:val="17"/>
              </w:rPr>
              <w:t>Contractual FLOOR</w:t>
            </w:r>
          </w:p>
        </w:tc>
        <w:tc>
          <w:tcPr>
            <w:tcW w:type="dxa" w:w="3888"/>
          </w:tcPr>
          <w:p>
            <w:pPr>
              <w:spacing w:after="20"/>
              <w:jc w:val="right"/>
            </w:pPr>
            <w:r>
              <w:rPr>
                <w:color w:val="1C3A36"/>
                <w:sz w:val="17"/>
              </w:rPr>
              <w:t>15.0%</w:t>
            </w:r>
          </w:p>
        </w:tc>
      </w:tr>
      <w:tr>
        <w:tc>
          <w:tcPr>
            <w:tcW w:type="dxa" w:w="6192"/>
          </w:tcPr>
          <w:p>
            <w:pPr>
              <w:spacing w:after="20"/>
            </w:pPr>
            <w:r>
              <w:rPr>
                <w:b/>
                <w:color w:val="1C3A36"/>
                <w:sz w:val="17"/>
              </w:rPr>
              <w:t>On FY2026E toll revenue of AED 2,555 mn</w:t>
            </w:r>
          </w:p>
        </w:tc>
        <w:tc>
          <w:tcPr>
            <w:tcW w:type="dxa" w:w="3888"/>
          </w:tcPr>
          <w:p>
            <w:pPr>
              <w:spacing w:after="20"/>
              <w:jc w:val="right"/>
            </w:pPr>
            <w:r>
              <w:rPr>
                <w:color w:val="1C3A36"/>
                <w:sz w:val="17"/>
              </w:rPr>
              <w:t>AED 192 mn per year</w:t>
            </w:r>
          </w:p>
        </w:tc>
      </w:tr>
      <w:tr>
        <w:tc>
          <w:tcPr>
            <w:tcW w:type="dxa" w:w="6192"/>
          </w:tcPr>
          <w:p>
            <w:pPr>
              <w:spacing w:after="20"/>
            </w:pPr>
            <w:r>
              <w:rPr>
                <w:b/>
                <w:color w:val="1C3A36"/>
                <w:sz w:val="17"/>
              </w:rPr>
              <w:t>As a share of FY2026E EBITDA</w:t>
            </w:r>
          </w:p>
        </w:tc>
        <w:tc>
          <w:tcPr>
            <w:tcW w:type="dxa" w:w="3888"/>
          </w:tcPr>
          <w:p>
            <w:pPr>
              <w:spacing w:after="20"/>
              <w:jc w:val="right"/>
            </w:pPr>
            <w:r>
              <w:rPr>
                <w:color w:val="1C3A36"/>
                <w:sz w:val="17"/>
              </w:rPr>
              <w:t>9.2%</w:t>
            </w:r>
          </w:p>
        </w:tc>
      </w:tr>
    </w:tbl>
    <w:p>
      <w:pPr>
        <w:spacing w:after="40"/>
      </w:pPr>
    </w:p>
    <w:p>
      <w:pPr>
        <w:spacing w:after="120" w:before="0"/>
      </w:pPr>
      <w:r>
        <w:rPr>
          <w:b w:val="0"/>
          <w:i w:val="0"/>
          <w:color w:val="1C3A36"/>
          <w:sz w:val="21"/>
        </w:rPr>
        <w:t>It was put to us that this is “an accounting hedge, not a liquidity hedge” — that it protects the margin percentage but not absolute cash. That is wrong, and it matters. A fee cut from 22.5% to 15% of toll revenue is AED 192 mn a year of REAL CASH that Salik does not hand over. It is precisely a liquidity hedge, and given §1.2a it is the most likely source of relief if the RTA instalments squeeze the dividend. The valid kernel in the objection is that the cushion SCALES with toll revenue, so in a volume collapse the absolute cushion shrinks too. True — and worth one sentence, which this is.</w:t>
      </w:r>
    </w:p>
    <w:p>
      <w:r>
        <w:br w:type="page"/>
      </w:r>
    </w:p>
    <w:p>
      <w:pPr>
        <w:spacing w:after="100" w:before="260"/>
      </w:pPr>
      <w:r>
        <w:rPr>
          <w:b/>
          <w:i w:val="0"/>
          <w:color w:val="1C3A36"/>
          <w:sz w:val="30"/>
        </w:rPr>
        <w:t>2 Technical and price structure</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408"/>
        <w:gridCol w:w="3408"/>
        <w:gridCol w:w="3408"/>
      </w:tblGrid>
      <w:tr>
        <w:tc>
          <w:tcPr>
            <w:tcW w:type="dxa" w:w="2074"/>
            <w:shd w:val="clear" w:color="auto" w:fill="EAF0EE"/>
          </w:tcPr>
          <w:p>
            <w:pPr>
              <w:spacing w:after="20"/>
            </w:pPr>
            <w:r>
              <w:rPr>
                <w:b/>
                <w:color w:val="1C3A36"/>
                <w:sz w:val="16"/>
              </w:rPr>
              <w:t>Indicator</w:t>
            </w:r>
          </w:p>
        </w:tc>
        <w:tc>
          <w:tcPr>
            <w:tcW w:type="dxa" w:w="2966"/>
            <w:shd w:val="clear" w:color="auto" w:fill="EAF0EE"/>
          </w:tcPr>
          <w:p>
            <w:pPr>
              <w:spacing w:after="20"/>
            </w:pPr>
            <w:r>
              <w:rPr>
                <w:b/>
                <w:color w:val="1C3A36"/>
                <w:sz w:val="16"/>
              </w:rPr>
              <w:t>Reading</w:t>
            </w:r>
          </w:p>
        </w:tc>
        <w:tc>
          <w:tcPr>
            <w:tcW w:type="dxa" w:w="5184"/>
            <w:shd w:val="clear" w:color="auto" w:fill="EAF0EE"/>
          </w:tcPr>
          <w:p>
            <w:pPr>
              <w:spacing w:after="20"/>
            </w:pPr>
            <w:r>
              <w:rPr>
                <w:b/>
                <w:color w:val="1C3A36"/>
                <w:sz w:val="16"/>
              </w:rPr>
              <w:t>Interpretation</w:t>
            </w:r>
          </w:p>
        </w:tc>
      </w:tr>
      <w:tr>
        <w:tc>
          <w:tcPr>
            <w:tcW w:type="dxa" w:w="2074"/>
          </w:tcPr>
          <w:p>
            <w:pPr>
              <w:spacing w:after="20"/>
            </w:pPr>
            <w:r>
              <w:rPr>
                <w:b/>
                <w:color w:val="1C3A36"/>
                <w:sz w:val="16"/>
              </w:rPr>
              <w:t>Last close</w:t>
            </w:r>
          </w:p>
        </w:tc>
        <w:tc>
          <w:tcPr>
            <w:tcW w:type="dxa" w:w="2966"/>
          </w:tcPr>
          <w:p>
            <w:pPr>
              <w:spacing w:after="20"/>
            </w:pPr>
            <w:r>
              <w:rPr>
                <w:color w:val="1C3A36"/>
                <w:sz w:val="16"/>
              </w:rPr>
              <w:t>AED 5.70</w:t>
            </w:r>
          </w:p>
        </w:tc>
        <w:tc>
          <w:tcPr>
            <w:tcW w:type="dxa" w:w="5184"/>
          </w:tcPr>
          <w:p>
            <w:pPr>
              <w:spacing w:after="20"/>
            </w:pPr>
            <w:r>
              <w:rPr>
                <w:color w:val="1C3A36"/>
                <w:sz w:val="16"/>
              </w:rPr>
              <w:t>—</w:t>
            </w:r>
          </w:p>
        </w:tc>
      </w:tr>
      <w:tr>
        <w:tc>
          <w:tcPr>
            <w:tcW w:type="dxa" w:w="2074"/>
          </w:tcPr>
          <w:p>
            <w:pPr>
              <w:spacing w:after="20"/>
            </w:pPr>
            <w:r>
              <w:rPr>
                <w:b/>
                <w:color w:val="1C3A36"/>
                <w:sz w:val="16"/>
              </w:rPr>
              <w:t>SMA 20 / 50 / 100 / 200</w:t>
            </w:r>
          </w:p>
        </w:tc>
        <w:tc>
          <w:tcPr>
            <w:tcW w:type="dxa" w:w="2966"/>
          </w:tcPr>
          <w:p>
            <w:pPr>
              <w:spacing w:after="20"/>
            </w:pPr>
            <w:r>
              <w:rPr>
                <w:color w:val="1C3A36"/>
                <w:sz w:val="16"/>
              </w:rPr>
              <w:t>AED 5.87 / 5.72 / 5.74 / 5.96</w:t>
            </w:r>
          </w:p>
        </w:tc>
        <w:tc>
          <w:tcPr>
            <w:tcW w:type="dxa" w:w="5184"/>
          </w:tcPr>
          <w:p>
            <w:pPr>
              <w:spacing w:after="20"/>
            </w:pPr>
            <w:r>
              <w:rPr>
                <w:color w:val="1C3A36"/>
                <w:sz w:val="16"/>
              </w:rPr>
              <w:t>Price sits below EVERY moving average. -4.4% below the 200-day — the stock broke down in the March selloff and has not reclaimed it.</w:t>
            </w:r>
          </w:p>
        </w:tc>
      </w:tr>
      <w:tr>
        <w:tc>
          <w:tcPr>
            <w:tcW w:type="dxa" w:w="2074"/>
          </w:tcPr>
          <w:p>
            <w:pPr>
              <w:spacing w:after="20"/>
            </w:pPr>
            <w:r>
              <w:rPr>
                <w:b/>
                <w:color w:val="1C3A36"/>
                <w:sz w:val="16"/>
              </w:rPr>
              <w:t>RSI (14)</w:t>
            </w:r>
          </w:p>
        </w:tc>
        <w:tc>
          <w:tcPr>
            <w:tcW w:type="dxa" w:w="2966"/>
          </w:tcPr>
          <w:p>
            <w:pPr>
              <w:spacing w:after="20"/>
            </w:pPr>
            <w:r>
              <w:rPr>
                <w:color w:val="1C3A36"/>
                <w:sz w:val="16"/>
              </w:rPr>
              <w:t>46.3</w:t>
            </w:r>
          </w:p>
        </w:tc>
        <w:tc>
          <w:tcPr>
            <w:tcW w:type="dxa" w:w="5184"/>
          </w:tcPr>
          <w:p>
            <w:pPr>
              <w:spacing w:after="20"/>
            </w:pPr>
            <w:r>
              <w:rPr>
                <w:color w:val="1C3A36"/>
                <w:sz w:val="16"/>
              </w:rPr>
              <w:t>Neutral. Neither oversold nor overbought. No bounce signal.</w:t>
            </w:r>
          </w:p>
        </w:tc>
      </w:tr>
      <w:tr>
        <w:tc>
          <w:tcPr>
            <w:tcW w:type="dxa" w:w="2074"/>
          </w:tcPr>
          <w:p>
            <w:pPr>
              <w:spacing w:after="20"/>
            </w:pPr>
            <w:r>
              <w:rPr>
                <w:b/>
                <w:color w:val="1C3A36"/>
                <w:sz w:val="16"/>
              </w:rPr>
              <w:t>MACD (12, 26, 9)</w:t>
            </w:r>
          </w:p>
        </w:tc>
        <w:tc>
          <w:tcPr>
            <w:tcW w:type="dxa" w:w="2966"/>
          </w:tcPr>
          <w:p>
            <w:pPr>
              <w:spacing w:after="20"/>
            </w:pPr>
            <w:r>
              <w:rPr>
                <w:color w:val="1C3A36"/>
                <w:sz w:val="16"/>
              </w:rPr>
              <w:t>line +0.006 / signal +0.043 / hist -0.037</w:t>
            </w:r>
          </w:p>
        </w:tc>
        <w:tc>
          <w:tcPr>
            <w:tcW w:type="dxa" w:w="5184"/>
          </w:tcPr>
          <w:p>
            <w:pPr>
              <w:spacing w:after="20"/>
            </w:pPr>
            <w:r>
              <w:rPr>
                <w:color w:val="1C3A36"/>
                <w:sz w:val="16"/>
              </w:rPr>
              <w:t>Histogram negative — the line has crossed below its signal. Bearish, but marginal.</w:t>
            </w:r>
          </w:p>
        </w:tc>
      </w:tr>
      <w:tr>
        <w:tc>
          <w:tcPr>
            <w:tcW w:type="dxa" w:w="2074"/>
          </w:tcPr>
          <w:p>
            <w:pPr>
              <w:spacing w:after="20"/>
            </w:pPr>
            <w:r>
              <w:rPr>
                <w:b/>
                <w:color w:val="1C3A36"/>
                <w:sz w:val="16"/>
              </w:rPr>
              <w:t>ATR (14)</w:t>
            </w:r>
          </w:p>
        </w:tc>
        <w:tc>
          <w:tcPr>
            <w:tcW w:type="dxa" w:w="2966"/>
          </w:tcPr>
          <w:p>
            <w:pPr>
              <w:spacing w:after="20"/>
            </w:pPr>
            <w:r>
              <w:rPr>
                <w:color w:val="1C3A36"/>
                <w:sz w:val="16"/>
              </w:rPr>
              <w:t>AED 0.141 (2.5%)</w:t>
            </w:r>
          </w:p>
        </w:tc>
        <w:tc>
          <w:tcPr>
            <w:tcW w:type="dxa" w:w="5184"/>
          </w:tcPr>
          <w:p>
            <w:pPr>
              <w:spacing w:after="20"/>
            </w:pPr>
            <w:r>
              <w:rPr>
                <w:color w:val="1C3A36"/>
                <w:sz w:val="16"/>
              </w:rPr>
              <w:t>An average day moves the stock 2.5%.</w:t>
            </w:r>
          </w:p>
        </w:tc>
      </w:tr>
      <w:tr>
        <w:tc>
          <w:tcPr>
            <w:tcW w:type="dxa" w:w="2074"/>
          </w:tcPr>
          <w:p>
            <w:pPr>
              <w:spacing w:after="20"/>
            </w:pPr>
            <w:r>
              <w:rPr>
                <w:b/>
                <w:color w:val="1C3A36"/>
                <w:sz w:val="16"/>
              </w:rPr>
              <w:t>52-week range</w:t>
            </w:r>
          </w:p>
        </w:tc>
        <w:tc>
          <w:tcPr>
            <w:tcW w:type="dxa" w:w="2966"/>
          </w:tcPr>
          <w:p>
            <w:pPr>
              <w:spacing w:after="20"/>
            </w:pPr>
            <w:r>
              <w:rPr>
                <w:color w:val="1C3A36"/>
                <w:sz w:val="16"/>
              </w:rPr>
              <w:t>AED 4.99 – 6.85</w:t>
            </w:r>
          </w:p>
        </w:tc>
        <w:tc>
          <w:tcPr>
            <w:tcW w:type="dxa" w:w="5184"/>
          </w:tcPr>
          <w:p>
            <w:pPr>
              <w:spacing w:after="20"/>
            </w:pPr>
            <w:r>
              <w:rPr>
                <w:color w:val="1C3A36"/>
                <w:sz w:val="16"/>
              </w:rPr>
              <w:t>-16.8% from the high.</w:t>
            </w:r>
          </w:p>
        </w:tc>
      </w:tr>
      <w:tr>
        <w:tc>
          <w:tcPr>
            <w:tcW w:type="dxa" w:w="2074"/>
          </w:tcPr>
          <w:p>
            <w:pPr>
              <w:spacing w:after="20"/>
            </w:pPr>
            <w:r>
              <w:rPr>
                <w:b/>
                <w:color w:val="1C3A36"/>
                <w:sz w:val="16"/>
              </w:rPr>
              <w:t>Realised volatility, 252d</w:t>
            </w:r>
          </w:p>
        </w:tc>
        <w:tc>
          <w:tcPr>
            <w:tcW w:type="dxa" w:w="2966"/>
          </w:tcPr>
          <w:p>
            <w:pPr>
              <w:spacing w:after="20"/>
            </w:pPr>
            <w:r>
              <w:rPr>
                <w:color w:val="1C3A36"/>
                <w:sz w:val="16"/>
              </w:rPr>
              <w:t>28.5%</w:t>
            </w:r>
          </w:p>
        </w:tc>
        <w:tc>
          <w:tcPr>
            <w:tcW w:type="dxa" w:w="5184"/>
          </w:tcPr>
          <w:p>
            <w:pPr>
              <w:spacing w:after="20"/>
            </w:pPr>
            <w:r>
              <w:rPr>
                <w:color w:val="1C3A36"/>
                <w:sz w:val="16"/>
              </w:rPr>
              <w:t>High — but see §1.8: 88.2% of it is IDIOSYNCRATIC. Volatility and beta are not the same thing, and for Salik they point in opposite directions.</w:t>
            </w:r>
          </w:p>
        </w:tc>
      </w:tr>
      <w:tr>
        <w:tc>
          <w:tcPr>
            <w:tcW w:type="dxa" w:w="2074"/>
          </w:tcPr>
          <w:p>
            <w:pPr>
              <w:spacing w:after="20"/>
            </w:pPr>
            <w:r>
              <w:rPr>
                <w:b/>
                <w:color w:val="1C3A36"/>
                <w:sz w:val="16"/>
              </w:rPr>
              <w:t>Return — 1m / 3m / 6m / 12m</w:t>
            </w:r>
          </w:p>
        </w:tc>
        <w:tc>
          <w:tcPr>
            <w:tcW w:type="dxa" w:w="2966"/>
          </w:tcPr>
          <w:p>
            <w:pPr>
              <w:spacing w:after="20"/>
            </w:pPr>
            <w:r>
              <w:rPr>
                <w:color w:val="1C3A36"/>
                <w:sz w:val="16"/>
              </w:rPr>
              <w:t>+1.8% / +2.9% / -10.9% / -6.6%</w:t>
            </w:r>
          </w:p>
        </w:tc>
        <w:tc>
          <w:tcPr>
            <w:tcW w:type="dxa" w:w="5184"/>
          </w:tcPr>
          <w:p>
            <w:pPr>
              <w:spacing w:after="20"/>
            </w:pPr>
            <w:r>
              <w:rPr>
                <w:color w:val="1C3A36"/>
                <w:sz w:val="16"/>
              </w:rPr>
              <w:t>Stabilised recently; still down over six months.</w:t>
            </w:r>
          </w:p>
        </w:tc>
      </w:tr>
      <w:tr>
        <w:tc>
          <w:tcPr>
            <w:tcW w:type="dxa" w:w="2074"/>
          </w:tcPr>
          <w:p>
            <w:pPr>
              <w:spacing w:after="20"/>
            </w:pPr>
            <w:r>
              <w:rPr>
                <w:b/>
                <w:color w:val="1C3A36"/>
                <w:sz w:val="16"/>
              </w:rPr>
              <w:t>Return since IPO (AED 2.00, Sep 2022)</w:t>
            </w:r>
          </w:p>
        </w:tc>
        <w:tc>
          <w:tcPr>
            <w:tcW w:type="dxa" w:w="2966"/>
          </w:tcPr>
          <w:p>
            <w:pPr>
              <w:spacing w:after="20"/>
            </w:pPr>
            <w:r>
              <w:rPr>
                <w:color w:val="1C3A36"/>
                <w:sz w:val="16"/>
              </w:rPr>
              <w:t>+2%</w:t>
            </w:r>
          </w:p>
        </w:tc>
        <w:tc>
          <w:tcPr>
            <w:tcW w:type="dxa" w:w="5184"/>
          </w:tcPr>
          <w:p>
            <w:pPr>
              <w:spacing w:after="20"/>
            </w:pPr>
            <w:r>
              <w:rPr>
                <w:color w:val="1C3A36"/>
                <w:sz w:val="16"/>
              </w:rPr>
              <w:t>An outstanding trade. That is not an argument about today.</w:t>
            </w:r>
          </w:p>
        </w:tc>
      </w:tr>
    </w:tbl>
    <w:p>
      <w:pPr>
        <w:spacing w:after="40"/>
      </w:pPr>
    </w:p>
    <w:p>
      <w:pPr>
        <w:spacing w:after="40"/>
        <w:jc w:val="center"/>
      </w:pPr>
      <w:r>
        <w:drawing>
          <wp:inline xmlns:a="http://schemas.openxmlformats.org/drawingml/2006/main" xmlns:pic="http://schemas.openxmlformats.org/drawingml/2006/picture">
            <wp:extent cx="6309360" cy="2373245"/>
            <wp:docPr id="9" name="Picture 9"/>
            <wp:cNvGraphicFramePr>
              <a:graphicFrameLocks noChangeAspect="1"/>
            </wp:cNvGraphicFramePr>
            <a:graphic>
              <a:graphicData uri="http://schemas.openxmlformats.org/drawingml/2006/picture">
                <pic:pic>
                  <pic:nvPicPr>
                    <pic:cNvPr id="0" name="f8_ma.png"/>
                    <pic:cNvPicPr/>
                  </pic:nvPicPr>
                  <pic:blipFill>
                    <a:blip r:embed="rId17"/>
                    <a:stretch>
                      <a:fillRect/>
                    </a:stretch>
                  </pic:blipFill>
                  <pic:spPr>
                    <a:xfrm>
                      <a:off x="0" y="0"/>
                      <a:ext cx="6309360" cy="2373245"/>
                    </a:xfrm>
                    <a:prstGeom prst="rect"/>
                  </pic:spPr>
                </pic:pic>
              </a:graphicData>
            </a:graphic>
          </wp:inline>
        </w:drawing>
      </w:r>
    </w:p>
    <w:p>
      <w:pPr>
        <w:spacing w:after="180" w:before="0"/>
      </w:pPr>
      <w:r>
        <w:rPr>
          <w:b w:val="0"/>
          <w:i/>
          <w:color w:val="6E7B77"/>
          <w:sz w:val="17"/>
        </w:rPr>
        <w:t>Figure 8 · Price against the moving-average stack. The vertical marks the day the war opened.</w:t>
      </w:r>
    </w:p>
    <w:p>
      <w:pPr>
        <w:spacing w:after="120" w:before="0"/>
      </w:pPr>
      <w:r>
        <w:rPr>
          <w:b w:val="0"/>
          <w:i w:val="0"/>
          <w:color w:val="1C3A36"/>
          <w:sz w:val="21"/>
        </w:rPr>
        <w:t>The technical picture is mildly negative and it is not saying anything the fundamentals are not already saying. We report it because our own format requires it, and we weight it accordingly: it describes where price has been, not what value is.</w:t>
      </w:r>
    </w:p>
    <w:p>
      <w:r>
        <w:br w:type="page"/>
      </w:r>
    </w:p>
    <w:p>
      <w:pPr>
        <w:spacing w:after="100" w:before="260"/>
      </w:pPr>
      <w:r>
        <w:rPr>
          <w:b/>
          <w:i w:val="0"/>
          <w:color w:val="1C3A36"/>
          <w:sz w:val="30"/>
        </w:rPr>
        <w:t>3 Monte Carlo — a probabilistic price map</w:t>
      </w:r>
    </w:p>
    <w:p>
      <w:pPr>
        <w:spacing w:after="120" w:before="0"/>
      </w:pPr>
      <w:r>
        <w:rPr>
          <w:b w:val="0"/>
          <w:i w:val="0"/>
          <w:color w:val="1C3A36"/>
          <w:sz w:val="21"/>
        </w:rPr>
        <w:t>This section answers a different question from §1. §1 asks what Salik is WORTH. §3 asks where the PRICE is likely to be in twenty and sixty trading sessions. Those are different questions with different time constants, and the fundamental gap in §1 deliberately does NOT enter the Monte-Carlo drift. Nothing in the fair-value work leaks into the distribution.</w:t>
      </w:r>
    </w:p>
    <w:p>
      <w:pPr>
        <w:spacing w:after="80" w:before="180"/>
      </w:pPr>
      <w:r>
        <w:rPr>
          <w:b/>
          <w:i w:val="0"/>
          <w:color w:val="1C3A36"/>
          <w:sz w:val="23"/>
        </w:rPr>
        <w:t>The probability read</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408"/>
        <w:gridCol w:w="3408"/>
        <w:gridCol w:w="3408"/>
      </w:tblGrid>
      <w:tr>
        <w:tc>
          <w:tcPr>
            <w:tcW w:type="dxa" w:w="4752"/>
            <w:shd w:val="clear" w:color="auto" w:fill="EAF0EE"/>
          </w:tcPr>
          <w:p>
            <w:pPr>
              <w:spacing w:after="20"/>
            </w:pPr>
            <w:r>
              <w:rPr>
                <w:b/>
                <w:color w:val="1C3A36"/>
                <w:sz w:val="17"/>
              </w:rPr>
              <w:t>Statement</w:t>
            </w:r>
          </w:p>
        </w:tc>
        <w:tc>
          <w:tcPr>
            <w:tcW w:type="dxa" w:w="2664"/>
            <w:shd w:val="clear" w:color="auto" w:fill="EAF0EE"/>
          </w:tcPr>
          <w:p>
            <w:pPr>
              <w:spacing w:after="20"/>
            </w:pPr>
            <w:r>
              <w:rPr>
                <w:b/>
                <w:color w:val="1C3A36"/>
                <w:sz w:val="17"/>
              </w:rPr>
              <w:t>T+20 · 7 Aug 2026</w:t>
            </w:r>
          </w:p>
        </w:tc>
        <w:tc>
          <w:tcPr>
            <w:tcW w:type="dxa" w:w="2664"/>
            <w:shd w:val="clear" w:color="auto" w:fill="EAF0EE"/>
          </w:tcPr>
          <w:p>
            <w:pPr>
              <w:spacing w:after="20"/>
            </w:pPr>
            <w:r>
              <w:rPr>
                <w:b/>
                <w:color w:val="1C3A36"/>
                <w:sz w:val="17"/>
              </w:rPr>
              <w:t>T+60 · 2 Oct 2026</w:t>
            </w:r>
          </w:p>
        </w:tc>
      </w:tr>
      <w:tr>
        <w:tc>
          <w:tcPr>
            <w:tcW w:type="dxa" w:w="4752"/>
          </w:tcPr>
          <w:p>
            <w:pPr>
              <w:spacing w:after="20"/>
            </w:pPr>
            <w:r>
              <w:rPr>
                <w:b/>
                <w:color w:val="1C3A36"/>
                <w:sz w:val="17"/>
              </w:rPr>
              <w:t>The engine’s median price</w:t>
            </w:r>
          </w:p>
        </w:tc>
        <w:tc>
          <w:tcPr>
            <w:tcW w:type="dxa" w:w="2664"/>
          </w:tcPr>
          <w:p>
            <w:pPr>
              <w:spacing w:after="20"/>
              <w:jc w:val="right"/>
            </w:pPr>
            <w:r>
              <w:rPr>
                <w:color w:val="1C3A36"/>
                <w:sz w:val="17"/>
              </w:rPr>
              <w:t>AED 5.70</w:t>
            </w:r>
          </w:p>
        </w:tc>
        <w:tc>
          <w:tcPr>
            <w:tcW w:type="dxa" w:w="2664"/>
          </w:tcPr>
          <w:p>
            <w:pPr>
              <w:spacing w:after="20"/>
              <w:jc w:val="right"/>
            </w:pPr>
            <w:r>
              <w:rPr>
                <w:color w:val="1C3A36"/>
                <w:sz w:val="17"/>
              </w:rPr>
              <w:t>AED 5.69</w:t>
            </w:r>
          </w:p>
        </w:tc>
      </w:tr>
      <w:tr>
        <w:tc>
          <w:tcPr>
            <w:tcW w:type="dxa" w:w="4752"/>
          </w:tcPr>
          <w:p>
            <w:pPr>
              <w:spacing w:after="20"/>
            </w:pPr>
            <w:r>
              <w:rPr>
                <w:b/>
                <w:color w:val="1C3A36"/>
                <w:sz w:val="17"/>
              </w:rPr>
              <w:t>Probability the price is above today’s AED 5.70</w:t>
            </w:r>
          </w:p>
        </w:tc>
        <w:tc>
          <w:tcPr>
            <w:tcW w:type="dxa" w:w="2664"/>
          </w:tcPr>
          <w:p>
            <w:pPr>
              <w:spacing w:after="20"/>
              <w:jc w:val="right"/>
            </w:pPr>
            <w:r>
              <w:rPr>
                <w:color w:val="1C3A36"/>
                <w:sz w:val="17"/>
              </w:rPr>
              <w:t>49.7%</w:t>
            </w:r>
          </w:p>
        </w:tc>
        <w:tc>
          <w:tcPr>
            <w:tcW w:type="dxa" w:w="2664"/>
          </w:tcPr>
          <w:p>
            <w:pPr>
              <w:spacing w:after="20"/>
              <w:jc w:val="right"/>
            </w:pPr>
            <w:r>
              <w:rPr>
                <w:color w:val="1C3A36"/>
                <w:sz w:val="17"/>
              </w:rPr>
              <w:t>49.6%</w:t>
            </w:r>
          </w:p>
        </w:tc>
      </w:tr>
      <w:tr>
        <w:tc>
          <w:tcPr>
            <w:tcW w:type="dxa" w:w="4752"/>
          </w:tcPr>
          <w:p>
            <w:pPr>
              <w:spacing w:after="20"/>
            </w:pPr>
            <w:r>
              <w:rPr>
                <w:b/>
                <w:color w:val="1C3A36"/>
                <w:sz w:val="17"/>
              </w:rPr>
              <w:t>5th percentile — a bad-but-not-extreme outcome</w:t>
            </w:r>
          </w:p>
        </w:tc>
        <w:tc>
          <w:tcPr>
            <w:tcW w:type="dxa" w:w="2664"/>
          </w:tcPr>
          <w:p>
            <w:pPr>
              <w:spacing w:after="20"/>
              <w:jc w:val="right"/>
            </w:pPr>
            <w:r>
              <w:rPr>
                <w:color w:val="1C3A36"/>
                <w:sz w:val="17"/>
              </w:rPr>
              <w:t>AED 4.94</w:t>
            </w:r>
          </w:p>
        </w:tc>
        <w:tc>
          <w:tcPr>
            <w:tcW w:type="dxa" w:w="2664"/>
          </w:tcPr>
          <w:p>
            <w:pPr>
              <w:spacing w:after="20"/>
              <w:jc w:val="right"/>
            </w:pPr>
            <w:r>
              <w:rPr>
                <w:color w:val="1C3A36"/>
                <w:sz w:val="17"/>
              </w:rPr>
              <w:t>AED 4.42</w:t>
            </w:r>
          </w:p>
        </w:tc>
      </w:tr>
      <w:tr>
        <w:tc>
          <w:tcPr>
            <w:tcW w:type="dxa" w:w="4752"/>
          </w:tcPr>
          <w:p>
            <w:pPr>
              <w:spacing w:after="20"/>
            </w:pPr>
            <w:r>
              <w:rPr>
                <w:b/>
                <w:color w:val="1C3A36"/>
                <w:sz w:val="17"/>
              </w:rPr>
              <w:t>95th percentile</w:t>
            </w:r>
          </w:p>
        </w:tc>
        <w:tc>
          <w:tcPr>
            <w:tcW w:type="dxa" w:w="2664"/>
          </w:tcPr>
          <w:p>
            <w:pPr>
              <w:spacing w:after="20"/>
              <w:jc w:val="right"/>
            </w:pPr>
            <w:r>
              <w:rPr>
                <w:color w:val="1C3A36"/>
                <w:sz w:val="17"/>
              </w:rPr>
              <w:t>AED 6.57</w:t>
            </w:r>
          </w:p>
        </w:tc>
        <w:tc>
          <w:tcPr>
            <w:tcW w:type="dxa" w:w="2664"/>
          </w:tcPr>
          <w:p>
            <w:pPr>
              <w:spacing w:after="20"/>
              <w:jc w:val="right"/>
            </w:pPr>
            <w:r>
              <w:rPr>
                <w:color w:val="1C3A36"/>
                <w:sz w:val="17"/>
              </w:rPr>
              <w:t>AED 7.34</w:t>
            </w:r>
          </w:p>
        </w:tc>
      </w:tr>
      <w:tr>
        <w:tc>
          <w:tcPr>
            <w:tcW w:type="dxa" w:w="4752"/>
          </w:tcPr>
          <w:p>
            <w:pPr>
              <w:spacing w:after="20"/>
            </w:pPr>
            <w:r>
              <w:rPr>
                <w:b/>
                <w:color w:val="1C3A36"/>
                <w:sz w:val="17"/>
              </w:rPr>
              <w:t>Width of the 90% band, as % of spot</w:t>
            </w:r>
          </w:p>
        </w:tc>
        <w:tc>
          <w:tcPr>
            <w:tcW w:type="dxa" w:w="2664"/>
          </w:tcPr>
          <w:p>
            <w:pPr>
              <w:spacing w:after="20"/>
              <w:jc w:val="right"/>
            </w:pPr>
            <w:r>
              <w:rPr>
                <w:color w:val="1C3A36"/>
                <w:sz w:val="17"/>
              </w:rPr>
              <w:t>28.6%</w:t>
            </w:r>
          </w:p>
        </w:tc>
        <w:tc>
          <w:tcPr>
            <w:tcW w:type="dxa" w:w="2664"/>
          </w:tcPr>
          <w:p>
            <w:pPr>
              <w:spacing w:after="20"/>
              <w:jc w:val="right"/>
            </w:pPr>
            <w:r>
              <w:rPr>
                <w:color w:val="1C3A36"/>
                <w:sz w:val="17"/>
              </w:rPr>
              <w:t>51.1%</w:t>
            </w:r>
          </w:p>
        </w:tc>
      </w:tr>
      <w:tr>
        <w:tc>
          <w:tcPr>
            <w:tcW w:type="dxa" w:w="4752"/>
          </w:tcPr>
          <w:p>
            <w:pPr>
              <w:spacing w:after="20"/>
            </w:pPr>
            <w:r>
              <w:rPr>
                <w:b/>
                <w:color w:val="1C3A36"/>
                <w:sz w:val="17"/>
              </w:rPr>
              <w:t>Probability the price is below OUR weighted central</w:t>
            </w:r>
          </w:p>
        </w:tc>
        <w:tc>
          <w:tcPr>
            <w:tcW w:type="dxa" w:w="2664"/>
          </w:tcPr>
          <w:p>
            <w:pPr>
              <w:spacing w:after="20"/>
              <w:jc w:val="right"/>
            </w:pPr>
            <w:r>
              <w:rPr>
                <w:color w:val="1C3A36"/>
                <w:sz w:val="17"/>
              </w:rPr>
              <w:t>1.3%</w:t>
            </w:r>
          </w:p>
        </w:tc>
        <w:tc>
          <w:tcPr>
            <w:tcW w:type="dxa" w:w="2664"/>
          </w:tcPr>
          <w:p>
            <w:pPr>
              <w:spacing w:after="20"/>
              <w:jc w:val="right"/>
            </w:pPr>
            <w:r>
              <w:rPr>
                <w:color w:val="1C3A36"/>
                <w:sz w:val="17"/>
              </w:rPr>
              <w:t>8.5%</w:t>
            </w:r>
          </w:p>
        </w:tc>
      </w:tr>
    </w:tbl>
    <w:p>
      <w:pPr>
        <w:spacing w:after="40"/>
      </w:pPr>
    </w:p>
    <w:p>
      <w:pPr>
        <w:spacing w:after="120" w:before="0"/>
      </w:pPr>
      <w:r>
        <w:rPr>
          <w:b w:val="0"/>
          <w:i w:val="0"/>
          <w:color w:val="1C3A36"/>
          <w:sz w:val="21"/>
        </w:rPr>
        <w:t>The median is flat, and it is flat for a reason we can state precisely. The engine’s drift is a carry anchor: the risk-free rate less the dividend yield. The CBUAE base rate is 3.6% (the dirham is pegged, so US policy IS UAE policy); Salik’s trailing declared dividend yield on spot is 3.9%. Those very nearly cancel. The 60-session drift is -0.059% — a rounding error. So the engine says: expect the total return to arrive as the dividend, and expect the price to go roughly nowhere, plus or minus a wide band. That is an EXPLAINED flat, not an unexplained one, and it is the honest output for a full-payout utility-like asset in a 3.65% rate world.</w:t>
      </w:r>
    </w:p>
    <w:p>
      <w:pPr>
        <w:spacing w:after="80" w:before="180"/>
      </w:pPr>
      <w:r>
        <w:rPr>
          <w:b/>
          <w:i w:val="0"/>
          <w:color w:val="1C3A36"/>
          <w:sz w:val="23"/>
        </w:rPr>
        <w:t>The continuous forces — what is pushing, and which way</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408"/>
        <w:gridCol w:w="3408"/>
        <w:gridCol w:w="3408"/>
      </w:tblGrid>
      <w:tr>
        <w:tc>
          <w:tcPr>
            <w:tcW w:type="dxa" w:w="490"/>
            <w:shd w:val="clear" w:color="auto" w:fill="EAF0EE"/>
          </w:tcPr>
          <w:p>
            <w:pPr>
              <w:spacing w:after="20"/>
            </w:pPr>
            <w:r>
              <w:rPr>
                <w:b/>
                <w:color w:val="1C3A36"/>
                <w:sz w:val="16"/>
              </w:rPr>
              <w:t>#</w:t>
            </w:r>
          </w:p>
        </w:tc>
        <w:tc>
          <w:tcPr>
            <w:tcW w:type="dxa" w:w="8726"/>
            <w:shd w:val="clear" w:color="auto" w:fill="EAF0EE"/>
          </w:tcPr>
          <w:p>
            <w:pPr>
              <w:spacing w:after="20"/>
            </w:pPr>
            <w:r>
              <w:rPr>
                <w:b/>
                <w:color w:val="1C3A36"/>
                <w:sz w:val="16"/>
              </w:rPr>
              <w:t>Force</w:t>
            </w:r>
          </w:p>
        </w:tc>
        <w:tc>
          <w:tcPr>
            <w:tcW w:type="dxa" w:w="864"/>
            <w:shd w:val="clear" w:color="auto" w:fill="EAF0EE"/>
          </w:tcPr>
          <w:p>
            <w:pPr>
              <w:spacing w:after="20"/>
            </w:pPr>
            <w:r>
              <w:rPr>
                <w:b/>
                <w:color w:val="1C3A36"/>
                <w:sz w:val="16"/>
              </w:rPr>
              <w:t>Sign</w:t>
            </w:r>
          </w:p>
        </w:tc>
      </w:tr>
      <w:tr>
        <w:tc>
          <w:tcPr>
            <w:tcW w:type="dxa" w:w="490"/>
          </w:tcPr>
          <w:p>
            <w:pPr>
              <w:spacing w:after="20"/>
            </w:pPr>
            <w:r>
              <w:rPr>
                <w:color w:val="1C3A36"/>
                <w:sz w:val="16"/>
              </w:rPr>
              <w:t>1</w:t>
            </w:r>
          </w:p>
        </w:tc>
        <w:tc>
          <w:tcPr>
            <w:tcW w:type="dxa" w:w="8726"/>
          </w:tcPr>
          <w:p>
            <w:pPr>
              <w:spacing w:after="20"/>
            </w:pPr>
            <w:r>
              <w:rPr>
                <w:color w:val="1C3A36"/>
                <w:sz w:val="16"/>
              </w:rPr>
              <w:t>Dubai traffic normalisation as the ceasefire holds (the Q3 recovery the company guides to)</w:t>
            </w:r>
          </w:p>
        </w:tc>
        <w:tc>
          <w:tcPr>
            <w:tcW w:type="dxa" w:w="864"/>
          </w:tcPr>
          <w:p>
            <w:pPr>
              <w:spacing w:after="20"/>
              <w:jc w:val="right"/>
            </w:pPr>
            <w:r>
              <w:rPr>
                <w:color w:val="1C3A36"/>
                <w:sz w:val="16"/>
              </w:rPr>
              <w:t>+</w:t>
            </w:r>
          </w:p>
        </w:tc>
      </w:tr>
      <w:tr>
        <w:tc>
          <w:tcPr>
            <w:tcW w:type="dxa" w:w="490"/>
          </w:tcPr>
          <w:p>
            <w:pPr>
              <w:spacing w:after="20"/>
            </w:pPr>
            <w:r>
              <w:rPr>
                <w:color w:val="1C3A36"/>
                <w:sz w:val="16"/>
              </w:rPr>
              <w:t>2</w:t>
            </w:r>
          </w:p>
        </w:tc>
        <w:tc>
          <w:tcPr>
            <w:tcW w:type="dxa" w:w="8726"/>
          </w:tcPr>
          <w:p>
            <w:pPr>
              <w:spacing w:after="20"/>
            </w:pPr>
            <w:r>
              <w:rPr>
                <w:color w:val="1C3A36"/>
                <w:sz w:val="16"/>
              </w:rPr>
              <w:t>Fed / CBUAE rate path — the dirham is pegged, so US rates ARE UAE rates</w:t>
            </w:r>
          </w:p>
        </w:tc>
        <w:tc>
          <w:tcPr>
            <w:tcW w:type="dxa" w:w="864"/>
          </w:tcPr>
          <w:p>
            <w:pPr>
              <w:spacing w:after="20"/>
              <w:jc w:val="right"/>
            </w:pPr>
            <w:r>
              <w:rPr>
                <w:color w:val="1C3A36"/>
                <w:sz w:val="16"/>
              </w:rPr>
              <w:t>±</w:t>
            </w:r>
          </w:p>
        </w:tc>
      </w:tr>
      <w:tr>
        <w:tc>
          <w:tcPr>
            <w:tcW w:type="dxa" w:w="490"/>
          </w:tcPr>
          <w:p>
            <w:pPr>
              <w:spacing w:after="20"/>
            </w:pPr>
            <w:r>
              <w:rPr>
                <w:color w:val="1C3A36"/>
                <w:sz w:val="16"/>
              </w:rPr>
              <w:t>3</w:t>
            </w:r>
          </w:p>
        </w:tc>
        <w:tc>
          <w:tcPr>
            <w:tcW w:type="dxa" w:w="8726"/>
          </w:tcPr>
          <w:p>
            <w:pPr>
              <w:spacing w:after="20"/>
            </w:pPr>
            <w:r>
              <w:rPr>
                <w:color w:val="1C3A36"/>
                <w:sz w:val="16"/>
              </w:rPr>
              <w:t>Dubai resident population and visitor arrivals — every revenue line scales with them</w:t>
            </w:r>
          </w:p>
        </w:tc>
        <w:tc>
          <w:tcPr>
            <w:tcW w:type="dxa" w:w="864"/>
          </w:tcPr>
          <w:p>
            <w:pPr>
              <w:spacing w:after="20"/>
              <w:jc w:val="right"/>
            </w:pPr>
            <w:r>
              <w:rPr>
                <w:color w:val="1C3A36"/>
                <w:sz w:val="16"/>
              </w:rPr>
              <w:t>+</w:t>
            </w:r>
          </w:p>
        </w:tc>
      </w:tr>
      <w:tr>
        <w:tc>
          <w:tcPr>
            <w:tcW w:type="dxa" w:w="490"/>
          </w:tcPr>
          <w:p>
            <w:pPr>
              <w:spacing w:after="20"/>
            </w:pPr>
            <w:r>
              <w:rPr>
                <w:color w:val="1C3A36"/>
                <w:sz w:val="16"/>
              </w:rPr>
              <w:t>4</w:t>
            </w:r>
          </w:p>
        </w:tc>
        <w:tc>
          <w:tcPr>
            <w:tcW w:type="dxa" w:w="8726"/>
          </w:tcPr>
          <w:p>
            <w:pPr>
              <w:spacing w:after="20"/>
            </w:pPr>
            <w:r>
              <w:rPr>
                <w:color w:val="1C3A36"/>
                <w:sz w:val="16"/>
              </w:rPr>
              <w:t>The 3.9% dividend yield as a floor bid in a 3.65% policy-rate world</w:t>
            </w:r>
          </w:p>
        </w:tc>
        <w:tc>
          <w:tcPr>
            <w:tcW w:type="dxa" w:w="864"/>
          </w:tcPr>
          <w:p>
            <w:pPr>
              <w:spacing w:after="20"/>
              <w:jc w:val="right"/>
            </w:pPr>
            <w:r>
              <w:rPr>
                <w:color w:val="1C3A36"/>
                <w:sz w:val="16"/>
              </w:rPr>
              <w:t>+</w:t>
            </w:r>
          </w:p>
        </w:tc>
      </w:tr>
      <w:tr>
        <w:tc>
          <w:tcPr>
            <w:tcW w:type="dxa" w:w="490"/>
          </w:tcPr>
          <w:p>
            <w:pPr>
              <w:spacing w:after="20"/>
            </w:pPr>
            <w:r>
              <w:rPr>
                <w:color w:val="1C3A36"/>
                <w:sz w:val="16"/>
              </w:rPr>
              <w:t>5</w:t>
            </w:r>
          </w:p>
        </w:tc>
        <w:tc>
          <w:tcPr>
            <w:tcW w:type="dxa" w:w="8726"/>
          </w:tcPr>
          <w:p>
            <w:pPr>
              <w:spacing w:after="20"/>
            </w:pPr>
            <w:r>
              <w:rPr>
                <w:color w:val="1C3A36"/>
                <w:sz w:val="16"/>
              </w:rPr>
              <w:t>MSCI UAE index flows against a 24.9% free float — small float, large index weight</w:t>
            </w:r>
          </w:p>
        </w:tc>
        <w:tc>
          <w:tcPr>
            <w:tcW w:type="dxa" w:w="864"/>
          </w:tcPr>
          <w:p>
            <w:pPr>
              <w:spacing w:after="20"/>
              <w:jc w:val="right"/>
            </w:pPr>
            <w:r>
              <w:rPr>
                <w:color w:val="1C3A36"/>
                <w:sz w:val="16"/>
              </w:rPr>
              <w:t>±</w:t>
            </w:r>
          </w:p>
        </w:tc>
      </w:tr>
      <w:tr>
        <w:tc>
          <w:tcPr>
            <w:tcW w:type="dxa" w:w="490"/>
          </w:tcPr>
          <w:p>
            <w:pPr>
              <w:spacing w:after="20"/>
            </w:pPr>
            <w:r>
              <w:rPr>
                <w:color w:val="1C3A36"/>
                <w:sz w:val="16"/>
              </w:rPr>
              <w:t>6</w:t>
            </w:r>
          </w:p>
        </w:tc>
        <w:tc>
          <w:tcPr>
            <w:tcW w:type="dxa" w:w="8726"/>
          </w:tcPr>
          <w:p>
            <w:pPr>
              <w:spacing w:after="20"/>
            </w:pPr>
            <w:r>
              <w:rPr>
                <w:color w:val="1C3A36"/>
                <w:sz w:val="16"/>
              </w:rPr>
              <w:t>Oil at ~US$91: funds Dubai's fiscal support, but raises the cost of a discretionary trip</w:t>
            </w:r>
          </w:p>
        </w:tc>
        <w:tc>
          <w:tcPr>
            <w:tcW w:type="dxa" w:w="864"/>
          </w:tcPr>
          <w:p>
            <w:pPr>
              <w:spacing w:after="20"/>
              <w:jc w:val="right"/>
            </w:pPr>
            <w:r>
              <w:rPr>
                <w:color w:val="1C3A36"/>
                <w:sz w:val="16"/>
              </w:rPr>
              <w:t>±</w:t>
            </w:r>
          </w:p>
        </w:tc>
      </w:tr>
      <w:tr>
        <w:tc>
          <w:tcPr>
            <w:tcW w:type="dxa" w:w="490"/>
          </w:tcPr>
          <w:p>
            <w:pPr>
              <w:spacing w:after="20"/>
            </w:pPr>
            <w:r>
              <w:rPr>
                <w:color w:val="1C3A36"/>
                <w:sz w:val="16"/>
              </w:rPr>
              <w:t>7</w:t>
            </w:r>
          </w:p>
        </w:tc>
        <w:tc>
          <w:tcPr>
            <w:tcW w:type="dxa" w:w="8726"/>
          </w:tcPr>
          <w:p>
            <w:pPr>
              <w:spacing w:after="20"/>
            </w:pPr>
            <w:r>
              <w:rPr>
                <w:color w:val="1C3A36"/>
                <w:sz w:val="16"/>
              </w:rPr>
              <w:t>Ancillary revenue compounding off a tiny base (+147% y/y, but only 1.5% of revenue)</w:t>
            </w:r>
          </w:p>
        </w:tc>
        <w:tc>
          <w:tcPr>
            <w:tcW w:type="dxa" w:w="864"/>
          </w:tcPr>
          <w:p>
            <w:pPr>
              <w:spacing w:after="20"/>
              <w:jc w:val="right"/>
            </w:pPr>
            <w:r>
              <w:rPr>
                <w:color w:val="1C3A36"/>
                <w:sz w:val="16"/>
              </w:rPr>
              <w:t>+</w:t>
            </w:r>
          </w:p>
        </w:tc>
      </w:tr>
      <w:tr>
        <w:tc>
          <w:tcPr>
            <w:tcW w:type="dxa" w:w="490"/>
          </w:tcPr>
          <w:p>
            <w:pPr>
              <w:spacing w:after="20"/>
            </w:pPr>
            <w:r>
              <w:rPr>
                <w:color w:val="1C3A36"/>
                <w:sz w:val="16"/>
              </w:rPr>
              <w:t>8</w:t>
            </w:r>
          </w:p>
        </w:tc>
        <w:tc>
          <w:tcPr>
            <w:tcW w:type="dxa" w:w="8726"/>
          </w:tcPr>
          <w:p>
            <w:pPr>
              <w:spacing w:after="20"/>
            </w:pPr>
            <w:r>
              <w:rPr>
                <w:color w:val="1C3A36"/>
                <w:sz w:val="16"/>
              </w:rPr>
              <w:t>The RTA's congestion mandate — more free windows, more Metro, fewer tolled trips</w:t>
            </w:r>
          </w:p>
        </w:tc>
        <w:tc>
          <w:tcPr>
            <w:tcW w:type="dxa" w:w="864"/>
          </w:tcPr>
          <w:p>
            <w:pPr>
              <w:spacing w:after="20"/>
              <w:jc w:val="right"/>
            </w:pPr>
            <w:r>
              <w:rPr>
                <w:color w:val="1C3A36"/>
                <w:sz w:val="16"/>
              </w:rPr>
              <w:t>−</w:t>
            </w:r>
          </w:p>
        </w:tc>
      </w:tr>
    </w:tbl>
    <w:p>
      <w:pPr>
        <w:spacing w:after="40"/>
      </w:pPr>
    </w:p>
    <w:p>
      <w:pPr>
        <w:spacing w:after="80" w:before="180"/>
      </w:pPr>
      <w:r>
        <w:rPr>
          <w:b/>
          <w:i w:val="0"/>
          <w:color w:val="1C3A36"/>
          <w:sz w:val="23"/>
        </w:rPr>
        <w:t>The discrete events — named, dated, with a probability and an impact</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45"/>
        <w:gridCol w:w="2045"/>
        <w:gridCol w:w="2045"/>
        <w:gridCol w:w="2045"/>
        <w:gridCol w:w="2045"/>
      </w:tblGrid>
      <w:tr>
        <w:tc>
          <w:tcPr>
            <w:tcW w:type="dxa" w:w="432"/>
            <w:shd w:val="clear" w:color="auto" w:fill="EAF0EE"/>
          </w:tcPr>
          <w:p>
            <w:pPr>
              <w:spacing w:after="20"/>
            </w:pPr>
            <w:r>
              <w:rPr>
                <w:b/>
                <w:color w:val="1C3A36"/>
                <w:sz w:val="16"/>
              </w:rPr>
              <w:t>#</w:t>
            </w:r>
          </w:p>
        </w:tc>
        <w:tc>
          <w:tcPr>
            <w:tcW w:type="dxa" w:w="3773"/>
            <w:shd w:val="clear" w:color="auto" w:fill="EAF0EE"/>
          </w:tcPr>
          <w:p>
            <w:pPr>
              <w:spacing w:after="20"/>
            </w:pPr>
            <w:r>
              <w:rPr>
                <w:b/>
                <w:color w:val="1C3A36"/>
                <w:sz w:val="16"/>
              </w:rPr>
              <w:t>Event</w:t>
            </w:r>
          </w:p>
        </w:tc>
        <w:tc>
          <w:tcPr>
            <w:tcW w:type="dxa" w:w="634"/>
            <w:shd w:val="clear" w:color="auto" w:fill="EAF0EE"/>
          </w:tcPr>
          <w:p>
            <w:pPr>
              <w:spacing w:after="20"/>
            </w:pPr>
            <w:r>
              <w:rPr>
                <w:b/>
                <w:color w:val="1C3A36"/>
                <w:sz w:val="16"/>
              </w:rPr>
              <w:t>P</w:t>
            </w:r>
          </w:p>
        </w:tc>
        <w:tc>
          <w:tcPr>
            <w:tcW w:type="dxa" w:w="864"/>
            <w:shd w:val="clear" w:color="auto" w:fill="EAF0EE"/>
          </w:tcPr>
          <w:p>
            <w:pPr>
              <w:spacing w:after="20"/>
            </w:pPr>
            <w:r>
              <w:rPr>
                <w:b/>
                <w:color w:val="1C3A36"/>
                <w:sz w:val="16"/>
              </w:rPr>
              <w:t>Impact</w:t>
            </w:r>
          </w:p>
        </w:tc>
        <w:tc>
          <w:tcPr>
            <w:tcW w:type="dxa" w:w="4378"/>
            <w:shd w:val="clear" w:color="auto" w:fill="EAF0EE"/>
          </w:tcPr>
          <w:p>
            <w:pPr>
              <w:spacing w:after="20"/>
            </w:pPr>
            <w:r>
              <w:rPr>
                <w:b/>
                <w:color w:val="1C3A36"/>
                <w:sz w:val="16"/>
              </w:rPr>
              <w:t>Note</w:t>
            </w:r>
          </w:p>
        </w:tc>
      </w:tr>
      <w:tr>
        <w:tc>
          <w:tcPr>
            <w:tcW w:type="dxa" w:w="432"/>
          </w:tcPr>
          <w:p>
            <w:pPr>
              <w:spacing w:after="20"/>
            </w:pPr>
            <w:r>
              <w:rPr>
                <w:color w:val="1C3A36"/>
                <w:sz w:val="16"/>
              </w:rPr>
              <w:t>1</w:t>
            </w:r>
          </w:p>
        </w:tc>
        <w:tc>
          <w:tcPr>
            <w:tcW w:type="dxa" w:w="3773"/>
          </w:tcPr>
          <w:p>
            <w:pPr>
              <w:spacing w:after="20"/>
            </w:pPr>
            <w:r>
              <w:rPr>
                <w:color w:val="1C3A36"/>
                <w:sz w:val="16"/>
              </w:rPr>
              <w:t>Q2/H1-2026 results (~mid-Aug 2026) — the FIRST full quarter under the war</w:t>
            </w:r>
          </w:p>
        </w:tc>
        <w:tc>
          <w:tcPr>
            <w:tcW w:type="dxa" w:w="634"/>
          </w:tcPr>
          <w:p>
            <w:pPr>
              <w:spacing w:after="20"/>
              <w:jc w:val="right"/>
            </w:pPr>
            <w:r>
              <w:rPr>
                <w:color w:val="1C3A36"/>
                <w:sz w:val="16"/>
              </w:rPr>
              <w:t>90%</w:t>
            </w:r>
          </w:p>
        </w:tc>
        <w:tc>
          <w:tcPr>
            <w:tcW w:type="dxa" w:w="864"/>
          </w:tcPr>
          <w:p>
            <w:pPr>
              <w:spacing w:after="20"/>
              <w:jc w:val="right"/>
            </w:pPr>
            <w:r>
              <w:rPr>
                <w:color w:val="1C3A36"/>
                <w:sz w:val="16"/>
              </w:rPr>
              <w:t>±3.0%</w:t>
            </w:r>
          </w:p>
        </w:tc>
        <w:tc>
          <w:tcPr>
            <w:tcW w:type="dxa" w:w="4378"/>
          </w:tcPr>
          <w:p>
            <w:pPr>
              <w:spacing w:after="20"/>
            </w:pPr>
            <w:r>
              <w:rPr>
                <w:color w:val="1C3A36"/>
                <w:sz w:val="16"/>
              </w:rPr>
              <w:t>The single biggest known unknown INSIDE the T+60 window.</w:t>
            </w:r>
          </w:p>
        </w:tc>
      </w:tr>
      <w:tr>
        <w:tc>
          <w:tcPr>
            <w:tcW w:type="dxa" w:w="432"/>
          </w:tcPr>
          <w:p>
            <w:pPr>
              <w:spacing w:after="20"/>
            </w:pPr>
            <w:r>
              <w:rPr>
                <w:color w:val="1C3A36"/>
                <w:sz w:val="16"/>
              </w:rPr>
              <w:t>2</w:t>
            </w:r>
          </w:p>
        </w:tc>
        <w:tc>
          <w:tcPr>
            <w:tcW w:type="dxa" w:w="3773"/>
          </w:tcPr>
          <w:p>
            <w:pPr>
              <w:spacing w:after="20"/>
            </w:pPr>
            <w:r>
              <w:rPr>
                <w:color w:val="1C3A36"/>
                <w:sz w:val="16"/>
              </w:rPr>
              <w:t>Q2 chargeable trips come in ABOVE 140 mn (a shallower trough than we model)</w:t>
            </w:r>
          </w:p>
        </w:tc>
        <w:tc>
          <w:tcPr>
            <w:tcW w:type="dxa" w:w="634"/>
          </w:tcPr>
          <w:p>
            <w:pPr>
              <w:spacing w:after="20"/>
              <w:jc w:val="right"/>
            </w:pPr>
            <w:r>
              <w:rPr>
                <w:color w:val="1C3A36"/>
                <w:sz w:val="16"/>
              </w:rPr>
              <w:t>40%</w:t>
            </w:r>
          </w:p>
        </w:tc>
        <w:tc>
          <w:tcPr>
            <w:tcW w:type="dxa" w:w="864"/>
          </w:tcPr>
          <w:p>
            <w:pPr>
              <w:spacing w:after="20"/>
              <w:jc w:val="right"/>
            </w:pPr>
            <w:r>
              <w:rPr>
                <w:color w:val="1C3A36"/>
                <w:sz w:val="16"/>
              </w:rPr>
              <w:t>+2.5%</w:t>
            </w:r>
          </w:p>
        </w:tc>
        <w:tc>
          <w:tcPr>
            <w:tcW w:type="dxa" w:w="4378"/>
          </w:tcPr>
          <w:p>
            <w:pPr>
              <w:spacing w:after="20"/>
            </w:pPr>
            <w:r>
              <w:rPr>
                <w:color w:val="1C3A36"/>
                <w:sz w:val="16"/>
              </w:rPr>
            </w:r>
          </w:p>
        </w:tc>
      </w:tr>
      <w:tr>
        <w:tc>
          <w:tcPr>
            <w:tcW w:type="dxa" w:w="432"/>
          </w:tcPr>
          <w:p>
            <w:pPr>
              <w:spacing w:after="20"/>
            </w:pPr>
            <w:r>
              <w:rPr>
                <w:color w:val="1C3A36"/>
                <w:sz w:val="16"/>
              </w:rPr>
              <w:t>3</w:t>
            </w:r>
          </w:p>
        </w:tc>
        <w:tc>
          <w:tcPr>
            <w:tcW w:type="dxa" w:w="3773"/>
          </w:tcPr>
          <w:p>
            <w:pPr>
              <w:spacing w:after="20"/>
            </w:pPr>
            <w:r>
              <w:rPr>
                <w:color w:val="1C3A36"/>
                <w:sz w:val="16"/>
              </w:rPr>
              <w:t>Q2 chargeable trips come in BELOW 130 mn (a deeper trough)</w:t>
            </w:r>
          </w:p>
        </w:tc>
        <w:tc>
          <w:tcPr>
            <w:tcW w:type="dxa" w:w="634"/>
          </w:tcPr>
          <w:p>
            <w:pPr>
              <w:spacing w:after="20"/>
              <w:jc w:val="right"/>
            </w:pPr>
            <w:r>
              <w:rPr>
                <w:color w:val="1C3A36"/>
                <w:sz w:val="16"/>
              </w:rPr>
              <w:t>30%</w:t>
            </w:r>
          </w:p>
        </w:tc>
        <w:tc>
          <w:tcPr>
            <w:tcW w:type="dxa" w:w="864"/>
          </w:tcPr>
          <w:p>
            <w:pPr>
              <w:spacing w:after="20"/>
              <w:jc w:val="right"/>
            </w:pPr>
            <w:r>
              <w:rPr>
                <w:color w:val="1C3A36"/>
                <w:sz w:val="16"/>
              </w:rPr>
              <w:t>−3.5%</w:t>
            </w:r>
          </w:p>
        </w:tc>
        <w:tc>
          <w:tcPr>
            <w:tcW w:type="dxa" w:w="4378"/>
          </w:tcPr>
          <w:p>
            <w:pPr>
              <w:spacing w:after="20"/>
            </w:pPr>
            <w:r>
              <w:rPr>
                <w:color w:val="1C3A36"/>
                <w:sz w:val="16"/>
              </w:rPr>
            </w:r>
          </w:p>
        </w:tc>
      </w:tr>
      <w:tr>
        <w:tc>
          <w:tcPr>
            <w:tcW w:type="dxa" w:w="432"/>
          </w:tcPr>
          <w:p>
            <w:pPr>
              <w:spacing w:after="20"/>
            </w:pPr>
            <w:r>
              <w:rPr>
                <w:color w:val="1C3A36"/>
                <w:sz w:val="16"/>
              </w:rPr>
              <w:t>4</w:t>
            </w:r>
          </w:p>
        </w:tc>
        <w:tc>
          <w:tcPr>
            <w:tcW w:type="dxa" w:w="3773"/>
          </w:tcPr>
          <w:p>
            <w:pPr>
              <w:spacing w:after="20"/>
            </w:pPr>
            <w:r>
              <w:rPr>
                <w:color w:val="1C3A36"/>
                <w:sz w:val="16"/>
              </w:rPr>
              <w:t>H1-2026 dividend declared at 100% of H1 profit (policy intact)</w:t>
            </w:r>
          </w:p>
        </w:tc>
        <w:tc>
          <w:tcPr>
            <w:tcW w:type="dxa" w:w="634"/>
          </w:tcPr>
          <w:p>
            <w:pPr>
              <w:spacing w:after="20"/>
              <w:jc w:val="right"/>
            </w:pPr>
            <w:r>
              <w:rPr>
                <w:color w:val="1C3A36"/>
                <w:sz w:val="16"/>
              </w:rPr>
              <w:t>88%</w:t>
            </w:r>
          </w:p>
        </w:tc>
        <w:tc>
          <w:tcPr>
            <w:tcW w:type="dxa" w:w="864"/>
          </w:tcPr>
          <w:p>
            <w:pPr>
              <w:spacing w:after="20"/>
              <w:jc w:val="right"/>
            </w:pPr>
            <w:r>
              <w:rPr>
                <w:color w:val="1C3A36"/>
                <w:sz w:val="16"/>
              </w:rPr>
              <w:t>+0.5%</w:t>
            </w:r>
          </w:p>
        </w:tc>
        <w:tc>
          <w:tcPr>
            <w:tcW w:type="dxa" w:w="4378"/>
          </w:tcPr>
          <w:p>
            <w:pPr>
              <w:spacing w:after="20"/>
            </w:pPr>
            <w:r>
              <w:rPr>
                <w:color w:val="1C3A36"/>
                <w:sz w:val="16"/>
              </w:rPr>
            </w:r>
          </w:p>
        </w:tc>
      </w:tr>
      <w:tr>
        <w:tc>
          <w:tcPr>
            <w:tcW w:type="dxa" w:w="432"/>
          </w:tcPr>
          <w:p>
            <w:pPr>
              <w:spacing w:after="20"/>
            </w:pPr>
            <w:r>
              <w:rPr>
                <w:color w:val="1C3A36"/>
                <w:sz w:val="16"/>
              </w:rPr>
              <w:t>5</w:t>
            </w:r>
          </w:p>
        </w:tc>
        <w:tc>
          <w:tcPr>
            <w:tcW w:type="dxa" w:w="3773"/>
          </w:tcPr>
          <w:p>
            <w:pPr>
              <w:spacing w:after="20"/>
            </w:pPr>
            <w:r>
              <w:rPr>
                <w:color w:val="1C3A36"/>
                <w:sz w:val="16"/>
              </w:rPr>
              <w:t>Any deviation from the 100% payout policy</w:t>
            </w:r>
          </w:p>
        </w:tc>
        <w:tc>
          <w:tcPr>
            <w:tcW w:type="dxa" w:w="634"/>
          </w:tcPr>
          <w:p>
            <w:pPr>
              <w:spacing w:after="20"/>
              <w:jc w:val="right"/>
            </w:pPr>
            <w:r>
              <w:rPr>
                <w:color w:val="1C3A36"/>
                <w:sz w:val="16"/>
              </w:rPr>
              <w:t>7%</w:t>
            </w:r>
          </w:p>
        </w:tc>
        <w:tc>
          <w:tcPr>
            <w:tcW w:type="dxa" w:w="864"/>
          </w:tcPr>
          <w:p>
            <w:pPr>
              <w:spacing w:after="20"/>
              <w:jc w:val="right"/>
            </w:pPr>
            <w:r>
              <w:rPr>
                <w:color w:val="1C3A36"/>
                <w:sz w:val="16"/>
              </w:rPr>
              <w:t>−6.0%</w:t>
            </w:r>
          </w:p>
        </w:tc>
        <w:tc>
          <w:tcPr>
            <w:tcW w:type="dxa" w:w="4378"/>
          </w:tcPr>
          <w:p>
            <w:pPr>
              <w:spacing w:after="20"/>
            </w:pPr>
            <w:r>
              <w:rPr>
                <w:color w:val="1C3A36"/>
                <w:sz w:val="16"/>
              </w:rPr>
              <w:t>A regime change, not a rounding. It would invalidate the DDM and the relative lens at once.</w:t>
            </w:r>
          </w:p>
        </w:tc>
      </w:tr>
      <w:tr>
        <w:tc>
          <w:tcPr>
            <w:tcW w:type="dxa" w:w="432"/>
          </w:tcPr>
          <w:p>
            <w:pPr>
              <w:spacing w:after="20"/>
            </w:pPr>
            <w:r>
              <w:rPr>
                <w:color w:val="1C3A36"/>
                <w:sz w:val="16"/>
              </w:rPr>
              <w:t>6</w:t>
            </w:r>
          </w:p>
        </w:tc>
        <w:tc>
          <w:tcPr>
            <w:tcW w:type="dxa" w:w="3773"/>
          </w:tcPr>
          <w:p>
            <w:pPr>
              <w:spacing w:after="20"/>
            </w:pPr>
            <w:r>
              <w:rPr>
                <w:color w:val="1C3A36"/>
                <w:sz w:val="16"/>
              </w:rPr>
              <w:t>Hormuz re-escalation / the June MoU collapses</w:t>
            </w:r>
          </w:p>
        </w:tc>
        <w:tc>
          <w:tcPr>
            <w:tcW w:type="dxa" w:w="634"/>
          </w:tcPr>
          <w:p>
            <w:pPr>
              <w:spacing w:after="20"/>
              <w:jc w:val="right"/>
            </w:pPr>
            <w:r>
              <w:rPr>
                <w:color w:val="1C3A36"/>
                <w:sz w:val="16"/>
              </w:rPr>
              <w:t>30%</w:t>
            </w:r>
          </w:p>
        </w:tc>
        <w:tc>
          <w:tcPr>
            <w:tcW w:type="dxa" w:w="864"/>
          </w:tcPr>
          <w:p>
            <w:pPr>
              <w:spacing w:after="20"/>
              <w:jc w:val="right"/>
            </w:pPr>
            <w:r>
              <w:rPr>
                <w:color w:val="1C3A36"/>
                <w:sz w:val="16"/>
              </w:rPr>
              <w:t>−4.0%</w:t>
            </w:r>
          </w:p>
        </w:tc>
        <w:tc>
          <w:tcPr>
            <w:tcW w:type="dxa" w:w="4378"/>
          </w:tcPr>
          <w:p>
            <w:pPr>
              <w:spacing w:after="20"/>
            </w:pPr>
            <w:r>
              <w:rPr>
                <w:color w:val="1C3A36"/>
                <w:sz w:val="16"/>
              </w:rPr>
              <w:t>The truce was called 'over' on 7 Jul and walked back on 8 Jul — three days before our anchor.</w:t>
            </w:r>
          </w:p>
        </w:tc>
      </w:tr>
      <w:tr>
        <w:tc>
          <w:tcPr>
            <w:tcW w:type="dxa" w:w="432"/>
          </w:tcPr>
          <w:p>
            <w:pPr>
              <w:spacing w:after="20"/>
            </w:pPr>
            <w:r>
              <w:rPr>
                <w:color w:val="1C3A36"/>
                <w:sz w:val="16"/>
              </w:rPr>
              <w:t>7</w:t>
            </w:r>
          </w:p>
        </w:tc>
        <w:tc>
          <w:tcPr>
            <w:tcW w:type="dxa" w:w="3773"/>
          </w:tcPr>
          <w:p>
            <w:pPr>
              <w:spacing w:after="20"/>
            </w:pPr>
            <w:r>
              <w:rPr>
                <w:color w:val="1C3A36"/>
                <w:sz w:val="16"/>
              </w:rPr>
              <w:t>A formal end to the war (the MoU's 60-day clock runs out ~16 Aug)</w:t>
            </w:r>
          </w:p>
        </w:tc>
        <w:tc>
          <w:tcPr>
            <w:tcW w:type="dxa" w:w="634"/>
          </w:tcPr>
          <w:p>
            <w:pPr>
              <w:spacing w:after="20"/>
              <w:jc w:val="right"/>
            </w:pPr>
            <w:r>
              <w:rPr>
                <w:color w:val="1C3A36"/>
                <w:sz w:val="16"/>
              </w:rPr>
              <w:t>35%</w:t>
            </w:r>
          </w:p>
        </w:tc>
        <w:tc>
          <w:tcPr>
            <w:tcW w:type="dxa" w:w="864"/>
          </w:tcPr>
          <w:p>
            <w:pPr>
              <w:spacing w:after="20"/>
              <w:jc w:val="right"/>
            </w:pPr>
            <w:r>
              <w:rPr>
                <w:color w:val="1C3A36"/>
                <w:sz w:val="16"/>
              </w:rPr>
              <w:t>+3.5%</w:t>
            </w:r>
          </w:p>
        </w:tc>
        <w:tc>
          <w:tcPr>
            <w:tcW w:type="dxa" w:w="4378"/>
          </w:tcPr>
          <w:p>
            <w:pPr>
              <w:spacing w:after="20"/>
            </w:pPr>
            <w:r>
              <w:rPr>
                <w:color w:val="1C3A36"/>
                <w:sz w:val="16"/>
              </w:rPr>
            </w:r>
          </w:p>
        </w:tc>
      </w:tr>
      <w:tr>
        <w:tc>
          <w:tcPr>
            <w:tcW w:type="dxa" w:w="432"/>
          </w:tcPr>
          <w:p>
            <w:pPr>
              <w:spacing w:after="20"/>
            </w:pPr>
            <w:r>
              <w:rPr>
                <w:color w:val="1C3A36"/>
                <w:sz w:val="16"/>
              </w:rPr>
              <w:t>8</w:t>
            </w:r>
          </w:p>
        </w:tc>
        <w:tc>
          <w:tcPr>
            <w:tcW w:type="dxa" w:w="3773"/>
          </w:tcPr>
          <w:p>
            <w:pPr>
              <w:spacing w:after="20"/>
            </w:pPr>
            <w:r>
              <w:rPr>
                <w:color w:val="1C3A36"/>
                <w:sz w:val="16"/>
              </w:rPr>
              <w:t>A TEC tariff decision — in EITHER direction</w:t>
            </w:r>
          </w:p>
        </w:tc>
        <w:tc>
          <w:tcPr>
            <w:tcW w:type="dxa" w:w="634"/>
          </w:tcPr>
          <w:p>
            <w:pPr>
              <w:spacing w:after="20"/>
              <w:jc w:val="right"/>
            </w:pPr>
            <w:r>
              <w:rPr>
                <w:color w:val="1C3A36"/>
                <w:sz w:val="16"/>
              </w:rPr>
              <w:t>15%</w:t>
            </w:r>
          </w:p>
        </w:tc>
        <w:tc>
          <w:tcPr>
            <w:tcW w:type="dxa" w:w="864"/>
          </w:tcPr>
          <w:p>
            <w:pPr>
              <w:spacing w:after="20"/>
              <w:jc w:val="right"/>
            </w:pPr>
            <w:r>
              <w:rPr>
                <w:color w:val="1C3A36"/>
                <w:sz w:val="16"/>
              </w:rPr>
              <w:t>+1.5%</w:t>
            </w:r>
          </w:p>
        </w:tc>
        <w:tc>
          <w:tcPr>
            <w:tcW w:type="dxa" w:w="4378"/>
          </w:tcPr>
          <w:p>
            <w:pPr>
              <w:spacing w:after="20"/>
            </w:pPr>
            <w:r>
              <w:rPr>
                <w:color w:val="1C3A36"/>
                <w:sz w:val="16"/>
              </w:rPr>
              <w:t>Both outcomes are good: a rise lifts the toll; a refusal CUTS the concession fee. §1.9.</w:t>
            </w:r>
          </w:p>
        </w:tc>
      </w:tr>
      <w:tr>
        <w:tc>
          <w:tcPr>
            <w:tcW w:type="dxa" w:w="432"/>
          </w:tcPr>
          <w:p>
            <w:pPr>
              <w:spacing w:after="20"/>
            </w:pPr>
            <w:r>
              <w:rPr>
                <w:color w:val="1C3A36"/>
                <w:sz w:val="16"/>
              </w:rPr>
              <w:t>9</w:t>
            </w:r>
          </w:p>
        </w:tc>
        <w:tc>
          <w:tcPr>
            <w:tcW w:type="dxa" w:w="3773"/>
          </w:tcPr>
          <w:p>
            <w:pPr>
              <w:spacing w:after="20"/>
            </w:pPr>
            <w:r>
              <w:rPr>
                <w:color w:val="1C3A36"/>
                <w:sz w:val="16"/>
              </w:rPr>
              <w:t>The RTA announces new toll gates (and the price Salik must pay)</w:t>
            </w:r>
          </w:p>
        </w:tc>
        <w:tc>
          <w:tcPr>
            <w:tcW w:type="dxa" w:w="634"/>
          </w:tcPr>
          <w:p>
            <w:pPr>
              <w:spacing w:after="20"/>
              <w:jc w:val="right"/>
            </w:pPr>
            <w:r>
              <w:rPr>
                <w:color w:val="1C3A36"/>
                <w:sz w:val="16"/>
              </w:rPr>
              <w:t>10%</w:t>
            </w:r>
          </w:p>
        </w:tc>
        <w:tc>
          <w:tcPr>
            <w:tcW w:type="dxa" w:w="864"/>
          </w:tcPr>
          <w:p>
            <w:pPr>
              <w:spacing w:after="20"/>
              <w:jc w:val="right"/>
            </w:pPr>
            <w:r>
              <w:rPr>
                <w:color w:val="1C3A36"/>
                <w:sz w:val="16"/>
              </w:rPr>
              <w:t>−1.0%</w:t>
            </w:r>
          </w:p>
        </w:tc>
        <w:tc>
          <w:tcPr>
            <w:tcW w:type="dxa" w:w="4378"/>
          </w:tcPr>
          <w:p>
            <w:pPr>
              <w:spacing w:after="20"/>
            </w:pPr>
            <w:r>
              <w:rPr>
                <w:color w:val="1C3A36"/>
                <w:sz w:val="16"/>
              </w:rPr>
              <w:t>Priced NEGATIVE, deliberately. On the one data point we have, gates are sold at ~10.6% ROIC. See §1.2.</w:t>
            </w:r>
          </w:p>
        </w:tc>
      </w:tr>
      <w:tr>
        <w:tc>
          <w:tcPr>
            <w:tcW w:type="dxa" w:w="432"/>
          </w:tcPr>
          <w:p>
            <w:pPr>
              <w:spacing w:after="20"/>
            </w:pPr>
            <w:r>
              <w:rPr>
                <w:color w:val="1C3A36"/>
                <w:sz w:val="16"/>
              </w:rPr>
              <w:t>10</w:t>
            </w:r>
          </w:p>
        </w:tc>
        <w:tc>
          <w:tcPr>
            <w:tcW w:type="dxa" w:w="3773"/>
          </w:tcPr>
          <w:p>
            <w:pPr>
              <w:spacing w:after="20"/>
            </w:pPr>
            <w:r>
              <w:rPr>
                <w:color w:val="1C3A36"/>
                <w:sz w:val="16"/>
              </w:rPr>
              <w:t>Fed cut ≥25bp at the Sep FOMC</w:t>
            </w:r>
          </w:p>
        </w:tc>
        <w:tc>
          <w:tcPr>
            <w:tcW w:type="dxa" w:w="634"/>
          </w:tcPr>
          <w:p>
            <w:pPr>
              <w:spacing w:after="20"/>
              <w:jc w:val="right"/>
            </w:pPr>
            <w:r>
              <w:rPr>
                <w:color w:val="1C3A36"/>
                <w:sz w:val="16"/>
              </w:rPr>
              <w:t>45%</w:t>
            </w:r>
          </w:p>
        </w:tc>
        <w:tc>
          <w:tcPr>
            <w:tcW w:type="dxa" w:w="864"/>
          </w:tcPr>
          <w:p>
            <w:pPr>
              <w:spacing w:after="20"/>
              <w:jc w:val="right"/>
            </w:pPr>
            <w:r>
              <w:rPr>
                <w:color w:val="1C3A36"/>
                <w:sz w:val="16"/>
              </w:rPr>
              <w:t>+1.0%</w:t>
            </w:r>
          </w:p>
        </w:tc>
        <w:tc>
          <w:tcPr>
            <w:tcW w:type="dxa" w:w="4378"/>
          </w:tcPr>
          <w:p>
            <w:pPr>
              <w:spacing w:after="20"/>
            </w:pPr>
            <w:r>
              <w:rPr>
                <w:color w:val="1C3A36"/>
                <w:sz w:val="16"/>
              </w:rPr>
            </w:r>
          </w:p>
        </w:tc>
      </w:tr>
      <w:tr>
        <w:tc>
          <w:tcPr>
            <w:tcW w:type="dxa" w:w="432"/>
          </w:tcPr>
          <w:p>
            <w:pPr>
              <w:spacing w:after="20"/>
            </w:pPr>
            <w:r>
              <w:rPr>
                <w:color w:val="1C3A36"/>
                <w:sz w:val="16"/>
              </w:rPr>
              <w:t>11</w:t>
            </w:r>
          </w:p>
        </w:tc>
        <w:tc>
          <w:tcPr>
            <w:tcW w:type="dxa" w:w="3773"/>
          </w:tcPr>
          <w:p>
            <w:pPr>
              <w:spacing w:after="20"/>
            </w:pPr>
            <w:r>
              <w:rPr>
                <w:color w:val="1C3A36"/>
                <w:sz w:val="16"/>
              </w:rPr>
              <w:t>The board trims the payout below 100% to fund the RTA instalments</w:t>
            </w:r>
          </w:p>
        </w:tc>
        <w:tc>
          <w:tcPr>
            <w:tcW w:type="dxa" w:w="634"/>
          </w:tcPr>
          <w:p>
            <w:pPr>
              <w:spacing w:after="20"/>
              <w:jc w:val="right"/>
            </w:pPr>
            <w:r>
              <w:rPr>
                <w:color w:val="1C3A36"/>
                <w:sz w:val="16"/>
              </w:rPr>
              <w:t>12%</w:t>
            </w:r>
          </w:p>
        </w:tc>
        <w:tc>
          <w:tcPr>
            <w:tcW w:type="dxa" w:w="864"/>
          </w:tcPr>
          <w:p>
            <w:pPr>
              <w:spacing w:after="20"/>
              <w:jc w:val="right"/>
            </w:pPr>
            <w:r>
              <w:rPr>
                <w:color w:val="1C3A36"/>
                <w:sz w:val="16"/>
              </w:rPr>
              <w:t>−7.0%</w:t>
            </w:r>
          </w:p>
        </w:tc>
        <w:tc>
          <w:tcPr>
            <w:tcW w:type="dxa" w:w="4378"/>
          </w:tcPr>
          <w:p>
            <w:pPr>
              <w:spacing w:after="20"/>
            </w:pPr>
            <w:r>
              <w:rPr>
                <w:color w:val="1C3A36"/>
                <w:sz w:val="16"/>
              </w:rPr>
              <w:t>NEW in v3. §1.2a: the payout that would SELF-FUND the instalments is 78%. With a 100% payout, P/E and yield are ONE multiple — so a trim breaks the DDM and the relative lens simultaneously.</w:t>
            </w:r>
          </w:p>
        </w:tc>
      </w:tr>
    </w:tbl>
    <w:p>
      <w:pPr>
        <w:spacing w:after="40"/>
      </w:pPr>
    </w:p>
    <w:p>
      <w:pPr>
        <w:spacing w:after="120" w:before="0"/>
      </w:pPr>
      <w:r>
        <w:rPr>
          <w:b w:val="0"/>
          <w:i/>
          <w:color w:val="6E7B77"/>
          <w:sz w:val="18"/>
        </w:rPr>
        <w:t>These are the preparer’s judgments, not market-implied probabilities. They are published so they can be argued with. Note event #9: we price the RTA ADDING gates as a NEGATIVE, which is the opposite of how the market would normally read a growth announcement. §1.2 is why.</w:t>
      </w:r>
    </w:p>
    <w:p>
      <w:pPr>
        <w:spacing w:after="80" w:before="180"/>
      </w:pPr>
      <w:r>
        <w:rPr>
          <w:b/>
          <w:i w:val="0"/>
          <w:color w:val="1C3A36"/>
          <w:sz w:val="23"/>
        </w:rPr>
        <w:t>The engine, and its calibration</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112"/>
        <w:gridCol w:w="5112"/>
      </w:tblGrid>
      <w:tr>
        <w:tc>
          <w:tcPr>
            <w:tcW w:type="dxa" w:w="6192"/>
            <w:shd w:val="clear" w:color="auto" w:fill="EAF0EE"/>
          </w:tcPr>
          <w:p>
            <w:pPr>
              <w:spacing w:after="20"/>
            </w:pPr>
            <w:r>
              <w:rPr>
                <w:b/>
                <w:color w:val="1C3A36"/>
                <w:sz w:val="17"/>
              </w:rPr>
              <w:t>Engine parameter</w:t>
            </w:r>
          </w:p>
        </w:tc>
        <w:tc>
          <w:tcPr>
            <w:tcW w:type="dxa" w:w="3888"/>
            <w:shd w:val="clear" w:color="auto" w:fill="EAF0EE"/>
          </w:tcPr>
          <w:p>
            <w:pPr>
              <w:spacing w:after="20"/>
            </w:pPr>
            <w:r>
              <w:rPr>
                <w:b/>
                <w:color w:val="1C3A36"/>
                <w:sz w:val="17"/>
              </w:rPr>
              <w:t>Value</w:t>
            </w:r>
          </w:p>
        </w:tc>
      </w:tr>
      <w:tr>
        <w:tc>
          <w:tcPr>
            <w:tcW w:type="dxa" w:w="6192"/>
          </w:tcPr>
          <w:p>
            <w:pPr>
              <w:spacing w:after="20"/>
            </w:pPr>
            <w:r>
              <w:rPr>
                <w:b/>
                <w:color w:val="1C3A36"/>
                <w:sz w:val="17"/>
              </w:rPr>
              <w:t>Engine</w:t>
            </w:r>
          </w:p>
        </w:tc>
        <w:tc>
          <w:tcPr>
            <w:tcW w:type="dxa" w:w="3888"/>
          </w:tcPr>
          <w:p>
            <w:pPr>
              <w:spacing w:after="20"/>
              <w:jc w:val="right"/>
            </w:pPr>
            <w:r>
              <w:rPr>
                <w:color w:val="1C3A36"/>
                <w:sz w:val="17"/>
              </w:rPr>
              <w:t>our Monte-Carlo engine — "carry-anchored YZ-HAR-t", read live from our calibration engine</w:t>
            </w:r>
          </w:p>
        </w:tc>
      </w:tr>
      <w:tr>
        <w:tc>
          <w:tcPr>
            <w:tcW w:type="dxa" w:w="6192"/>
          </w:tcPr>
          <w:p>
            <w:pPr>
              <w:spacing w:after="20"/>
            </w:pPr>
            <w:r>
              <w:rPr>
                <w:b/>
                <w:color w:val="1C3A36"/>
                <w:sz w:val="17"/>
              </w:rPr>
              <w:t>Market profile</w:t>
            </w:r>
          </w:p>
        </w:tc>
        <w:tc>
          <w:tcPr>
            <w:tcW w:type="dxa" w:w="3888"/>
          </w:tcPr>
          <w:p>
            <w:pPr>
              <w:spacing w:after="20"/>
              <w:jc w:val="right"/>
            </w:pPr>
            <w:r>
              <w:rPr>
                <w:color w:val="1C3A36"/>
                <w:sz w:val="17"/>
              </w:rPr>
              <w:t>UAE (ADX/DFM) — the same 14-name panel we used for the beta</w:t>
            </w:r>
          </w:p>
        </w:tc>
      </w:tr>
      <w:tr>
        <w:tc>
          <w:tcPr>
            <w:tcW w:type="dxa" w:w="6192"/>
          </w:tcPr>
          <w:p>
            <w:pPr>
              <w:spacing w:after="20"/>
            </w:pPr>
            <w:r>
              <w:rPr>
                <w:b/>
                <w:color w:val="1C3A36"/>
                <w:sz w:val="17"/>
              </w:rPr>
              <w:t>Tail parameter ν (fitted per-market, MLE on pooled residuals)</w:t>
            </w:r>
          </w:p>
        </w:tc>
        <w:tc>
          <w:tcPr>
            <w:tcW w:type="dxa" w:w="3888"/>
          </w:tcPr>
          <w:p>
            <w:pPr>
              <w:spacing w:after="20"/>
              <w:jc w:val="right"/>
            </w:pPr>
            <w:r>
              <w:rPr>
                <w:color w:val="1C3A36"/>
                <w:sz w:val="17"/>
              </w:rPr>
              <w:t>10</w:t>
            </w:r>
          </w:p>
        </w:tc>
      </w:tr>
      <w:tr>
        <w:tc>
          <w:tcPr>
            <w:tcW w:type="dxa" w:w="6192"/>
          </w:tcPr>
          <w:p>
            <w:pPr>
              <w:spacing w:after="20"/>
            </w:pPr>
            <w:r>
              <w:rPr>
                <w:b/>
                <w:color w:val="1C3A36"/>
                <w:sz w:val="17"/>
              </w:rPr>
              <w:t>Cone-width calibration (fitted)</w:t>
            </w:r>
          </w:p>
        </w:tc>
        <w:tc>
          <w:tcPr>
            <w:tcW w:type="dxa" w:w="3888"/>
          </w:tcPr>
          <w:p>
            <w:pPr>
              <w:spacing w:after="20"/>
              <w:jc w:val="right"/>
            </w:pPr>
            <w:r>
              <w:rPr>
                <w:color w:val="1C3A36"/>
                <w:sz w:val="17"/>
              </w:rPr>
              <w:t>1.049</w:t>
            </w:r>
          </w:p>
        </w:tc>
      </w:tr>
      <w:tr>
        <w:tc>
          <w:tcPr>
            <w:tcW w:type="dxa" w:w="6192"/>
          </w:tcPr>
          <w:p>
            <w:pPr>
              <w:spacing w:after="20"/>
            </w:pPr>
            <w:r>
              <w:rPr>
                <w:b/>
                <w:color w:val="1C3A36"/>
                <w:sz w:val="17"/>
              </w:rPr>
              <w:t>Signal</w:t>
            </w:r>
          </w:p>
        </w:tc>
        <w:tc>
          <w:tcPr>
            <w:tcW w:type="dxa" w:w="3888"/>
          </w:tcPr>
          <w:p>
            <w:pPr>
              <w:spacing w:after="20"/>
              <w:jc w:val="right"/>
            </w:pPr>
            <w:r>
              <w:rPr>
                <w:color w:val="1C3A36"/>
                <w:sz w:val="17"/>
              </w:rPr>
              <w:t>OFF. Every market in the system runs carry-only; the signal was ablated on evidence.</w:t>
            </w:r>
          </w:p>
        </w:tc>
      </w:tr>
      <w:tr>
        <w:tc>
          <w:tcPr>
            <w:tcW w:type="dxa" w:w="6192"/>
          </w:tcPr>
          <w:p>
            <w:pPr>
              <w:spacing w:after="20"/>
            </w:pPr>
            <w:r>
              <w:rPr>
                <w:b/>
                <w:color w:val="1C3A36"/>
                <w:sz w:val="17"/>
              </w:rPr>
              <w:t>Carry: rf (CBUAE base rate) less q (dividend yield)</w:t>
            </w:r>
          </w:p>
        </w:tc>
        <w:tc>
          <w:tcPr>
            <w:tcW w:type="dxa" w:w="3888"/>
          </w:tcPr>
          <w:p>
            <w:pPr>
              <w:spacing w:after="20"/>
              <w:jc w:val="right"/>
            </w:pPr>
            <w:r>
              <w:rPr>
                <w:color w:val="1C3A36"/>
                <w:sz w:val="17"/>
              </w:rPr>
              <w:t>3.6% − 3.9%</w:t>
            </w:r>
          </w:p>
        </w:tc>
      </w:tr>
      <w:tr>
        <w:tc>
          <w:tcPr>
            <w:tcW w:type="dxa" w:w="6192"/>
          </w:tcPr>
          <w:p>
            <w:pPr>
              <w:spacing w:after="20"/>
            </w:pPr>
            <w:r>
              <w:rPr>
                <w:b/>
                <w:color w:val="1C3A36"/>
                <w:sz w:val="17"/>
              </w:rPr>
              <w:t>Paths / seed</w:t>
            </w:r>
          </w:p>
        </w:tc>
        <w:tc>
          <w:tcPr>
            <w:tcW w:type="dxa" w:w="3888"/>
          </w:tcPr>
          <w:p>
            <w:pPr>
              <w:spacing w:after="20"/>
              <w:jc w:val="right"/>
            </w:pPr>
            <w:r>
              <w:rPr>
                <w:color w:val="1C3A36"/>
                <w:sz w:val="17"/>
              </w:rPr>
              <w:t>50,000 / 42</w:t>
            </w:r>
          </w:p>
        </w:tc>
      </w:tr>
    </w:tbl>
    <w:p>
      <w:pPr>
        <w:spacing w:after="40"/>
      </w:pPr>
    </w:p>
    <w:p>
      <w:pPr>
        <w:spacing w:after="120" w:before="0"/>
      </w:pPr>
      <w:r>
        <w:rPr>
          <w:b w:val="0"/>
          <w:i w:val="0"/>
          <w:color w:val="1C3A36"/>
          <w:sz w:val="19"/>
        </w:rPr>
        <w:t>Two honesty notes. First, ν is WEAKLY IDENTIFIED — on the UAE panel every value from 5 through the Gaussian limit sits inside the 95% likelihood interval, and ν trades off against the cone-width calibration. The PAIR is what is fitted; the honest object is the cone they jointly produce, not either coordinate alone. Second, and this one matters for how you read the bands below:</w:t>
      </w:r>
    </w:p>
    <w:tbl>
      <w:tblPr>
        <w:tblW w:type="auto" w:w="0"/>
        <w:tblLook w:firstColumn="1" w:firstRow="1" w:lastColumn="0" w:lastRow="0" w:noHBand="0" w:noVBand="1" w:val="04A0"/>
        <w:tblBorders>
          <w:top w:val="single" w:sz="6" w:space="0" w:color="896F36"/>
          <w:left w:val="single" w:sz="6" w:space="0" w:color="896F36"/>
          <w:bottom w:val="single" w:sz="6" w:space="0" w:color="896F36"/>
          <w:right w:val="single" w:sz="6" w:space="0" w:color="896F36"/>
          <w:insideH w:val="single" w:sz="6" w:space="0" w:color="896F36"/>
          <w:insideV w:val="single" w:sz="6" w:space="0" w:color="896F36"/>
        </w:tblBorders>
        <w:tblCellMar>
          <w:top w:w="110" w:type="dxa"/>
          <w:left w:w="150" w:type="dxa"/>
          <w:bottom w:w="110" w:type="dxa"/>
          <w:right w:w="150" w:type="dxa"/>
        </w:tblCellMar>
      </w:tblPr>
      <w:tblGrid>
        <w:gridCol w:w="10224"/>
      </w:tblGrid>
      <w:tr>
        <w:tc>
          <w:tcPr>
            <w:tcW w:type="dxa" w:w="10224"/>
            <w:shd w:val="clear" w:color="auto" w:fill="EFF3F1"/>
          </w:tcPr>
          <w:p>
            <w:pPr>
              <w:spacing w:after="100"/>
            </w:pPr>
            <w:r>
              <w:rPr>
                <w:b/>
                <w:color w:val="1C3A36"/>
                <w:sz w:val="19"/>
              </w:rPr>
              <w:t xml:space="preserve">the calibration back-test — the calibration gate, and what it says about these bands. </w:t>
            </w:r>
            <w:r>
              <w:rPr>
                <w:color w:val="1C3A36"/>
                <w:sz w:val="19"/>
              </w:rPr>
              <w:t>SALIK was back-tested over 11 non-overlapping 60-session windows against a carry-anchored lognormal random walk. Verdict: PARITY — robust across bootstrap block sizes 2, 3 and 4. That means the engine is calibrated and market-panel validated, but has NO demonstrated single-name edge on SALIK. We publish under the calibrated-but-no-edge tier and we do not dress it up. Two caveats you are owed. (1) Eleven windows is a short panel: SALIK listed on 29 September 2022, so the standard five-year walk-forward truncates to 3.8 years, and after the 260-session burn-in only eleven windows remain. (2) The cone is OVER-COVERED: every single realised outcome fell inside the 90% band (coverage 1.00 against a 0.90 target), and the band runs 1.26× as wide as the benchmark’s. Read the 90% intervals below as GENEROUS, not tight. This is a known open item in the engine — a name-level width calibration, shrunk toward the market fit, is the proposed fix, and it is not yet built.</w:t>
            </w:r>
          </w:p>
        </w:tc>
      </w:tr>
    </w:tbl>
    <w:p>
      <w:pPr>
        <w:spacing w:after="40"/>
      </w:pPr>
    </w:p>
    <w:p>
      <w:pPr>
        <w:spacing w:after="80" w:before="180"/>
      </w:pPr>
      <w:r>
        <w:rPr>
          <w:b/>
          <w:i w:val="0"/>
          <w:color w:val="1C3A36"/>
          <w:sz w:val="23"/>
        </w:rPr>
        <w:t>The percentile map</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56"/>
        <w:gridCol w:w="2556"/>
        <w:gridCol w:w="2556"/>
        <w:gridCol w:w="2556"/>
      </w:tblGrid>
      <w:tr>
        <w:tc>
          <w:tcPr>
            <w:tcW w:type="dxa" w:w="1872"/>
            <w:shd w:val="clear" w:color="auto" w:fill="EAF0EE"/>
          </w:tcPr>
          <w:p>
            <w:pPr>
              <w:spacing w:after="20"/>
            </w:pPr>
            <w:r>
              <w:rPr>
                <w:b/>
                <w:color w:val="1C3A36"/>
                <w:sz w:val="17"/>
              </w:rPr>
              <w:t>Percentile</w:t>
            </w:r>
          </w:p>
        </w:tc>
        <w:tc>
          <w:tcPr>
            <w:tcW w:type="dxa" w:w="1728"/>
            <w:shd w:val="clear" w:color="auto" w:fill="EAF0EE"/>
          </w:tcPr>
          <w:p>
            <w:pPr>
              <w:spacing w:after="20"/>
            </w:pPr>
            <w:r>
              <w:rPr>
                <w:b/>
                <w:color w:val="1C3A36"/>
                <w:sz w:val="17"/>
              </w:rPr>
              <w:t>T+20 (AED)</w:t>
            </w:r>
          </w:p>
        </w:tc>
        <w:tc>
          <w:tcPr>
            <w:tcW w:type="dxa" w:w="1728"/>
            <w:shd w:val="clear" w:color="auto" w:fill="EAF0EE"/>
          </w:tcPr>
          <w:p>
            <w:pPr>
              <w:spacing w:after="20"/>
            </w:pPr>
            <w:r>
              <w:rPr>
                <w:b/>
                <w:color w:val="1C3A36"/>
                <w:sz w:val="17"/>
              </w:rPr>
              <w:t>T+60 (AED)</w:t>
            </w:r>
          </w:p>
        </w:tc>
        <w:tc>
          <w:tcPr>
            <w:tcW w:type="dxa" w:w="1872"/>
            <w:shd w:val="clear" w:color="auto" w:fill="EAF0EE"/>
          </w:tcPr>
          <w:p>
            <w:pPr>
              <w:spacing w:after="20"/>
            </w:pPr>
            <w:r>
              <w:rPr>
                <w:b/>
                <w:color w:val="1C3A36"/>
                <w:sz w:val="17"/>
              </w:rPr>
              <w:t>T+60 vs spot</w:t>
            </w:r>
          </w:p>
        </w:tc>
      </w:tr>
      <w:tr>
        <w:tc>
          <w:tcPr>
            <w:tcW w:type="dxa" w:w="1872"/>
          </w:tcPr>
          <w:p>
            <w:pPr>
              <w:spacing w:after="20"/>
            </w:pPr>
            <w:r>
              <w:rPr>
                <w:b/>
                <w:color w:val="1C3A36"/>
                <w:sz w:val="17"/>
              </w:rPr>
              <w:t>5%</w:t>
            </w:r>
          </w:p>
        </w:tc>
        <w:tc>
          <w:tcPr>
            <w:tcW w:type="dxa" w:w="1728"/>
          </w:tcPr>
          <w:p>
            <w:pPr>
              <w:spacing w:after="20"/>
              <w:jc w:val="right"/>
            </w:pPr>
            <w:r>
              <w:rPr>
                <w:color w:val="1C3A36"/>
                <w:sz w:val="17"/>
              </w:rPr>
              <w:t>4.94</w:t>
            </w:r>
          </w:p>
        </w:tc>
        <w:tc>
          <w:tcPr>
            <w:tcW w:type="dxa" w:w="1728"/>
          </w:tcPr>
          <w:p>
            <w:pPr>
              <w:spacing w:after="20"/>
              <w:jc w:val="right"/>
            </w:pPr>
            <w:r>
              <w:rPr>
                <w:color w:val="1C3A36"/>
                <w:sz w:val="17"/>
              </w:rPr>
              <w:t>4.42</w:t>
            </w:r>
          </w:p>
        </w:tc>
        <w:tc>
          <w:tcPr>
            <w:tcW w:type="dxa" w:w="1872"/>
          </w:tcPr>
          <w:p>
            <w:pPr>
              <w:spacing w:after="20"/>
              <w:jc w:val="right"/>
            </w:pPr>
            <w:r>
              <w:rPr>
                <w:color w:val="1C3A36"/>
                <w:sz w:val="17"/>
              </w:rPr>
              <w:t>-22.4%</w:t>
            </w:r>
          </w:p>
        </w:tc>
      </w:tr>
      <w:tr>
        <w:tc>
          <w:tcPr>
            <w:tcW w:type="dxa" w:w="1872"/>
          </w:tcPr>
          <w:p>
            <w:pPr>
              <w:spacing w:after="20"/>
            </w:pPr>
            <w:r>
              <w:rPr>
                <w:b/>
                <w:color w:val="1C3A36"/>
                <w:sz w:val="17"/>
              </w:rPr>
              <w:t>10%</w:t>
            </w:r>
          </w:p>
        </w:tc>
        <w:tc>
          <w:tcPr>
            <w:tcW w:type="dxa" w:w="1728"/>
          </w:tcPr>
          <w:p>
            <w:pPr>
              <w:spacing w:after="20"/>
              <w:jc w:val="right"/>
            </w:pPr>
            <w:r>
              <w:rPr>
                <w:color w:val="1C3A36"/>
                <w:sz w:val="17"/>
              </w:rPr>
              <w:t>5.12</w:t>
            </w:r>
          </w:p>
        </w:tc>
        <w:tc>
          <w:tcPr>
            <w:tcW w:type="dxa" w:w="1728"/>
          </w:tcPr>
          <w:p>
            <w:pPr>
              <w:spacing w:after="20"/>
              <w:jc w:val="right"/>
            </w:pPr>
            <w:r>
              <w:rPr>
                <w:color w:val="1C3A36"/>
                <w:sz w:val="17"/>
              </w:rPr>
              <w:t>4.71</w:t>
            </w:r>
          </w:p>
        </w:tc>
        <w:tc>
          <w:tcPr>
            <w:tcW w:type="dxa" w:w="1872"/>
          </w:tcPr>
          <w:p>
            <w:pPr>
              <w:spacing w:after="20"/>
              <w:jc w:val="right"/>
            </w:pPr>
            <w:r>
              <w:rPr>
                <w:color w:val="1C3A36"/>
                <w:sz w:val="17"/>
              </w:rPr>
              <w:t>-17.4%</w:t>
            </w:r>
          </w:p>
        </w:tc>
      </w:tr>
      <w:tr>
        <w:tc>
          <w:tcPr>
            <w:tcW w:type="dxa" w:w="1872"/>
          </w:tcPr>
          <w:p>
            <w:pPr>
              <w:spacing w:after="20"/>
            </w:pPr>
            <w:r>
              <w:rPr>
                <w:b/>
                <w:color w:val="1C3A36"/>
                <w:sz w:val="17"/>
              </w:rPr>
              <w:t>25%</w:t>
            </w:r>
          </w:p>
        </w:tc>
        <w:tc>
          <w:tcPr>
            <w:tcW w:type="dxa" w:w="1728"/>
          </w:tcPr>
          <w:p>
            <w:pPr>
              <w:spacing w:after="20"/>
              <w:jc w:val="right"/>
            </w:pPr>
            <w:r>
              <w:rPr>
                <w:color w:val="1C3A36"/>
                <w:sz w:val="17"/>
              </w:rPr>
              <w:t>5.40</w:t>
            </w:r>
          </w:p>
        </w:tc>
        <w:tc>
          <w:tcPr>
            <w:tcW w:type="dxa" w:w="1728"/>
          </w:tcPr>
          <w:p>
            <w:pPr>
              <w:spacing w:after="20"/>
              <w:jc w:val="right"/>
            </w:pPr>
            <w:r>
              <w:rPr>
                <w:color w:val="1C3A36"/>
                <w:sz w:val="17"/>
              </w:rPr>
              <w:t>5.17</w:t>
            </w:r>
          </w:p>
        </w:tc>
        <w:tc>
          <w:tcPr>
            <w:tcW w:type="dxa" w:w="1872"/>
          </w:tcPr>
          <w:p>
            <w:pPr>
              <w:spacing w:after="20"/>
              <w:jc w:val="right"/>
            </w:pPr>
            <w:r>
              <w:rPr>
                <w:color w:val="1C3A36"/>
                <w:sz w:val="17"/>
              </w:rPr>
              <w:t>-9.3%</w:t>
            </w:r>
          </w:p>
        </w:tc>
      </w:tr>
      <w:tr>
        <w:tc>
          <w:tcPr>
            <w:tcW w:type="dxa" w:w="1872"/>
          </w:tcPr>
          <w:p>
            <w:pPr>
              <w:spacing w:after="20"/>
            </w:pPr>
            <w:r>
              <w:rPr>
                <w:b/>
                <w:color w:val="1C3A36"/>
                <w:sz w:val="17"/>
              </w:rPr>
              <w:t>50%</w:t>
            </w:r>
          </w:p>
        </w:tc>
        <w:tc>
          <w:tcPr>
            <w:tcW w:type="dxa" w:w="1728"/>
          </w:tcPr>
          <w:p>
            <w:pPr>
              <w:spacing w:after="20"/>
              <w:jc w:val="right"/>
            </w:pPr>
            <w:r>
              <w:rPr>
                <w:color w:val="1C3A36"/>
                <w:sz w:val="17"/>
              </w:rPr>
              <w:t>5.70</w:t>
            </w:r>
          </w:p>
        </w:tc>
        <w:tc>
          <w:tcPr>
            <w:tcW w:type="dxa" w:w="1728"/>
          </w:tcPr>
          <w:p>
            <w:pPr>
              <w:spacing w:after="20"/>
              <w:jc w:val="right"/>
            </w:pPr>
            <w:r>
              <w:rPr>
                <w:color w:val="1C3A36"/>
                <w:sz w:val="17"/>
              </w:rPr>
              <w:t>5.69</w:t>
            </w:r>
          </w:p>
        </w:tc>
        <w:tc>
          <w:tcPr>
            <w:tcW w:type="dxa" w:w="1872"/>
          </w:tcPr>
          <w:p>
            <w:pPr>
              <w:spacing w:after="20"/>
              <w:jc w:val="right"/>
            </w:pPr>
            <w:r>
              <w:rPr>
                <w:color w:val="1C3A36"/>
                <w:sz w:val="17"/>
              </w:rPr>
              <w:t>-0.1%</w:t>
            </w:r>
          </w:p>
        </w:tc>
      </w:tr>
      <w:tr>
        <w:tc>
          <w:tcPr>
            <w:tcW w:type="dxa" w:w="1872"/>
          </w:tcPr>
          <w:p>
            <w:pPr>
              <w:spacing w:after="20"/>
            </w:pPr>
            <w:r>
              <w:rPr>
                <w:b/>
                <w:color w:val="1C3A36"/>
                <w:sz w:val="17"/>
              </w:rPr>
              <w:t>75%</w:t>
            </w:r>
          </w:p>
        </w:tc>
        <w:tc>
          <w:tcPr>
            <w:tcW w:type="dxa" w:w="1728"/>
          </w:tcPr>
          <w:p>
            <w:pPr>
              <w:spacing w:after="20"/>
              <w:jc w:val="right"/>
            </w:pPr>
            <w:r>
              <w:rPr>
                <w:color w:val="1C3A36"/>
                <w:sz w:val="17"/>
              </w:rPr>
              <w:t>6.02</w:t>
            </w:r>
          </w:p>
        </w:tc>
        <w:tc>
          <w:tcPr>
            <w:tcW w:type="dxa" w:w="1728"/>
          </w:tcPr>
          <w:p>
            <w:pPr>
              <w:spacing w:after="20"/>
              <w:jc w:val="right"/>
            </w:pPr>
            <w:r>
              <w:rPr>
                <w:color w:val="1C3A36"/>
                <w:sz w:val="17"/>
              </w:rPr>
              <w:t>6.28</w:t>
            </w:r>
          </w:p>
        </w:tc>
        <w:tc>
          <w:tcPr>
            <w:tcW w:type="dxa" w:w="1872"/>
          </w:tcPr>
          <w:p>
            <w:pPr>
              <w:spacing w:after="20"/>
              <w:jc w:val="right"/>
            </w:pPr>
            <w:r>
              <w:rPr>
                <w:color w:val="1C3A36"/>
                <w:sz w:val="17"/>
              </w:rPr>
              <w:t>+10.1%</w:t>
            </w:r>
          </w:p>
        </w:tc>
      </w:tr>
      <w:tr>
        <w:tc>
          <w:tcPr>
            <w:tcW w:type="dxa" w:w="1872"/>
          </w:tcPr>
          <w:p>
            <w:pPr>
              <w:spacing w:after="20"/>
            </w:pPr>
            <w:r>
              <w:rPr>
                <w:b/>
                <w:color w:val="1C3A36"/>
                <w:sz w:val="17"/>
              </w:rPr>
              <w:t>90%</w:t>
            </w:r>
          </w:p>
        </w:tc>
        <w:tc>
          <w:tcPr>
            <w:tcW w:type="dxa" w:w="1728"/>
          </w:tcPr>
          <w:p>
            <w:pPr>
              <w:spacing w:after="20"/>
              <w:jc w:val="right"/>
            </w:pPr>
            <w:r>
              <w:rPr>
                <w:color w:val="1C3A36"/>
                <w:sz w:val="17"/>
              </w:rPr>
              <w:t>6.35</w:t>
            </w:r>
          </w:p>
        </w:tc>
        <w:tc>
          <w:tcPr>
            <w:tcW w:type="dxa" w:w="1728"/>
          </w:tcPr>
          <w:p>
            <w:pPr>
              <w:spacing w:after="20"/>
              <w:jc w:val="right"/>
            </w:pPr>
            <w:r>
              <w:rPr>
                <w:color w:val="1C3A36"/>
                <w:sz w:val="17"/>
              </w:rPr>
              <w:t>6.90</w:t>
            </w:r>
          </w:p>
        </w:tc>
        <w:tc>
          <w:tcPr>
            <w:tcW w:type="dxa" w:w="1872"/>
          </w:tcPr>
          <w:p>
            <w:pPr>
              <w:spacing w:after="20"/>
              <w:jc w:val="right"/>
            </w:pPr>
            <w:r>
              <w:rPr>
                <w:color w:val="1C3A36"/>
                <w:sz w:val="17"/>
              </w:rPr>
              <w:t>+21.1%</w:t>
            </w:r>
          </w:p>
        </w:tc>
      </w:tr>
      <w:tr>
        <w:tc>
          <w:tcPr>
            <w:tcW w:type="dxa" w:w="1872"/>
          </w:tcPr>
          <w:p>
            <w:pPr>
              <w:spacing w:after="20"/>
            </w:pPr>
            <w:r>
              <w:rPr>
                <w:b/>
                <w:color w:val="1C3A36"/>
                <w:sz w:val="17"/>
              </w:rPr>
              <w:t>95%</w:t>
            </w:r>
          </w:p>
        </w:tc>
        <w:tc>
          <w:tcPr>
            <w:tcW w:type="dxa" w:w="1728"/>
          </w:tcPr>
          <w:p>
            <w:pPr>
              <w:spacing w:after="20"/>
              <w:jc w:val="right"/>
            </w:pPr>
            <w:r>
              <w:rPr>
                <w:color w:val="1C3A36"/>
                <w:sz w:val="17"/>
              </w:rPr>
              <w:t>6.57</w:t>
            </w:r>
          </w:p>
        </w:tc>
        <w:tc>
          <w:tcPr>
            <w:tcW w:type="dxa" w:w="1728"/>
          </w:tcPr>
          <w:p>
            <w:pPr>
              <w:spacing w:after="20"/>
              <w:jc w:val="right"/>
            </w:pPr>
            <w:r>
              <w:rPr>
                <w:color w:val="1C3A36"/>
                <w:sz w:val="17"/>
              </w:rPr>
              <w:t>7.34</w:t>
            </w:r>
          </w:p>
        </w:tc>
        <w:tc>
          <w:tcPr>
            <w:tcW w:type="dxa" w:w="1872"/>
          </w:tcPr>
          <w:p>
            <w:pPr>
              <w:spacing w:after="20"/>
              <w:jc w:val="right"/>
            </w:pPr>
            <w:r>
              <w:rPr>
                <w:color w:val="1C3A36"/>
                <w:sz w:val="17"/>
              </w:rPr>
              <w:t>+28.7%</w:t>
            </w:r>
          </w:p>
        </w:tc>
      </w:tr>
    </w:tbl>
    <w:p>
      <w:pPr>
        <w:spacing w:after="40"/>
      </w:pPr>
    </w:p>
    <w:p>
      <w:pPr>
        <w:spacing w:after="40"/>
        <w:jc w:val="center"/>
      </w:pPr>
      <w:r>
        <w:drawing>
          <wp:inline xmlns:a="http://schemas.openxmlformats.org/drawingml/2006/main" xmlns:pic="http://schemas.openxmlformats.org/drawingml/2006/picture">
            <wp:extent cx="6309360" cy="2500590"/>
            <wp:docPr id="10" name="Picture 10"/>
            <wp:cNvGraphicFramePr>
              <a:graphicFrameLocks noChangeAspect="1"/>
            </wp:cNvGraphicFramePr>
            <a:graphic>
              <a:graphicData uri="http://schemas.openxmlformats.org/drawingml/2006/picture">
                <pic:pic>
                  <pic:nvPicPr>
                    <pic:cNvPr id="0" name="f9_cone.png"/>
                    <pic:cNvPicPr/>
                  </pic:nvPicPr>
                  <pic:blipFill>
                    <a:blip r:embed="rId18"/>
                    <a:stretch>
                      <a:fillRect/>
                    </a:stretch>
                  </pic:blipFill>
                  <pic:spPr>
                    <a:xfrm>
                      <a:off x="0" y="0"/>
                      <a:ext cx="6309360" cy="2500590"/>
                    </a:xfrm>
                    <a:prstGeom prst="rect"/>
                  </pic:spPr>
                </pic:pic>
              </a:graphicData>
            </a:graphic>
          </wp:inline>
        </w:drawing>
      </w:r>
    </w:p>
    <w:p>
      <w:pPr>
        <w:spacing w:after="180" w:before="0"/>
      </w:pPr>
      <w:r>
        <w:rPr>
          <w:b w:val="0"/>
          <w:i/>
          <w:color w:val="6E7B77"/>
          <w:sz w:val="17"/>
        </w:rPr>
        <w:t>Figure 9 · The forward cone to T+60, with our weighted central fair value marked. Note the price distribution and the value estimate are computed from entirely separate machinery.</w:t>
      </w:r>
    </w:p>
    <w:p>
      <w:pPr>
        <w:spacing w:after="40"/>
        <w:jc w:val="center"/>
      </w:pPr>
      <w:r>
        <w:drawing>
          <wp:inline xmlns:a="http://schemas.openxmlformats.org/drawingml/2006/main" xmlns:pic="http://schemas.openxmlformats.org/drawingml/2006/picture">
            <wp:extent cx="6309360" cy="2169926"/>
            <wp:docPr id="11" name="Picture 11"/>
            <wp:cNvGraphicFramePr>
              <a:graphicFrameLocks noChangeAspect="1"/>
            </wp:cNvGraphicFramePr>
            <a:graphic>
              <a:graphicData uri="http://schemas.openxmlformats.org/drawingml/2006/picture">
                <pic:pic>
                  <pic:nvPicPr>
                    <pic:cNvPr id="0" name="f10_t20.png"/>
                    <pic:cNvPicPr/>
                  </pic:nvPicPr>
                  <pic:blipFill>
                    <a:blip r:embed="rId19"/>
                    <a:stretch>
                      <a:fillRect/>
                    </a:stretch>
                  </pic:blipFill>
                  <pic:spPr>
                    <a:xfrm>
                      <a:off x="0" y="0"/>
                      <a:ext cx="6309360" cy="2169926"/>
                    </a:xfrm>
                    <a:prstGeom prst="rect"/>
                  </pic:spPr>
                </pic:pic>
              </a:graphicData>
            </a:graphic>
          </wp:inline>
        </w:drawing>
      </w:r>
    </w:p>
    <w:p>
      <w:pPr>
        <w:spacing w:after="180" w:before="0"/>
      </w:pPr>
      <w:r>
        <w:rPr>
          <w:b w:val="0"/>
          <w:i/>
          <w:color w:val="6E7B77"/>
          <w:sz w:val="17"/>
        </w:rPr>
        <w:t>Figure 10 · The T+20 distribution (7 August 2026).</w:t>
      </w:r>
    </w:p>
    <w:p>
      <w:pPr>
        <w:spacing w:after="40"/>
        <w:jc w:val="center"/>
      </w:pPr>
      <w:r>
        <w:drawing>
          <wp:inline xmlns:a="http://schemas.openxmlformats.org/drawingml/2006/main" xmlns:pic="http://schemas.openxmlformats.org/drawingml/2006/picture">
            <wp:extent cx="6309360" cy="2169926"/>
            <wp:docPr id="12" name="Picture 12"/>
            <wp:cNvGraphicFramePr>
              <a:graphicFrameLocks noChangeAspect="1"/>
            </wp:cNvGraphicFramePr>
            <a:graphic>
              <a:graphicData uri="http://schemas.openxmlformats.org/drawingml/2006/picture">
                <pic:pic>
                  <pic:nvPicPr>
                    <pic:cNvPr id="0" name="f11_t60.png"/>
                    <pic:cNvPicPr/>
                  </pic:nvPicPr>
                  <pic:blipFill>
                    <a:blip r:embed="rId20"/>
                    <a:stretch>
                      <a:fillRect/>
                    </a:stretch>
                  </pic:blipFill>
                  <pic:spPr>
                    <a:xfrm>
                      <a:off x="0" y="0"/>
                      <a:ext cx="6309360" cy="2169926"/>
                    </a:xfrm>
                    <a:prstGeom prst="rect"/>
                  </pic:spPr>
                </pic:pic>
              </a:graphicData>
            </a:graphic>
          </wp:inline>
        </w:drawing>
      </w:r>
    </w:p>
    <w:p>
      <w:pPr>
        <w:spacing w:after="180" w:before="0"/>
      </w:pPr>
      <w:r>
        <w:rPr>
          <w:b w:val="0"/>
          <w:i/>
          <w:color w:val="6E7B77"/>
          <w:sz w:val="17"/>
        </w:rPr>
        <w:t>Figure 11 · The T+60 distribution (2 October 2026).</w:t>
      </w:r>
    </w:p>
    <w:p>
      <w:pPr>
        <w:spacing w:after="80" w:before="180"/>
      </w:pPr>
      <w:r>
        <w:rPr>
          <w:b/>
          <w:i w:val="0"/>
          <w:color w:val="1C3A36"/>
          <w:sz w:val="23"/>
        </w:rPr>
        <w:t>Touch-probability ladder — both horizons</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56"/>
        <w:gridCol w:w="2556"/>
        <w:gridCol w:w="2556"/>
        <w:gridCol w:w="2556"/>
      </w:tblGrid>
      <w:tr>
        <w:tc>
          <w:tcPr>
            <w:tcW w:type="dxa" w:w="1872"/>
            <w:shd w:val="clear" w:color="auto" w:fill="EAF0EE"/>
          </w:tcPr>
          <w:p>
            <w:pPr>
              <w:spacing w:after="20"/>
            </w:pPr>
            <w:r>
              <w:rPr>
                <w:b/>
                <w:color w:val="1C3A36"/>
                <w:sz w:val="17"/>
              </w:rPr>
              <w:t>Level</w:t>
            </w:r>
          </w:p>
        </w:tc>
        <w:tc>
          <w:tcPr>
            <w:tcW w:type="dxa" w:w="1872"/>
            <w:shd w:val="clear" w:color="auto" w:fill="EAF0EE"/>
          </w:tcPr>
          <w:p>
            <w:pPr>
              <w:spacing w:after="20"/>
            </w:pPr>
            <w:r>
              <w:rPr>
                <w:b/>
                <w:color w:val="1C3A36"/>
                <w:sz w:val="17"/>
              </w:rPr>
              <w:t>vs spot</w:t>
            </w:r>
          </w:p>
        </w:tc>
        <w:tc>
          <w:tcPr>
            <w:tcW w:type="dxa" w:w="2088"/>
            <w:shd w:val="clear" w:color="auto" w:fill="EAF0EE"/>
          </w:tcPr>
          <w:p>
            <w:pPr>
              <w:spacing w:after="20"/>
            </w:pPr>
            <w:r>
              <w:rPr>
                <w:b/>
                <w:color w:val="1C3A36"/>
                <w:sz w:val="17"/>
              </w:rPr>
              <w:t>P(touch by T+20)</w:t>
            </w:r>
          </w:p>
        </w:tc>
        <w:tc>
          <w:tcPr>
            <w:tcW w:type="dxa" w:w="2088"/>
            <w:shd w:val="clear" w:color="auto" w:fill="EAF0EE"/>
          </w:tcPr>
          <w:p>
            <w:pPr>
              <w:spacing w:after="20"/>
            </w:pPr>
            <w:r>
              <w:rPr>
                <w:b/>
                <w:color w:val="1C3A36"/>
                <w:sz w:val="17"/>
              </w:rPr>
              <w:t>P(touch by T+60)</w:t>
            </w:r>
          </w:p>
        </w:tc>
      </w:tr>
      <w:tr>
        <w:tc>
          <w:tcPr>
            <w:tcW w:type="dxa" w:w="1872"/>
          </w:tcPr>
          <w:p>
            <w:pPr>
              <w:spacing w:after="20"/>
            </w:pPr>
            <w:r>
              <w:rPr>
                <w:b/>
                <w:color w:val="1C3A36"/>
                <w:sz w:val="17"/>
              </w:rPr>
              <w:t>AED 4.50</w:t>
            </w:r>
          </w:p>
        </w:tc>
        <w:tc>
          <w:tcPr>
            <w:tcW w:type="dxa" w:w="1872"/>
          </w:tcPr>
          <w:p>
            <w:pPr>
              <w:spacing w:after="20"/>
              <w:jc w:val="right"/>
            </w:pPr>
            <w:r>
              <w:rPr>
                <w:color w:val="1C3A36"/>
                <w:sz w:val="17"/>
              </w:rPr>
              <w:t>-21.1%</w:t>
            </w:r>
          </w:p>
        </w:tc>
        <w:tc>
          <w:tcPr>
            <w:tcW w:type="dxa" w:w="2088"/>
          </w:tcPr>
          <w:p>
            <w:pPr>
              <w:spacing w:after="20"/>
              <w:jc w:val="right"/>
            </w:pPr>
            <w:r>
              <w:rPr>
                <w:color w:val="1C3A36"/>
                <w:sz w:val="17"/>
              </w:rPr>
              <w:t>0.9%</w:t>
            </w:r>
          </w:p>
        </w:tc>
        <w:tc>
          <w:tcPr>
            <w:tcW w:type="dxa" w:w="2088"/>
          </w:tcPr>
          <w:p>
            <w:pPr>
              <w:spacing w:after="20"/>
              <w:jc w:val="right"/>
            </w:pPr>
            <w:r>
              <w:rPr>
                <w:color w:val="1C3A36"/>
                <w:sz w:val="17"/>
              </w:rPr>
              <w:t>9.9%</w:t>
            </w:r>
          </w:p>
        </w:tc>
      </w:tr>
      <w:tr>
        <w:tc>
          <w:tcPr>
            <w:tcW w:type="dxa" w:w="1872"/>
          </w:tcPr>
          <w:p>
            <w:pPr>
              <w:spacing w:after="20"/>
            </w:pPr>
            <w:r>
              <w:rPr>
                <w:b/>
                <w:color w:val="1C3A36"/>
                <w:sz w:val="17"/>
              </w:rPr>
              <w:t>AED 5.00</w:t>
            </w:r>
          </w:p>
        </w:tc>
        <w:tc>
          <w:tcPr>
            <w:tcW w:type="dxa" w:w="1872"/>
          </w:tcPr>
          <w:p>
            <w:pPr>
              <w:spacing w:after="20"/>
              <w:jc w:val="right"/>
            </w:pPr>
            <w:r>
              <w:rPr>
                <w:color w:val="1C3A36"/>
                <w:sz w:val="17"/>
              </w:rPr>
              <w:t>-12.3%</w:t>
            </w:r>
          </w:p>
        </w:tc>
        <w:tc>
          <w:tcPr>
            <w:tcW w:type="dxa" w:w="2088"/>
          </w:tcPr>
          <w:p>
            <w:pPr>
              <w:spacing w:after="20"/>
              <w:jc w:val="right"/>
            </w:pPr>
            <w:r>
              <w:rPr>
                <w:color w:val="1C3A36"/>
                <w:sz w:val="17"/>
              </w:rPr>
              <w:t>10.4%</w:t>
            </w:r>
          </w:p>
        </w:tc>
        <w:tc>
          <w:tcPr>
            <w:tcW w:type="dxa" w:w="2088"/>
          </w:tcPr>
          <w:p>
            <w:pPr>
              <w:spacing w:after="20"/>
              <w:jc w:val="right"/>
            </w:pPr>
            <w:r>
              <w:rPr>
                <w:color w:val="1C3A36"/>
                <w:sz w:val="17"/>
              </w:rPr>
              <w:t>33.2%</w:t>
            </w:r>
          </w:p>
        </w:tc>
      </w:tr>
      <w:tr>
        <w:tc>
          <w:tcPr>
            <w:tcW w:type="dxa" w:w="1872"/>
          </w:tcPr>
          <w:p>
            <w:pPr>
              <w:spacing w:after="20"/>
            </w:pPr>
            <w:r>
              <w:rPr>
                <w:b/>
                <w:color w:val="1C3A36"/>
                <w:sz w:val="17"/>
              </w:rPr>
              <w:t>AED 5.25</w:t>
            </w:r>
          </w:p>
        </w:tc>
        <w:tc>
          <w:tcPr>
            <w:tcW w:type="dxa" w:w="1872"/>
          </w:tcPr>
          <w:p>
            <w:pPr>
              <w:spacing w:after="20"/>
              <w:jc w:val="right"/>
            </w:pPr>
            <w:r>
              <w:rPr>
                <w:color w:val="1C3A36"/>
                <w:sz w:val="17"/>
              </w:rPr>
              <w:t>-7.9%</w:t>
            </w:r>
          </w:p>
        </w:tc>
        <w:tc>
          <w:tcPr>
            <w:tcW w:type="dxa" w:w="2088"/>
          </w:tcPr>
          <w:p>
            <w:pPr>
              <w:spacing w:after="20"/>
              <w:jc w:val="right"/>
            </w:pPr>
            <w:r>
              <w:rPr>
                <w:color w:val="1C3A36"/>
                <w:sz w:val="17"/>
              </w:rPr>
              <w:t>27.2%</w:t>
            </w:r>
          </w:p>
        </w:tc>
        <w:tc>
          <w:tcPr>
            <w:tcW w:type="dxa" w:w="2088"/>
          </w:tcPr>
          <w:p>
            <w:pPr>
              <w:spacing w:after="20"/>
              <w:jc w:val="right"/>
            </w:pPr>
            <w:r>
              <w:rPr>
                <w:color w:val="1C3A36"/>
                <w:sz w:val="17"/>
              </w:rPr>
              <w:t>52.0%</w:t>
            </w:r>
          </w:p>
        </w:tc>
      </w:tr>
      <w:tr>
        <w:tc>
          <w:tcPr>
            <w:tcW w:type="dxa" w:w="1872"/>
          </w:tcPr>
          <w:p>
            <w:pPr>
              <w:spacing w:after="20"/>
            </w:pPr>
            <w:r>
              <w:rPr>
                <w:b/>
                <w:color w:val="1C3A36"/>
                <w:sz w:val="17"/>
              </w:rPr>
              <w:t>AED 5.50</w:t>
            </w:r>
          </w:p>
        </w:tc>
        <w:tc>
          <w:tcPr>
            <w:tcW w:type="dxa" w:w="1872"/>
          </w:tcPr>
          <w:p>
            <w:pPr>
              <w:spacing w:after="20"/>
              <w:jc w:val="right"/>
            </w:pPr>
            <w:r>
              <w:rPr>
                <w:color w:val="1C3A36"/>
                <w:sz w:val="17"/>
              </w:rPr>
              <w:t>-3.5%</w:t>
            </w:r>
          </w:p>
        </w:tc>
        <w:tc>
          <w:tcPr>
            <w:tcW w:type="dxa" w:w="2088"/>
          </w:tcPr>
          <w:p>
            <w:pPr>
              <w:spacing w:after="20"/>
              <w:jc w:val="right"/>
            </w:pPr>
            <w:r>
              <w:rPr>
                <w:color w:val="1C3A36"/>
                <w:sz w:val="17"/>
              </w:rPr>
              <w:t>57.6%</w:t>
            </w:r>
          </w:p>
        </w:tc>
        <w:tc>
          <w:tcPr>
            <w:tcW w:type="dxa" w:w="2088"/>
          </w:tcPr>
          <w:p>
            <w:pPr>
              <w:spacing w:after="20"/>
              <w:jc w:val="right"/>
            </w:pPr>
            <w:r>
              <w:rPr>
                <w:color w:val="1C3A36"/>
                <w:sz w:val="17"/>
              </w:rPr>
              <w:t>74.7%</w:t>
            </w:r>
          </w:p>
        </w:tc>
      </w:tr>
      <w:tr>
        <w:tc>
          <w:tcPr>
            <w:tcW w:type="dxa" w:w="1872"/>
          </w:tcPr>
          <w:p>
            <w:pPr>
              <w:spacing w:after="20"/>
            </w:pPr>
            <w:r>
              <w:rPr>
                <w:b/>
                <w:color w:val="1C3A36"/>
                <w:sz w:val="17"/>
              </w:rPr>
              <w:t>AED 6.00</w:t>
            </w:r>
          </w:p>
        </w:tc>
        <w:tc>
          <w:tcPr>
            <w:tcW w:type="dxa" w:w="1872"/>
          </w:tcPr>
          <w:p>
            <w:pPr>
              <w:spacing w:after="20"/>
              <w:jc w:val="right"/>
            </w:pPr>
            <w:r>
              <w:rPr>
                <w:color w:val="1C3A36"/>
                <w:sz w:val="17"/>
              </w:rPr>
              <w:t>+5.3%</w:t>
            </w:r>
          </w:p>
        </w:tc>
        <w:tc>
          <w:tcPr>
            <w:tcW w:type="dxa" w:w="2088"/>
          </w:tcPr>
          <w:p>
            <w:pPr>
              <w:spacing w:after="20"/>
              <w:jc w:val="right"/>
            </w:pPr>
            <w:r>
              <w:rPr>
                <w:color w:val="1C3A36"/>
                <w:sz w:val="17"/>
              </w:rPr>
              <w:t>45.7%</w:t>
            </w:r>
          </w:p>
        </w:tc>
        <w:tc>
          <w:tcPr>
            <w:tcW w:type="dxa" w:w="2088"/>
          </w:tcPr>
          <w:p>
            <w:pPr>
              <w:spacing w:after="20"/>
              <w:jc w:val="right"/>
            </w:pPr>
            <w:r>
              <w:rPr>
                <w:color w:val="1C3A36"/>
                <w:sz w:val="17"/>
              </w:rPr>
              <w:t>66.7%</w:t>
            </w:r>
          </w:p>
        </w:tc>
      </w:tr>
      <w:tr>
        <w:tc>
          <w:tcPr>
            <w:tcW w:type="dxa" w:w="1872"/>
          </w:tcPr>
          <w:p>
            <w:pPr>
              <w:spacing w:after="20"/>
            </w:pPr>
            <w:r>
              <w:rPr>
                <w:b/>
                <w:color w:val="1C3A36"/>
                <w:sz w:val="17"/>
              </w:rPr>
              <w:t>AED 6.25</w:t>
            </w:r>
          </w:p>
        </w:tc>
        <w:tc>
          <w:tcPr>
            <w:tcW w:type="dxa" w:w="1872"/>
          </w:tcPr>
          <w:p>
            <w:pPr>
              <w:spacing w:after="20"/>
              <w:jc w:val="right"/>
            </w:pPr>
            <w:r>
              <w:rPr>
                <w:color w:val="1C3A36"/>
                <w:sz w:val="17"/>
              </w:rPr>
              <w:t>+9.6%</w:t>
            </w:r>
          </w:p>
        </w:tc>
        <w:tc>
          <w:tcPr>
            <w:tcW w:type="dxa" w:w="2088"/>
          </w:tcPr>
          <w:p>
            <w:pPr>
              <w:spacing w:after="20"/>
              <w:jc w:val="right"/>
            </w:pPr>
            <w:r>
              <w:rPr>
                <w:color w:val="1C3A36"/>
                <w:sz w:val="17"/>
              </w:rPr>
              <w:t>22.6%</w:t>
            </w:r>
          </w:p>
        </w:tc>
        <w:tc>
          <w:tcPr>
            <w:tcW w:type="dxa" w:w="2088"/>
          </w:tcPr>
          <w:p>
            <w:pPr>
              <w:spacing w:after="20"/>
              <w:jc w:val="right"/>
            </w:pPr>
            <w:r>
              <w:rPr>
                <w:color w:val="1C3A36"/>
                <w:sz w:val="17"/>
              </w:rPr>
              <w:t>47.2%</w:t>
            </w:r>
          </w:p>
        </w:tc>
      </w:tr>
      <w:tr>
        <w:tc>
          <w:tcPr>
            <w:tcW w:type="dxa" w:w="1872"/>
          </w:tcPr>
          <w:p>
            <w:pPr>
              <w:spacing w:after="20"/>
            </w:pPr>
            <w:r>
              <w:rPr>
                <w:b/>
                <w:color w:val="1C3A36"/>
                <w:sz w:val="17"/>
              </w:rPr>
              <w:t>AED 6.50</w:t>
            </w:r>
          </w:p>
        </w:tc>
        <w:tc>
          <w:tcPr>
            <w:tcW w:type="dxa" w:w="1872"/>
          </w:tcPr>
          <w:p>
            <w:pPr>
              <w:spacing w:after="20"/>
              <w:jc w:val="right"/>
            </w:pPr>
            <w:r>
              <w:rPr>
                <w:color w:val="1C3A36"/>
                <w:sz w:val="17"/>
              </w:rPr>
              <w:t>+14.0%</w:t>
            </w:r>
          </w:p>
        </w:tc>
        <w:tc>
          <w:tcPr>
            <w:tcW w:type="dxa" w:w="2088"/>
          </w:tcPr>
          <w:p>
            <w:pPr>
              <w:spacing w:after="20"/>
              <w:jc w:val="right"/>
            </w:pPr>
            <w:r>
              <w:rPr>
                <w:color w:val="1C3A36"/>
                <w:sz w:val="17"/>
              </w:rPr>
              <w:t>10.0%</w:t>
            </w:r>
          </w:p>
        </w:tc>
        <w:tc>
          <w:tcPr>
            <w:tcW w:type="dxa" w:w="2088"/>
          </w:tcPr>
          <w:p>
            <w:pPr>
              <w:spacing w:after="20"/>
              <w:jc w:val="right"/>
            </w:pPr>
            <w:r>
              <w:rPr>
                <w:color w:val="1C3A36"/>
                <w:sz w:val="17"/>
              </w:rPr>
              <w:t>32.4%</w:t>
            </w:r>
          </w:p>
        </w:tc>
      </w:tr>
      <w:tr>
        <w:tc>
          <w:tcPr>
            <w:tcW w:type="dxa" w:w="1872"/>
          </w:tcPr>
          <w:p>
            <w:pPr>
              <w:spacing w:after="20"/>
            </w:pPr>
            <w:r>
              <w:rPr>
                <w:b/>
                <w:color w:val="1C3A36"/>
                <w:sz w:val="17"/>
              </w:rPr>
              <w:t>AED 7.00</w:t>
            </w:r>
          </w:p>
        </w:tc>
        <w:tc>
          <w:tcPr>
            <w:tcW w:type="dxa" w:w="1872"/>
          </w:tcPr>
          <w:p>
            <w:pPr>
              <w:spacing w:after="20"/>
              <w:jc w:val="right"/>
            </w:pPr>
            <w:r>
              <w:rPr>
                <w:color w:val="1C3A36"/>
                <w:sz w:val="17"/>
              </w:rPr>
              <w:t>+22.8%</w:t>
            </w:r>
          </w:p>
        </w:tc>
        <w:tc>
          <w:tcPr>
            <w:tcW w:type="dxa" w:w="2088"/>
          </w:tcPr>
          <w:p>
            <w:pPr>
              <w:spacing w:after="20"/>
              <w:jc w:val="right"/>
            </w:pPr>
            <w:r>
              <w:rPr>
                <w:color w:val="1C3A36"/>
                <w:sz w:val="17"/>
              </w:rPr>
              <w:t>2.1%</w:t>
            </w:r>
          </w:p>
        </w:tc>
        <w:tc>
          <w:tcPr>
            <w:tcW w:type="dxa" w:w="2088"/>
          </w:tcPr>
          <w:p>
            <w:pPr>
              <w:spacing w:after="20"/>
              <w:jc w:val="right"/>
            </w:pPr>
            <w:r>
              <w:rPr>
                <w:color w:val="1C3A36"/>
                <w:sz w:val="17"/>
              </w:rPr>
              <w:t>14.3%</w:t>
            </w:r>
          </w:p>
        </w:tc>
      </w:tr>
    </w:tbl>
    <w:p>
      <w:pPr>
        <w:spacing w:after="40"/>
      </w:pPr>
    </w:p>
    <w:tbl>
      <w:tblPr>
        <w:tblW w:type="auto" w:w="0"/>
        <w:tblLook w:firstColumn="1" w:firstRow="1" w:lastColumn="0" w:lastRow="0" w:noHBand="0" w:noVBand="1" w:val="04A0"/>
        <w:tblBorders>
          <w:top w:val="single" w:sz="6" w:space="0" w:color="896F36"/>
          <w:left w:val="single" w:sz="6" w:space="0" w:color="896F36"/>
          <w:bottom w:val="single" w:sz="6" w:space="0" w:color="896F36"/>
          <w:right w:val="single" w:sz="6" w:space="0" w:color="896F36"/>
          <w:insideH w:val="single" w:sz="6" w:space="0" w:color="896F36"/>
          <w:insideV w:val="single" w:sz="6" w:space="0" w:color="896F36"/>
        </w:tblBorders>
        <w:tblCellMar>
          <w:top w:w="110" w:type="dxa"/>
          <w:left w:w="150" w:type="dxa"/>
          <w:bottom w:w="110" w:type="dxa"/>
          <w:right w:w="150" w:type="dxa"/>
        </w:tblCellMar>
      </w:tblPr>
      <w:tblGrid>
        <w:gridCol w:w="10224"/>
      </w:tblGrid>
      <w:tr>
        <w:tc>
          <w:tcPr>
            <w:tcW w:type="dxa" w:w="10224"/>
            <w:shd w:val="clear" w:color="auto" w:fill="EFF3F1"/>
          </w:tcPr>
          <w:p>
            <w:pPr>
              <w:spacing w:after="100"/>
            </w:pPr>
            <w:r>
              <w:rPr>
                <w:b/>
                <w:color w:val="1C3A36"/>
                <w:sz w:val="19"/>
              </w:rPr>
              <w:t xml:space="preserve">READ THE TOUCH LADDER WITH THIS IN MIND. </w:t>
            </w:r>
            <w:r>
              <w:rPr>
                <w:color w:val="1C3A36"/>
                <w:sz w:val="19"/>
              </w:rPr>
              <w:t>The calibration back-test showed the cone is OVER-COVERED: every realised outcome fell inside the 90% band, and the band runs 1.26× as wide as the benchmark’s. An over-wide cone does not just widen the terminal percentiles — it INFLATES the touch probabilities disproportionately, because a path only has to graze a level ONCE. So the numbers above are, if anything, too high at the extremes. A 9.9% chance of touching AED 4.50 and a 14.3% chance of touching AED 7.00 should both be read as UPPER BOUNDS. This is a known open item in the engine (a name-level width calibration is the proposed fix and it is not yet built) and we would rather flag it here than let a portfolio manager read an artefact of the width parameter as a statement about Salik.</w:t>
            </w:r>
          </w:p>
        </w:tc>
      </w:tr>
    </w:tbl>
    <w:p>
      <w:pPr>
        <w:spacing w:after="40"/>
      </w:pPr>
    </w:p>
    <w:p>
      <w:pPr>
        <w:spacing w:after="120" w:before="0"/>
      </w:pPr>
      <w:r>
        <w:rPr>
          <w:b w:val="0"/>
          <w:i/>
          <w:color w:val="6E7B77"/>
          <w:sz w:val="18"/>
        </w:rPr>
        <w:t>And separately: a 74.7% chance of TOUCHING AED 5.50 at some point in three months is not a forecast that the stock falls — it is a statement about how much a 28%-volatility stock wanders. Touch probabilities are always higher than terminal probabilities, and confusing the two is the single most common misreading of a Monte Carlo.</w:t>
      </w:r>
    </w:p>
    <w:p>
      <w:r>
        <w:br w:type="page"/>
      </w:r>
    </w:p>
    <w:p>
      <w:pPr>
        <w:spacing w:after="100" w:before="260"/>
      </w:pPr>
      <w:r>
        <w:rPr>
          <w:b/>
          <w:i w:val="0"/>
          <w:color w:val="1C3A36"/>
          <w:sz w:val="30"/>
        </w:rPr>
        <w:t>4 Comparison of the lenses, and a verdict</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56"/>
        <w:gridCol w:w="2556"/>
        <w:gridCol w:w="2556"/>
        <w:gridCol w:w="2556"/>
      </w:tblGrid>
      <w:tr>
        <w:tc>
          <w:tcPr>
            <w:tcW w:type="dxa" w:w="1786"/>
            <w:shd w:val="clear" w:color="auto" w:fill="EAF0EE"/>
          </w:tcPr>
          <w:p>
            <w:pPr>
              <w:spacing w:after="20"/>
            </w:pPr>
            <w:r>
              <w:rPr>
                <w:b/>
                <w:color w:val="1C3A36"/>
                <w:sz w:val="16"/>
              </w:rPr>
              <w:t>Clock</w:t>
            </w:r>
          </w:p>
        </w:tc>
        <w:tc>
          <w:tcPr>
            <w:tcW w:type="dxa" w:w="2736"/>
            <w:shd w:val="clear" w:color="auto" w:fill="EAF0EE"/>
          </w:tcPr>
          <w:p>
            <w:pPr>
              <w:spacing w:after="20"/>
            </w:pPr>
            <w:r>
              <w:rPr>
                <w:b/>
                <w:color w:val="1C3A36"/>
                <w:sz w:val="16"/>
              </w:rPr>
              <w:t>What it measures</w:t>
            </w:r>
          </w:p>
        </w:tc>
        <w:tc>
          <w:tcPr>
            <w:tcW w:type="dxa" w:w="2909"/>
            <w:shd w:val="clear" w:color="auto" w:fill="EAF0EE"/>
          </w:tcPr>
          <w:p>
            <w:pPr>
              <w:spacing w:after="20"/>
            </w:pPr>
            <w:r>
              <w:rPr>
                <w:b/>
                <w:color w:val="1C3A36"/>
                <w:sz w:val="16"/>
              </w:rPr>
              <w:t>Its answer</w:t>
            </w:r>
          </w:p>
        </w:tc>
        <w:tc>
          <w:tcPr>
            <w:tcW w:type="dxa" w:w="2794"/>
            <w:shd w:val="clear" w:color="auto" w:fill="EAF0EE"/>
          </w:tcPr>
          <w:p>
            <w:pPr>
              <w:spacing w:after="20"/>
            </w:pPr>
            <w:r>
              <w:rPr>
                <w:b/>
                <w:color w:val="1C3A36"/>
                <w:sz w:val="16"/>
              </w:rPr>
              <w:t>What it is NOT</w:t>
            </w:r>
          </w:p>
        </w:tc>
      </w:tr>
      <w:tr>
        <w:tc>
          <w:tcPr>
            <w:tcW w:type="dxa" w:w="1786"/>
          </w:tcPr>
          <w:p>
            <w:pPr>
              <w:spacing w:after="20"/>
            </w:pPr>
            <w:r>
              <w:rPr>
                <w:b/>
                <w:color w:val="1C3A36"/>
                <w:sz w:val="16"/>
              </w:rPr>
              <w:t>Fundamental (§1)</w:t>
            </w:r>
          </w:p>
        </w:tc>
        <w:tc>
          <w:tcPr>
            <w:tcW w:type="dxa" w:w="2736"/>
          </w:tcPr>
          <w:p>
            <w:pPr>
              <w:spacing w:after="20"/>
            </w:pPr>
            <w:r>
              <w:rPr>
                <w:color w:val="1C3A36"/>
                <w:sz w:val="16"/>
              </w:rPr>
              <w:t>What the cash flows are worth to an owner</w:t>
            </w:r>
          </w:p>
        </w:tc>
        <w:tc>
          <w:tcPr>
            <w:tcW w:type="dxa" w:w="2909"/>
          </w:tcPr>
          <w:p>
            <w:pPr>
              <w:spacing w:after="20"/>
            </w:pPr>
            <w:r>
              <w:rPr>
                <w:color w:val="1C3A36"/>
                <w:sz w:val="16"/>
              </w:rPr>
              <w:t>AED 3.32 – 7.05, central 4.62</w:t>
            </w:r>
          </w:p>
        </w:tc>
        <w:tc>
          <w:tcPr>
            <w:tcW w:type="dxa" w:w="2794"/>
          </w:tcPr>
          <w:p>
            <w:pPr>
              <w:spacing w:after="20"/>
            </w:pPr>
            <w:r>
              <w:rPr>
                <w:color w:val="1C3A36"/>
                <w:sz w:val="16"/>
              </w:rPr>
              <w:t>Not a price target. Not a forecast of where the stock will trade.</w:t>
            </w:r>
          </w:p>
        </w:tc>
      </w:tr>
      <w:tr>
        <w:tc>
          <w:tcPr>
            <w:tcW w:type="dxa" w:w="1786"/>
          </w:tcPr>
          <w:p>
            <w:pPr>
              <w:spacing w:after="20"/>
            </w:pPr>
            <w:r>
              <w:rPr>
                <w:b/>
                <w:color w:val="1C3A36"/>
                <w:sz w:val="16"/>
              </w:rPr>
              <w:t>Technical (§2)</w:t>
            </w:r>
          </w:p>
        </w:tc>
        <w:tc>
          <w:tcPr>
            <w:tcW w:type="dxa" w:w="2736"/>
          </w:tcPr>
          <w:p>
            <w:pPr>
              <w:spacing w:after="20"/>
            </w:pPr>
            <w:r>
              <w:rPr>
                <w:color w:val="1C3A36"/>
                <w:sz w:val="16"/>
              </w:rPr>
              <w:t>Where price has been, and its momentum</w:t>
            </w:r>
          </w:p>
        </w:tc>
        <w:tc>
          <w:tcPr>
            <w:tcW w:type="dxa" w:w="2909"/>
          </w:tcPr>
          <w:p>
            <w:pPr>
              <w:spacing w:after="20"/>
            </w:pPr>
            <w:r>
              <w:rPr>
                <w:color w:val="1C3A36"/>
                <w:sz w:val="16"/>
              </w:rPr>
              <w:t>Mildly negative; below the whole MA stack</w:t>
            </w:r>
          </w:p>
        </w:tc>
        <w:tc>
          <w:tcPr>
            <w:tcW w:type="dxa" w:w="2794"/>
          </w:tcPr>
          <w:p>
            <w:pPr>
              <w:spacing w:after="20"/>
            </w:pPr>
            <w:r>
              <w:rPr>
                <w:color w:val="1C3A36"/>
                <w:sz w:val="16"/>
              </w:rPr>
              <w:t>Not evidence about value. It describes the past.</w:t>
            </w:r>
          </w:p>
        </w:tc>
      </w:tr>
      <w:tr>
        <w:tc>
          <w:tcPr>
            <w:tcW w:type="dxa" w:w="1786"/>
          </w:tcPr>
          <w:p>
            <w:pPr>
              <w:spacing w:after="20"/>
            </w:pPr>
            <w:r>
              <w:rPr>
                <w:b/>
                <w:color w:val="1C3A36"/>
                <w:sz w:val="16"/>
              </w:rPr>
              <w:t>Monte Carlo (§3)</w:t>
            </w:r>
          </w:p>
        </w:tc>
        <w:tc>
          <w:tcPr>
            <w:tcW w:type="dxa" w:w="2736"/>
          </w:tcPr>
          <w:p>
            <w:pPr>
              <w:spacing w:after="20"/>
            </w:pPr>
            <w:r>
              <w:rPr>
                <w:color w:val="1C3A36"/>
                <w:sz w:val="16"/>
              </w:rPr>
              <w:t>Where price is likely to BE</w:t>
            </w:r>
          </w:p>
        </w:tc>
        <w:tc>
          <w:tcPr>
            <w:tcW w:type="dxa" w:w="2909"/>
          </w:tcPr>
          <w:p>
            <w:pPr>
              <w:spacing w:after="20"/>
            </w:pPr>
            <w:r>
              <w:rPr>
                <w:color w:val="1C3A36"/>
                <w:sz w:val="16"/>
              </w:rPr>
              <w:t>T+60 median AED 5.69; 90% band 4.42–7.34</w:t>
            </w:r>
          </w:p>
        </w:tc>
        <w:tc>
          <w:tcPr>
            <w:tcW w:type="dxa" w:w="2794"/>
          </w:tcPr>
          <w:p>
            <w:pPr>
              <w:spacing w:after="20"/>
            </w:pPr>
            <w:r>
              <w:rPr>
                <w:color w:val="1C3A36"/>
                <w:sz w:val="16"/>
              </w:rPr>
              <w:t>Not a value estimate. Its drift is a carry anchor and nothing else.</w:t>
            </w:r>
          </w:p>
        </w:tc>
      </w:tr>
    </w:tbl>
    <w:p>
      <w:pPr>
        <w:spacing w:after="40"/>
      </w:pPr>
    </w:p>
    <w:p>
      <w:pPr>
        <w:spacing w:after="80" w:before="180"/>
      </w:pPr>
      <w:r>
        <w:rPr>
          <w:b/>
          <w:i w:val="0"/>
          <w:color w:val="1C3A36"/>
          <w:sz w:val="23"/>
        </w:rPr>
        <w:t>The verdict, stated plainly</w:t>
      </w:r>
    </w:p>
    <w:p>
      <w:pPr>
        <w:spacing w:after="120" w:before="0"/>
      </w:pPr>
      <w:r>
        <w:rPr>
          <w:b w:val="0"/>
          <w:i w:val="0"/>
          <w:color w:val="1C3A36"/>
          <w:sz w:val="21"/>
        </w:rPr>
        <w:t>On our published assumptions, Salik is expensive: spot of AED 5.70 sits above the central mark of all four fundamental lenses and 19% above our weighted central of AED 4.62. But we want to be extremely precise about WHY, because the honest answer is not the intuitive one, and because we changed our own mind in the course of the work.</w:t>
      </w:r>
    </w:p>
    <w:p>
      <w:pPr>
        <w:pStyle w:val="ListBullet"/>
        <w:spacing w:after="60"/>
      </w:pPr>
      <w:r>
        <w:rPr>
          <w:b/>
          <w:color w:val="1C3A36"/>
          <w:sz w:val="20"/>
        </w:rPr>
        <w:t xml:space="preserve">It is NOT the traffic. </w:t>
      </w:r>
      <w:r>
        <w:rPr>
          <w:color w:val="1C3A36"/>
          <w:sz w:val="20"/>
        </w:rPr>
        <w:t>Our FY2026E EPS is within 1.4% of FY2025 actual and above the Q1 run-rate. We model a recovery. If you want to argue with us, the earnings are not the place to do it.</w:t>
      </w:r>
    </w:p>
    <w:p>
      <w:pPr>
        <w:pStyle w:val="ListBullet"/>
        <w:spacing w:after="60"/>
      </w:pPr>
      <w:r>
        <w:rPr>
          <w:b/>
          <w:color w:val="1C3A36"/>
          <w:sz w:val="20"/>
        </w:rPr>
        <w:t xml:space="preserve">It IS the discount rate. </w:t>
      </w:r>
      <w:r>
        <w:rPr>
          <w:color w:val="1C3A36"/>
          <w:sz w:val="20"/>
        </w:rPr>
        <w:t>It is not that we cannot measure it — we can, and we did. SALIK’s weekly beta against a 14-name UAE portfolio is 0.64 (n=195, t=6.1). We publish the Blume-adjusted 0.76 because it is conservative. It is the biggest single input in the study and it moves fair value from AED 3.67 (at β=1.0) to AED 6.29 (at the bottom of the measured CI).</w:t>
      </w:r>
    </w:p>
    <w:p>
      <w:pPr>
        <w:pStyle w:val="ListBullet"/>
        <w:spacing w:after="60"/>
      </w:pPr>
      <w:r>
        <w:rPr>
          <w:b/>
          <w:color w:val="1C3A36"/>
          <w:sz w:val="20"/>
        </w:rPr>
        <w:t xml:space="preserve">And the crux is one question. </w:t>
      </w:r>
      <w:r>
        <w:rPr>
          <w:color w:val="1C3A36"/>
          <w:sz w:val="20"/>
        </w:rPr>
        <w:t>SALIK’s beta was 0.47 before the war and 1.00 during it. Spot implies 0.52. The market is pricing Salik as though the war is already over. It may be right. On 7 July — three days before this study’s anchor — the truce was declared over, and on 8 July it was walked back. We take the conservative beta and we accept that we may be wrong.</w:t>
      </w:r>
    </w:p>
    <w:p>
      <w:pPr>
        <w:pStyle w:val="ListBullet"/>
        <w:spacing w:after="60"/>
      </w:pPr>
      <w:r>
        <w:rPr>
          <w:b/>
          <w:color w:val="1C3A36"/>
          <w:sz w:val="20"/>
        </w:rPr>
        <w:t xml:space="preserve">And there is a claim in front of the dividend. </w:t>
      </w:r>
      <w:r>
        <w:rPr>
          <w:color w:val="1C3A36"/>
          <w:sz w:val="20"/>
        </w:rPr>
        <w:t>Salik owes the RTA AED 455.7 mn a year until November 2030, against a retained wedge of AED 116 mn after the 100% payout. The obligation sits INSIDE net debt, so the DCF is right — but the DIVIDEND is tighter than the policy headline implies, and with a 100% payout the dividend and the relative multiple are the SAME lens. If the board trims the payout, two of our four lenses break at once. §1.2a.</w:t>
      </w:r>
    </w:p>
    <w:p>
      <w:pPr>
        <w:spacing w:after="120" w:before="0"/>
      </w:pPr>
      <w:r>
        <w:rPr>
          <w:b w:val="0"/>
          <w:i w:val="0"/>
          <w:color w:val="1C3A36"/>
          <w:sz w:val="21"/>
        </w:rPr>
        <w:t>So there are exactly three ways to disagree with this study, and we want you to be able to find them all:</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408"/>
        <w:gridCol w:w="3408"/>
        <w:gridCol w:w="3408"/>
      </w:tblGrid>
      <w:tr>
        <w:tc>
          <w:tcPr>
            <w:tcW w:type="dxa" w:w="3542"/>
            <w:shd w:val="clear" w:color="auto" w:fill="EAF0EE"/>
          </w:tcPr>
          <w:p>
            <w:pPr>
              <w:spacing w:after="20"/>
            </w:pPr>
            <w:r>
              <w:rPr>
                <w:b/>
                <w:color w:val="1C3A36"/>
                <w:sz w:val="16"/>
              </w:rPr>
              <w:t>If you believe…</w:t>
            </w:r>
          </w:p>
        </w:tc>
        <w:tc>
          <w:tcPr>
            <w:tcW w:type="dxa" w:w="3312"/>
            <w:shd w:val="clear" w:color="auto" w:fill="EAF0EE"/>
          </w:tcPr>
          <w:p>
            <w:pPr>
              <w:spacing w:after="20"/>
            </w:pPr>
            <w:r>
              <w:rPr>
                <w:b/>
                <w:color w:val="1C3A36"/>
                <w:sz w:val="16"/>
              </w:rPr>
              <w:t>Then…</w:t>
            </w:r>
          </w:p>
        </w:tc>
        <w:tc>
          <w:tcPr>
            <w:tcW w:type="dxa" w:w="3370"/>
            <w:shd w:val="clear" w:color="auto" w:fill="EAF0EE"/>
          </w:tcPr>
          <w:p>
            <w:pPr>
              <w:spacing w:after="20"/>
            </w:pPr>
            <w:r>
              <w:rPr>
                <w:b/>
                <w:color w:val="1C3A36"/>
                <w:sz w:val="16"/>
              </w:rPr>
              <w:t>And Salik is worth</w:t>
            </w:r>
          </w:p>
        </w:tc>
      </w:tr>
      <w:tr>
        <w:tc>
          <w:tcPr>
            <w:tcW w:type="dxa" w:w="3542"/>
          </w:tcPr>
          <w:p>
            <w:pPr>
              <w:spacing w:after="20"/>
            </w:pPr>
            <w:r>
              <w:rPr>
                <w:color w:val="1C3A36"/>
                <w:sz w:val="16"/>
              </w:rPr>
              <w:t>…the war is transient and Salik’s beta reverts to its measured pre-war 0.47</w:t>
            </w:r>
          </w:p>
        </w:tc>
        <w:tc>
          <w:tcPr>
            <w:tcW w:type="dxa" w:w="3312"/>
          </w:tcPr>
          <w:p>
            <w:pPr>
              <w:spacing w:after="20"/>
            </w:pPr>
            <w:r>
              <w:rPr>
                <w:color w:val="1C3A36"/>
                <w:sz w:val="16"/>
              </w:rPr>
              <w:t>Use the pre-war beta. Our own data supports you.</w:t>
            </w:r>
          </w:p>
        </w:tc>
        <w:tc>
          <w:tcPr>
            <w:tcW w:type="dxa" w:w="3370"/>
          </w:tcPr>
          <w:p>
            <w:pPr>
              <w:spacing w:after="20"/>
            </w:pPr>
            <w:r>
              <w:rPr>
                <w:color w:val="1C3A36"/>
                <w:sz w:val="16"/>
              </w:rPr>
              <w:t>AED 6.02 — ABOVE spot</w:t>
            </w:r>
          </w:p>
        </w:tc>
      </w:tr>
      <w:tr>
        <w:tc>
          <w:tcPr>
            <w:tcW w:type="dxa" w:w="3542"/>
          </w:tcPr>
          <w:p>
            <w:pPr>
              <w:spacing w:after="20"/>
            </w:pPr>
            <w:r>
              <w:rPr>
                <w:color w:val="1C3A36"/>
                <w:sz w:val="16"/>
              </w:rPr>
              <w:t>…the raw measured beta of 0.64 is the right forward-looking number (no Blume shrink)</w:t>
            </w:r>
          </w:p>
        </w:tc>
        <w:tc>
          <w:tcPr>
            <w:tcW w:type="dxa" w:w="3312"/>
          </w:tcPr>
          <w:p>
            <w:pPr>
              <w:spacing w:after="20"/>
            </w:pPr>
            <w:r>
              <w:rPr>
                <w:color w:val="1C3A36"/>
                <w:sz w:val="16"/>
              </w:rPr>
              <w:t>Skip the Blume adjustment. It is a convention, not a law.</w:t>
            </w:r>
          </w:p>
        </w:tc>
        <w:tc>
          <w:tcPr>
            <w:tcW w:type="dxa" w:w="3370"/>
          </w:tcPr>
          <w:p>
            <w:pPr>
              <w:spacing w:after="20"/>
            </w:pPr>
            <w:r>
              <w:rPr>
                <w:color w:val="1C3A36"/>
                <w:sz w:val="16"/>
              </w:rPr>
              <w:t>AED 5.03 — 12% below spot</w:t>
            </w:r>
          </w:p>
        </w:tc>
      </w:tr>
      <w:tr>
        <w:tc>
          <w:tcPr>
            <w:tcW w:type="dxa" w:w="3542"/>
          </w:tcPr>
          <w:p>
            <w:pPr>
              <w:spacing w:after="20"/>
            </w:pPr>
            <w:r>
              <w:rPr>
                <w:color w:val="1C3A36"/>
                <w:sz w:val="16"/>
              </w:rPr>
              <w:t>…Dubai grows faster than 2.5% forever (4.0 → 5.8 mn people by 2040)</w:t>
            </w:r>
          </w:p>
        </w:tc>
        <w:tc>
          <w:tcPr>
            <w:tcW w:type="dxa" w:w="3312"/>
          </w:tcPr>
          <w:p>
            <w:pPr>
              <w:spacing w:after="20"/>
            </w:pPr>
            <w:r>
              <w:rPr>
                <w:color w:val="1C3A36"/>
                <w:sz w:val="16"/>
              </w:rPr>
              <w:t>Use g = 3.5%. At β = 0.76 that alone gets you to AED 5.5–6.0.</w:t>
            </w:r>
          </w:p>
        </w:tc>
        <w:tc>
          <w:tcPr>
            <w:tcW w:type="dxa" w:w="3370"/>
          </w:tcPr>
          <w:p>
            <w:pPr>
              <w:spacing w:after="20"/>
            </w:pPr>
            <w:r>
              <w:rPr>
                <w:color w:val="1C3A36"/>
                <w:sz w:val="16"/>
              </w:rPr>
              <w:t>Roughly spot</w:t>
            </w:r>
          </w:p>
        </w:tc>
      </w:tr>
    </w:tbl>
    <w:p>
      <w:pPr>
        <w:spacing w:after="40"/>
      </w:pPr>
    </w:p>
    <w:p>
      <w:pPr>
        <w:spacing w:after="120" w:before="0"/>
      </w:pPr>
      <w:r>
        <w:rPr>
          <w:b w:val="0"/>
          <w:i/>
          <w:color w:val="6E7B77"/>
          <w:sz w:val="18"/>
        </w:rPr>
        <w:t>And one way you should NOT disagree with us, because we checked it and it does not hold. It was put to this study that our standing rules mandate a beta floor of 0.80 and that our 0.76 is a breach. The our published research standards says the opposite — attempt the regression, and fall back to 1.0 ONLY if the usability test fails. Ours passes on all three tests. We have nevertheless put the 0.80 rung on the ladder in §1.7: it gives AED 4.32, against AED 4.49 at our published beta. The conclusion is unchanged, which is the most useful thing we can say about it.</w:t>
      </w:r>
    </w:p>
    <w:p>
      <w:pPr>
        <w:spacing w:after="120" w:before="0"/>
      </w:pPr>
      <w:r>
        <w:rPr>
          <w:b w:val="0"/>
          <w:i w:val="0"/>
          <w:color w:val="1C3A36"/>
          <w:sz w:val="21"/>
        </w:rPr>
        <w:t>What you should NOT do is disagree on the earnings. We have looked hard, and we cannot construct a plausible earnings path from the disclosures that justifies AED 5.70 at our published discount rate. It requires either a lower beta or faster growth. That is the honest state of the argument, and it is a much sharper argument than the one we published in version one.</w:t>
      </w:r>
    </w:p>
    <w:p>
      <w:pPr>
        <w:spacing w:after="100" w:before="260"/>
      </w:pPr>
      <w:r>
        <w:rPr>
          <w:b/>
          <w:i w:val="0"/>
          <w:color w:val="1C3A36"/>
          <w:sz w:val="30"/>
        </w:rPr>
        <w:t>5 Catalysts to watch — named and dated</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408"/>
        <w:gridCol w:w="3408"/>
        <w:gridCol w:w="3408"/>
      </w:tblGrid>
      <w:tr>
        <w:tc>
          <w:tcPr>
            <w:tcW w:type="dxa" w:w="1786"/>
            <w:shd w:val="clear" w:color="auto" w:fill="EAF0EE"/>
          </w:tcPr>
          <w:p>
            <w:pPr>
              <w:spacing w:after="20"/>
            </w:pPr>
            <w:r>
              <w:rPr>
                <w:b/>
                <w:color w:val="1C3A36"/>
                <w:sz w:val="16"/>
              </w:rPr>
              <w:t>When</w:t>
            </w:r>
          </w:p>
        </w:tc>
        <w:tc>
          <w:tcPr>
            <w:tcW w:type="dxa" w:w="3485"/>
            <w:shd w:val="clear" w:color="auto" w:fill="EAF0EE"/>
          </w:tcPr>
          <w:p>
            <w:pPr>
              <w:spacing w:after="20"/>
            </w:pPr>
            <w:r>
              <w:rPr>
                <w:b/>
                <w:color w:val="1C3A36"/>
                <w:sz w:val="16"/>
              </w:rPr>
              <w:t>Event</w:t>
            </w:r>
          </w:p>
        </w:tc>
        <w:tc>
          <w:tcPr>
            <w:tcW w:type="dxa" w:w="4954"/>
            <w:shd w:val="clear" w:color="auto" w:fill="EAF0EE"/>
          </w:tcPr>
          <w:p>
            <w:pPr>
              <w:spacing w:after="20"/>
            </w:pPr>
            <w:r>
              <w:rPr>
                <w:b/>
                <w:color w:val="1C3A36"/>
                <w:sz w:val="16"/>
              </w:rPr>
              <w:t>Why it moves the read</w:t>
            </w:r>
          </w:p>
        </w:tc>
      </w:tr>
      <w:tr>
        <w:tc>
          <w:tcPr>
            <w:tcW w:type="dxa" w:w="1786"/>
          </w:tcPr>
          <w:p>
            <w:pPr>
              <w:spacing w:after="20"/>
            </w:pPr>
            <w:r>
              <w:rPr>
                <w:b/>
                <w:color w:val="1C3A36"/>
                <w:sz w:val="16"/>
              </w:rPr>
              <w:t>~mid-Aug 2026</w:t>
            </w:r>
          </w:p>
        </w:tc>
        <w:tc>
          <w:tcPr>
            <w:tcW w:type="dxa" w:w="3485"/>
          </w:tcPr>
          <w:p>
            <w:pPr>
              <w:spacing w:after="20"/>
            </w:pPr>
            <w:r>
              <w:rPr>
                <w:color w:val="1C3A36"/>
                <w:sz w:val="16"/>
              </w:rPr>
              <w:t>Q2 / H1-2026 results — the FIRST full quarter under conflict conditions</w:t>
            </w:r>
          </w:p>
        </w:tc>
        <w:tc>
          <w:tcPr>
            <w:tcW w:type="dxa" w:w="4954"/>
          </w:tcPr>
          <w:p>
            <w:pPr>
              <w:spacing w:after="20"/>
            </w:pPr>
            <w:r>
              <w:rPr>
                <w:color w:val="1C3A36"/>
                <w:sz w:val="16"/>
              </w:rPr>
              <w:t>Q1 caught only March. Q2 caught April, May AND June. This is the number nobody has seen, and it lands INSIDE the T+60 window. Watch chargeable trips against 145.7 mn.</w:t>
            </w:r>
          </w:p>
        </w:tc>
      </w:tr>
      <w:tr>
        <w:tc>
          <w:tcPr>
            <w:tcW w:type="dxa" w:w="1786"/>
          </w:tcPr>
          <w:p>
            <w:pPr>
              <w:spacing w:after="20"/>
            </w:pPr>
            <w:r>
              <w:rPr>
                <w:b/>
                <w:color w:val="1C3A36"/>
                <w:sz w:val="16"/>
              </w:rPr>
              <w:t>With Q2</w:t>
            </w:r>
          </w:p>
        </w:tc>
        <w:tc>
          <w:tcPr>
            <w:tcW w:type="dxa" w:w="3485"/>
          </w:tcPr>
          <w:p>
            <w:pPr>
              <w:spacing w:after="20"/>
            </w:pPr>
            <w:r>
              <w:rPr>
                <w:color w:val="1C3A36"/>
                <w:sz w:val="16"/>
              </w:rPr>
              <w:t>Whether FY2026 guidance is cut a second time</w:t>
            </w:r>
          </w:p>
        </w:tc>
        <w:tc>
          <w:tcPr>
            <w:tcW w:type="dxa" w:w="4954"/>
          </w:tcPr>
          <w:p>
            <w:pPr>
              <w:spacing w:after="20"/>
            </w:pPr>
            <w:r>
              <w:rPr>
                <w:color w:val="1C3A36"/>
                <w:sz w:val="16"/>
              </w:rPr>
              <w:t>It was already revised down on 11 May. A second cut would confirm the shock is deeper than "one bad month".</w:t>
            </w:r>
          </w:p>
        </w:tc>
      </w:tr>
      <w:tr>
        <w:tc>
          <w:tcPr>
            <w:tcW w:type="dxa" w:w="1786"/>
          </w:tcPr>
          <w:p>
            <w:pPr>
              <w:spacing w:after="20"/>
            </w:pPr>
            <w:r>
              <w:rPr>
                <w:b/>
                <w:color w:val="1C3A36"/>
                <w:sz w:val="16"/>
              </w:rPr>
              <w:t>With Q2</w:t>
            </w:r>
          </w:p>
        </w:tc>
        <w:tc>
          <w:tcPr>
            <w:tcW w:type="dxa" w:w="3485"/>
          </w:tcPr>
          <w:p>
            <w:pPr>
              <w:spacing w:after="20"/>
            </w:pPr>
            <w:r>
              <w:rPr>
                <w:color w:val="1C3A36"/>
                <w:sz w:val="16"/>
              </w:rPr>
              <w:t>The H1-2026 dividend declaration</w:t>
            </w:r>
          </w:p>
        </w:tc>
        <w:tc>
          <w:tcPr>
            <w:tcW w:type="dxa" w:w="4954"/>
          </w:tcPr>
          <w:p>
            <w:pPr>
              <w:spacing w:after="20"/>
            </w:pPr>
            <w:r>
              <w:rPr>
                <w:color w:val="1C3A36"/>
                <w:sz w:val="16"/>
              </w:rPr>
              <w:t>The 100% payout IS the equity story. Any deviation is a regime change, not a rounding — and because P/E and yield are the same multiple here, it would invalidate two lenses at once.</w:t>
            </w:r>
          </w:p>
        </w:tc>
      </w:tr>
      <w:tr>
        <w:tc>
          <w:tcPr>
            <w:tcW w:type="dxa" w:w="1786"/>
          </w:tcPr>
          <w:p>
            <w:pPr>
              <w:spacing w:after="20"/>
            </w:pPr>
            <w:r>
              <w:rPr>
                <w:b/>
                <w:color w:val="1C3A36"/>
                <w:sz w:val="16"/>
              </w:rPr>
              <w:t>Ongoing, daily</w:t>
            </w:r>
          </w:p>
        </w:tc>
        <w:tc>
          <w:tcPr>
            <w:tcW w:type="dxa" w:w="3485"/>
          </w:tcPr>
          <w:p>
            <w:pPr>
              <w:spacing w:after="20"/>
            </w:pPr>
            <w:r>
              <w:rPr>
                <w:color w:val="1C3A36"/>
                <w:sz w:val="16"/>
              </w:rPr>
              <w:t>The Strait of Hormuz, and the 17 June MoU (its 60-day clock runs out ~16 Aug)</w:t>
            </w:r>
          </w:p>
        </w:tc>
        <w:tc>
          <w:tcPr>
            <w:tcW w:type="dxa" w:w="4954"/>
          </w:tcPr>
          <w:p>
            <w:pPr>
              <w:spacing w:after="20"/>
            </w:pPr>
            <w:r>
              <w:rPr>
                <w:color w:val="1C3A36"/>
                <w:sz w:val="16"/>
              </w:rPr>
              <w:t>The single largest source of variance in the T+60 distribution — AND, per §1.8, the single largest input into the beta. It moves the numerator and the denominator together.</w:t>
            </w:r>
          </w:p>
        </w:tc>
      </w:tr>
      <w:tr>
        <w:tc>
          <w:tcPr>
            <w:tcW w:type="dxa" w:w="1786"/>
          </w:tcPr>
          <w:p>
            <w:pPr>
              <w:spacing w:after="20"/>
            </w:pPr>
            <w:r>
              <w:rPr>
                <w:b/>
                <w:color w:val="1C3A36"/>
                <w:sz w:val="16"/>
              </w:rPr>
              <w:t>Any time</w:t>
            </w:r>
          </w:p>
        </w:tc>
        <w:tc>
          <w:tcPr>
            <w:tcW w:type="dxa" w:w="3485"/>
          </w:tcPr>
          <w:p>
            <w:pPr>
              <w:spacing w:after="20"/>
            </w:pPr>
            <w:r>
              <w:rPr>
                <w:color w:val="1C3A36"/>
                <w:sz w:val="16"/>
              </w:rPr>
              <w:t>An RTA tariff decision — in EITHER direction</w:t>
            </w:r>
          </w:p>
        </w:tc>
        <w:tc>
          <w:tcPr>
            <w:tcW w:type="dxa" w:w="4954"/>
          </w:tcPr>
          <w:p>
            <w:pPr>
              <w:spacing w:after="20"/>
            </w:pPr>
            <w:r>
              <w:rPr>
                <w:color w:val="1C3A36"/>
                <w:sz w:val="16"/>
              </w:rPr>
              <w:t>Both outcomes are good. A rise lifts the realised toll. A REFUSAL cuts the concession fee toward the 15% floor, worth ~9% of EBITDA. §1.11.</w:t>
            </w:r>
          </w:p>
        </w:tc>
      </w:tr>
      <w:tr>
        <w:tc>
          <w:tcPr>
            <w:tcW w:type="dxa" w:w="1786"/>
          </w:tcPr>
          <w:p>
            <w:pPr>
              <w:spacing w:after="20"/>
            </w:pPr>
            <w:r>
              <w:rPr>
                <w:b/>
                <w:color w:val="1C3A36"/>
                <w:sz w:val="16"/>
              </w:rPr>
              <w:t>Any time</w:t>
            </w:r>
          </w:p>
        </w:tc>
        <w:tc>
          <w:tcPr>
            <w:tcW w:type="dxa" w:w="3485"/>
          </w:tcPr>
          <w:p>
            <w:pPr>
              <w:spacing w:after="20"/>
            </w:pPr>
            <w:r>
              <w:rPr>
                <w:color w:val="1C3A36"/>
                <w:sz w:val="16"/>
              </w:rPr>
              <w:t>The RTA announces NEW toll gates — and the price Salik must pay</w:t>
            </w:r>
          </w:p>
        </w:tc>
        <w:tc>
          <w:tcPr>
            <w:tcW w:type="dxa" w:w="4954"/>
          </w:tcPr>
          <w:p>
            <w:pPr>
              <w:spacing w:after="20"/>
            </w:pPr>
            <w:r>
              <w:rPr>
                <w:color w:val="1C3A36"/>
                <w:sz w:val="16"/>
              </w:rPr>
              <w:t>We price this NEGATIVE, and §1.2 is why. On the only evidence available, the RTA sells gates at a ~10.6% return against an 8.1% cost of capital. Watch the price, not the announcement.</w:t>
            </w:r>
          </w:p>
        </w:tc>
      </w:tr>
      <w:tr>
        <w:tc>
          <w:tcPr>
            <w:tcW w:type="dxa" w:w="1786"/>
          </w:tcPr>
          <w:p>
            <w:pPr>
              <w:spacing w:after="20"/>
            </w:pPr>
            <w:r>
              <w:rPr>
                <w:b/>
                <w:color w:val="1C3A36"/>
                <w:sz w:val="16"/>
              </w:rPr>
              <w:t>Q3 2026</w:t>
            </w:r>
          </w:p>
        </w:tc>
        <w:tc>
          <w:tcPr>
            <w:tcW w:type="dxa" w:w="3485"/>
          </w:tcPr>
          <w:p>
            <w:pPr>
              <w:spacing w:after="20"/>
            </w:pPr>
            <w:r>
              <w:rPr>
                <w:color w:val="1C3A36"/>
                <w:sz w:val="16"/>
              </w:rPr>
              <w:t>The Schneider Electric / Vcharge EV-charging rollout</w:t>
            </w:r>
          </w:p>
        </w:tc>
        <w:tc>
          <w:tcPr>
            <w:tcW w:type="dxa" w:w="4954"/>
          </w:tcPr>
          <w:p>
            <w:pPr>
              <w:spacing w:after="20"/>
            </w:pPr>
            <w:r>
              <w:rPr>
                <w:color w:val="1C3A36"/>
                <w:sz w:val="16"/>
              </w:rPr>
              <w:t>The first ancillary line with a real addressable market. Watch whether it converts.</w:t>
            </w:r>
          </w:p>
        </w:tc>
      </w:tr>
      <w:tr>
        <w:tc>
          <w:tcPr>
            <w:tcW w:type="dxa" w:w="1786"/>
          </w:tcPr>
          <w:p>
            <w:pPr>
              <w:spacing w:after="20"/>
            </w:pPr>
            <w:r>
              <w:rPr>
                <w:b/>
                <w:color w:val="1C3A36"/>
                <w:sz w:val="16"/>
              </w:rPr>
              <w:t>H2 2026</w:t>
            </w:r>
          </w:p>
        </w:tc>
        <w:tc>
          <w:tcPr>
            <w:tcW w:type="dxa" w:w="3485"/>
          </w:tcPr>
          <w:p>
            <w:pPr>
              <w:spacing w:after="20"/>
            </w:pPr>
            <w:r>
              <w:rPr>
                <w:color w:val="1C3A36"/>
                <w:sz w:val="16"/>
              </w:rPr>
              <w:t>The ENOC fuel-payment pilot (4–5 stations)</w:t>
            </w:r>
          </w:p>
        </w:tc>
        <w:tc>
          <w:tcPr>
            <w:tcW w:type="dxa" w:w="4954"/>
          </w:tcPr>
          <w:p>
            <w:pPr>
              <w:spacing w:after="20"/>
            </w:pPr>
            <w:r>
              <w:rPr>
                <w:color w:val="1C3A36"/>
                <w:sz w:val="16"/>
              </w:rPr>
              <w:t>If the e-wallet works at the pump, the ancillary story stops being a rounding error.</w:t>
            </w:r>
          </w:p>
        </w:tc>
      </w:tr>
      <w:tr>
        <w:tc>
          <w:tcPr>
            <w:tcW w:type="dxa" w:w="1786"/>
          </w:tcPr>
          <w:p>
            <w:pPr>
              <w:spacing w:after="20"/>
            </w:pPr>
            <w:r>
              <w:rPr>
                <w:b/>
                <w:color w:val="1C3A36"/>
                <w:sz w:val="16"/>
              </w:rPr>
              <w:t>2029 (dated)</w:t>
            </w:r>
          </w:p>
        </w:tc>
        <w:tc>
          <w:tcPr>
            <w:tcW w:type="dxa" w:w="3485"/>
          </w:tcPr>
          <w:p>
            <w:pPr>
              <w:spacing w:after="20"/>
            </w:pPr>
            <w:r>
              <w:rPr>
                <w:color w:val="1C3A36"/>
                <w:sz w:val="16"/>
              </w:rPr>
              <w:t>The Dubai Metro BLUE LINE opens — AED 20.5 bn, 30 km, 14 stations</w:t>
            </w:r>
          </w:p>
        </w:tc>
        <w:tc>
          <w:tcPr>
            <w:tcW w:type="dxa" w:w="4954"/>
          </w:tcPr>
          <w:p>
            <w:pPr>
              <w:spacing w:after="20"/>
            </w:pPr>
            <w:r>
              <w:rPr>
                <w:color w:val="1C3A36"/>
                <w:sz w:val="16"/>
              </w:rPr>
              <w:t>200,000 passengers/day rising to 320,000 by 2040, running EAST–WEST, on the axis Salik tolls. Not a 2026 catalyst, but it is the reason our terminal growth is 2.5% and not 4%.</w:t>
            </w:r>
          </w:p>
        </w:tc>
      </w:tr>
    </w:tbl>
    <w:p>
      <w:pPr>
        <w:spacing w:after="40"/>
      </w:pPr>
    </w:p>
    <w:p>
      <w:r>
        <w:br w:type="page"/>
      </w:r>
    </w:p>
    <w:p>
      <w:pPr>
        <w:spacing w:after="100" w:before="260"/>
      </w:pPr>
      <w:r>
        <w:rPr>
          <w:b/>
          <w:i w:val="0"/>
          <w:color w:val="1C3A36"/>
          <w:sz w:val="30"/>
        </w:rPr>
        <w:t>6 Reading the probability zones</w:t>
      </w:r>
    </w:p>
    <w:p>
      <w:pPr>
        <w:spacing w:after="120" w:before="0"/>
      </w:pPr>
      <w:r>
        <w:rPr>
          <w:b w:val="0"/>
          <w:i w:val="0"/>
          <w:color w:val="1C3A36"/>
          <w:sz w:val="21"/>
        </w:rPr>
        <w:t>The Monte Carlo gives a distribution. A distribution is only useful if you can say what each part of it MEANS. So here is the T+60 distribution, cut into zones, with the world that would have to obtain for the price to be there.</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408"/>
        <w:gridCol w:w="3408"/>
        <w:gridCol w:w="3408"/>
      </w:tblGrid>
      <w:tr>
        <w:tc>
          <w:tcPr>
            <w:tcW w:type="dxa" w:w="2189"/>
            <w:shd w:val="clear" w:color="auto" w:fill="EAF0EE"/>
          </w:tcPr>
          <w:p>
            <w:pPr>
              <w:spacing w:after="20"/>
            </w:pPr>
            <w:r>
              <w:rPr>
                <w:b/>
                <w:color w:val="1C3A36"/>
                <w:sz w:val="16"/>
              </w:rPr>
              <w:t>Zone at T+60 (2 Oct 2026)</w:t>
            </w:r>
          </w:p>
        </w:tc>
        <w:tc>
          <w:tcPr>
            <w:tcW w:type="dxa" w:w="1469"/>
            <w:shd w:val="clear" w:color="auto" w:fill="EAF0EE"/>
          </w:tcPr>
          <w:p>
            <w:pPr>
              <w:spacing w:after="20"/>
            </w:pPr>
            <w:r>
              <w:rPr>
                <w:b/>
                <w:color w:val="1C3A36"/>
                <w:sz w:val="16"/>
              </w:rPr>
              <w:t>Probability</w:t>
            </w:r>
          </w:p>
        </w:tc>
        <w:tc>
          <w:tcPr>
            <w:tcW w:type="dxa" w:w="6566"/>
            <w:shd w:val="clear" w:color="auto" w:fill="EAF0EE"/>
          </w:tcPr>
          <w:p>
            <w:pPr>
              <w:spacing w:after="20"/>
            </w:pPr>
            <w:r>
              <w:rPr>
                <w:b/>
                <w:color w:val="1C3A36"/>
                <w:sz w:val="16"/>
              </w:rPr>
              <w:t>The world in which it happens</w:t>
            </w:r>
          </w:p>
        </w:tc>
      </w:tr>
      <w:tr>
        <w:tc>
          <w:tcPr>
            <w:tcW w:type="dxa" w:w="2189"/>
          </w:tcPr>
          <w:p>
            <w:pPr>
              <w:spacing w:after="20"/>
            </w:pPr>
            <w:r>
              <w:rPr>
                <w:b/>
                <w:color w:val="1C3A36"/>
                <w:sz w:val="16"/>
              </w:rPr>
              <w:t>below AED 4.60</w:t>
            </w:r>
          </w:p>
        </w:tc>
        <w:tc>
          <w:tcPr>
            <w:tcW w:type="dxa" w:w="1469"/>
          </w:tcPr>
          <w:p>
            <w:pPr>
              <w:spacing w:after="20"/>
            </w:pPr>
            <w:r>
              <w:rPr>
                <w:color w:val="1C3A36"/>
                <w:sz w:val="16"/>
              </w:rPr>
              <w:t>8.2%</w:t>
            </w:r>
          </w:p>
        </w:tc>
        <w:tc>
          <w:tcPr>
            <w:tcW w:type="dxa" w:w="6566"/>
          </w:tcPr>
          <w:p>
            <w:pPr>
              <w:spacing w:after="20"/>
            </w:pPr>
            <w:r>
              <w:rPr>
                <w:color w:val="1C3A36"/>
                <w:sz w:val="16"/>
              </w:rPr>
              <w:t>The war reopens, or Q2 lands far below 130 mn trips and the market decides Dubai's population thesis is broken. This is the only zone in which our BEAR case (AED 3.32) is in play.</w:t>
            </w:r>
          </w:p>
        </w:tc>
      </w:tr>
      <w:tr>
        <w:tc>
          <w:tcPr>
            <w:tcW w:type="dxa" w:w="2189"/>
          </w:tcPr>
          <w:p>
            <w:pPr>
              <w:spacing w:after="20"/>
            </w:pPr>
            <w:r>
              <w:rPr>
                <w:b/>
                <w:color w:val="1C3A36"/>
                <w:sz w:val="16"/>
              </w:rPr>
              <w:t>AED 4.60 – 5.20</w:t>
            </w:r>
          </w:p>
        </w:tc>
        <w:tc>
          <w:tcPr>
            <w:tcW w:type="dxa" w:w="1469"/>
          </w:tcPr>
          <w:p>
            <w:pPr>
              <w:spacing w:after="20"/>
            </w:pPr>
            <w:r>
              <w:rPr>
                <w:color w:val="1C3A36"/>
                <w:sz w:val="16"/>
              </w:rPr>
              <w:t>18.4%</w:t>
            </w:r>
          </w:p>
        </w:tc>
        <w:tc>
          <w:tcPr>
            <w:tcW w:type="dxa" w:w="6566"/>
          </w:tcPr>
          <w:p>
            <w:pPr>
              <w:spacing w:after="20"/>
            </w:pPr>
            <w:r>
              <w:rPr>
                <w:color w:val="1C3A36"/>
                <w:sz w:val="16"/>
              </w:rPr>
              <w:t>A deep Q2, a guidance cut, and no visible recovery. The stock converges on our weighted central of AED 4.62 — i.e. the market comes to us.</w:t>
            </w:r>
          </w:p>
        </w:tc>
      </w:tr>
      <w:tr>
        <w:tc>
          <w:tcPr>
            <w:tcW w:type="dxa" w:w="2189"/>
          </w:tcPr>
          <w:p>
            <w:pPr>
              <w:spacing w:after="20"/>
            </w:pPr>
            <w:r>
              <w:rPr>
                <w:b/>
                <w:color w:val="1C3A36"/>
                <w:sz w:val="16"/>
              </w:rPr>
              <w:t>AED 5.20 – 6.20</w:t>
            </w:r>
          </w:p>
        </w:tc>
        <w:tc>
          <w:tcPr>
            <w:tcW w:type="dxa" w:w="1469"/>
          </w:tcPr>
          <w:p>
            <w:pPr>
              <w:spacing w:after="20"/>
            </w:pPr>
            <w:r>
              <w:rPr>
                <w:color w:val="1C3A36"/>
                <w:sz w:val="16"/>
              </w:rPr>
              <w:t>46.3%</w:t>
            </w:r>
          </w:p>
        </w:tc>
        <w:tc>
          <w:tcPr>
            <w:tcW w:type="dxa" w:w="6566"/>
          </w:tcPr>
          <w:p>
            <w:pPr>
              <w:spacing w:after="20"/>
            </w:pPr>
            <w:r>
              <w:rPr>
                <w:color w:val="1C3A36"/>
                <w:sz w:val="16"/>
              </w:rPr>
              <w:t>The base world. Q2 is bad but bounded, the ceasefire holds, H2 recovers as guided, the dividend is paid. Spot sits inside this zone TODAY. Nothing needs to happen for it to stay here.</w:t>
            </w:r>
          </w:p>
        </w:tc>
      </w:tr>
      <w:tr>
        <w:tc>
          <w:tcPr>
            <w:tcW w:type="dxa" w:w="2189"/>
          </w:tcPr>
          <w:p>
            <w:pPr>
              <w:spacing w:after="20"/>
            </w:pPr>
            <w:r>
              <w:rPr>
                <w:b/>
                <w:color w:val="1C3A36"/>
                <w:sz w:val="16"/>
              </w:rPr>
              <w:t>AED 6.20 – 7.00</w:t>
            </w:r>
          </w:p>
        </w:tc>
        <w:tc>
          <w:tcPr>
            <w:tcW w:type="dxa" w:w="1469"/>
          </w:tcPr>
          <w:p>
            <w:pPr>
              <w:spacing w:after="20"/>
            </w:pPr>
            <w:r>
              <w:rPr>
                <w:color w:val="1C3A36"/>
                <w:sz w:val="16"/>
              </w:rPr>
              <w:t>18.8%</w:t>
            </w:r>
          </w:p>
        </w:tc>
        <w:tc>
          <w:tcPr>
            <w:tcW w:type="dxa" w:w="6566"/>
          </w:tcPr>
          <w:p>
            <w:pPr>
              <w:spacing w:after="20"/>
            </w:pPr>
            <w:r>
              <w:rPr>
                <w:color w:val="1C3A36"/>
                <w:sz w:val="16"/>
              </w:rPr>
              <w:t>The war formally ends, Q2 surprises up, and the market re-rates a monopoly concession as a bond in a falling-rate world. Requires a beta at the BOTTOM of our measured 95% CI.</w:t>
            </w:r>
          </w:p>
        </w:tc>
      </w:tr>
      <w:tr>
        <w:tc>
          <w:tcPr>
            <w:tcW w:type="dxa" w:w="2189"/>
          </w:tcPr>
          <w:p>
            <w:pPr>
              <w:spacing w:after="20"/>
            </w:pPr>
            <w:r>
              <w:rPr>
                <w:b/>
                <w:color w:val="1C3A36"/>
                <w:sz w:val="16"/>
              </w:rPr>
              <w:t>above AED 7.00</w:t>
            </w:r>
          </w:p>
        </w:tc>
        <w:tc>
          <w:tcPr>
            <w:tcW w:type="dxa" w:w="1469"/>
          </w:tcPr>
          <w:p>
            <w:pPr>
              <w:spacing w:after="20"/>
            </w:pPr>
            <w:r>
              <w:rPr>
                <w:color w:val="1C3A36"/>
                <w:sz w:val="16"/>
              </w:rPr>
              <w:t>8.3%</w:t>
            </w:r>
          </w:p>
        </w:tc>
        <w:tc>
          <w:tcPr>
            <w:tcW w:type="dxa" w:w="6566"/>
          </w:tcPr>
          <w:p>
            <w:pPr>
              <w:spacing w:after="20"/>
            </w:pPr>
            <w:r>
              <w:rPr>
                <w:color w:val="1C3A36"/>
                <w:sz w:val="16"/>
              </w:rPr>
              <w:t>A tariff rise, a fast peace, and a Fed cutting cycle — all at once. Possible; not a plan.</w:t>
            </w:r>
          </w:p>
        </w:tc>
      </w:tr>
    </w:tbl>
    <w:p>
      <w:pPr>
        <w:spacing w:after="40"/>
      </w:pPr>
    </w:p>
    <w:p>
      <w:pPr>
        <w:spacing w:after="120" w:before="0"/>
      </w:pPr>
      <w:r>
        <w:rPr>
          <w:b w:val="0"/>
          <w:i w:val="0"/>
          <w:color w:val="1C3A36"/>
          <w:sz w:val="21"/>
        </w:rPr>
        <w:t>Two things to take from that table. The base world — the 46% zone — requires nothing to happen. Spot is inside it TODAY. And the zone in which the market comes down to our number is only about a quarter as likely as the zone in which it does not. We are comfortable with that: a fair value is not a forecast, and §3 has no opinion whatsoever about §1.</w:t>
      </w:r>
    </w:p>
    <w:p>
      <w:pPr>
        <w:pStyle w:val="ListBullet"/>
        <w:spacing w:after="60"/>
      </w:pPr>
      <w:r>
        <w:rPr>
          <w:b/>
          <w:color w:val="1C3A36"/>
          <w:sz w:val="20"/>
        </w:rPr>
        <w:t xml:space="preserve">It is not a forecast of value. </w:t>
      </w:r>
      <w:r>
        <w:rPr>
          <w:color w:val="1C3A36"/>
          <w:sz w:val="20"/>
        </w:rPr>
        <w:t>The Monte Carlo is a PRICE map, not a value map. Its drift is the carry anchor and nothing else. The fundamental gap in §1 deliberately does not enter it.</w:t>
      </w:r>
    </w:p>
    <w:p>
      <w:pPr>
        <w:pStyle w:val="ListBullet"/>
        <w:spacing w:after="60"/>
      </w:pPr>
      <w:r>
        <w:rPr>
          <w:b/>
          <w:color w:val="1C3A36"/>
          <w:sz w:val="20"/>
        </w:rPr>
        <w:t xml:space="preserve">The bands are generous, not tight. </w:t>
      </w:r>
      <w:r>
        <w:rPr>
          <w:color w:val="1C3A36"/>
          <w:sz w:val="20"/>
        </w:rPr>
        <w:t>Every realised outcome in the back-test fell inside the 90% band. The engine is over-covering. The 51.1% band at T+60 should be read as generous — reality has historically been TIGHTER than the model admits.</w:t>
      </w:r>
    </w:p>
    <w:p>
      <w:pPr>
        <w:pStyle w:val="ListBullet"/>
        <w:spacing w:after="60"/>
      </w:pPr>
      <w:r>
        <w:rPr>
          <w:b/>
          <w:color w:val="1C3A36"/>
          <w:sz w:val="20"/>
        </w:rPr>
        <w:t xml:space="preserve">Touch ≠ terminal. </w:t>
      </w:r>
      <w:r>
        <w:rPr>
          <w:color w:val="1C3A36"/>
          <w:sz w:val="20"/>
        </w:rPr>
        <w:t>A 74.7% chance of TOUCHING AED 5.50 within 60 sessions is not a 74.7% chance of ENDING below it. Confusing touch with terminal is the most common Monte Carlo error there is.</w:t>
      </w:r>
    </w:p>
    <w:p>
      <w:pPr>
        <w:pStyle w:val="ListBullet"/>
        <w:spacing w:after="60"/>
      </w:pPr>
      <w:r>
        <w:rPr>
          <w:b/>
          <w:color w:val="1C3A36"/>
          <w:sz w:val="20"/>
        </w:rPr>
        <w:t xml:space="preserve">And it is falsifiable. </w:t>
      </w:r>
      <w:r>
        <w:rPr>
          <w:color w:val="1C3A36"/>
          <w:sz w:val="20"/>
        </w:rPr>
        <w:t>The T+20 and T+60 percentiles above are frozen at publication and appended to Testahil’s public Calibration Ledger. On 7 August and 2 October 2026 they will be graded against what actually happened, whatever that does to our record. Forecasts that are never scored are not forecasts; they are marketing.</w:t>
      </w:r>
    </w:p>
    <w:p>
      <w:pPr>
        <w:spacing w:after="100" w:before="260"/>
      </w:pPr>
      <w:r>
        <w:rPr>
          <w:b/>
          <w:i w:val="0"/>
          <w:color w:val="1C3A36"/>
          <w:sz w:val="30"/>
        </w:rPr>
        <w:t>7 Caveats — and what would change our mind</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408"/>
        <w:gridCol w:w="3408"/>
        <w:gridCol w:w="3408"/>
      </w:tblGrid>
      <w:tr>
        <w:tc>
          <w:tcPr>
            <w:tcW w:type="dxa" w:w="374"/>
            <w:shd w:val="clear" w:color="auto" w:fill="EAF0EE"/>
          </w:tcPr>
          <w:p>
            <w:pPr>
              <w:spacing w:after="20"/>
            </w:pPr>
            <w:r>
              <w:rPr>
                <w:b/>
                <w:color w:val="1C3A36"/>
                <w:sz w:val="16"/>
              </w:rPr>
              <w:t>#</w:t>
            </w:r>
          </w:p>
        </w:tc>
        <w:tc>
          <w:tcPr>
            <w:tcW w:type="dxa" w:w="3370"/>
            <w:shd w:val="clear" w:color="auto" w:fill="EAF0EE"/>
          </w:tcPr>
          <w:p>
            <w:pPr>
              <w:spacing w:after="20"/>
            </w:pPr>
            <w:r>
              <w:rPr>
                <w:b/>
                <w:color w:val="1C3A36"/>
                <w:sz w:val="16"/>
              </w:rPr>
              <w:t>Trigger</w:t>
            </w:r>
          </w:p>
        </w:tc>
        <w:tc>
          <w:tcPr>
            <w:tcW w:type="dxa" w:w="6480"/>
            <w:shd w:val="clear" w:color="auto" w:fill="EAF0EE"/>
          </w:tcPr>
          <w:p>
            <w:pPr>
              <w:spacing w:after="20"/>
            </w:pPr>
            <w:r>
              <w:rPr>
                <w:b/>
                <w:color w:val="1C3A36"/>
                <w:sz w:val="16"/>
              </w:rPr>
              <w:t>Consequence for this study</w:t>
            </w:r>
          </w:p>
        </w:tc>
      </w:tr>
      <w:tr>
        <w:tc>
          <w:tcPr>
            <w:tcW w:type="dxa" w:w="374"/>
          </w:tcPr>
          <w:p>
            <w:pPr>
              <w:spacing w:after="20"/>
            </w:pPr>
            <w:r>
              <w:rPr>
                <w:color w:val="1C3A36"/>
                <w:sz w:val="16"/>
              </w:rPr>
              <w:t>1</w:t>
            </w:r>
          </w:p>
        </w:tc>
        <w:tc>
          <w:tcPr>
            <w:tcW w:type="dxa" w:w="3370"/>
          </w:tcPr>
          <w:p>
            <w:pPr>
              <w:spacing w:after="20"/>
            </w:pPr>
            <w:r>
              <w:rPr>
                <w:color w:val="1C3A36"/>
                <w:sz w:val="16"/>
              </w:rPr>
              <w:t>The war formally ends and SALIK’s beta reverts toward its measured pre-war 0.47.</w:t>
            </w:r>
          </w:p>
        </w:tc>
        <w:tc>
          <w:tcPr>
            <w:tcW w:type="dxa" w:w="6480"/>
          </w:tcPr>
          <w:p>
            <w:pPr>
              <w:spacing w:after="20"/>
            </w:pPr>
            <w:r>
              <w:rPr>
                <w:color w:val="1C3A36"/>
                <w:sz w:val="16"/>
              </w:rPr>
              <w:t>THE big one. Fair value goes to ~AED 6.02 and spot is CHEAP. This is not a hypothetical — it is a measured number from our own regression, and it is the honest bull case.</w:t>
            </w:r>
          </w:p>
        </w:tc>
      </w:tr>
      <w:tr>
        <w:tc>
          <w:tcPr>
            <w:tcW w:type="dxa" w:w="374"/>
          </w:tcPr>
          <w:p>
            <w:pPr>
              <w:spacing w:after="20"/>
            </w:pPr>
            <w:r>
              <w:rPr>
                <w:color w:val="1C3A36"/>
                <w:sz w:val="16"/>
              </w:rPr>
              <w:t>2</w:t>
            </w:r>
          </w:p>
        </w:tc>
        <w:tc>
          <w:tcPr>
            <w:tcW w:type="dxa" w:w="3370"/>
          </w:tcPr>
          <w:p>
            <w:pPr>
              <w:spacing w:after="20"/>
            </w:pPr>
            <w:r>
              <w:rPr>
                <w:color w:val="1C3A36"/>
                <w:sz w:val="16"/>
              </w:rPr>
              <w:t>Q2-2026 chargeable trips come in ABOVE 145 mn — i.e. the trough was Q1, not Q2.</w:t>
            </w:r>
          </w:p>
        </w:tc>
        <w:tc>
          <w:tcPr>
            <w:tcW w:type="dxa" w:w="6480"/>
          </w:tcPr>
          <w:p>
            <w:pPr>
              <w:spacing w:after="20"/>
            </w:pPr>
            <w:r>
              <w:rPr>
                <w:color w:val="1C3A36"/>
                <w:sz w:val="16"/>
              </w:rPr>
              <w:t>Our FY2026E trip path is too low. Fair value rises, though not enough on its own to close the gap.</w:t>
            </w:r>
          </w:p>
        </w:tc>
      </w:tr>
      <w:tr>
        <w:tc>
          <w:tcPr>
            <w:tcW w:type="dxa" w:w="374"/>
          </w:tcPr>
          <w:p>
            <w:pPr>
              <w:spacing w:after="20"/>
            </w:pPr>
            <w:r>
              <w:rPr>
                <w:color w:val="1C3A36"/>
                <w:sz w:val="16"/>
              </w:rPr>
              <w:t>3</w:t>
            </w:r>
          </w:p>
        </w:tc>
        <w:tc>
          <w:tcPr>
            <w:tcW w:type="dxa" w:w="3370"/>
          </w:tcPr>
          <w:p>
            <w:pPr>
              <w:spacing w:after="20"/>
            </w:pPr>
            <w:r>
              <w:rPr>
                <w:color w:val="1C3A36"/>
                <w:sz w:val="16"/>
              </w:rPr>
              <w:t>A tariff increase is GRANTED by the Executive Council.</w:t>
            </w:r>
          </w:p>
        </w:tc>
        <w:tc>
          <w:tcPr>
            <w:tcW w:type="dxa" w:w="6480"/>
          </w:tcPr>
          <w:p>
            <w:pPr>
              <w:spacing w:after="20"/>
            </w:pPr>
            <w:r>
              <w:rPr>
                <w:color w:val="1C3A36"/>
                <w:sz w:val="16"/>
              </w:rPr>
              <w:t>Raises the realised toll above our 1.5% escalation AND confirms the inflation mechanism works in Salik’s favour. Bullish.</w:t>
            </w:r>
          </w:p>
        </w:tc>
      </w:tr>
      <w:tr>
        <w:tc>
          <w:tcPr>
            <w:tcW w:type="dxa" w:w="374"/>
          </w:tcPr>
          <w:p>
            <w:pPr>
              <w:spacing w:after="20"/>
            </w:pPr>
            <w:r>
              <w:rPr>
                <w:color w:val="1C3A36"/>
                <w:sz w:val="16"/>
              </w:rPr>
              <w:t>4</w:t>
            </w:r>
          </w:p>
        </w:tc>
        <w:tc>
          <w:tcPr>
            <w:tcW w:type="dxa" w:w="3370"/>
          </w:tcPr>
          <w:p>
            <w:pPr>
              <w:spacing w:after="20"/>
            </w:pPr>
            <w:r>
              <w:rPr>
                <w:color w:val="1C3A36"/>
                <w:sz w:val="16"/>
              </w:rPr>
              <w:t>A tariff increase is REFUSED, and the concession fee is cut toward the 15% floor.</w:t>
            </w:r>
          </w:p>
        </w:tc>
        <w:tc>
          <w:tcPr>
            <w:tcW w:type="dxa" w:w="6480"/>
          </w:tcPr>
          <w:p>
            <w:pPr>
              <w:spacing w:after="20"/>
            </w:pPr>
            <w:r>
              <w:rPr>
                <w:color w:val="1C3A36"/>
                <w:sz w:val="16"/>
              </w:rPr>
              <w:t>Worth up to AED 192 mn/yr — 9.2% of EBITDA. ALSO bullish. The contract is a two-way hedge (§1.11).</w:t>
            </w:r>
          </w:p>
        </w:tc>
      </w:tr>
      <w:tr>
        <w:tc>
          <w:tcPr>
            <w:tcW w:type="dxa" w:w="374"/>
          </w:tcPr>
          <w:p>
            <w:pPr>
              <w:spacing w:after="20"/>
            </w:pPr>
            <w:r>
              <w:rPr>
                <w:color w:val="1C3A36"/>
                <w:sz w:val="16"/>
              </w:rPr>
              <w:t>5</w:t>
            </w:r>
          </w:p>
        </w:tc>
        <w:tc>
          <w:tcPr>
            <w:tcW w:type="dxa" w:w="3370"/>
          </w:tcPr>
          <w:p>
            <w:pPr>
              <w:spacing w:after="20"/>
            </w:pPr>
            <w:r>
              <w:rPr>
                <w:color w:val="1C3A36"/>
                <w:sz w:val="16"/>
              </w:rPr>
              <w:t>The RTA announces new gates — and the price.</w:t>
            </w:r>
          </w:p>
        </w:tc>
        <w:tc>
          <w:tcPr>
            <w:tcW w:type="dxa" w:w="6480"/>
          </w:tcPr>
          <w:p>
            <w:pPr>
              <w:spacing w:after="20"/>
            </w:pPr>
            <w:r>
              <w:rPr>
                <w:color w:val="1C3A36"/>
                <w:sz w:val="16"/>
              </w:rPr>
              <w:t>We would examine the price hard. On the 2024 precedent, gates are sold at ~10.6% against an 8.1% WACC. If the next ones are priced the same way, that is balance-sheet growth, not value creation.</w:t>
            </w:r>
          </w:p>
        </w:tc>
      </w:tr>
      <w:tr>
        <w:tc>
          <w:tcPr>
            <w:tcW w:type="dxa" w:w="374"/>
          </w:tcPr>
          <w:p>
            <w:pPr>
              <w:spacing w:after="20"/>
            </w:pPr>
            <w:r>
              <w:rPr>
                <w:color w:val="1C3A36"/>
                <w:sz w:val="16"/>
              </w:rPr>
              <w:t>6</w:t>
            </w:r>
          </w:p>
        </w:tc>
        <w:tc>
          <w:tcPr>
            <w:tcW w:type="dxa" w:w="3370"/>
          </w:tcPr>
          <w:p>
            <w:pPr>
              <w:spacing w:after="20"/>
            </w:pPr>
            <w:r>
              <w:rPr>
                <w:color w:val="1C3A36"/>
                <w:sz w:val="16"/>
              </w:rPr>
              <w:t>Evidence of sustained NET DEPARTURE of Dubai residents.</w:t>
            </w:r>
          </w:p>
        </w:tc>
        <w:tc>
          <w:tcPr>
            <w:tcW w:type="dxa" w:w="6480"/>
          </w:tcPr>
          <w:p>
            <w:pPr>
              <w:spacing w:after="20"/>
            </w:pPr>
            <w:r>
              <w:rPr>
                <w:color w:val="1C3A36"/>
                <w:sz w:val="16"/>
              </w:rPr>
              <w:t>The genuine bear case, and the one we have NOT modelled. Every Salik revenue line is a linear function of how many people live in and visit Dubai. Active accounts still grew 7.5% in Q1-2026, which is why we treat the shock as transient — but that is a Q1 datum and the world has moved.</w:t>
            </w:r>
          </w:p>
        </w:tc>
      </w:tr>
      <w:tr>
        <w:tc>
          <w:tcPr>
            <w:tcW w:type="dxa" w:w="374"/>
          </w:tcPr>
          <w:p>
            <w:pPr>
              <w:spacing w:after="20"/>
            </w:pPr>
            <w:r>
              <w:rPr>
                <w:color w:val="1C3A36"/>
                <w:sz w:val="16"/>
              </w:rPr>
              <w:t>7</w:t>
            </w:r>
          </w:p>
        </w:tc>
        <w:tc>
          <w:tcPr>
            <w:tcW w:type="dxa" w:w="3370"/>
          </w:tcPr>
          <w:p>
            <w:pPr>
              <w:spacing w:after="20"/>
            </w:pPr>
            <w:r>
              <w:rPr>
                <w:color w:val="1C3A36"/>
                <w:sz w:val="16"/>
              </w:rPr>
              <w:t>A Hormuz re-escalation, or the collapse of the June MoU.</w:t>
            </w:r>
          </w:p>
        </w:tc>
        <w:tc>
          <w:tcPr>
            <w:tcW w:type="dxa" w:w="6480"/>
          </w:tcPr>
          <w:p>
            <w:pPr>
              <w:spacing w:after="20"/>
            </w:pPr>
            <w:r>
              <w:rPr>
                <w:color w:val="1C3A36"/>
                <w:sz w:val="16"/>
              </w:rPr>
              <w:t>Widens everything, reopens the FY2026 trough, and — critically — KEEPS the beta at its war level. Both barrels.</w:t>
            </w:r>
          </w:p>
        </w:tc>
      </w:tr>
      <w:tr>
        <w:tc>
          <w:tcPr>
            <w:tcW w:type="dxa" w:w="374"/>
          </w:tcPr>
          <w:p>
            <w:pPr>
              <w:spacing w:after="20"/>
            </w:pPr>
            <w:r>
              <w:rPr>
                <w:color w:val="1C3A36"/>
                <w:sz w:val="16"/>
              </w:rPr>
              <w:t>8</w:t>
            </w:r>
          </w:p>
        </w:tc>
        <w:tc>
          <w:tcPr>
            <w:tcW w:type="dxa" w:w="3370"/>
          </w:tcPr>
          <w:p>
            <w:pPr>
              <w:spacing w:after="20"/>
            </w:pPr>
            <w:r>
              <w:rPr>
                <w:color w:val="1C3A36"/>
                <w:sz w:val="16"/>
              </w:rPr>
              <w:t>Any change to the 100% dividend payout policy — including a trim to fund the RTA instalments.</w:t>
            </w:r>
          </w:p>
        </w:tc>
        <w:tc>
          <w:tcPr>
            <w:tcW w:type="dxa" w:w="6480"/>
          </w:tcPr>
          <w:p>
            <w:pPr>
              <w:spacing w:after="20"/>
            </w:pPr>
            <w:r>
              <w:rPr>
                <w:color w:val="1C3A36"/>
                <w:sz w:val="16"/>
              </w:rPr>
              <w:t>Would invalidate the DDM and the relative lens SIMULTANEOUSLY, because with a 100% payout they are the same multiple. §1.2a shows the payout that would self-fund the instalments is 78%. This is the single most damaging thing that could happen to the valuation architecture.</w:t>
            </w:r>
          </w:p>
        </w:tc>
      </w:tr>
      <w:tr>
        <w:tc>
          <w:tcPr>
            <w:tcW w:type="dxa" w:w="374"/>
          </w:tcPr>
          <w:p>
            <w:pPr>
              <w:spacing w:after="20"/>
            </w:pPr>
            <w:r>
              <w:rPr>
                <w:color w:val="1C3A36"/>
                <w:sz w:val="16"/>
              </w:rPr>
              <w:t>9</w:t>
            </w:r>
          </w:p>
        </w:tc>
        <w:tc>
          <w:tcPr>
            <w:tcW w:type="dxa" w:w="3370"/>
          </w:tcPr>
          <w:p>
            <w:pPr>
              <w:spacing w:after="20"/>
            </w:pPr>
            <w:r>
              <w:rPr>
                <w:color w:val="1C3A36"/>
                <w:sz w:val="16"/>
              </w:rPr>
              <w:t>The RTA sells Salik another gate — and we learn the price.</w:t>
            </w:r>
          </w:p>
        </w:tc>
        <w:tc>
          <w:tcPr>
            <w:tcW w:type="dxa" w:w="6480"/>
          </w:tcPr>
          <w:p>
            <w:pPr>
              <w:spacing w:after="20"/>
            </w:pPr>
            <w:r>
              <w:rPr>
                <w:color w:val="1C3A36"/>
                <w:sz w:val="16"/>
              </w:rPr>
              <w:t>§1.6b says the last one returned 9.5% against an 8.1% cost of capital. If the next is priced at a 15%+ return, Expert 4 is falsified and 2024 was an outlier rather than the template. If it is priced the same way, it is a yield-dilutive capital call and we would say so.</w:t>
            </w:r>
          </w:p>
        </w:tc>
      </w:tr>
    </w:tbl>
    <w:p>
      <w:pPr>
        <w:spacing w:after="40"/>
      </w:pPr>
    </w:p>
    <w:p>
      <w:pPr>
        <w:spacing w:after="80" w:before="180"/>
      </w:pPr>
      <w:r>
        <w:rPr>
          <w:b/>
          <w:i w:val="0"/>
          <w:color w:val="1C3A36"/>
          <w:sz w:val="23"/>
        </w:rPr>
        <w:t>And the caveats we cannot resolve</w:t>
      </w:r>
    </w:p>
    <w:p>
      <w:pPr>
        <w:pStyle w:val="ListBullet"/>
        <w:spacing w:after="60"/>
      </w:pPr>
      <w:r>
        <w:rPr>
          <w:b/>
          <w:color w:val="1C3A36"/>
          <w:sz w:val="20"/>
        </w:rPr>
        <w:t xml:space="preserve">A sourcing failure, declared. </w:t>
      </w:r>
      <w:r>
        <w:rPr>
          <w:color w:val="1C3A36"/>
          <w:sz w:val="20"/>
        </w:rPr>
        <w:t>We could not source the FY2026 guidance numbers. The company revised guidance down on 11 May 2026 but did not put the figures in the public release, and we will not quote an aggregator for a company disclosure. Our FY2026 path is built bottom-up instead, and flagged as ours.</w:t>
      </w:r>
    </w:p>
    <w:p>
      <w:pPr>
        <w:pStyle w:val="ListBullet"/>
        <w:spacing w:after="60"/>
      </w:pPr>
      <w:r>
        <w:rPr>
          <w:b/>
          <w:color w:val="1C3A36"/>
          <w:sz w:val="20"/>
        </w:rPr>
        <w:t xml:space="preserve">A disclosure gap, declared. </w:t>
      </w:r>
      <w:r>
        <w:rPr>
          <w:color w:val="1C3A36"/>
          <w:sz w:val="20"/>
        </w:rPr>
        <w:t>Salik publishes no full quarterly balance sheet. Total assets, net debt, working capital and leverage ARE disclosed; equity, gross debt and cash are not. Our balance-sheet bridge in Appendix A is partly derived and every derived line is marked. Nothing in the valuation rests on one: the DCF bridges through NET debt, which is disclosed.</w:t>
      </w:r>
    </w:p>
    <w:p>
      <w:pPr>
        <w:pStyle w:val="ListBullet"/>
        <w:spacing w:after="60"/>
      </w:pPr>
      <w:r>
        <w:rPr>
          <w:b/>
          <w:color w:val="1C3A36"/>
          <w:sz w:val="20"/>
        </w:rPr>
        <w:t xml:space="preserve">A methodological substitution, declared. </w:t>
      </w:r>
      <w:r>
        <w:rPr>
          <w:color w:val="1C3A36"/>
          <w:sz w:val="20"/>
        </w:rPr>
        <w:t>Our market portfolio is an equal-weighted 14-name basket, not the DFM General Index. It is a defensible — arguably better — UAE market proxy, but it is not the index, and a reader using the DFMGI would get a somewhat different beta. We could not obtain DFMGI history and we say so rather than pretending the basket is the index.</w:t>
      </w:r>
    </w:p>
    <w:p>
      <w:pPr>
        <w:pStyle w:val="ListBullet"/>
        <w:spacing w:after="60"/>
      </w:pPr>
      <w:r>
        <w:rPr>
          <w:b/>
          <w:color w:val="1C3A36"/>
          <w:sz w:val="20"/>
        </w:rPr>
        <w:t xml:space="preserve">An attribution we withdrew. </w:t>
      </w:r>
      <w:r>
        <w:rPr>
          <w:color w:val="1C3A36"/>
          <w:sz w:val="20"/>
        </w:rPr>
        <w:t>We could not attribute the 16.1 mn residual between "chargeable" trips and trips that actually paid. Version 2 called it the free overnight window; that was more than the disclosure supports, and we have withdrawn it. It is almost certainly NOT leakage — the company reports net violations at 0.4% of net toll traffic and calls its own leakage "insignificant" — but the exact split we cannot give you.</w:t>
      </w:r>
    </w:p>
    <w:p>
      <w:pPr>
        <w:pStyle w:val="ListBullet"/>
        <w:spacing w:after="60"/>
      </w:pPr>
      <w:r>
        <w:rPr>
          <w:b/>
          <w:color w:val="1C3A36"/>
          <w:sz w:val="20"/>
        </w:rPr>
        <w:t xml:space="preserve">A plug, now labelled. </w:t>
      </w:r>
      <w:r>
        <w:rPr>
          <w:color w:val="1C3A36"/>
          <w:sz w:val="20"/>
        </w:rPr>
        <w:t>Our "Other revenue" line is a PLUG — total revenue less the four lines we can source. The company’s FY2024 "other revenues" were AED 21.7 mn; we carry AED 56 mn. Version 2 presented it as though it were disclosed. It is 1.9% of revenue and it does not move the answer, but it is not sourced and we should have said so.</w:t>
      </w:r>
    </w:p>
    <w:p>
      <w:pPr>
        <w:pStyle w:val="ListBullet"/>
        <w:spacing w:after="60"/>
      </w:pPr>
      <w:r>
        <w:rPr>
          <w:b/>
          <w:color w:val="1C3A36"/>
          <w:sz w:val="20"/>
        </w:rPr>
        <w:t xml:space="preserve">A governance fact, declared. </w:t>
      </w:r>
      <w:r>
        <w:rPr>
          <w:color w:val="1C3A36"/>
          <w:sz w:val="20"/>
        </w:rPr>
        <w:t>The RTA is Salik’s grantor, its regulator, its landlord, its largest counterparty, the vendor of every future gate, AND — through the Dubai Investment Fund — its 75.1% shareholder. Salik’s Chairman is the RTA’s Director-General. Of every AED 100 Salik collects, the Government of Dubai keeps AED 58 (the concession fee plus its share of the dividend) and the free float’s claim is AED 13. That is not a criticism — it is the deal. But no discount we would defend captures it cleanly.</w:t>
      </w:r>
    </w:p>
    <w:p>
      <w:r>
        <w:br w:type="page"/>
      </w:r>
    </w:p>
    <w:p>
      <w:pPr>
        <w:spacing w:after="100" w:before="260"/>
      </w:pPr>
      <w:r>
        <w:rPr>
          <w:b/>
          <w:i w:val="0"/>
          <w:color w:val="1C3A36"/>
          <w:sz w:val="30"/>
        </w:rPr>
        <w:t>Appendix A Financial statements</w:t>
      </w:r>
    </w:p>
    <w:p>
      <w:pPr>
        <w:spacing w:after="80" w:before="180"/>
      </w:pPr>
      <w:r>
        <w:rPr>
          <w:b/>
          <w:i w:val="0"/>
          <w:color w:val="1C3A36"/>
          <w:sz w:val="23"/>
        </w:rPr>
        <w:t>A.1 Income statement — three years reported, five years forecast</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36"/>
        <w:gridCol w:w="1136"/>
        <w:gridCol w:w="1136"/>
        <w:gridCol w:w="1136"/>
        <w:gridCol w:w="1136"/>
        <w:gridCol w:w="1136"/>
        <w:gridCol w:w="1136"/>
        <w:gridCol w:w="1136"/>
        <w:gridCol w:w="1136"/>
      </w:tblGrid>
      <w:tr>
        <w:tc>
          <w:tcPr>
            <w:tcW w:type="dxa" w:w="2477"/>
            <w:shd w:val="clear" w:color="auto" w:fill="EAF0EE"/>
          </w:tcPr>
          <w:p>
            <w:pPr>
              <w:spacing w:after="20"/>
            </w:pPr>
            <w:r>
              <w:rPr>
                <w:b/>
                <w:color w:val="1C3A36"/>
                <w:sz w:val="15"/>
              </w:rPr>
              <w:t>AED mn</w:t>
            </w:r>
          </w:p>
        </w:tc>
        <w:tc>
          <w:tcPr>
            <w:tcW w:type="dxa" w:w="950"/>
            <w:shd w:val="clear" w:color="auto" w:fill="EAF0EE"/>
          </w:tcPr>
          <w:p>
            <w:pPr>
              <w:spacing w:after="20"/>
            </w:pPr>
            <w:r>
              <w:rPr>
                <w:b/>
                <w:color w:val="1C3A36"/>
                <w:sz w:val="15"/>
              </w:rPr>
              <w:t>FY2023</w:t>
            </w:r>
          </w:p>
        </w:tc>
        <w:tc>
          <w:tcPr>
            <w:tcW w:type="dxa" w:w="950"/>
            <w:shd w:val="clear" w:color="auto" w:fill="EAF0EE"/>
          </w:tcPr>
          <w:p>
            <w:pPr>
              <w:spacing w:after="20"/>
            </w:pPr>
            <w:r>
              <w:rPr>
                <w:b/>
                <w:color w:val="1C3A36"/>
                <w:sz w:val="15"/>
              </w:rPr>
              <w:t>FY2024</w:t>
            </w:r>
          </w:p>
        </w:tc>
        <w:tc>
          <w:tcPr>
            <w:tcW w:type="dxa" w:w="950"/>
            <w:shd w:val="clear" w:color="auto" w:fill="EAF0EE"/>
          </w:tcPr>
          <w:p>
            <w:pPr>
              <w:spacing w:after="20"/>
            </w:pPr>
            <w:r>
              <w:rPr>
                <w:b/>
                <w:color w:val="1C3A36"/>
                <w:sz w:val="15"/>
              </w:rPr>
              <w:t>FY2025</w:t>
            </w:r>
          </w:p>
        </w:tc>
        <w:tc>
          <w:tcPr>
            <w:tcW w:type="dxa" w:w="950"/>
            <w:shd w:val="clear" w:color="auto" w:fill="EAF0EE"/>
          </w:tcPr>
          <w:p>
            <w:pPr>
              <w:spacing w:after="20"/>
            </w:pPr>
            <w:r>
              <w:rPr>
                <w:b/>
                <w:color w:val="1C3A36"/>
                <w:sz w:val="15"/>
              </w:rPr>
              <w:t>FY2026E</w:t>
            </w:r>
          </w:p>
        </w:tc>
        <w:tc>
          <w:tcPr>
            <w:tcW w:type="dxa" w:w="950"/>
            <w:shd w:val="clear" w:color="auto" w:fill="EAF0EE"/>
          </w:tcPr>
          <w:p>
            <w:pPr>
              <w:spacing w:after="20"/>
            </w:pPr>
            <w:r>
              <w:rPr>
                <w:b/>
                <w:color w:val="1C3A36"/>
                <w:sz w:val="15"/>
              </w:rPr>
              <w:t>FY2027E</w:t>
            </w:r>
          </w:p>
        </w:tc>
        <w:tc>
          <w:tcPr>
            <w:tcW w:type="dxa" w:w="950"/>
            <w:shd w:val="clear" w:color="auto" w:fill="EAF0EE"/>
          </w:tcPr>
          <w:p>
            <w:pPr>
              <w:spacing w:after="20"/>
            </w:pPr>
            <w:r>
              <w:rPr>
                <w:b/>
                <w:color w:val="1C3A36"/>
                <w:sz w:val="15"/>
              </w:rPr>
              <w:t>FY2028E</w:t>
            </w:r>
          </w:p>
        </w:tc>
        <w:tc>
          <w:tcPr>
            <w:tcW w:type="dxa" w:w="950"/>
            <w:shd w:val="clear" w:color="auto" w:fill="EAF0EE"/>
          </w:tcPr>
          <w:p>
            <w:pPr>
              <w:spacing w:after="20"/>
            </w:pPr>
            <w:r>
              <w:rPr>
                <w:b/>
                <w:color w:val="1C3A36"/>
                <w:sz w:val="15"/>
              </w:rPr>
              <w:t>FY2029E</w:t>
            </w:r>
          </w:p>
        </w:tc>
        <w:tc>
          <w:tcPr>
            <w:tcW w:type="dxa" w:w="950"/>
            <w:shd w:val="clear" w:color="auto" w:fill="EAF0EE"/>
          </w:tcPr>
          <w:p>
            <w:pPr>
              <w:spacing w:after="20"/>
            </w:pPr>
            <w:r>
              <w:rPr>
                <w:b/>
                <w:color w:val="1C3A36"/>
                <w:sz w:val="15"/>
              </w:rPr>
              <w:t>FY2030E</w:t>
            </w:r>
          </w:p>
        </w:tc>
      </w:tr>
      <w:tr>
        <w:tc>
          <w:tcPr>
            <w:tcW w:type="dxa" w:w="2477"/>
          </w:tcPr>
          <w:p>
            <w:pPr>
              <w:spacing w:after="20"/>
            </w:pPr>
            <w:r>
              <w:rPr>
                <w:b/>
                <w:color w:val="1C3A36"/>
                <w:sz w:val="15"/>
              </w:rPr>
              <w:t>Revenue</w:t>
            </w:r>
          </w:p>
        </w:tc>
        <w:tc>
          <w:tcPr>
            <w:tcW w:type="dxa" w:w="950"/>
          </w:tcPr>
          <w:p>
            <w:pPr>
              <w:spacing w:after="20"/>
              <w:jc w:val="right"/>
            </w:pPr>
            <w:r>
              <w:rPr>
                <w:color w:val="1C3A36"/>
                <w:sz w:val="15"/>
              </w:rPr>
              <w:t>2,109</w:t>
            </w:r>
          </w:p>
        </w:tc>
        <w:tc>
          <w:tcPr>
            <w:tcW w:type="dxa" w:w="950"/>
          </w:tcPr>
          <w:p>
            <w:pPr>
              <w:spacing w:after="20"/>
              <w:jc w:val="right"/>
            </w:pPr>
            <w:r>
              <w:rPr>
                <w:color w:val="1C3A36"/>
                <w:sz w:val="15"/>
              </w:rPr>
              <w:t>2,292</w:t>
            </w:r>
          </w:p>
        </w:tc>
        <w:tc>
          <w:tcPr>
            <w:tcW w:type="dxa" w:w="950"/>
          </w:tcPr>
          <w:p>
            <w:pPr>
              <w:spacing w:after="20"/>
              <w:jc w:val="right"/>
            </w:pPr>
            <w:r>
              <w:rPr>
                <w:color w:val="1C3A36"/>
                <w:sz w:val="15"/>
              </w:rPr>
              <w:t>3,097</w:t>
            </w:r>
          </w:p>
        </w:tc>
        <w:tc>
          <w:tcPr>
            <w:tcW w:type="dxa" w:w="950"/>
          </w:tcPr>
          <w:p>
            <w:pPr>
              <w:spacing w:after="20"/>
              <w:jc w:val="right"/>
            </w:pPr>
            <w:r>
              <w:rPr>
                <w:color w:val="1C3A36"/>
                <w:sz w:val="15"/>
              </w:rPr>
              <w:t>2,981</w:t>
            </w:r>
          </w:p>
        </w:tc>
        <w:tc>
          <w:tcPr>
            <w:tcW w:type="dxa" w:w="950"/>
          </w:tcPr>
          <w:p>
            <w:pPr>
              <w:spacing w:after="20"/>
              <w:jc w:val="right"/>
            </w:pPr>
            <w:r>
              <w:rPr>
                <w:color w:val="1C3A36"/>
                <w:sz w:val="15"/>
              </w:rPr>
              <w:t>3,170</w:t>
            </w:r>
          </w:p>
        </w:tc>
        <w:tc>
          <w:tcPr>
            <w:tcW w:type="dxa" w:w="950"/>
          </w:tcPr>
          <w:p>
            <w:pPr>
              <w:spacing w:after="20"/>
              <w:jc w:val="right"/>
            </w:pPr>
            <w:r>
              <w:rPr>
                <w:color w:val="1C3A36"/>
                <w:sz w:val="15"/>
              </w:rPr>
              <w:t>3,360</w:t>
            </w:r>
          </w:p>
        </w:tc>
        <w:tc>
          <w:tcPr>
            <w:tcW w:type="dxa" w:w="950"/>
          </w:tcPr>
          <w:p>
            <w:pPr>
              <w:spacing w:after="20"/>
              <w:jc w:val="right"/>
            </w:pPr>
            <w:r>
              <w:rPr>
                <w:color w:val="1C3A36"/>
                <w:sz w:val="15"/>
              </w:rPr>
              <w:t>3,549</w:t>
            </w:r>
          </w:p>
        </w:tc>
        <w:tc>
          <w:tcPr>
            <w:tcW w:type="dxa" w:w="950"/>
          </w:tcPr>
          <w:p>
            <w:pPr>
              <w:spacing w:after="20"/>
              <w:jc w:val="right"/>
            </w:pPr>
            <w:r>
              <w:rPr>
                <w:color w:val="1C3A36"/>
                <w:sz w:val="15"/>
              </w:rPr>
              <w:t>3,734</w:t>
            </w:r>
          </w:p>
        </w:tc>
      </w:tr>
      <w:tr>
        <w:tc>
          <w:tcPr>
            <w:tcW w:type="dxa" w:w="2477"/>
          </w:tcPr>
          <w:p>
            <w:pPr>
              <w:spacing w:after="20"/>
            </w:pPr>
            <w:r>
              <w:rPr>
                <w:b/>
                <w:color w:val="1C3A36"/>
                <w:sz w:val="15"/>
              </w:rPr>
              <w:t xml:space="preserve"> Concession fee to the RTA</w:t>
            </w:r>
          </w:p>
        </w:tc>
        <w:tc>
          <w:tcPr>
            <w:tcW w:type="dxa" w:w="950"/>
          </w:tcPr>
          <w:p>
            <w:pPr>
              <w:spacing w:after="20"/>
              <w:jc w:val="right"/>
            </w:pPr>
            <w:r>
              <w:rPr>
                <w:color w:val="1C3A36"/>
                <w:sz w:val="15"/>
              </w:rPr>
              <w:t>-461</w:t>
            </w:r>
          </w:p>
        </w:tc>
        <w:tc>
          <w:tcPr>
            <w:tcW w:type="dxa" w:w="950"/>
          </w:tcPr>
          <w:p>
            <w:pPr>
              <w:spacing w:after="20"/>
              <w:jc w:val="right"/>
            </w:pPr>
            <w:r>
              <w:rPr>
                <w:color w:val="1C3A36"/>
                <w:sz w:val="15"/>
              </w:rPr>
              <w:t>-461</w:t>
            </w:r>
          </w:p>
        </w:tc>
        <w:tc>
          <w:tcPr>
            <w:tcW w:type="dxa" w:w="950"/>
          </w:tcPr>
          <w:p>
            <w:pPr>
              <w:spacing w:after="20"/>
              <w:jc w:val="right"/>
            </w:pPr>
            <w:r>
              <w:rPr>
                <w:color w:val="1C3A36"/>
                <w:sz w:val="15"/>
              </w:rPr>
              <w:t>-614</w:t>
            </w:r>
          </w:p>
        </w:tc>
        <w:tc>
          <w:tcPr>
            <w:tcW w:type="dxa" w:w="950"/>
          </w:tcPr>
          <w:p>
            <w:pPr>
              <w:spacing w:after="20"/>
              <w:jc w:val="right"/>
            </w:pPr>
            <w:r>
              <w:rPr>
                <w:color w:val="1C3A36"/>
                <w:sz w:val="15"/>
              </w:rPr>
              <w:t>-575</w:t>
            </w:r>
          </w:p>
        </w:tc>
        <w:tc>
          <w:tcPr>
            <w:tcW w:type="dxa" w:w="950"/>
          </w:tcPr>
          <w:p>
            <w:pPr>
              <w:spacing w:after="20"/>
              <w:jc w:val="right"/>
            </w:pPr>
            <w:r>
              <w:rPr>
                <w:color w:val="1C3A36"/>
                <w:sz w:val="15"/>
              </w:rPr>
              <w:t>-610</w:t>
            </w:r>
          </w:p>
        </w:tc>
        <w:tc>
          <w:tcPr>
            <w:tcW w:type="dxa" w:w="950"/>
          </w:tcPr>
          <w:p>
            <w:pPr>
              <w:spacing w:after="20"/>
              <w:jc w:val="right"/>
            </w:pPr>
            <w:r>
              <w:rPr>
                <w:color w:val="1C3A36"/>
                <w:sz w:val="15"/>
              </w:rPr>
              <w:t>-644</w:t>
            </w:r>
          </w:p>
        </w:tc>
        <w:tc>
          <w:tcPr>
            <w:tcW w:type="dxa" w:w="950"/>
          </w:tcPr>
          <w:p>
            <w:pPr>
              <w:spacing w:after="20"/>
              <w:jc w:val="right"/>
            </w:pPr>
            <w:r>
              <w:rPr>
                <w:color w:val="1C3A36"/>
                <w:sz w:val="15"/>
              </w:rPr>
              <w:t>-676</w:t>
            </w:r>
          </w:p>
        </w:tc>
        <w:tc>
          <w:tcPr>
            <w:tcW w:type="dxa" w:w="950"/>
          </w:tcPr>
          <w:p>
            <w:pPr>
              <w:spacing w:after="20"/>
              <w:jc w:val="right"/>
            </w:pPr>
            <w:r>
              <w:rPr>
                <w:color w:val="1C3A36"/>
                <w:sz w:val="15"/>
              </w:rPr>
              <w:t>-707</w:t>
            </w:r>
          </w:p>
        </w:tc>
      </w:tr>
      <w:tr>
        <w:tc>
          <w:tcPr>
            <w:tcW w:type="dxa" w:w="2477"/>
          </w:tcPr>
          <w:p>
            <w:pPr>
              <w:spacing w:after="20"/>
            </w:pPr>
            <w:r>
              <w:rPr>
                <w:b/>
                <w:color w:val="1C3A36"/>
                <w:sz w:val="15"/>
              </w:rPr>
              <w:t xml:space="preserve"> Other operating costs</w:t>
            </w:r>
          </w:p>
        </w:tc>
        <w:tc>
          <w:tcPr>
            <w:tcW w:type="dxa" w:w="950"/>
          </w:tcPr>
          <w:p>
            <w:pPr>
              <w:spacing w:after="20"/>
              <w:jc w:val="right"/>
            </w:pPr>
            <w:r>
              <w:rPr>
                <w:color w:val="1C3A36"/>
                <w:sz w:val="15"/>
              </w:rPr>
              <w:t>-258</w:t>
            </w:r>
          </w:p>
        </w:tc>
        <w:tc>
          <w:tcPr>
            <w:tcW w:type="dxa" w:w="950"/>
          </w:tcPr>
          <w:p>
            <w:pPr>
              <w:spacing w:after="20"/>
              <w:jc w:val="right"/>
            </w:pPr>
            <w:r>
              <w:rPr>
                <w:color w:val="1C3A36"/>
                <w:sz w:val="15"/>
              </w:rPr>
              <w:t>-252</w:t>
            </w:r>
          </w:p>
        </w:tc>
        <w:tc>
          <w:tcPr>
            <w:tcW w:type="dxa" w:w="950"/>
          </w:tcPr>
          <w:p>
            <w:pPr>
              <w:spacing w:after="20"/>
              <w:jc w:val="right"/>
            </w:pPr>
            <w:r>
              <w:rPr>
                <w:color w:val="1C3A36"/>
                <w:sz w:val="15"/>
              </w:rPr>
              <w:t>-339</w:t>
            </w:r>
          </w:p>
        </w:tc>
        <w:tc>
          <w:tcPr>
            <w:tcW w:type="dxa" w:w="950"/>
          </w:tcPr>
          <w:p>
            <w:pPr>
              <w:spacing w:after="20"/>
              <w:jc w:val="right"/>
            </w:pPr>
            <w:r>
              <w:rPr>
                <w:color w:val="1C3A36"/>
                <w:sz w:val="15"/>
              </w:rPr>
              <w:t>-328</w:t>
            </w:r>
          </w:p>
        </w:tc>
        <w:tc>
          <w:tcPr>
            <w:tcW w:type="dxa" w:w="950"/>
          </w:tcPr>
          <w:p>
            <w:pPr>
              <w:spacing w:after="20"/>
              <w:jc w:val="right"/>
            </w:pPr>
            <w:r>
              <w:rPr>
                <w:color w:val="1C3A36"/>
                <w:sz w:val="15"/>
              </w:rPr>
              <w:t>-345</w:t>
            </w:r>
          </w:p>
        </w:tc>
        <w:tc>
          <w:tcPr>
            <w:tcW w:type="dxa" w:w="950"/>
          </w:tcPr>
          <w:p>
            <w:pPr>
              <w:spacing w:after="20"/>
              <w:jc w:val="right"/>
            </w:pPr>
            <w:r>
              <w:rPr>
                <w:color w:val="1C3A36"/>
                <w:sz w:val="15"/>
              </w:rPr>
              <w:t>-363</w:t>
            </w:r>
          </w:p>
        </w:tc>
        <w:tc>
          <w:tcPr>
            <w:tcW w:type="dxa" w:w="950"/>
          </w:tcPr>
          <w:p>
            <w:pPr>
              <w:spacing w:after="20"/>
              <w:jc w:val="right"/>
            </w:pPr>
            <w:r>
              <w:rPr>
                <w:color w:val="1C3A36"/>
                <w:sz w:val="15"/>
              </w:rPr>
              <w:t>-380</w:t>
            </w:r>
          </w:p>
        </w:tc>
        <w:tc>
          <w:tcPr>
            <w:tcW w:type="dxa" w:w="950"/>
          </w:tcPr>
          <w:p>
            <w:pPr>
              <w:spacing w:after="20"/>
              <w:jc w:val="right"/>
            </w:pPr>
            <w:r>
              <w:rPr>
                <w:color w:val="1C3A36"/>
                <w:sz w:val="15"/>
              </w:rPr>
              <w:t>-392</w:t>
            </w:r>
          </w:p>
        </w:tc>
      </w:tr>
      <w:tr>
        <w:tc>
          <w:tcPr>
            <w:tcW w:type="dxa" w:w="2477"/>
            <w:shd w:val="clear" w:color="auto" w:fill="F6F1E6"/>
          </w:tcPr>
          <w:p>
            <w:pPr>
              <w:spacing w:after="20"/>
            </w:pPr>
            <w:r>
              <w:rPr>
                <w:b/>
                <w:color w:val="1C3A36"/>
                <w:sz w:val="15"/>
              </w:rPr>
              <w:t>EBITDA</w:t>
            </w:r>
          </w:p>
        </w:tc>
        <w:tc>
          <w:tcPr>
            <w:tcW w:type="dxa" w:w="950"/>
            <w:shd w:val="clear" w:color="auto" w:fill="F6F1E6"/>
          </w:tcPr>
          <w:p>
            <w:pPr>
              <w:spacing w:after="20"/>
              <w:jc w:val="right"/>
            </w:pPr>
            <w:r>
              <w:rPr>
                <w:b/>
                <w:color w:val="1C3A36"/>
                <w:sz w:val="15"/>
              </w:rPr>
              <w:t>1,390</w:t>
            </w:r>
          </w:p>
        </w:tc>
        <w:tc>
          <w:tcPr>
            <w:tcW w:type="dxa" w:w="950"/>
            <w:shd w:val="clear" w:color="auto" w:fill="F6F1E6"/>
          </w:tcPr>
          <w:p>
            <w:pPr>
              <w:spacing w:after="20"/>
              <w:jc w:val="right"/>
            </w:pPr>
            <w:r>
              <w:rPr>
                <w:b/>
                <w:color w:val="1C3A36"/>
                <w:sz w:val="15"/>
              </w:rPr>
              <w:t>1,579</w:t>
            </w:r>
          </w:p>
        </w:tc>
        <w:tc>
          <w:tcPr>
            <w:tcW w:type="dxa" w:w="950"/>
            <w:shd w:val="clear" w:color="auto" w:fill="F6F1E6"/>
          </w:tcPr>
          <w:p>
            <w:pPr>
              <w:spacing w:after="20"/>
              <w:jc w:val="right"/>
            </w:pPr>
            <w:r>
              <w:rPr>
                <w:b/>
                <w:color w:val="1C3A36"/>
                <w:sz w:val="15"/>
              </w:rPr>
              <w:t>2,144</w:t>
            </w:r>
          </w:p>
        </w:tc>
        <w:tc>
          <w:tcPr>
            <w:tcW w:type="dxa" w:w="950"/>
            <w:shd w:val="clear" w:color="auto" w:fill="F6F1E6"/>
          </w:tcPr>
          <w:p>
            <w:pPr>
              <w:spacing w:after="20"/>
              <w:jc w:val="right"/>
            </w:pPr>
            <w:r>
              <w:rPr>
                <w:b/>
                <w:color w:val="1C3A36"/>
                <w:sz w:val="15"/>
              </w:rPr>
              <w:t>2,078</w:t>
            </w:r>
          </w:p>
        </w:tc>
        <w:tc>
          <w:tcPr>
            <w:tcW w:type="dxa" w:w="950"/>
            <w:shd w:val="clear" w:color="auto" w:fill="F6F1E6"/>
          </w:tcPr>
          <w:p>
            <w:pPr>
              <w:spacing w:after="20"/>
              <w:jc w:val="right"/>
            </w:pPr>
            <w:r>
              <w:rPr>
                <w:b/>
                <w:color w:val="1C3A36"/>
                <w:sz w:val="15"/>
              </w:rPr>
              <w:t>2,214</w:t>
            </w:r>
          </w:p>
        </w:tc>
        <w:tc>
          <w:tcPr>
            <w:tcW w:type="dxa" w:w="950"/>
            <w:shd w:val="clear" w:color="auto" w:fill="F6F1E6"/>
          </w:tcPr>
          <w:p>
            <w:pPr>
              <w:spacing w:after="20"/>
              <w:jc w:val="right"/>
            </w:pPr>
            <w:r>
              <w:rPr>
                <w:b/>
                <w:color w:val="1C3A36"/>
                <w:sz w:val="15"/>
              </w:rPr>
              <w:t>2,354</w:t>
            </w:r>
          </w:p>
        </w:tc>
        <w:tc>
          <w:tcPr>
            <w:tcW w:type="dxa" w:w="950"/>
            <w:shd w:val="clear" w:color="auto" w:fill="F6F1E6"/>
          </w:tcPr>
          <w:p>
            <w:pPr>
              <w:spacing w:after="20"/>
              <w:jc w:val="right"/>
            </w:pPr>
            <w:r>
              <w:rPr>
                <w:b/>
                <w:color w:val="1C3A36"/>
                <w:sz w:val="15"/>
              </w:rPr>
              <w:t>2,493</w:t>
            </w:r>
          </w:p>
        </w:tc>
        <w:tc>
          <w:tcPr>
            <w:tcW w:type="dxa" w:w="950"/>
            <w:shd w:val="clear" w:color="auto" w:fill="F6F1E6"/>
          </w:tcPr>
          <w:p>
            <w:pPr>
              <w:spacing w:after="20"/>
              <w:jc w:val="right"/>
            </w:pPr>
            <w:r>
              <w:rPr>
                <w:b/>
                <w:color w:val="1C3A36"/>
                <w:sz w:val="15"/>
              </w:rPr>
              <w:t>2,635</w:t>
            </w:r>
          </w:p>
        </w:tc>
      </w:tr>
      <w:tr>
        <w:tc>
          <w:tcPr>
            <w:tcW w:type="dxa" w:w="2477"/>
          </w:tcPr>
          <w:p>
            <w:pPr>
              <w:spacing w:after="20"/>
            </w:pPr>
            <w:r>
              <w:rPr>
                <w:b/>
                <w:color w:val="1C3A36"/>
                <w:sz w:val="15"/>
              </w:rPr>
              <w:t xml:space="preserve"> EBITDA margin</w:t>
            </w:r>
          </w:p>
        </w:tc>
        <w:tc>
          <w:tcPr>
            <w:tcW w:type="dxa" w:w="950"/>
          </w:tcPr>
          <w:p>
            <w:pPr>
              <w:spacing w:after="20"/>
              <w:jc w:val="right"/>
            </w:pPr>
            <w:r>
              <w:rPr>
                <w:color w:val="1C3A36"/>
                <w:sz w:val="15"/>
              </w:rPr>
              <w:t>65.9%</w:t>
            </w:r>
          </w:p>
        </w:tc>
        <w:tc>
          <w:tcPr>
            <w:tcW w:type="dxa" w:w="950"/>
          </w:tcPr>
          <w:p>
            <w:pPr>
              <w:spacing w:after="20"/>
              <w:jc w:val="right"/>
            </w:pPr>
            <w:r>
              <w:rPr>
                <w:color w:val="1C3A36"/>
                <w:sz w:val="15"/>
              </w:rPr>
              <w:t>68.9%</w:t>
            </w:r>
          </w:p>
        </w:tc>
        <w:tc>
          <w:tcPr>
            <w:tcW w:type="dxa" w:w="950"/>
          </w:tcPr>
          <w:p>
            <w:pPr>
              <w:spacing w:after="20"/>
              <w:jc w:val="right"/>
            </w:pPr>
            <w:r>
              <w:rPr>
                <w:color w:val="1C3A36"/>
                <w:sz w:val="15"/>
              </w:rPr>
              <w:t>69.2%</w:t>
            </w:r>
          </w:p>
        </w:tc>
        <w:tc>
          <w:tcPr>
            <w:tcW w:type="dxa" w:w="950"/>
          </w:tcPr>
          <w:p>
            <w:pPr>
              <w:spacing w:after="20"/>
              <w:jc w:val="right"/>
            </w:pPr>
            <w:r>
              <w:rPr>
                <w:color w:val="1C3A36"/>
                <w:sz w:val="15"/>
              </w:rPr>
              <w:t>69.7%</w:t>
            </w:r>
          </w:p>
        </w:tc>
        <w:tc>
          <w:tcPr>
            <w:tcW w:type="dxa" w:w="950"/>
          </w:tcPr>
          <w:p>
            <w:pPr>
              <w:spacing w:after="20"/>
              <w:jc w:val="right"/>
            </w:pPr>
            <w:r>
              <w:rPr>
                <w:color w:val="1C3A36"/>
                <w:sz w:val="15"/>
              </w:rPr>
              <w:t>69.9%</w:t>
            </w:r>
          </w:p>
        </w:tc>
        <w:tc>
          <w:tcPr>
            <w:tcW w:type="dxa" w:w="950"/>
          </w:tcPr>
          <w:p>
            <w:pPr>
              <w:spacing w:after="20"/>
              <w:jc w:val="right"/>
            </w:pPr>
            <w:r>
              <w:rPr>
                <w:color w:val="1C3A36"/>
                <w:sz w:val="15"/>
              </w:rPr>
              <w:t>70.0%</w:t>
            </w:r>
          </w:p>
        </w:tc>
        <w:tc>
          <w:tcPr>
            <w:tcW w:type="dxa" w:w="950"/>
          </w:tcPr>
          <w:p>
            <w:pPr>
              <w:spacing w:after="20"/>
              <w:jc w:val="right"/>
            </w:pPr>
            <w:r>
              <w:rPr>
                <w:color w:val="1C3A36"/>
                <w:sz w:val="15"/>
              </w:rPr>
              <w:t>70.2%</w:t>
            </w:r>
          </w:p>
        </w:tc>
        <w:tc>
          <w:tcPr>
            <w:tcW w:type="dxa" w:w="950"/>
          </w:tcPr>
          <w:p>
            <w:pPr>
              <w:spacing w:after="20"/>
              <w:jc w:val="right"/>
            </w:pPr>
            <w:r>
              <w:rPr>
                <w:color w:val="1C3A36"/>
                <w:sz w:val="15"/>
              </w:rPr>
              <w:t>70.6%</w:t>
            </w:r>
          </w:p>
        </w:tc>
      </w:tr>
      <w:tr>
        <w:tc>
          <w:tcPr>
            <w:tcW w:type="dxa" w:w="2477"/>
          </w:tcPr>
          <w:p>
            <w:pPr>
              <w:spacing w:after="20"/>
            </w:pPr>
            <w:r>
              <w:rPr>
                <w:b/>
                <w:color w:val="1C3A36"/>
                <w:sz w:val="15"/>
              </w:rPr>
              <w:t xml:space="preserve"> D&amp;A</w:t>
            </w:r>
          </w:p>
        </w:tc>
        <w:tc>
          <w:tcPr>
            <w:tcW w:type="dxa" w:w="950"/>
          </w:tcPr>
          <w:p>
            <w:pPr>
              <w:spacing w:after="20"/>
              <w:jc w:val="right"/>
            </w:pPr>
            <w:r>
              <w:rPr>
                <w:color w:val="1C3A36"/>
                <w:sz w:val="15"/>
              </w:rPr>
              <w:t>-146</w:t>
            </w:r>
          </w:p>
        </w:tc>
        <w:tc>
          <w:tcPr>
            <w:tcW w:type="dxa" w:w="950"/>
          </w:tcPr>
          <w:p>
            <w:pPr>
              <w:spacing w:after="20"/>
              <w:jc w:val="right"/>
            </w:pPr>
            <w:r>
              <w:rPr>
                <w:color w:val="1C3A36"/>
                <w:sz w:val="15"/>
              </w:rPr>
              <w:t>-146</w:t>
            </w:r>
          </w:p>
        </w:tc>
        <w:tc>
          <w:tcPr>
            <w:tcW w:type="dxa" w:w="950"/>
          </w:tcPr>
          <w:p>
            <w:pPr>
              <w:spacing w:after="20"/>
              <w:jc w:val="right"/>
            </w:pPr>
            <w:r>
              <w:rPr>
                <w:color w:val="1C3A36"/>
                <w:sz w:val="15"/>
              </w:rPr>
              <w:t>-146</w:t>
            </w:r>
          </w:p>
        </w:tc>
        <w:tc>
          <w:tcPr>
            <w:tcW w:type="dxa" w:w="950"/>
          </w:tcPr>
          <w:p>
            <w:pPr>
              <w:spacing w:after="20"/>
              <w:jc w:val="right"/>
            </w:pPr>
            <w:r>
              <w:rPr>
                <w:color w:val="1C3A36"/>
                <w:sz w:val="15"/>
              </w:rPr>
              <w:t>-146</w:t>
            </w:r>
          </w:p>
        </w:tc>
        <w:tc>
          <w:tcPr>
            <w:tcW w:type="dxa" w:w="950"/>
          </w:tcPr>
          <w:p>
            <w:pPr>
              <w:spacing w:after="20"/>
              <w:jc w:val="right"/>
            </w:pPr>
            <w:r>
              <w:rPr>
                <w:color w:val="1C3A36"/>
                <w:sz w:val="15"/>
              </w:rPr>
              <w:t>-146</w:t>
            </w:r>
          </w:p>
        </w:tc>
        <w:tc>
          <w:tcPr>
            <w:tcW w:type="dxa" w:w="950"/>
          </w:tcPr>
          <w:p>
            <w:pPr>
              <w:spacing w:after="20"/>
              <w:jc w:val="right"/>
            </w:pPr>
            <w:r>
              <w:rPr>
                <w:color w:val="1C3A36"/>
                <w:sz w:val="15"/>
              </w:rPr>
              <w:t>-146</w:t>
            </w:r>
          </w:p>
        </w:tc>
        <w:tc>
          <w:tcPr>
            <w:tcW w:type="dxa" w:w="950"/>
          </w:tcPr>
          <w:p>
            <w:pPr>
              <w:spacing w:after="20"/>
              <w:jc w:val="right"/>
            </w:pPr>
            <w:r>
              <w:rPr>
                <w:color w:val="1C3A36"/>
                <w:sz w:val="15"/>
              </w:rPr>
              <w:t>-146</w:t>
            </w:r>
          </w:p>
        </w:tc>
        <w:tc>
          <w:tcPr>
            <w:tcW w:type="dxa" w:w="950"/>
          </w:tcPr>
          <w:p>
            <w:pPr>
              <w:spacing w:after="20"/>
              <w:jc w:val="right"/>
            </w:pPr>
            <w:r>
              <w:rPr>
                <w:color w:val="1C3A36"/>
                <w:sz w:val="15"/>
              </w:rPr>
              <w:t>-146</w:t>
            </w:r>
          </w:p>
        </w:tc>
      </w:tr>
      <w:tr>
        <w:tc>
          <w:tcPr>
            <w:tcW w:type="dxa" w:w="2477"/>
            <w:shd w:val="clear" w:color="auto" w:fill="F6F1E6"/>
          </w:tcPr>
          <w:p>
            <w:pPr>
              <w:spacing w:after="20"/>
            </w:pPr>
            <w:r>
              <w:rPr>
                <w:b/>
                <w:color w:val="1C3A36"/>
                <w:sz w:val="15"/>
              </w:rPr>
              <w:t>EBIT</w:t>
            </w:r>
          </w:p>
        </w:tc>
        <w:tc>
          <w:tcPr>
            <w:tcW w:type="dxa" w:w="950"/>
            <w:shd w:val="clear" w:color="auto" w:fill="F6F1E6"/>
          </w:tcPr>
          <w:p>
            <w:pPr>
              <w:spacing w:after="20"/>
              <w:jc w:val="right"/>
            </w:pPr>
            <w:r>
              <w:rPr>
                <w:b/>
                <w:color w:val="1C3A36"/>
                <w:sz w:val="15"/>
              </w:rPr>
              <w:t>1,244</w:t>
            </w:r>
          </w:p>
        </w:tc>
        <w:tc>
          <w:tcPr>
            <w:tcW w:type="dxa" w:w="950"/>
            <w:shd w:val="clear" w:color="auto" w:fill="F6F1E6"/>
          </w:tcPr>
          <w:p>
            <w:pPr>
              <w:spacing w:after="20"/>
              <w:jc w:val="right"/>
            </w:pPr>
            <w:r>
              <w:rPr>
                <w:b/>
                <w:color w:val="1C3A36"/>
                <w:sz w:val="15"/>
              </w:rPr>
              <w:t>1,433</w:t>
            </w:r>
          </w:p>
        </w:tc>
        <w:tc>
          <w:tcPr>
            <w:tcW w:type="dxa" w:w="950"/>
            <w:shd w:val="clear" w:color="auto" w:fill="F6F1E6"/>
          </w:tcPr>
          <w:p>
            <w:pPr>
              <w:spacing w:after="20"/>
              <w:jc w:val="right"/>
            </w:pPr>
            <w:r>
              <w:rPr>
                <w:b/>
                <w:color w:val="1C3A36"/>
                <w:sz w:val="15"/>
              </w:rPr>
              <w:t>1,998</w:t>
            </w:r>
          </w:p>
        </w:tc>
        <w:tc>
          <w:tcPr>
            <w:tcW w:type="dxa" w:w="950"/>
            <w:shd w:val="clear" w:color="auto" w:fill="F6F1E6"/>
          </w:tcPr>
          <w:p>
            <w:pPr>
              <w:spacing w:after="20"/>
              <w:jc w:val="right"/>
            </w:pPr>
            <w:r>
              <w:rPr>
                <w:b/>
                <w:color w:val="1C3A36"/>
                <w:sz w:val="15"/>
              </w:rPr>
              <w:t>1,932</w:t>
            </w:r>
          </w:p>
        </w:tc>
        <w:tc>
          <w:tcPr>
            <w:tcW w:type="dxa" w:w="950"/>
            <w:shd w:val="clear" w:color="auto" w:fill="F6F1E6"/>
          </w:tcPr>
          <w:p>
            <w:pPr>
              <w:spacing w:after="20"/>
              <w:jc w:val="right"/>
            </w:pPr>
            <w:r>
              <w:rPr>
                <w:b/>
                <w:color w:val="1C3A36"/>
                <w:sz w:val="15"/>
              </w:rPr>
              <w:t>2,068</w:t>
            </w:r>
          </w:p>
        </w:tc>
        <w:tc>
          <w:tcPr>
            <w:tcW w:type="dxa" w:w="950"/>
            <w:shd w:val="clear" w:color="auto" w:fill="F6F1E6"/>
          </w:tcPr>
          <w:p>
            <w:pPr>
              <w:spacing w:after="20"/>
              <w:jc w:val="right"/>
            </w:pPr>
            <w:r>
              <w:rPr>
                <w:b/>
                <w:color w:val="1C3A36"/>
                <w:sz w:val="15"/>
              </w:rPr>
              <w:t>2,208</w:t>
            </w:r>
          </w:p>
        </w:tc>
        <w:tc>
          <w:tcPr>
            <w:tcW w:type="dxa" w:w="950"/>
            <w:shd w:val="clear" w:color="auto" w:fill="F6F1E6"/>
          </w:tcPr>
          <w:p>
            <w:pPr>
              <w:spacing w:after="20"/>
              <w:jc w:val="right"/>
            </w:pPr>
            <w:r>
              <w:rPr>
                <w:b/>
                <w:color w:val="1C3A36"/>
                <w:sz w:val="15"/>
              </w:rPr>
              <w:t>2,347</w:t>
            </w:r>
          </w:p>
        </w:tc>
        <w:tc>
          <w:tcPr>
            <w:tcW w:type="dxa" w:w="950"/>
            <w:shd w:val="clear" w:color="auto" w:fill="F6F1E6"/>
          </w:tcPr>
          <w:p>
            <w:pPr>
              <w:spacing w:after="20"/>
              <w:jc w:val="right"/>
            </w:pPr>
            <w:r>
              <w:rPr>
                <w:b/>
                <w:color w:val="1C3A36"/>
                <w:sz w:val="15"/>
              </w:rPr>
              <w:t>2,489</w:t>
            </w:r>
          </w:p>
        </w:tc>
      </w:tr>
      <w:tr>
        <w:tc>
          <w:tcPr>
            <w:tcW w:type="dxa" w:w="2477"/>
          </w:tcPr>
          <w:p>
            <w:pPr>
              <w:spacing w:after="20"/>
            </w:pPr>
            <w:r>
              <w:rPr>
                <w:b/>
                <w:color w:val="1C3A36"/>
                <w:sz w:val="15"/>
              </w:rPr>
              <w:t xml:space="preserve"> Net finance costs</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-291</w:t>
            </w:r>
          </w:p>
        </w:tc>
        <w:tc>
          <w:tcPr>
            <w:tcW w:type="dxa" w:w="950"/>
          </w:tcPr>
          <w:p>
            <w:pPr>
              <w:spacing w:after="20"/>
              <w:jc w:val="right"/>
            </w:pPr>
            <w:r>
              <w:rPr>
                <w:color w:val="1C3A36"/>
                <w:sz w:val="15"/>
              </w:rPr>
              <w:t>-252</w:t>
            </w:r>
          </w:p>
        </w:tc>
        <w:tc>
          <w:tcPr>
            <w:tcW w:type="dxa" w:w="950"/>
          </w:tcPr>
          <w:p>
            <w:pPr>
              <w:spacing w:after="20"/>
              <w:jc w:val="right"/>
            </w:pPr>
            <w:r>
              <w:rPr>
                <w:color w:val="1C3A36"/>
                <w:sz w:val="15"/>
              </w:rPr>
              <w:t>-245</w:t>
            </w:r>
          </w:p>
        </w:tc>
        <w:tc>
          <w:tcPr>
            <w:tcW w:type="dxa" w:w="950"/>
          </w:tcPr>
          <w:p>
            <w:pPr>
              <w:spacing w:after="20"/>
              <w:jc w:val="right"/>
            </w:pPr>
            <w:r>
              <w:rPr>
                <w:color w:val="1C3A36"/>
                <w:sz w:val="15"/>
              </w:rPr>
              <w:t>-239</w:t>
            </w:r>
          </w:p>
        </w:tc>
        <w:tc>
          <w:tcPr>
            <w:tcW w:type="dxa" w:w="950"/>
          </w:tcPr>
          <w:p>
            <w:pPr>
              <w:spacing w:after="20"/>
              <w:jc w:val="right"/>
            </w:pPr>
            <w:r>
              <w:rPr>
                <w:color w:val="1C3A36"/>
                <w:sz w:val="15"/>
              </w:rPr>
              <w:t>-232</w:t>
            </w:r>
          </w:p>
        </w:tc>
        <w:tc>
          <w:tcPr>
            <w:tcW w:type="dxa" w:w="950"/>
          </w:tcPr>
          <w:p>
            <w:pPr>
              <w:spacing w:after="20"/>
              <w:jc w:val="right"/>
            </w:pPr>
            <w:r>
              <w:rPr>
                <w:color w:val="1C3A36"/>
                <w:sz w:val="15"/>
              </w:rPr>
              <w:t>-226</w:t>
            </w:r>
          </w:p>
        </w:tc>
      </w:tr>
      <w:tr>
        <w:tc>
          <w:tcPr>
            <w:tcW w:type="dxa" w:w="2477"/>
          </w:tcPr>
          <w:p>
            <w:pPr>
              <w:spacing w:after="20"/>
            </w:pPr>
            <w:r>
              <w:rPr>
                <w:b/>
                <w:color w:val="1C3A36"/>
                <w:sz w:val="15"/>
              </w:rPr>
              <w:t>Profit before tax</w:t>
            </w:r>
          </w:p>
        </w:tc>
        <w:tc>
          <w:tcPr>
            <w:tcW w:type="dxa" w:w="950"/>
          </w:tcPr>
          <w:p>
            <w:pPr>
              <w:spacing w:after="20"/>
              <w:jc w:val="right"/>
            </w:pPr>
            <w:r>
              <w:rPr>
                <w:color w:val="1C3A36"/>
                <w:sz w:val="15"/>
              </w:rPr>
              <w:t>—</w:t>
            </w:r>
          </w:p>
        </w:tc>
        <w:tc>
          <w:tcPr>
            <w:tcW w:type="dxa" w:w="950"/>
          </w:tcPr>
          <w:p>
            <w:pPr>
              <w:spacing w:after="20"/>
              <w:jc w:val="right"/>
            </w:pPr>
            <w:r>
              <w:rPr>
                <w:color w:val="1C3A36"/>
                <w:sz w:val="15"/>
              </w:rPr>
              <w:t>1,280</w:t>
            </w:r>
          </w:p>
        </w:tc>
        <w:tc>
          <w:tcPr>
            <w:tcW w:type="dxa" w:w="950"/>
          </w:tcPr>
          <w:p>
            <w:pPr>
              <w:spacing w:after="20"/>
              <w:jc w:val="right"/>
            </w:pPr>
            <w:r>
              <w:rPr>
                <w:color w:val="1C3A36"/>
                <w:sz w:val="15"/>
              </w:rPr>
              <w:t>1,707</w:t>
            </w:r>
          </w:p>
        </w:tc>
        <w:tc>
          <w:tcPr>
            <w:tcW w:type="dxa" w:w="950"/>
          </w:tcPr>
          <w:p>
            <w:pPr>
              <w:spacing w:after="20"/>
              <w:jc w:val="right"/>
            </w:pPr>
            <w:r>
              <w:rPr>
                <w:color w:val="1C3A36"/>
                <w:sz w:val="15"/>
              </w:rPr>
              <w:t>1,680</w:t>
            </w:r>
          </w:p>
        </w:tc>
        <w:tc>
          <w:tcPr>
            <w:tcW w:type="dxa" w:w="950"/>
          </w:tcPr>
          <w:p>
            <w:pPr>
              <w:spacing w:after="20"/>
              <w:jc w:val="right"/>
            </w:pPr>
            <w:r>
              <w:rPr>
                <w:color w:val="1C3A36"/>
                <w:sz w:val="15"/>
              </w:rPr>
              <w:t>1,823</w:t>
            </w:r>
          </w:p>
        </w:tc>
        <w:tc>
          <w:tcPr>
            <w:tcW w:type="dxa" w:w="950"/>
          </w:tcPr>
          <w:p>
            <w:pPr>
              <w:spacing w:after="20"/>
              <w:jc w:val="right"/>
            </w:pPr>
            <w:r>
              <w:rPr>
                <w:color w:val="1C3A36"/>
                <w:sz w:val="15"/>
              </w:rPr>
              <w:t>1,969</w:t>
            </w:r>
          </w:p>
        </w:tc>
        <w:tc>
          <w:tcPr>
            <w:tcW w:type="dxa" w:w="950"/>
          </w:tcPr>
          <w:p>
            <w:pPr>
              <w:spacing w:after="20"/>
              <w:jc w:val="right"/>
            </w:pPr>
            <w:r>
              <w:rPr>
                <w:color w:val="1C3A36"/>
                <w:sz w:val="15"/>
              </w:rPr>
              <w:t>2,115</w:t>
            </w:r>
          </w:p>
        </w:tc>
        <w:tc>
          <w:tcPr>
            <w:tcW w:type="dxa" w:w="950"/>
          </w:tcPr>
          <w:p>
            <w:pPr>
              <w:spacing w:after="20"/>
              <w:jc w:val="right"/>
            </w:pPr>
            <w:r>
              <w:rPr>
                <w:color w:val="1C3A36"/>
                <w:sz w:val="15"/>
              </w:rPr>
              <w:t>2,263</w:t>
            </w:r>
          </w:p>
        </w:tc>
      </w:tr>
      <w:tr>
        <w:tc>
          <w:tcPr>
            <w:tcW w:type="dxa" w:w="2477"/>
          </w:tcPr>
          <w:p>
            <w:pPr>
              <w:spacing w:after="20"/>
            </w:pPr>
            <w:r>
              <w:rPr>
                <w:b/>
                <w:color w:val="1C3A36"/>
                <w:sz w:val="15"/>
              </w:rPr>
              <w:t xml:space="preserve"> Tax (UAE CT, 9% from 2024)</w:t>
            </w:r>
          </w:p>
        </w:tc>
        <w:tc>
          <w:tcPr>
            <w:tcW w:type="dxa" w:w="950"/>
          </w:tcPr>
          <w:p>
            <w:pPr>
              <w:spacing w:after="20"/>
              <w:jc w:val="right"/>
            </w:pPr>
            <w:r>
              <w:rPr>
                <w:color w:val="1C3A36"/>
                <w:sz w:val="15"/>
              </w:rPr>
              <w:t>0</w:t>
            </w:r>
          </w:p>
        </w:tc>
        <w:tc>
          <w:tcPr>
            <w:tcW w:type="dxa" w:w="950"/>
          </w:tcPr>
          <w:p>
            <w:pPr>
              <w:spacing w:after="20"/>
              <w:jc w:val="right"/>
            </w:pPr>
            <w:r>
              <w:rPr>
                <w:color w:val="1C3A36"/>
                <w:sz w:val="15"/>
              </w:rPr>
              <w:t>-115</w:t>
            </w:r>
          </w:p>
        </w:tc>
        <w:tc>
          <w:tcPr>
            <w:tcW w:type="dxa" w:w="950"/>
          </w:tcPr>
          <w:p>
            <w:pPr>
              <w:spacing w:after="20"/>
              <w:jc w:val="right"/>
            </w:pPr>
            <w:r>
              <w:rPr>
                <w:color w:val="1C3A36"/>
                <w:sz w:val="15"/>
              </w:rPr>
              <w:t>-154</w:t>
            </w:r>
          </w:p>
        </w:tc>
        <w:tc>
          <w:tcPr>
            <w:tcW w:type="dxa" w:w="950"/>
          </w:tcPr>
          <w:p>
            <w:pPr>
              <w:spacing w:after="20"/>
              <w:jc w:val="right"/>
            </w:pPr>
            <w:r>
              <w:rPr>
                <w:color w:val="1C3A36"/>
                <w:sz w:val="15"/>
              </w:rPr>
              <w:t>-151</w:t>
            </w:r>
          </w:p>
        </w:tc>
        <w:tc>
          <w:tcPr>
            <w:tcW w:type="dxa" w:w="950"/>
          </w:tcPr>
          <w:p>
            <w:pPr>
              <w:spacing w:after="20"/>
              <w:jc w:val="right"/>
            </w:pPr>
            <w:r>
              <w:rPr>
                <w:color w:val="1C3A36"/>
                <w:sz w:val="15"/>
              </w:rPr>
              <w:t>-164</w:t>
            </w:r>
          </w:p>
        </w:tc>
        <w:tc>
          <w:tcPr>
            <w:tcW w:type="dxa" w:w="950"/>
          </w:tcPr>
          <w:p>
            <w:pPr>
              <w:spacing w:after="20"/>
              <w:jc w:val="right"/>
            </w:pPr>
            <w:r>
              <w:rPr>
                <w:color w:val="1C3A36"/>
                <w:sz w:val="15"/>
              </w:rPr>
              <w:t>-177</w:t>
            </w:r>
          </w:p>
        </w:tc>
        <w:tc>
          <w:tcPr>
            <w:tcW w:type="dxa" w:w="950"/>
          </w:tcPr>
          <w:p>
            <w:pPr>
              <w:spacing w:after="20"/>
              <w:jc w:val="right"/>
            </w:pPr>
            <w:r>
              <w:rPr>
                <w:color w:val="1C3A36"/>
                <w:sz w:val="15"/>
              </w:rPr>
              <w:t>-190</w:t>
            </w:r>
          </w:p>
        </w:tc>
        <w:tc>
          <w:tcPr>
            <w:tcW w:type="dxa" w:w="950"/>
          </w:tcPr>
          <w:p>
            <w:pPr>
              <w:spacing w:after="20"/>
              <w:jc w:val="right"/>
            </w:pPr>
            <w:r>
              <w:rPr>
                <w:color w:val="1C3A36"/>
                <w:sz w:val="15"/>
              </w:rPr>
              <w:t>-204</w:t>
            </w:r>
          </w:p>
        </w:tc>
      </w:tr>
      <w:tr>
        <w:tc>
          <w:tcPr>
            <w:tcW w:type="dxa" w:w="2477"/>
            <w:shd w:val="clear" w:color="auto" w:fill="F6F1E6"/>
          </w:tcPr>
          <w:p>
            <w:pPr>
              <w:spacing w:after="20"/>
            </w:pPr>
            <w:r>
              <w:rPr>
                <w:b/>
                <w:color w:val="1C3A36"/>
                <w:sz w:val="15"/>
              </w:rPr>
              <w:t>NET PROFIT</w:t>
            </w:r>
          </w:p>
        </w:tc>
        <w:tc>
          <w:tcPr>
            <w:tcW w:type="dxa" w:w="950"/>
            <w:shd w:val="clear" w:color="auto" w:fill="F6F1E6"/>
          </w:tcPr>
          <w:p>
            <w:pPr>
              <w:spacing w:after="20"/>
              <w:jc w:val="right"/>
            </w:pPr>
            <w:r>
              <w:rPr>
                <w:b/>
                <w:color w:val="1C3A36"/>
                <w:sz w:val="15"/>
              </w:rPr>
              <w:t>1,098</w:t>
            </w:r>
          </w:p>
        </w:tc>
        <w:tc>
          <w:tcPr>
            <w:tcW w:type="dxa" w:w="950"/>
            <w:shd w:val="clear" w:color="auto" w:fill="F6F1E6"/>
          </w:tcPr>
          <w:p>
            <w:pPr>
              <w:spacing w:after="20"/>
              <w:jc w:val="right"/>
            </w:pPr>
            <w:r>
              <w:rPr>
                <w:b/>
                <w:color w:val="1C3A36"/>
                <w:sz w:val="15"/>
              </w:rPr>
              <w:t>1,164</w:t>
            </w:r>
          </w:p>
        </w:tc>
        <w:tc>
          <w:tcPr>
            <w:tcW w:type="dxa" w:w="950"/>
            <w:shd w:val="clear" w:color="auto" w:fill="F6F1E6"/>
          </w:tcPr>
          <w:p>
            <w:pPr>
              <w:spacing w:after="20"/>
              <w:jc w:val="right"/>
            </w:pPr>
            <w:r>
              <w:rPr>
                <w:b/>
                <w:color w:val="1C3A36"/>
                <w:sz w:val="15"/>
              </w:rPr>
              <w:t>1,553</w:t>
            </w:r>
          </w:p>
        </w:tc>
        <w:tc>
          <w:tcPr>
            <w:tcW w:type="dxa" w:w="950"/>
            <w:shd w:val="clear" w:color="auto" w:fill="F6F1E6"/>
          </w:tcPr>
          <w:p>
            <w:pPr>
              <w:spacing w:after="20"/>
              <w:jc w:val="right"/>
            </w:pPr>
            <w:r>
              <w:rPr>
                <w:b/>
                <w:color w:val="1C3A36"/>
                <w:sz w:val="15"/>
              </w:rPr>
              <w:t>1,529</w:t>
            </w:r>
          </w:p>
        </w:tc>
        <w:tc>
          <w:tcPr>
            <w:tcW w:type="dxa" w:w="950"/>
            <w:shd w:val="clear" w:color="auto" w:fill="F6F1E6"/>
          </w:tcPr>
          <w:p>
            <w:pPr>
              <w:spacing w:after="20"/>
              <w:jc w:val="right"/>
            </w:pPr>
            <w:r>
              <w:rPr>
                <w:b/>
                <w:color w:val="1C3A36"/>
                <w:sz w:val="15"/>
              </w:rPr>
              <w:t>1,659</w:t>
            </w:r>
          </w:p>
        </w:tc>
        <w:tc>
          <w:tcPr>
            <w:tcW w:type="dxa" w:w="950"/>
            <w:shd w:val="clear" w:color="auto" w:fill="F6F1E6"/>
          </w:tcPr>
          <w:p>
            <w:pPr>
              <w:spacing w:after="20"/>
              <w:jc w:val="right"/>
            </w:pPr>
            <w:r>
              <w:rPr>
                <w:b/>
                <w:color w:val="1C3A36"/>
                <w:sz w:val="15"/>
              </w:rPr>
              <w:t>1,792</w:t>
            </w:r>
          </w:p>
        </w:tc>
        <w:tc>
          <w:tcPr>
            <w:tcW w:type="dxa" w:w="950"/>
            <w:shd w:val="clear" w:color="auto" w:fill="F6F1E6"/>
          </w:tcPr>
          <w:p>
            <w:pPr>
              <w:spacing w:after="20"/>
              <w:jc w:val="right"/>
            </w:pPr>
            <w:r>
              <w:rPr>
                <w:b/>
                <w:color w:val="1C3A36"/>
                <w:sz w:val="15"/>
              </w:rPr>
              <w:t>1,925</w:t>
            </w:r>
          </w:p>
        </w:tc>
        <w:tc>
          <w:tcPr>
            <w:tcW w:type="dxa" w:w="950"/>
            <w:shd w:val="clear" w:color="auto" w:fill="F6F1E6"/>
          </w:tcPr>
          <w:p>
            <w:pPr>
              <w:spacing w:after="20"/>
              <w:jc w:val="right"/>
            </w:pPr>
            <w:r>
              <w:rPr>
                <w:b/>
                <w:color w:val="1C3A36"/>
                <w:sz w:val="15"/>
              </w:rPr>
              <w:t>2,060</w:t>
            </w:r>
          </w:p>
        </w:tc>
      </w:tr>
      <w:tr>
        <w:tc>
          <w:tcPr>
            <w:tcW w:type="dxa" w:w="2477"/>
          </w:tcPr>
          <w:p>
            <w:pPr>
              <w:spacing w:after="20"/>
            </w:pPr>
            <w:r>
              <w:rPr>
                <w:b/>
                <w:color w:val="1C3A36"/>
                <w:sz w:val="15"/>
              </w:rPr>
              <w:t xml:space="preserve"> Net margin</w:t>
            </w:r>
          </w:p>
        </w:tc>
        <w:tc>
          <w:tcPr>
            <w:tcW w:type="dxa" w:w="950"/>
          </w:tcPr>
          <w:p>
            <w:pPr>
              <w:spacing w:after="20"/>
              <w:jc w:val="right"/>
            </w:pPr>
            <w:r>
              <w:rPr>
                <w:color w:val="1C3A36"/>
                <w:sz w:val="15"/>
              </w:rPr>
              <w:t>52.1%</w:t>
            </w:r>
          </w:p>
        </w:tc>
        <w:tc>
          <w:tcPr>
            <w:tcW w:type="dxa" w:w="950"/>
          </w:tcPr>
          <w:p>
            <w:pPr>
              <w:spacing w:after="20"/>
              <w:jc w:val="right"/>
            </w:pPr>
            <w:r>
              <w:rPr>
                <w:color w:val="1C3A36"/>
                <w:sz w:val="15"/>
              </w:rPr>
              <w:t>50.8%</w:t>
            </w:r>
          </w:p>
        </w:tc>
        <w:tc>
          <w:tcPr>
            <w:tcW w:type="dxa" w:w="950"/>
          </w:tcPr>
          <w:p>
            <w:pPr>
              <w:spacing w:after="20"/>
              <w:jc w:val="right"/>
            </w:pPr>
            <w:r>
              <w:rPr>
                <w:color w:val="1C3A36"/>
                <w:sz w:val="15"/>
              </w:rPr>
              <w:t>50.2%</w:t>
            </w:r>
          </w:p>
        </w:tc>
        <w:tc>
          <w:tcPr>
            <w:tcW w:type="dxa" w:w="950"/>
          </w:tcPr>
          <w:p>
            <w:pPr>
              <w:spacing w:after="20"/>
              <w:jc w:val="right"/>
            </w:pPr>
            <w:r>
              <w:rPr>
                <w:color w:val="1C3A36"/>
                <w:sz w:val="15"/>
              </w:rPr>
              <w:t>51.3%</w:t>
            </w:r>
          </w:p>
        </w:tc>
        <w:tc>
          <w:tcPr>
            <w:tcW w:type="dxa" w:w="950"/>
          </w:tcPr>
          <w:p>
            <w:pPr>
              <w:spacing w:after="20"/>
              <w:jc w:val="right"/>
            </w:pPr>
            <w:r>
              <w:rPr>
                <w:color w:val="1C3A36"/>
                <w:sz w:val="15"/>
              </w:rPr>
              <w:t>52.3%</w:t>
            </w:r>
          </w:p>
        </w:tc>
        <w:tc>
          <w:tcPr>
            <w:tcW w:type="dxa" w:w="950"/>
          </w:tcPr>
          <w:p>
            <w:pPr>
              <w:spacing w:after="20"/>
              <w:jc w:val="right"/>
            </w:pPr>
            <w:r>
              <w:rPr>
                <w:color w:val="1C3A36"/>
                <w:sz w:val="15"/>
              </w:rPr>
              <w:t>53.3%</w:t>
            </w:r>
          </w:p>
        </w:tc>
        <w:tc>
          <w:tcPr>
            <w:tcW w:type="dxa" w:w="950"/>
          </w:tcPr>
          <w:p>
            <w:pPr>
              <w:spacing w:after="20"/>
              <w:jc w:val="right"/>
            </w:pPr>
            <w:r>
              <w:rPr>
                <w:color w:val="1C3A36"/>
                <w:sz w:val="15"/>
              </w:rPr>
              <w:t>54.2%</w:t>
            </w:r>
          </w:p>
        </w:tc>
        <w:tc>
          <w:tcPr>
            <w:tcW w:type="dxa" w:w="950"/>
          </w:tcPr>
          <w:p>
            <w:pPr>
              <w:spacing w:after="20"/>
              <w:jc w:val="right"/>
            </w:pPr>
            <w:r>
              <w:rPr>
                <w:color w:val="1C3A36"/>
                <w:sz w:val="15"/>
              </w:rPr>
              <w:t>55.2%</w:t>
            </w:r>
          </w:p>
        </w:tc>
      </w:tr>
      <w:tr>
        <w:tc>
          <w:tcPr>
            <w:tcW w:type="dxa" w:w="2477"/>
          </w:tcPr>
          <w:p>
            <w:pPr>
              <w:spacing w:after="20"/>
            </w:pPr>
            <w:r>
              <w:rPr>
                <w:b/>
                <w:color w:val="1C3A36"/>
                <w:sz w:val="15"/>
              </w:rPr>
              <w:t>EPS, AED</w:t>
            </w:r>
          </w:p>
        </w:tc>
        <w:tc>
          <w:tcPr>
            <w:tcW w:type="dxa" w:w="950"/>
          </w:tcPr>
          <w:p>
            <w:pPr>
              <w:spacing w:after="20"/>
              <w:jc w:val="right"/>
            </w:pPr>
            <w:r>
              <w:rPr>
                <w:color w:val="1C3A36"/>
                <w:sz w:val="15"/>
              </w:rPr>
              <w:t>0.1464</w:t>
            </w:r>
          </w:p>
        </w:tc>
        <w:tc>
          <w:tcPr>
            <w:tcW w:type="dxa" w:w="950"/>
          </w:tcPr>
          <w:p>
            <w:pPr>
              <w:spacing w:after="20"/>
              <w:jc w:val="right"/>
            </w:pPr>
            <w:r>
              <w:rPr>
                <w:color w:val="1C3A36"/>
                <w:sz w:val="15"/>
              </w:rPr>
              <w:t>0.1553</w:t>
            </w:r>
          </w:p>
        </w:tc>
        <w:tc>
          <w:tcPr>
            <w:tcW w:type="dxa" w:w="950"/>
          </w:tcPr>
          <w:p>
            <w:pPr>
              <w:spacing w:after="20"/>
              <w:jc w:val="right"/>
            </w:pPr>
            <w:r>
              <w:rPr>
                <w:color w:val="1C3A36"/>
                <w:sz w:val="15"/>
              </w:rPr>
              <w:t>0.2071</w:t>
            </w:r>
          </w:p>
        </w:tc>
        <w:tc>
          <w:tcPr>
            <w:tcW w:type="dxa" w:w="950"/>
          </w:tcPr>
          <w:p>
            <w:pPr>
              <w:spacing w:after="20"/>
              <w:jc w:val="right"/>
            </w:pPr>
            <w:r>
              <w:rPr>
                <w:color w:val="1C3A36"/>
                <w:sz w:val="15"/>
              </w:rPr>
              <w:t>0.2039</w:t>
            </w:r>
          </w:p>
        </w:tc>
        <w:tc>
          <w:tcPr>
            <w:tcW w:type="dxa" w:w="950"/>
          </w:tcPr>
          <w:p>
            <w:pPr>
              <w:spacing w:after="20"/>
              <w:jc w:val="right"/>
            </w:pPr>
            <w:r>
              <w:rPr>
                <w:color w:val="1C3A36"/>
                <w:sz w:val="15"/>
              </w:rPr>
              <w:t>0.2212</w:t>
            </w:r>
          </w:p>
        </w:tc>
        <w:tc>
          <w:tcPr>
            <w:tcW w:type="dxa" w:w="950"/>
          </w:tcPr>
          <w:p>
            <w:pPr>
              <w:spacing w:after="20"/>
              <w:jc w:val="right"/>
            </w:pPr>
            <w:r>
              <w:rPr>
                <w:color w:val="1C3A36"/>
                <w:sz w:val="15"/>
              </w:rPr>
              <w:t>0.2389</w:t>
            </w:r>
          </w:p>
        </w:tc>
        <w:tc>
          <w:tcPr>
            <w:tcW w:type="dxa" w:w="950"/>
          </w:tcPr>
          <w:p>
            <w:pPr>
              <w:spacing w:after="20"/>
              <w:jc w:val="right"/>
            </w:pPr>
            <w:r>
              <w:rPr>
                <w:color w:val="1C3A36"/>
                <w:sz w:val="15"/>
              </w:rPr>
              <w:t>0.2566</w:t>
            </w:r>
          </w:p>
        </w:tc>
        <w:tc>
          <w:tcPr>
            <w:tcW w:type="dxa" w:w="950"/>
          </w:tcPr>
          <w:p>
            <w:pPr>
              <w:spacing w:after="20"/>
              <w:jc w:val="right"/>
            </w:pPr>
            <w:r>
              <w:rPr>
                <w:color w:val="1C3A36"/>
                <w:sz w:val="15"/>
              </w:rPr>
              <w:t>0.2746</w:t>
            </w:r>
          </w:p>
        </w:tc>
      </w:tr>
      <w:tr>
        <w:tc>
          <w:tcPr>
            <w:tcW w:type="dxa" w:w="2477"/>
          </w:tcPr>
          <w:p>
            <w:pPr>
              <w:spacing w:after="20"/>
            </w:pPr>
            <w:r>
              <w:rPr>
                <w:b/>
                <w:color w:val="1C3A36"/>
                <w:sz w:val="15"/>
              </w:rPr>
              <w:t>DPS, AED (100% payout)</w:t>
            </w:r>
          </w:p>
        </w:tc>
        <w:tc>
          <w:tcPr>
            <w:tcW w:type="dxa" w:w="950"/>
          </w:tcPr>
          <w:p>
            <w:pPr>
              <w:spacing w:after="20"/>
              <w:jc w:val="right"/>
            </w:pPr>
            <w:r>
              <w:rPr>
                <w:color w:val="1C3A36"/>
                <w:sz w:val="15"/>
              </w:rPr>
              <w:t>0.1464</w:t>
            </w:r>
          </w:p>
        </w:tc>
        <w:tc>
          <w:tcPr>
            <w:tcW w:type="dxa" w:w="950"/>
          </w:tcPr>
          <w:p>
            <w:pPr>
              <w:spacing w:after="20"/>
              <w:jc w:val="right"/>
            </w:pPr>
            <w:r>
              <w:rPr>
                <w:color w:val="1C3A36"/>
                <w:sz w:val="15"/>
              </w:rPr>
              <w:t>0.1553</w:t>
            </w:r>
          </w:p>
        </w:tc>
        <w:tc>
          <w:tcPr>
            <w:tcW w:type="dxa" w:w="950"/>
          </w:tcPr>
          <w:p>
            <w:pPr>
              <w:spacing w:after="20"/>
              <w:jc w:val="right"/>
            </w:pPr>
            <w:r>
              <w:rPr>
                <w:color w:val="1C3A36"/>
                <w:sz w:val="15"/>
              </w:rPr>
              <w:t>0.2215</w:t>
            </w:r>
          </w:p>
        </w:tc>
        <w:tc>
          <w:tcPr>
            <w:tcW w:type="dxa" w:w="950"/>
          </w:tcPr>
          <w:p>
            <w:pPr>
              <w:spacing w:after="20"/>
              <w:jc w:val="right"/>
            </w:pPr>
            <w:r>
              <w:rPr>
                <w:color w:val="1C3A36"/>
                <w:sz w:val="15"/>
              </w:rPr>
              <w:t>0.2039</w:t>
            </w:r>
          </w:p>
        </w:tc>
        <w:tc>
          <w:tcPr>
            <w:tcW w:type="dxa" w:w="950"/>
          </w:tcPr>
          <w:p>
            <w:pPr>
              <w:spacing w:after="20"/>
              <w:jc w:val="right"/>
            </w:pPr>
            <w:r>
              <w:rPr>
                <w:color w:val="1C3A36"/>
                <w:sz w:val="15"/>
              </w:rPr>
              <w:t>0.2212</w:t>
            </w:r>
          </w:p>
        </w:tc>
        <w:tc>
          <w:tcPr>
            <w:tcW w:type="dxa" w:w="950"/>
          </w:tcPr>
          <w:p>
            <w:pPr>
              <w:spacing w:after="20"/>
              <w:jc w:val="right"/>
            </w:pPr>
            <w:r>
              <w:rPr>
                <w:color w:val="1C3A36"/>
                <w:sz w:val="15"/>
              </w:rPr>
              <w:t>0.2389</w:t>
            </w:r>
          </w:p>
        </w:tc>
        <w:tc>
          <w:tcPr>
            <w:tcW w:type="dxa" w:w="950"/>
          </w:tcPr>
          <w:p>
            <w:pPr>
              <w:spacing w:after="20"/>
              <w:jc w:val="right"/>
            </w:pPr>
            <w:r>
              <w:rPr>
                <w:color w:val="1C3A36"/>
                <w:sz w:val="15"/>
              </w:rPr>
              <w:t>0.2566</w:t>
            </w:r>
          </w:p>
        </w:tc>
        <w:tc>
          <w:tcPr>
            <w:tcW w:type="dxa" w:w="950"/>
          </w:tcPr>
          <w:p>
            <w:pPr>
              <w:spacing w:after="20"/>
              <w:jc w:val="right"/>
            </w:pPr>
            <w:r>
              <w:rPr>
                <w:color w:val="1C3A36"/>
                <w:sz w:val="15"/>
              </w:rPr>
              <w:t>0.2746</w:t>
            </w:r>
          </w:p>
        </w:tc>
      </w:tr>
      <w:tr>
        <w:tc>
          <w:tcPr>
            <w:tcW w:type="dxa" w:w="2477"/>
          </w:tcPr>
          <w:p>
            <w:pPr>
              <w:spacing w:after="20"/>
            </w:pPr>
            <w:r>
              <w:rPr>
                <w:b/>
                <w:color w:val="1C3A36"/>
                <w:sz w:val="15"/>
              </w:rPr>
              <w:t>Chargeable trips, mn</w:t>
            </w:r>
          </w:p>
        </w:tc>
        <w:tc>
          <w:tcPr>
            <w:tcW w:type="dxa" w:w="950"/>
          </w:tcPr>
          <w:p>
            <w:pPr>
              <w:spacing w:after="20"/>
              <w:jc w:val="right"/>
            </w:pPr>
            <w:r>
              <w:rPr>
                <w:color w:val="1C3A36"/>
                <w:sz w:val="15"/>
              </w:rPr>
              <w:t>461.4</w:t>
            </w:r>
          </w:p>
        </w:tc>
        <w:tc>
          <w:tcPr>
            <w:tcW w:type="dxa" w:w="950"/>
          </w:tcPr>
          <w:p>
            <w:pPr>
              <w:spacing w:after="20"/>
              <w:jc w:val="right"/>
            </w:pPr>
            <w:r>
              <w:rPr>
                <w:color w:val="1C3A36"/>
                <w:sz w:val="15"/>
              </w:rPr>
              <w:t>498.1</w:t>
            </w:r>
          </w:p>
        </w:tc>
        <w:tc>
          <w:tcPr>
            <w:tcW w:type="dxa" w:w="950"/>
          </w:tcPr>
          <w:p>
            <w:pPr>
              <w:spacing w:after="20"/>
              <w:jc w:val="right"/>
            </w:pPr>
            <w:r>
              <w:rPr>
                <w:color w:val="1C3A36"/>
                <w:sz w:val="15"/>
              </w:rPr>
              <w:t>639.1</w:t>
            </w:r>
          </w:p>
        </w:tc>
        <w:tc>
          <w:tcPr>
            <w:tcW w:type="dxa" w:w="950"/>
          </w:tcPr>
          <w:p>
            <w:pPr>
              <w:spacing w:after="20"/>
              <w:jc w:val="right"/>
            </w:pPr>
            <w:r>
              <w:rPr>
                <w:color w:val="1C3A36"/>
                <w:sz w:val="15"/>
              </w:rPr>
              <w:t>595.1</w:t>
            </w:r>
          </w:p>
        </w:tc>
        <w:tc>
          <w:tcPr>
            <w:tcW w:type="dxa" w:w="950"/>
          </w:tcPr>
          <w:p>
            <w:pPr>
              <w:spacing w:after="20"/>
              <w:jc w:val="right"/>
            </w:pPr>
            <w:r>
              <w:rPr>
                <w:color w:val="1C3A36"/>
                <w:sz w:val="15"/>
              </w:rPr>
              <w:t>621.9</w:t>
            </w:r>
          </w:p>
        </w:tc>
        <w:tc>
          <w:tcPr>
            <w:tcW w:type="dxa" w:w="950"/>
          </w:tcPr>
          <w:p>
            <w:pPr>
              <w:spacing w:after="20"/>
              <w:jc w:val="right"/>
            </w:pPr>
            <w:r>
              <w:rPr>
                <w:color w:val="1C3A36"/>
                <w:sz w:val="15"/>
              </w:rPr>
              <w:t>646.8</w:t>
            </w:r>
          </w:p>
        </w:tc>
        <w:tc>
          <w:tcPr>
            <w:tcW w:type="dxa" w:w="950"/>
          </w:tcPr>
          <w:p>
            <w:pPr>
              <w:spacing w:after="20"/>
              <w:jc w:val="right"/>
            </w:pPr>
            <w:r>
              <w:rPr>
                <w:color w:val="1C3A36"/>
                <w:sz w:val="15"/>
              </w:rPr>
              <w:t>669.4</w:t>
            </w:r>
          </w:p>
        </w:tc>
        <w:tc>
          <w:tcPr>
            <w:tcW w:type="dxa" w:w="950"/>
          </w:tcPr>
          <w:p>
            <w:pPr>
              <w:spacing w:after="20"/>
              <w:jc w:val="right"/>
            </w:pPr>
            <w:r>
              <w:rPr>
                <w:color w:val="1C3A36"/>
                <w:sz w:val="15"/>
              </w:rPr>
              <w:t>689.5</w:t>
            </w:r>
          </w:p>
        </w:tc>
      </w:tr>
    </w:tbl>
    <w:p>
      <w:pPr>
        <w:spacing w:after="40"/>
      </w:pPr>
    </w:p>
    <w:p>
      <w:pPr>
        <w:spacing w:after="120" w:before="0"/>
      </w:pPr>
      <w:r>
        <w:rPr>
          <w:b w:val="0"/>
          <w:i/>
          <w:color w:val="6E7B77"/>
          <w:sz w:val="16"/>
        </w:rPr>
        <w:t>DUAL FRAMING — the FY2025 dividend. Declared DPS of AED 0.2215 EXCEEDS FY2025 EPS of AED 0.2071. Both are true: the H2 dividend covered 100% of H2 net profit (AED 782.5 mn) PLUS exceptional gains of AED 107.8 mn. On net profit alone the yield is 3.6%; on declared dividends it is 3.9%. Both appear everywhere the figure appears. DERIVED LINES, MARKED: FY2023–24 D&amp;A and FY2023 net finance are not separately disclosed and are derived from the EBITDA–EBIT–PBT identity. FY2024 fines are computed as 10.3% of FY2024 revenue — the 10.3% being the company’s own disclosure. FY2023 fines are not disclosed anywhere.</w:t>
      </w:r>
    </w:p>
    <w:p>
      <w:pPr>
        <w:spacing w:after="80" w:before="180"/>
      </w:pPr>
      <w:r>
        <w:rPr>
          <w:b/>
          <w:i w:val="0"/>
          <w:color w:val="1C3A36"/>
          <w:sz w:val="23"/>
        </w:rPr>
        <w:t>A.2 Balance sheet — sourced anchors, derived bridge</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56"/>
        <w:gridCol w:w="2556"/>
        <w:gridCol w:w="2556"/>
        <w:gridCol w:w="2556"/>
      </w:tblGrid>
      <w:tr>
        <w:tc>
          <w:tcPr>
            <w:tcW w:type="dxa" w:w="5400"/>
            <w:shd w:val="clear" w:color="auto" w:fill="EAF0EE"/>
          </w:tcPr>
          <w:p>
            <w:pPr>
              <w:spacing w:after="20"/>
            </w:pPr>
            <w:r>
              <w:rPr>
                <w:b/>
                <w:color w:val="1C3A36"/>
                <w:sz w:val="17"/>
              </w:rPr>
              <w:t>AED mn</w:t>
            </w:r>
          </w:p>
        </w:tc>
        <w:tc>
          <w:tcPr>
            <w:tcW w:type="dxa" w:w="1512"/>
            <w:shd w:val="clear" w:color="auto" w:fill="EAF0EE"/>
          </w:tcPr>
          <w:p>
            <w:pPr>
              <w:spacing w:after="20"/>
            </w:pPr>
            <w:r>
              <w:rPr>
                <w:b/>
                <w:color w:val="1C3A36"/>
                <w:sz w:val="17"/>
              </w:rPr>
              <w:t>FY2024</w:t>
            </w:r>
          </w:p>
        </w:tc>
        <w:tc>
          <w:tcPr>
            <w:tcW w:type="dxa" w:w="1512"/>
            <w:shd w:val="clear" w:color="auto" w:fill="EAF0EE"/>
          </w:tcPr>
          <w:p>
            <w:pPr>
              <w:spacing w:after="20"/>
            </w:pPr>
            <w:r>
              <w:rPr>
                <w:b/>
                <w:color w:val="1C3A36"/>
                <w:sz w:val="17"/>
              </w:rPr>
              <w:t>FY2025</w:t>
            </w:r>
          </w:p>
        </w:tc>
        <w:tc>
          <w:tcPr>
            <w:tcW w:type="dxa" w:w="1512"/>
            <w:shd w:val="clear" w:color="auto" w:fill="EAF0EE"/>
          </w:tcPr>
          <w:p>
            <w:pPr>
              <w:spacing w:after="20"/>
            </w:pPr>
            <w:r>
              <w:rPr>
                <w:b/>
                <w:color w:val="1C3A36"/>
                <w:sz w:val="17"/>
              </w:rPr>
              <w:t>Q1-2026</w:t>
            </w:r>
          </w:p>
        </w:tc>
      </w:tr>
      <w:tr>
        <w:tc>
          <w:tcPr>
            <w:tcW w:type="dxa" w:w="5400"/>
          </w:tcPr>
          <w:p>
            <w:pPr>
              <w:spacing w:after="20"/>
            </w:pPr>
            <w:r>
              <w:rPr>
                <w:b/>
                <w:color w:val="1C3A36"/>
                <w:sz w:val="17"/>
              </w:rPr>
              <w:t>Total assets [DISCLOSED]</w:t>
            </w:r>
          </w:p>
        </w:tc>
        <w:tc>
          <w:tcPr>
            <w:tcW w:type="dxa" w:w="1512"/>
          </w:tcPr>
          <w:p>
            <w:pPr>
              <w:spacing w:after="20"/>
              <w:jc w:val="right"/>
            </w:pPr>
            <w:r>
              <w:rPr>
                <w:color w:val="1C3A36"/>
                <w:sz w:val="17"/>
              </w:rPr>
              <w:t>7,980</w:t>
            </w:r>
          </w:p>
        </w:tc>
        <w:tc>
          <w:tcPr>
            <w:tcW w:type="dxa" w:w="1512"/>
          </w:tcPr>
          <w:p>
            <w:pPr>
              <w:spacing w:after="20"/>
              <w:jc w:val="right"/>
            </w:pPr>
            <w:r>
              <w:rPr>
                <w:color w:val="1C3A36"/>
                <w:sz w:val="17"/>
              </w:rPr>
              <w:t>7,870</w:t>
            </w:r>
          </w:p>
        </w:tc>
        <w:tc>
          <w:tcPr>
            <w:tcW w:type="dxa" w:w="1512"/>
          </w:tcPr>
          <w:p>
            <w:pPr>
              <w:spacing w:after="20"/>
              <w:jc w:val="right"/>
            </w:pPr>
            <w:r>
              <w:rPr>
                <w:color w:val="1C3A36"/>
                <w:sz w:val="17"/>
              </w:rPr>
              <w:t>—</w:t>
            </w:r>
          </w:p>
        </w:tc>
      </w:tr>
      <w:tr>
        <w:tc>
          <w:tcPr>
            <w:tcW w:type="dxa" w:w="5400"/>
          </w:tcPr>
          <w:p>
            <w:pPr>
              <w:spacing w:after="20"/>
            </w:pPr>
            <w:r>
              <w:rPr>
                <w:b/>
                <w:color w:val="1C3A36"/>
                <w:sz w:val="17"/>
              </w:rPr>
              <w:t xml:space="preserve"> Concession intangible, gross</w:t>
            </w:r>
          </w:p>
        </w:tc>
        <w:tc>
          <w:tcPr>
            <w:tcW w:type="dxa" w:w="1512"/>
          </w:tcPr>
          <w:p>
            <w:pPr>
              <w:spacing w:after="20"/>
              <w:jc w:val="right"/>
            </w:pPr>
            <w:r>
              <w:rPr>
                <w:color w:val="1C3A36"/>
                <w:sz w:val="17"/>
              </w:rPr>
              <w:t>6,900</w:t>
            </w:r>
          </w:p>
        </w:tc>
        <w:tc>
          <w:tcPr>
            <w:tcW w:type="dxa" w:w="1512"/>
          </w:tcPr>
          <w:p>
            <w:pPr>
              <w:spacing w:after="20"/>
              <w:jc w:val="right"/>
            </w:pPr>
            <w:r>
              <w:rPr>
                <w:color w:val="1C3A36"/>
                <w:sz w:val="17"/>
              </w:rPr>
              <w:t>6,900</w:t>
            </w:r>
          </w:p>
        </w:tc>
        <w:tc>
          <w:tcPr>
            <w:tcW w:type="dxa" w:w="1512"/>
          </w:tcPr>
          <w:p>
            <w:pPr>
              <w:spacing w:after="20"/>
              <w:jc w:val="right"/>
            </w:pPr>
            <w:r>
              <w:rPr>
                <w:color w:val="1C3A36"/>
                <w:sz w:val="17"/>
              </w:rPr>
              <w:t>6,900</w:t>
            </w:r>
          </w:p>
        </w:tc>
      </w:tr>
      <w:tr>
        <w:tc>
          <w:tcPr>
            <w:tcW w:type="dxa" w:w="5400"/>
          </w:tcPr>
          <w:p>
            <w:pPr>
              <w:spacing w:after="20"/>
            </w:pPr>
            <w:r>
              <w:rPr>
                <w:b/>
                <w:color w:val="1C3A36"/>
                <w:sz w:val="17"/>
              </w:rPr>
              <w:t xml:space="preserve"> less accumulated amortisation [DERIVED]</w:t>
            </w:r>
          </w:p>
        </w:tc>
        <w:tc>
          <w:tcPr>
            <w:tcW w:type="dxa" w:w="1512"/>
          </w:tcPr>
          <w:p>
            <w:pPr>
              <w:spacing w:after="20"/>
              <w:jc w:val="right"/>
            </w:pPr>
            <w:r>
              <w:rPr>
                <w:color w:val="1C3A36"/>
                <w:sz w:val="17"/>
              </w:rPr>
              <w:t>(352)</w:t>
            </w:r>
          </w:p>
        </w:tc>
        <w:tc>
          <w:tcPr>
            <w:tcW w:type="dxa" w:w="1512"/>
          </w:tcPr>
          <w:p>
            <w:pPr>
              <w:spacing w:after="20"/>
              <w:jc w:val="right"/>
            </w:pPr>
            <w:r>
              <w:rPr>
                <w:color w:val="1C3A36"/>
                <w:sz w:val="17"/>
              </w:rPr>
              <w:t>(498)</w:t>
            </w:r>
          </w:p>
        </w:tc>
        <w:tc>
          <w:tcPr>
            <w:tcW w:type="dxa" w:w="1512"/>
          </w:tcPr>
          <w:p>
            <w:pPr>
              <w:spacing w:after="20"/>
              <w:jc w:val="right"/>
            </w:pPr>
            <w:r>
              <w:rPr>
                <w:color w:val="1C3A36"/>
                <w:sz w:val="17"/>
              </w:rPr>
              <w:t>(534)</w:t>
            </w:r>
          </w:p>
        </w:tc>
      </w:tr>
      <w:tr>
        <w:tc>
          <w:tcPr>
            <w:tcW w:type="dxa" w:w="5400"/>
          </w:tcPr>
          <w:p>
            <w:pPr>
              <w:spacing w:after="20"/>
            </w:pPr>
            <w:r>
              <w:rPr>
                <w:b/>
                <w:color w:val="1C3A36"/>
                <w:sz w:val="17"/>
              </w:rPr>
              <w:t xml:space="preserve"> Concession intangible, net [DERIVED]</w:t>
            </w:r>
          </w:p>
        </w:tc>
        <w:tc>
          <w:tcPr>
            <w:tcW w:type="dxa" w:w="1512"/>
          </w:tcPr>
          <w:p>
            <w:pPr>
              <w:spacing w:after="20"/>
              <w:jc w:val="right"/>
            </w:pPr>
            <w:r>
              <w:rPr>
                <w:color w:val="1C3A36"/>
                <w:sz w:val="17"/>
              </w:rPr>
              <w:t>6,548</w:t>
            </w:r>
          </w:p>
        </w:tc>
        <w:tc>
          <w:tcPr>
            <w:tcW w:type="dxa" w:w="1512"/>
          </w:tcPr>
          <w:p>
            <w:pPr>
              <w:spacing w:after="20"/>
              <w:jc w:val="right"/>
            </w:pPr>
            <w:r>
              <w:rPr>
                <w:color w:val="1C3A36"/>
                <w:sz w:val="17"/>
              </w:rPr>
              <w:t>6,402</w:t>
            </w:r>
          </w:p>
        </w:tc>
        <w:tc>
          <w:tcPr>
            <w:tcW w:type="dxa" w:w="1512"/>
          </w:tcPr>
          <w:p>
            <w:pPr>
              <w:spacing w:after="20"/>
              <w:jc w:val="right"/>
            </w:pPr>
            <w:r>
              <w:rPr>
                <w:color w:val="1C3A36"/>
                <w:sz w:val="17"/>
              </w:rPr>
              <w:t>6,366</w:t>
            </w:r>
          </w:p>
        </w:tc>
      </w:tr>
      <w:tr>
        <w:tc>
          <w:tcPr>
            <w:tcW w:type="dxa" w:w="5400"/>
          </w:tcPr>
          <w:p>
            <w:pPr>
              <w:spacing w:after="20"/>
            </w:pPr>
            <w:r>
              <w:rPr>
                <w:b/>
                <w:color w:val="1C3A36"/>
                <w:sz w:val="17"/>
              </w:rPr>
              <w:t>Net debt [DISCLOSED]</w:t>
            </w:r>
          </w:p>
        </w:tc>
        <w:tc>
          <w:tcPr>
            <w:tcW w:type="dxa" w:w="1512"/>
          </w:tcPr>
          <w:p>
            <w:pPr>
              <w:spacing w:after="20"/>
              <w:jc w:val="right"/>
            </w:pPr>
            <w:r>
              <w:rPr>
                <w:color w:val="1C3A36"/>
                <w:sz w:val="17"/>
              </w:rPr>
              <w:t>5,198.6</w:t>
            </w:r>
          </w:p>
        </w:tc>
        <w:tc>
          <w:tcPr>
            <w:tcW w:type="dxa" w:w="1512"/>
          </w:tcPr>
          <w:p>
            <w:pPr>
              <w:spacing w:after="20"/>
              <w:jc w:val="right"/>
            </w:pPr>
            <w:r>
              <w:rPr>
                <w:color w:val="1C3A36"/>
                <w:sz w:val="17"/>
              </w:rPr>
              <w:t>4,799.2</w:t>
            </w:r>
          </w:p>
        </w:tc>
        <w:tc>
          <w:tcPr>
            <w:tcW w:type="dxa" w:w="1512"/>
          </w:tcPr>
          <w:p>
            <w:pPr>
              <w:spacing w:after="20"/>
              <w:jc w:val="right"/>
            </w:pPr>
            <w:r>
              <w:rPr>
                <w:color w:val="1C3A36"/>
                <w:sz w:val="17"/>
              </w:rPr>
              <w:t>4,226.4</w:t>
            </w:r>
          </w:p>
        </w:tc>
      </w:tr>
      <w:tr>
        <w:tc>
          <w:tcPr>
            <w:tcW w:type="dxa" w:w="5400"/>
          </w:tcPr>
          <w:p>
            <w:pPr>
              <w:spacing w:after="20"/>
            </w:pPr>
            <w:r>
              <w:rPr>
                <w:b/>
                <w:color w:val="1C3A36"/>
                <w:sz w:val="17"/>
              </w:rPr>
              <w:t>Net working capital [DISCLOSED]</w:t>
            </w:r>
          </w:p>
        </w:tc>
        <w:tc>
          <w:tcPr>
            <w:tcW w:type="dxa" w:w="1512"/>
          </w:tcPr>
          <w:p>
            <w:pPr>
              <w:spacing w:after="20"/>
              <w:jc w:val="right"/>
            </w:pPr>
            <w:r>
              <w:rPr>
                <w:color w:val="1C3A36"/>
                <w:sz w:val="17"/>
              </w:rPr>
              <w:t>(536.8)</w:t>
            </w:r>
          </w:p>
        </w:tc>
        <w:tc>
          <w:tcPr>
            <w:tcW w:type="dxa" w:w="1512"/>
          </w:tcPr>
          <w:p>
            <w:pPr>
              <w:spacing w:after="20"/>
              <w:jc w:val="right"/>
            </w:pPr>
            <w:r>
              <w:rPr>
                <w:color w:val="1C3A36"/>
                <w:sz w:val="17"/>
              </w:rPr>
              <w:t>(674.0)</w:t>
            </w:r>
          </w:p>
        </w:tc>
        <w:tc>
          <w:tcPr>
            <w:tcW w:type="dxa" w:w="1512"/>
          </w:tcPr>
          <w:p>
            <w:pPr>
              <w:spacing w:after="20"/>
              <w:jc w:val="right"/>
            </w:pPr>
            <w:r>
              <w:rPr>
                <w:color w:val="1C3A36"/>
                <w:sz w:val="17"/>
              </w:rPr>
              <w:t>(846.0)</w:t>
            </w:r>
          </w:p>
        </w:tc>
      </w:tr>
      <w:tr>
        <w:tc>
          <w:tcPr>
            <w:tcW w:type="dxa" w:w="5400"/>
          </w:tcPr>
          <w:p>
            <w:pPr>
              <w:spacing w:after="20"/>
            </w:pPr>
            <w:r>
              <w:rPr>
                <w:b/>
                <w:color w:val="1C3A36"/>
                <w:sz w:val="17"/>
              </w:rPr>
              <w:t>Net debt / EBITDA (T12M) [DISCLOSED]</w:t>
            </w:r>
          </w:p>
        </w:tc>
        <w:tc>
          <w:tcPr>
            <w:tcW w:type="dxa" w:w="1512"/>
          </w:tcPr>
          <w:p>
            <w:pPr>
              <w:spacing w:after="20"/>
              <w:jc w:val="right"/>
            </w:pPr>
            <w:r>
              <w:rPr>
                <w:color w:val="1C3A36"/>
                <w:sz w:val="17"/>
              </w:rPr>
              <w:t>3.29×</w:t>
            </w:r>
          </w:p>
        </w:tc>
        <w:tc>
          <w:tcPr>
            <w:tcW w:type="dxa" w:w="1512"/>
          </w:tcPr>
          <w:p>
            <w:pPr>
              <w:spacing w:after="20"/>
              <w:jc w:val="right"/>
            </w:pPr>
            <w:r>
              <w:rPr>
                <w:color w:val="1C3A36"/>
                <w:sz w:val="17"/>
              </w:rPr>
              <w:t>2.24×</w:t>
            </w:r>
          </w:p>
        </w:tc>
        <w:tc>
          <w:tcPr>
            <w:tcW w:type="dxa" w:w="1512"/>
          </w:tcPr>
          <w:p>
            <w:pPr>
              <w:spacing w:after="20"/>
              <w:jc w:val="right"/>
            </w:pPr>
            <w:r>
              <w:rPr>
                <w:color w:val="1C3A36"/>
                <w:sz w:val="17"/>
              </w:rPr>
              <w:t>1.98×</w:t>
            </w:r>
          </w:p>
        </w:tc>
      </w:tr>
      <w:tr>
        <w:tc>
          <w:tcPr>
            <w:tcW w:type="dxa" w:w="5400"/>
          </w:tcPr>
          <w:p>
            <w:pPr>
              <w:spacing w:after="20"/>
            </w:pPr>
            <w:r>
              <w:rPr>
                <w:b/>
                <w:color w:val="1C3A36"/>
                <w:sz w:val="17"/>
              </w:rPr>
              <w:t>Debt covenant</w:t>
            </w:r>
          </w:p>
        </w:tc>
        <w:tc>
          <w:tcPr>
            <w:tcW w:type="dxa" w:w="1512"/>
          </w:tcPr>
          <w:p>
            <w:pPr>
              <w:spacing w:after="20"/>
              <w:jc w:val="right"/>
            </w:pPr>
            <w:r>
              <w:rPr>
                <w:color w:val="1C3A36"/>
                <w:sz w:val="17"/>
              </w:rPr>
              <w:t>5.00×</w:t>
            </w:r>
          </w:p>
        </w:tc>
        <w:tc>
          <w:tcPr>
            <w:tcW w:type="dxa" w:w="1512"/>
          </w:tcPr>
          <w:p>
            <w:pPr>
              <w:spacing w:after="20"/>
              <w:jc w:val="right"/>
            </w:pPr>
            <w:r>
              <w:rPr>
                <w:color w:val="1C3A36"/>
                <w:sz w:val="17"/>
              </w:rPr>
              <w:t>5.00×</w:t>
            </w:r>
          </w:p>
        </w:tc>
        <w:tc>
          <w:tcPr>
            <w:tcW w:type="dxa" w:w="1512"/>
          </w:tcPr>
          <w:p>
            <w:pPr>
              <w:spacing w:after="20"/>
              <w:jc w:val="right"/>
            </w:pPr>
            <w:r>
              <w:rPr>
                <w:color w:val="1C3A36"/>
                <w:sz w:val="17"/>
              </w:rPr>
              <w:t>5.00×</w:t>
            </w:r>
          </w:p>
        </w:tc>
      </w:tr>
      <w:tr>
        <w:tc>
          <w:tcPr>
            <w:tcW w:type="dxa" w:w="5400"/>
          </w:tcPr>
          <w:p>
            <w:pPr>
              <w:spacing w:after="20"/>
            </w:pPr>
            <w:r>
              <w:rPr>
                <w:b/>
                <w:color w:val="1C3A36"/>
                <w:sz w:val="17"/>
              </w:rPr>
              <w:t>Headroom to covenant</w:t>
            </w:r>
          </w:p>
        </w:tc>
        <w:tc>
          <w:tcPr>
            <w:tcW w:type="dxa" w:w="1512"/>
          </w:tcPr>
          <w:p>
            <w:pPr>
              <w:spacing w:after="20"/>
              <w:jc w:val="right"/>
            </w:pPr>
            <w:r>
              <w:rPr>
                <w:color w:val="1C3A36"/>
                <w:sz w:val="17"/>
              </w:rPr>
              <w:t>1.71×</w:t>
            </w:r>
          </w:p>
        </w:tc>
        <w:tc>
          <w:tcPr>
            <w:tcW w:type="dxa" w:w="1512"/>
          </w:tcPr>
          <w:p>
            <w:pPr>
              <w:spacing w:after="20"/>
              <w:jc w:val="right"/>
            </w:pPr>
            <w:r>
              <w:rPr>
                <w:color w:val="1C3A36"/>
                <w:sz w:val="17"/>
              </w:rPr>
              <w:t>2.76×</w:t>
            </w:r>
          </w:p>
        </w:tc>
        <w:tc>
          <w:tcPr>
            <w:tcW w:type="dxa" w:w="1512"/>
          </w:tcPr>
          <w:p>
            <w:pPr>
              <w:spacing w:after="20"/>
              <w:jc w:val="right"/>
            </w:pPr>
            <w:r>
              <w:rPr>
                <w:color w:val="1C3A36"/>
                <w:sz w:val="17"/>
              </w:rPr>
              <w:t>3.02×</w:t>
            </w:r>
          </w:p>
        </w:tc>
      </w:tr>
    </w:tbl>
    <w:p>
      <w:pPr>
        <w:spacing w:after="40"/>
      </w:pPr>
    </w:p>
    <w:p>
      <w:pPr>
        <w:spacing w:after="120" w:before="0"/>
      </w:pPr>
      <w:r>
        <w:rPr>
          <w:b w:val="0"/>
          <w:i/>
          <w:color w:val="6E7B77"/>
          <w:sz w:val="16"/>
        </w:rPr>
        <w:t>Salik does not publish a full quarterly balance sheet. The DCF bridges through NET debt, which IS disclosed, so nothing in the valuation rests on a derived line. The intangible bridge is built from the AED 4,200 mn paid for the eight original gates plus AED 2,700 mn for the two opened in November 2024, straight-lined over 49 years — and it reconciles to the D&amp;A implied by the Q1-2026 EBITDA-to-EBIT bridge (AED 145 mn/yr against 141 modelled).</w:t>
      </w:r>
    </w:p>
    <w:p>
      <w:pPr>
        <w:spacing w:after="80" w:before="180"/>
      </w:pPr>
      <w:r>
        <w:rPr>
          <w:b/>
          <w:i w:val="0"/>
          <w:color w:val="1C3A36"/>
          <w:sz w:val="23"/>
        </w:rPr>
        <w:t>A.3 Cash flow — and why free cash flow EXCEEDED EBITDA in Q1-2026</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45"/>
        <w:gridCol w:w="2045"/>
        <w:gridCol w:w="2045"/>
        <w:gridCol w:w="2045"/>
        <w:gridCol w:w="2045"/>
      </w:tblGrid>
      <w:tr>
        <w:tc>
          <w:tcPr>
            <w:tcW w:type="dxa" w:w="4118"/>
            <w:shd w:val="clear" w:color="auto" w:fill="EAF0EE"/>
          </w:tcPr>
          <w:p>
            <w:pPr>
              <w:spacing w:after="20"/>
            </w:pPr>
            <w:r>
              <w:rPr>
                <w:b/>
                <w:color w:val="1C3A36"/>
                <w:sz w:val="17"/>
              </w:rPr>
              <w:t>AED mn</w:t>
            </w:r>
          </w:p>
        </w:tc>
        <w:tc>
          <w:tcPr>
            <w:tcW w:type="dxa" w:w="1526"/>
            <w:shd w:val="clear" w:color="auto" w:fill="EAF0EE"/>
          </w:tcPr>
          <w:p>
            <w:pPr>
              <w:spacing w:after="20"/>
            </w:pPr>
            <w:r>
              <w:rPr>
                <w:b/>
                <w:color w:val="1C3A36"/>
                <w:sz w:val="17"/>
              </w:rPr>
              <w:t>FY2024</w:t>
            </w:r>
          </w:p>
        </w:tc>
        <w:tc>
          <w:tcPr>
            <w:tcW w:type="dxa" w:w="1526"/>
            <w:shd w:val="clear" w:color="auto" w:fill="EAF0EE"/>
          </w:tcPr>
          <w:p>
            <w:pPr>
              <w:spacing w:after="20"/>
            </w:pPr>
            <w:r>
              <w:rPr>
                <w:b/>
                <w:color w:val="1C3A36"/>
                <w:sz w:val="17"/>
              </w:rPr>
              <w:t>Q1-2026</w:t>
            </w:r>
          </w:p>
        </w:tc>
        <w:tc>
          <w:tcPr>
            <w:tcW w:type="dxa" w:w="1526"/>
            <w:shd w:val="clear" w:color="auto" w:fill="EAF0EE"/>
          </w:tcPr>
          <w:p>
            <w:pPr>
              <w:spacing w:after="20"/>
            </w:pPr>
            <w:r>
              <w:rPr>
                <w:b/>
                <w:color w:val="1C3A36"/>
                <w:sz w:val="17"/>
              </w:rPr>
              <w:t>FY2026E</w:t>
            </w:r>
          </w:p>
        </w:tc>
        <w:tc>
          <w:tcPr>
            <w:tcW w:type="dxa" w:w="1526"/>
            <w:shd w:val="clear" w:color="auto" w:fill="EAF0EE"/>
          </w:tcPr>
          <w:p>
            <w:pPr>
              <w:spacing w:after="20"/>
            </w:pPr>
            <w:r>
              <w:rPr>
                <w:b/>
                <w:color w:val="1C3A36"/>
                <w:sz w:val="17"/>
              </w:rPr>
              <w:t>FY2027E</w:t>
            </w:r>
          </w:p>
        </w:tc>
      </w:tr>
      <w:tr>
        <w:tc>
          <w:tcPr>
            <w:tcW w:type="dxa" w:w="4118"/>
          </w:tcPr>
          <w:p>
            <w:pPr>
              <w:spacing w:after="20"/>
            </w:pPr>
            <w:r>
              <w:rPr>
                <w:b/>
                <w:color w:val="1C3A36"/>
                <w:sz w:val="17"/>
              </w:rPr>
              <w:t>EBITDA</w:t>
            </w:r>
          </w:p>
        </w:tc>
        <w:tc>
          <w:tcPr>
            <w:tcW w:type="dxa" w:w="1526"/>
          </w:tcPr>
          <w:p>
            <w:pPr>
              <w:spacing w:after="20"/>
              <w:jc w:val="right"/>
            </w:pPr>
            <w:r>
              <w:rPr>
                <w:color w:val="1C3A36"/>
                <w:sz w:val="17"/>
              </w:rPr>
              <w:t>1,579.1</w:t>
            </w:r>
          </w:p>
        </w:tc>
        <w:tc>
          <w:tcPr>
            <w:tcW w:type="dxa" w:w="1526"/>
          </w:tcPr>
          <w:p>
            <w:pPr>
              <w:spacing w:after="20"/>
              <w:jc w:val="right"/>
            </w:pPr>
            <w:r>
              <w:rPr>
                <w:color w:val="1C3A36"/>
                <w:sz w:val="17"/>
              </w:rPr>
              <w:t>507.2</w:t>
            </w:r>
          </w:p>
        </w:tc>
        <w:tc>
          <w:tcPr>
            <w:tcW w:type="dxa" w:w="1526"/>
          </w:tcPr>
          <w:p>
            <w:pPr>
              <w:spacing w:after="20"/>
              <w:jc w:val="right"/>
            </w:pPr>
            <w:r>
              <w:rPr>
                <w:color w:val="1C3A36"/>
                <w:sz w:val="17"/>
              </w:rPr>
              <w:t>2,078</w:t>
            </w:r>
          </w:p>
        </w:tc>
        <w:tc>
          <w:tcPr>
            <w:tcW w:type="dxa" w:w="1526"/>
          </w:tcPr>
          <w:p>
            <w:pPr>
              <w:spacing w:after="20"/>
              <w:jc w:val="right"/>
            </w:pPr>
            <w:r>
              <w:rPr>
                <w:color w:val="1C3A36"/>
                <w:sz w:val="17"/>
              </w:rPr>
              <w:t>2,214</w:t>
            </w:r>
          </w:p>
        </w:tc>
      </w:tr>
      <w:tr>
        <w:tc>
          <w:tcPr>
            <w:tcW w:type="dxa" w:w="4118"/>
          </w:tcPr>
          <w:p>
            <w:pPr>
              <w:spacing w:after="20"/>
            </w:pPr>
            <w:r>
              <w:rPr>
                <w:b/>
                <w:color w:val="1C3A36"/>
                <w:sz w:val="17"/>
              </w:rPr>
              <w:t>less: cash tax</w:t>
            </w:r>
          </w:p>
        </w:tc>
        <w:tc>
          <w:tcPr>
            <w:tcW w:type="dxa" w:w="1526"/>
          </w:tcPr>
          <w:p>
            <w:pPr>
              <w:spacing w:after="20"/>
              <w:jc w:val="right"/>
            </w:pPr>
            <w:r>
              <w:rPr>
                <w:color w:val="1C3A36"/>
                <w:sz w:val="17"/>
              </w:rPr>
              <w:t>(115.2)</w:t>
            </w:r>
          </w:p>
        </w:tc>
        <w:tc>
          <w:tcPr>
            <w:tcW w:type="dxa" w:w="1526"/>
          </w:tcPr>
          <w:p>
            <w:pPr>
              <w:spacing w:after="20"/>
              <w:jc w:val="right"/>
            </w:pPr>
            <w:r>
              <w:rPr>
                <w:color w:val="1C3A36"/>
                <w:sz w:val="17"/>
              </w:rPr>
              <w:t>(36.5)</w:t>
            </w:r>
          </w:p>
        </w:tc>
        <w:tc>
          <w:tcPr>
            <w:tcW w:type="dxa" w:w="1526"/>
          </w:tcPr>
          <w:p>
            <w:pPr>
              <w:spacing w:after="20"/>
              <w:jc w:val="right"/>
            </w:pPr>
            <w:r>
              <w:rPr>
                <w:color w:val="1C3A36"/>
                <w:sz w:val="17"/>
              </w:rPr>
              <w:t>-151</w:t>
            </w:r>
          </w:p>
        </w:tc>
        <w:tc>
          <w:tcPr>
            <w:tcW w:type="dxa" w:w="1526"/>
          </w:tcPr>
          <w:p>
            <w:pPr>
              <w:spacing w:after="20"/>
              <w:jc w:val="right"/>
            </w:pPr>
            <w:r>
              <w:rPr>
                <w:color w:val="1C3A36"/>
                <w:sz w:val="17"/>
              </w:rPr>
              <w:t>-164</w:t>
            </w:r>
          </w:p>
        </w:tc>
      </w:tr>
      <w:tr>
        <w:tc>
          <w:tcPr>
            <w:tcW w:type="dxa" w:w="4118"/>
          </w:tcPr>
          <w:p>
            <w:pPr>
              <w:spacing w:after="20"/>
            </w:pPr>
            <w:r>
              <w:rPr>
                <w:b/>
                <w:color w:val="1C3A36"/>
                <w:sz w:val="17"/>
              </w:rPr>
              <w:t>± change in working capital</w:t>
            </w:r>
          </w:p>
        </w:tc>
        <w:tc>
          <w:tcPr>
            <w:tcW w:type="dxa" w:w="1526"/>
          </w:tcPr>
          <w:p>
            <w:pPr>
              <w:spacing w:after="20"/>
              <w:jc w:val="right"/>
            </w:pPr>
            <w:r>
              <w:rPr>
                <w:color w:val="1C3A36"/>
                <w:sz w:val="17"/>
              </w:rPr>
              <w:t>—</w:t>
            </w:r>
          </w:p>
        </w:tc>
        <w:tc>
          <w:tcPr>
            <w:tcW w:type="dxa" w:w="1526"/>
          </w:tcPr>
          <w:p>
            <w:pPr>
              <w:spacing w:after="20"/>
              <w:jc w:val="right"/>
            </w:pPr>
            <w:r>
              <w:rPr>
                <w:color w:val="1C3A36"/>
                <w:sz w:val="17"/>
              </w:rPr>
              <w:t>172.0</w:t>
            </w:r>
          </w:p>
        </w:tc>
        <w:tc>
          <w:tcPr>
            <w:tcW w:type="dxa" w:w="1526"/>
          </w:tcPr>
          <w:p>
            <w:pPr>
              <w:spacing w:after="20"/>
              <w:jc w:val="right"/>
            </w:pPr>
            <w:r>
              <w:rPr>
                <w:color w:val="1C3A36"/>
                <w:sz w:val="17"/>
              </w:rPr>
              <w:t>0.0</w:t>
            </w:r>
          </w:p>
        </w:tc>
        <w:tc>
          <w:tcPr>
            <w:tcW w:type="dxa" w:w="1526"/>
          </w:tcPr>
          <w:p>
            <w:pPr>
              <w:spacing w:after="20"/>
              <w:jc w:val="right"/>
            </w:pPr>
            <w:r>
              <w:rPr>
                <w:color w:val="1C3A36"/>
                <w:sz w:val="17"/>
              </w:rPr>
              <w:t>0.0</w:t>
            </w:r>
          </w:p>
        </w:tc>
      </w:tr>
      <w:tr>
        <w:tc>
          <w:tcPr>
            <w:tcW w:type="dxa" w:w="4118"/>
          </w:tcPr>
          <w:p>
            <w:pPr>
              <w:spacing w:after="20"/>
            </w:pPr>
            <w:r>
              <w:rPr>
                <w:b/>
                <w:color w:val="1C3A36"/>
                <w:sz w:val="17"/>
              </w:rPr>
              <w:t>less: capex</w:t>
            </w:r>
          </w:p>
        </w:tc>
        <w:tc>
          <w:tcPr>
            <w:tcW w:type="dxa" w:w="1526"/>
          </w:tcPr>
          <w:p>
            <w:pPr>
              <w:spacing w:after="20"/>
              <w:jc w:val="right"/>
            </w:pPr>
            <w:r>
              <w:rPr>
                <w:color w:val="1C3A36"/>
                <w:sz w:val="17"/>
              </w:rPr>
              <w:t>—</w:t>
            </w:r>
          </w:p>
        </w:tc>
        <w:tc>
          <w:tcPr>
            <w:tcW w:type="dxa" w:w="1526"/>
          </w:tcPr>
          <w:p>
            <w:pPr>
              <w:spacing w:after="20"/>
              <w:jc w:val="right"/>
            </w:pPr>
            <w:r>
              <w:rPr>
                <w:color w:val="1C3A36"/>
                <w:sz w:val="17"/>
              </w:rPr>
              <w:t>(6.2)</w:t>
            </w:r>
          </w:p>
        </w:tc>
        <w:tc>
          <w:tcPr>
            <w:tcW w:type="dxa" w:w="1526"/>
          </w:tcPr>
          <w:p>
            <w:pPr>
              <w:spacing w:after="20"/>
              <w:jc w:val="right"/>
            </w:pPr>
            <w:r>
              <w:rPr>
                <w:color w:val="1C3A36"/>
                <w:sz w:val="17"/>
              </w:rPr>
              <w:t>-30</w:t>
            </w:r>
          </w:p>
        </w:tc>
        <w:tc>
          <w:tcPr>
            <w:tcW w:type="dxa" w:w="1526"/>
          </w:tcPr>
          <w:p>
            <w:pPr>
              <w:spacing w:after="20"/>
              <w:jc w:val="right"/>
            </w:pPr>
            <w:r>
              <w:rPr>
                <w:color w:val="1C3A36"/>
                <w:sz w:val="17"/>
              </w:rPr>
              <w:t>-32</w:t>
            </w:r>
          </w:p>
        </w:tc>
      </w:tr>
      <w:tr>
        <w:tc>
          <w:tcPr>
            <w:tcW w:type="dxa" w:w="4118"/>
            <w:shd w:val="clear" w:color="auto" w:fill="F6F1E6"/>
          </w:tcPr>
          <w:p>
            <w:pPr>
              <w:spacing w:after="20"/>
            </w:pPr>
            <w:r>
              <w:rPr>
                <w:b/>
                <w:color w:val="1C3A36"/>
                <w:sz w:val="17"/>
              </w:rPr>
              <w:t>FREE CASH FLOW [FY24 &amp; Q1-26 DISCLOSED]</w:t>
            </w:r>
          </w:p>
        </w:tc>
        <w:tc>
          <w:tcPr>
            <w:tcW w:type="dxa" w:w="1526"/>
            <w:shd w:val="clear" w:color="auto" w:fill="F6F1E6"/>
          </w:tcPr>
          <w:p>
            <w:pPr>
              <w:spacing w:after="20"/>
              <w:jc w:val="right"/>
            </w:pPr>
            <w:r>
              <w:rPr>
                <w:b/>
                <w:color w:val="1C3A36"/>
                <w:sz w:val="17"/>
              </w:rPr>
              <w:t>1,457.3</w:t>
            </w:r>
          </w:p>
        </w:tc>
        <w:tc>
          <w:tcPr>
            <w:tcW w:type="dxa" w:w="1526"/>
            <w:shd w:val="clear" w:color="auto" w:fill="F6F1E6"/>
          </w:tcPr>
          <w:p>
            <w:pPr>
              <w:spacing w:after="20"/>
              <w:jc w:val="right"/>
            </w:pPr>
            <w:r>
              <w:rPr>
                <w:b/>
                <w:color w:val="1C3A36"/>
                <w:sz w:val="17"/>
              </w:rPr>
              <w:t>636.5</w:t>
            </w:r>
          </w:p>
        </w:tc>
        <w:tc>
          <w:tcPr>
            <w:tcW w:type="dxa" w:w="1526"/>
            <w:shd w:val="clear" w:color="auto" w:fill="F6F1E6"/>
          </w:tcPr>
          <w:p>
            <w:pPr>
              <w:spacing w:after="20"/>
              <w:jc w:val="right"/>
            </w:pPr>
            <w:r>
              <w:rPr>
                <w:b/>
                <w:color w:val="1C3A36"/>
                <w:sz w:val="17"/>
              </w:rPr>
              <w:t>1,875</w:t>
            </w:r>
          </w:p>
        </w:tc>
        <w:tc>
          <w:tcPr>
            <w:tcW w:type="dxa" w:w="1526"/>
            <w:shd w:val="clear" w:color="auto" w:fill="F6F1E6"/>
          </w:tcPr>
          <w:p>
            <w:pPr>
              <w:spacing w:after="20"/>
              <w:jc w:val="right"/>
            </w:pPr>
            <w:r>
              <w:rPr>
                <w:b/>
                <w:color w:val="1C3A36"/>
                <w:sz w:val="17"/>
              </w:rPr>
              <w:t>1,997</w:t>
            </w:r>
          </w:p>
        </w:tc>
      </w:tr>
      <w:tr>
        <w:tc>
          <w:tcPr>
            <w:tcW w:type="dxa" w:w="4118"/>
          </w:tcPr>
          <w:p>
            <w:pPr>
              <w:spacing w:after="20"/>
            </w:pPr>
            <w:r>
              <w:rPr>
                <w:b/>
                <w:color w:val="1C3A36"/>
                <w:sz w:val="17"/>
              </w:rPr>
              <w:t>FCF margin</w:t>
            </w:r>
          </w:p>
        </w:tc>
        <w:tc>
          <w:tcPr>
            <w:tcW w:type="dxa" w:w="1526"/>
          </w:tcPr>
          <w:p>
            <w:pPr>
              <w:spacing w:after="20"/>
              <w:jc w:val="right"/>
            </w:pPr>
            <w:r>
              <w:rPr>
                <w:color w:val="1C3A36"/>
                <w:sz w:val="17"/>
              </w:rPr>
              <w:t>63.6%</w:t>
            </w:r>
          </w:p>
        </w:tc>
        <w:tc>
          <w:tcPr>
            <w:tcW w:type="dxa" w:w="1526"/>
          </w:tcPr>
          <w:p>
            <w:pPr>
              <w:spacing w:after="20"/>
              <w:jc w:val="right"/>
            </w:pPr>
            <w:r>
              <w:rPr>
                <w:color w:val="1C3A36"/>
                <w:sz w:val="17"/>
              </w:rPr>
              <w:t>87.3%</w:t>
            </w:r>
          </w:p>
        </w:tc>
        <w:tc>
          <w:tcPr>
            <w:tcW w:type="dxa" w:w="1526"/>
          </w:tcPr>
          <w:p>
            <w:pPr>
              <w:spacing w:after="20"/>
              <w:jc w:val="right"/>
            </w:pPr>
            <w:r>
              <w:rPr>
                <w:color w:val="1C3A36"/>
                <w:sz w:val="17"/>
              </w:rPr>
              <w:t>62.9%</w:t>
            </w:r>
          </w:p>
        </w:tc>
        <w:tc>
          <w:tcPr>
            <w:tcW w:type="dxa" w:w="1526"/>
          </w:tcPr>
          <w:p>
            <w:pPr>
              <w:spacing w:after="20"/>
              <w:jc w:val="right"/>
            </w:pPr>
            <w:r>
              <w:rPr>
                <w:color w:val="1C3A36"/>
                <w:sz w:val="17"/>
              </w:rPr>
              <w:t>63.0%</w:t>
            </w:r>
          </w:p>
        </w:tc>
      </w:tr>
    </w:tbl>
    <w:p>
      <w:pPr>
        <w:spacing w:after="40"/>
      </w:pPr>
    </w:p>
    <w:p>
      <w:pPr>
        <w:spacing w:after="120" w:before="0"/>
      </w:pPr>
      <w:r>
        <w:rPr>
          <w:b w:val="0"/>
          <w:i/>
          <w:color w:val="6E7B77"/>
          <w:sz w:val="16"/>
        </w:rPr>
        <w:t>Q1-2026 free cash flow of AED 636.5 mn EXCEEDED EBITDA of AED 507.2 mn. That is not an error. Salik’s working capital is structurally NEGATIVE — motorists prepay into e-wallets and Salik pays the RTA in arrears — and the negative balance deepened by a further AED 172 mn in the quarter. Our DCF sets the change in working capital to ZERO throughout, which is deliberately conservative: we treat the AED 846 mn float as permanent, not as a recurring source of cash.</w:t>
      </w:r>
    </w:p>
    <w:p>
      <w:pPr>
        <w:spacing w:after="80" w:before="180"/>
      </w:pPr>
      <w:r>
        <w:rPr>
          <w:b/>
          <w:i w:val="0"/>
          <w:color w:val="1C3A36"/>
          <w:sz w:val="23"/>
        </w:rPr>
        <w:t>A.4 Per-share and ratio dashboard</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56"/>
        <w:gridCol w:w="2556"/>
        <w:gridCol w:w="2556"/>
        <w:gridCol w:w="2556"/>
      </w:tblGrid>
      <w:tr>
        <w:tc>
          <w:tcPr>
            <w:tcW w:type="dxa" w:w="2678"/>
            <w:shd w:val="clear" w:color="auto" w:fill="EAF0EE"/>
          </w:tcPr>
          <w:p>
            <w:pPr>
              <w:spacing w:after="20"/>
            </w:pPr>
            <w:r>
              <w:rPr>
                <w:b/>
                <w:color w:val="1C3A36"/>
                <w:sz w:val="16"/>
              </w:rPr>
              <w:t>Metric</w:t>
            </w:r>
          </w:p>
        </w:tc>
        <w:tc>
          <w:tcPr>
            <w:tcW w:type="dxa" w:w="1642"/>
            <w:shd w:val="clear" w:color="auto" w:fill="EAF0EE"/>
          </w:tcPr>
          <w:p>
            <w:pPr>
              <w:spacing w:after="20"/>
            </w:pPr>
            <w:r>
              <w:rPr>
                <w:b/>
                <w:color w:val="1C3A36"/>
                <w:sz w:val="16"/>
              </w:rPr>
              <w:t>FY2025 actual</w:t>
            </w:r>
          </w:p>
        </w:tc>
        <w:tc>
          <w:tcPr>
            <w:tcW w:type="dxa" w:w="1930"/>
            <w:shd w:val="clear" w:color="auto" w:fill="EAF0EE"/>
          </w:tcPr>
          <w:p>
            <w:pPr>
              <w:spacing w:after="20"/>
            </w:pPr>
            <w:r>
              <w:rPr>
                <w:b/>
                <w:color w:val="1C3A36"/>
                <w:sz w:val="16"/>
              </w:rPr>
              <w:t>FY2026E</w:t>
            </w:r>
          </w:p>
        </w:tc>
        <w:tc>
          <w:tcPr>
            <w:tcW w:type="dxa" w:w="3974"/>
            <w:shd w:val="clear" w:color="auto" w:fill="EAF0EE"/>
          </w:tcPr>
          <w:p>
            <w:pPr>
              <w:spacing w:after="20"/>
            </w:pPr>
            <w:r>
              <w:rPr>
                <w:b/>
                <w:color w:val="1C3A36"/>
                <w:sz w:val="16"/>
              </w:rPr>
              <w:t>Note</w:t>
            </w:r>
          </w:p>
        </w:tc>
      </w:tr>
      <w:tr>
        <w:tc>
          <w:tcPr>
            <w:tcW w:type="dxa" w:w="2678"/>
          </w:tcPr>
          <w:p>
            <w:pPr>
              <w:spacing w:after="20"/>
            </w:pPr>
            <w:r>
              <w:rPr>
                <w:b/>
                <w:color w:val="1C3A36"/>
                <w:sz w:val="16"/>
              </w:rPr>
              <w:t>EPS, AED</w:t>
            </w:r>
          </w:p>
        </w:tc>
        <w:tc>
          <w:tcPr>
            <w:tcW w:type="dxa" w:w="1642"/>
          </w:tcPr>
          <w:p>
            <w:pPr>
              <w:spacing w:after="20"/>
              <w:jc w:val="right"/>
            </w:pPr>
            <w:r>
              <w:rPr>
                <w:color w:val="1C3A36"/>
                <w:sz w:val="16"/>
              </w:rPr>
              <w:t>0.2071</w:t>
            </w:r>
          </w:p>
        </w:tc>
        <w:tc>
          <w:tcPr>
            <w:tcW w:type="dxa" w:w="1930"/>
          </w:tcPr>
          <w:p>
            <w:pPr>
              <w:spacing w:after="20"/>
              <w:jc w:val="right"/>
            </w:pPr>
            <w:r>
              <w:rPr>
                <w:color w:val="1C3A36"/>
                <w:sz w:val="16"/>
              </w:rPr>
              <w:t>0.2039</w:t>
            </w:r>
          </w:p>
        </w:tc>
        <w:tc>
          <w:tcPr>
            <w:tcW w:type="dxa" w:w="3974"/>
          </w:tcPr>
          <w:p>
            <w:pPr>
              <w:spacing w:after="20"/>
            </w:pPr>
            <w:r>
              <w:rPr>
                <w:color w:val="1C3A36"/>
                <w:sz w:val="16"/>
              </w:rPr>
              <w:t>Essentially flat. We are not modelling a collapse.</w:t>
            </w:r>
          </w:p>
        </w:tc>
      </w:tr>
      <w:tr>
        <w:tc>
          <w:tcPr>
            <w:tcW w:type="dxa" w:w="2678"/>
          </w:tcPr>
          <w:p>
            <w:pPr>
              <w:spacing w:after="20"/>
            </w:pPr>
            <w:r>
              <w:rPr>
                <w:b/>
                <w:color w:val="1C3A36"/>
                <w:sz w:val="16"/>
              </w:rPr>
              <w:t>DPS, AED</w:t>
            </w:r>
          </w:p>
        </w:tc>
        <w:tc>
          <w:tcPr>
            <w:tcW w:type="dxa" w:w="1642"/>
          </w:tcPr>
          <w:p>
            <w:pPr>
              <w:spacing w:after="20"/>
              <w:jc w:val="right"/>
            </w:pPr>
            <w:r>
              <w:rPr>
                <w:color w:val="1C3A36"/>
                <w:sz w:val="16"/>
              </w:rPr>
              <w:t>0.2215</w:t>
            </w:r>
          </w:p>
        </w:tc>
        <w:tc>
          <w:tcPr>
            <w:tcW w:type="dxa" w:w="1930"/>
          </w:tcPr>
          <w:p>
            <w:pPr>
              <w:spacing w:after="20"/>
              <w:jc w:val="right"/>
            </w:pPr>
            <w:r>
              <w:rPr>
                <w:color w:val="1C3A36"/>
                <w:sz w:val="16"/>
              </w:rPr>
              <w:t>0.2039</w:t>
            </w:r>
          </w:p>
        </w:tc>
        <w:tc>
          <w:tcPr>
            <w:tcW w:type="dxa" w:w="3974"/>
          </w:tcPr>
          <w:p>
            <w:pPr>
              <w:spacing w:after="20"/>
            </w:pPr>
            <w:r>
              <w:rPr>
                <w:color w:val="1C3A36"/>
                <w:sz w:val="16"/>
              </w:rPr>
              <w:t>100% payout. FY25 declared exceeds FY25 EPS — exceptional gains.</w:t>
            </w:r>
          </w:p>
        </w:tc>
      </w:tr>
      <w:tr>
        <w:tc>
          <w:tcPr>
            <w:tcW w:type="dxa" w:w="2678"/>
          </w:tcPr>
          <w:p>
            <w:pPr>
              <w:spacing w:after="20"/>
            </w:pPr>
            <w:r>
              <w:rPr>
                <w:b/>
                <w:color w:val="1C3A36"/>
                <w:sz w:val="16"/>
              </w:rPr>
              <w:t>FCFF per share, AED</w:t>
            </w:r>
          </w:p>
        </w:tc>
        <w:tc>
          <w:tcPr>
            <w:tcW w:type="dxa" w:w="1642"/>
          </w:tcPr>
          <w:p>
            <w:pPr>
              <w:spacing w:after="20"/>
              <w:jc w:val="right"/>
            </w:pPr>
            <w:r>
              <w:rPr>
                <w:color w:val="1C3A36"/>
                <w:sz w:val="16"/>
              </w:rPr>
              <w:t>—</w:t>
            </w:r>
          </w:p>
        </w:tc>
        <w:tc>
          <w:tcPr>
            <w:tcW w:type="dxa" w:w="1930"/>
          </w:tcPr>
          <w:p>
            <w:pPr>
              <w:spacing w:after="20"/>
              <w:jc w:val="right"/>
            </w:pPr>
            <w:r>
              <w:rPr>
                <w:color w:val="1C3A36"/>
                <w:sz w:val="16"/>
              </w:rPr>
              <w:t>0.2499</w:t>
            </w:r>
          </w:p>
        </w:tc>
        <w:tc>
          <w:tcPr>
            <w:tcW w:type="dxa" w:w="3974"/>
          </w:tcPr>
          <w:p>
            <w:pPr>
              <w:spacing w:after="20"/>
            </w:pPr>
            <w:r>
              <w:rPr>
                <w:color w:val="1C3A36"/>
                <w:sz w:val="16"/>
              </w:rPr>
              <w:t>What the business actually throws off.</w:t>
            </w:r>
          </w:p>
        </w:tc>
      </w:tr>
      <w:tr>
        <w:tc>
          <w:tcPr>
            <w:tcW w:type="dxa" w:w="2678"/>
          </w:tcPr>
          <w:p>
            <w:pPr>
              <w:spacing w:after="20"/>
            </w:pPr>
            <w:r>
              <w:rPr>
                <w:b/>
                <w:color w:val="1C3A36"/>
                <w:sz w:val="16"/>
              </w:rPr>
              <w:t>FCFE per share, AED</w:t>
            </w:r>
          </w:p>
        </w:tc>
        <w:tc>
          <w:tcPr>
            <w:tcW w:type="dxa" w:w="1642"/>
          </w:tcPr>
          <w:p>
            <w:pPr>
              <w:spacing w:after="20"/>
              <w:jc w:val="right"/>
            </w:pPr>
            <w:r>
              <w:rPr>
                <w:color w:val="1C3A36"/>
                <w:sz w:val="16"/>
              </w:rPr>
              <w:t>—</w:t>
            </w:r>
          </w:p>
        </w:tc>
        <w:tc>
          <w:tcPr>
            <w:tcW w:type="dxa" w:w="1930"/>
          </w:tcPr>
          <w:p>
            <w:pPr>
              <w:spacing w:after="20"/>
              <w:jc w:val="right"/>
            </w:pPr>
            <w:r>
              <w:rPr>
                <w:color w:val="1C3A36"/>
                <w:sz w:val="16"/>
              </w:rPr>
              <w:t>0.2194</w:t>
            </w:r>
          </w:p>
        </w:tc>
        <w:tc>
          <w:tcPr>
            <w:tcW w:type="dxa" w:w="3974"/>
          </w:tcPr>
          <w:p>
            <w:pPr>
              <w:spacing w:after="20"/>
            </w:pPr>
            <w:r>
              <w:rPr>
                <w:color w:val="1C3A36"/>
                <w:sz w:val="16"/>
              </w:rPr>
              <w:t>The dividend is only 93% of this.</w:t>
            </w:r>
          </w:p>
        </w:tc>
      </w:tr>
      <w:tr>
        <w:tc>
          <w:tcPr>
            <w:tcW w:type="dxa" w:w="2678"/>
          </w:tcPr>
          <w:p>
            <w:pPr>
              <w:spacing w:after="20"/>
            </w:pPr>
            <w:r>
              <w:rPr>
                <w:b/>
                <w:color w:val="1C3A36"/>
                <w:sz w:val="16"/>
              </w:rPr>
              <w:t>P/E at spot</w:t>
            </w:r>
          </w:p>
        </w:tc>
        <w:tc>
          <w:tcPr>
            <w:tcW w:type="dxa" w:w="1642"/>
          </w:tcPr>
          <w:p>
            <w:pPr>
              <w:spacing w:after="20"/>
              <w:jc w:val="right"/>
            </w:pPr>
            <w:r>
              <w:rPr>
                <w:color w:val="1C3A36"/>
                <w:sz w:val="16"/>
              </w:rPr>
              <w:t>27.5×</w:t>
            </w:r>
          </w:p>
        </w:tc>
        <w:tc>
          <w:tcPr>
            <w:tcW w:type="dxa" w:w="1930"/>
          </w:tcPr>
          <w:p>
            <w:pPr>
              <w:spacing w:after="20"/>
              <w:jc w:val="right"/>
            </w:pPr>
            <w:r>
              <w:rPr>
                <w:color w:val="1C3A36"/>
                <w:sz w:val="16"/>
              </w:rPr>
              <w:t>28.0×</w:t>
            </w:r>
          </w:p>
        </w:tc>
        <w:tc>
          <w:tcPr>
            <w:tcW w:type="dxa" w:w="3974"/>
          </w:tcPr>
          <w:p>
            <w:pPr>
              <w:spacing w:after="20"/>
            </w:pPr>
            <w:r>
              <w:rPr>
                <w:color w:val="1C3A36"/>
                <w:sz w:val="16"/>
              </w:rPr>
              <w:t>Parkin, the only true comparable, trades ~24.9×.</w:t>
            </w:r>
          </w:p>
        </w:tc>
      </w:tr>
      <w:tr>
        <w:tc>
          <w:tcPr>
            <w:tcW w:type="dxa" w:w="2678"/>
          </w:tcPr>
          <w:p>
            <w:pPr>
              <w:spacing w:after="20"/>
            </w:pPr>
            <w:r>
              <w:rPr>
                <w:b/>
                <w:color w:val="1C3A36"/>
                <w:sz w:val="16"/>
              </w:rPr>
              <w:t>Dividend yield at spot</w:t>
            </w:r>
          </w:p>
        </w:tc>
        <w:tc>
          <w:tcPr>
            <w:tcW w:type="dxa" w:w="1642"/>
          </w:tcPr>
          <w:p>
            <w:pPr>
              <w:spacing w:after="20"/>
              <w:jc w:val="right"/>
            </w:pPr>
            <w:r>
              <w:rPr>
                <w:color w:val="1C3A36"/>
                <w:sz w:val="16"/>
              </w:rPr>
              <w:t>3.9%</w:t>
            </w:r>
          </w:p>
        </w:tc>
        <w:tc>
          <w:tcPr>
            <w:tcW w:type="dxa" w:w="1930"/>
          </w:tcPr>
          <w:p>
            <w:pPr>
              <w:spacing w:after="20"/>
              <w:jc w:val="right"/>
            </w:pPr>
            <w:r>
              <w:rPr>
                <w:color w:val="1C3A36"/>
                <w:sz w:val="16"/>
              </w:rPr>
              <w:t>3.6%</w:t>
            </w:r>
          </w:p>
        </w:tc>
        <w:tc>
          <w:tcPr>
            <w:tcW w:type="dxa" w:w="3974"/>
          </w:tcPr>
          <w:p>
            <w:pPr>
              <w:spacing w:after="20"/>
            </w:pPr>
            <w:r>
              <w:rPr>
                <w:color w:val="1C3A36"/>
                <w:sz w:val="16"/>
              </w:rPr>
              <w:t>With a 100% payout this IS the inverse of the P/E.</w:t>
            </w:r>
          </w:p>
        </w:tc>
      </w:tr>
      <w:tr>
        <w:tc>
          <w:tcPr>
            <w:tcW w:type="dxa" w:w="2678"/>
          </w:tcPr>
          <w:p>
            <w:pPr>
              <w:spacing w:after="20"/>
            </w:pPr>
            <w:r>
              <w:rPr>
                <w:b/>
                <w:color w:val="1C3A36"/>
                <w:sz w:val="16"/>
              </w:rPr>
              <w:t>EV / EBITDA</w:t>
            </w:r>
          </w:p>
        </w:tc>
        <w:tc>
          <w:tcPr>
            <w:tcW w:type="dxa" w:w="1642"/>
          </w:tcPr>
          <w:p>
            <w:pPr>
              <w:spacing w:after="20"/>
              <w:jc w:val="right"/>
            </w:pPr>
            <w:r>
              <w:rPr>
                <w:color w:val="1C3A36"/>
                <w:sz w:val="16"/>
              </w:rPr>
              <w:t>21.9×</w:t>
            </w:r>
          </w:p>
        </w:tc>
        <w:tc>
          <w:tcPr>
            <w:tcW w:type="dxa" w:w="1930"/>
          </w:tcPr>
          <w:p>
            <w:pPr>
              <w:spacing w:after="20"/>
              <w:jc w:val="right"/>
            </w:pPr>
            <w:r>
              <w:rPr>
                <w:color w:val="1C3A36"/>
                <w:sz w:val="16"/>
              </w:rPr>
              <w:t>22.6×</w:t>
            </w:r>
          </w:p>
        </w:tc>
        <w:tc>
          <w:tcPr>
            <w:tcW w:type="dxa" w:w="3974"/>
          </w:tcPr>
          <w:p>
            <w:pPr>
              <w:spacing w:after="20"/>
            </w:pPr>
            <w:r>
              <w:rPr>
                <w:color w:val="1C3A36"/>
                <w:sz w:val="16"/>
              </w:rPr>
              <w:t>DISCLOSED, not used to value. See §1.5.</w:t>
            </w:r>
          </w:p>
        </w:tc>
      </w:tr>
      <w:tr>
        <w:tc>
          <w:tcPr>
            <w:tcW w:type="dxa" w:w="2678"/>
          </w:tcPr>
          <w:p>
            <w:pPr>
              <w:spacing w:after="20"/>
            </w:pPr>
            <w:r>
              <w:rPr>
                <w:b/>
                <w:color w:val="1C3A36"/>
                <w:sz w:val="16"/>
              </w:rPr>
              <w:t>EV / FCFF</w:t>
            </w:r>
          </w:p>
        </w:tc>
        <w:tc>
          <w:tcPr>
            <w:tcW w:type="dxa" w:w="1642"/>
          </w:tcPr>
          <w:p>
            <w:pPr>
              <w:spacing w:after="20"/>
              <w:jc w:val="right"/>
            </w:pPr>
            <w:r>
              <w:rPr>
                <w:color w:val="1C3A36"/>
                <w:sz w:val="16"/>
              </w:rPr>
              <w:t>—</w:t>
            </w:r>
          </w:p>
        </w:tc>
        <w:tc>
          <w:tcPr>
            <w:tcW w:type="dxa" w:w="1930"/>
          </w:tcPr>
          <w:p>
            <w:pPr>
              <w:spacing w:after="20"/>
              <w:jc w:val="right"/>
            </w:pPr>
            <w:r>
              <w:rPr>
                <w:color w:val="1C3A36"/>
                <w:sz w:val="16"/>
              </w:rPr>
              <w:t>25.1×</w:t>
            </w:r>
          </w:p>
        </w:tc>
        <w:tc>
          <w:tcPr>
            <w:tcW w:type="dxa" w:w="3974"/>
          </w:tcPr>
          <w:p>
            <w:pPr>
              <w:spacing w:after="20"/>
            </w:pPr>
            <w:r>
              <w:rPr>
                <w:color w:val="1C3A36"/>
                <w:sz w:val="16"/>
              </w:rPr>
              <w:t>The honest cash multiple.</w:t>
            </w:r>
          </w:p>
        </w:tc>
      </w:tr>
      <w:tr>
        <w:tc>
          <w:tcPr>
            <w:tcW w:type="dxa" w:w="2678"/>
          </w:tcPr>
          <w:p>
            <w:pPr>
              <w:spacing w:after="20"/>
            </w:pPr>
            <w:r>
              <w:rPr>
                <w:b/>
                <w:color w:val="1C3A36"/>
                <w:sz w:val="16"/>
              </w:rPr>
              <w:t>EBITDA margin</w:t>
            </w:r>
          </w:p>
        </w:tc>
        <w:tc>
          <w:tcPr>
            <w:tcW w:type="dxa" w:w="1642"/>
          </w:tcPr>
          <w:p>
            <w:pPr>
              <w:spacing w:after="20"/>
              <w:jc w:val="right"/>
            </w:pPr>
            <w:r>
              <w:rPr>
                <w:color w:val="1C3A36"/>
                <w:sz w:val="16"/>
              </w:rPr>
              <w:t>69.2%</w:t>
            </w:r>
          </w:p>
        </w:tc>
        <w:tc>
          <w:tcPr>
            <w:tcW w:type="dxa" w:w="1930"/>
          </w:tcPr>
          <w:p>
            <w:pPr>
              <w:spacing w:after="20"/>
              <w:jc w:val="right"/>
            </w:pPr>
            <w:r>
              <w:rPr>
                <w:color w:val="1C3A36"/>
                <w:sz w:val="16"/>
              </w:rPr>
              <w:t>69.7%</w:t>
            </w:r>
          </w:p>
        </w:tc>
        <w:tc>
          <w:tcPr>
            <w:tcW w:type="dxa" w:w="3974"/>
          </w:tcPr>
          <w:p>
            <w:pPr>
              <w:spacing w:after="20"/>
            </w:pPr>
            <w:r>
              <w:rPr>
                <w:color w:val="1C3A36"/>
                <w:sz w:val="16"/>
              </w:rPr>
              <w:t>Rising THROUGH a traffic collapse.</w:t>
            </w:r>
          </w:p>
        </w:tc>
      </w:tr>
      <w:tr>
        <w:tc>
          <w:tcPr>
            <w:tcW w:type="dxa" w:w="2678"/>
          </w:tcPr>
          <w:p>
            <w:pPr>
              <w:spacing w:after="20"/>
            </w:pPr>
            <w:r>
              <w:rPr>
                <w:b/>
                <w:color w:val="1C3A36"/>
                <w:sz w:val="16"/>
              </w:rPr>
              <w:t>Net margin</w:t>
            </w:r>
          </w:p>
        </w:tc>
        <w:tc>
          <w:tcPr>
            <w:tcW w:type="dxa" w:w="1642"/>
          </w:tcPr>
          <w:p>
            <w:pPr>
              <w:spacing w:after="20"/>
              <w:jc w:val="right"/>
            </w:pPr>
            <w:r>
              <w:rPr>
                <w:color w:val="1C3A36"/>
                <w:sz w:val="16"/>
              </w:rPr>
              <w:t>50.2%</w:t>
            </w:r>
          </w:p>
        </w:tc>
        <w:tc>
          <w:tcPr>
            <w:tcW w:type="dxa" w:w="1930"/>
          </w:tcPr>
          <w:p>
            <w:pPr>
              <w:spacing w:after="20"/>
              <w:jc w:val="right"/>
            </w:pPr>
            <w:r>
              <w:rPr>
                <w:color w:val="1C3A36"/>
                <w:sz w:val="16"/>
              </w:rPr>
              <w:t>51.3%</w:t>
            </w:r>
          </w:p>
        </w:tc>
        <w:tc>
          <w:tcPr>
            <w:tcW w:type="dxa" w:w="3974"/>
          </w:tcPr>
          <w:p>
            <w:pPr>
              <w:spacing w:after="20"/>
            </w:pPr>
            <w:r>
              <w:rPr>
                <w:color w:val="1C3A36"/>
                <w:sz w:val="16"/>
              </w:rPr>
            </w:r>
          </w:p>
        </w:tc>
      </w:tr>
      <w:tr>
        <w:tc>
          <w:tcPr>
            <w:tcW w:type="dxa" w:w="2678"/>
          </w:tcPr>
          <w:p>
            <w:pPr>
              <w:spacing w:after="20"/>
            </w:pPr>
            <w:r>
              <w:rPr>
                <w:b/>
                <w:color w:val="1C3A36"/>
                <w:sz w:val="16"/>
              </w:rPr>
              <w:t>FCFF / EBITDA conversion</w:t>
            </w:r>
          </w:p>
        </w:tc>
        <w:tc>
          <w:tcPr>
            <w:tcW w:type="dxa" w:w="1642"/>
          </w:tcPr>
          <w:p>
            <w:pPr>
              <w:spacing w:after="20"/>
              <w:jc w:val="right"/>
            </w:pPr>
            <w:r>
              <w:rPr>
                <w:color w:val="1C3A36"/>
                <w:sz w:val="16"/>
              </w:rPr>
              <w:t>—</w:t>
            </w:r>
          </w:p>
        </w:tc>
        <w:tc>
          <w:tcPr>
            <w:tcW w:type="dxa" w:w="1930"/>
          </w:tcPr>
          <w:p>
            <w:pPr>
              <w:spacing w:after="20"/>
              <w:jc w:val="right"/>
            </w:pPr>
            <w:r>
              <w:rPr>
                <w:color w:val="1C3A36"/>
                <w:sz w:val="16"/>
              </w:rPr>
              <w:t>90.2%</w:t>
            </w:r>
          </w:p>
        </w:tc>
        <w:tc>
          <w:tcPr>
            <w:tcW w:type="dxa" w:w="3974"/>
          </w:tcPr>
          <w:p>
            <w:pPr>
              <w:spacing w:after="20"/>
            </w:pPr>
            <w:r>
              <w:rPr>
                <w:color w:val="1C3A36"/>
                <w:sz w:val="16"/>
              </w:rPr>
              <w:t>A normal toll road converts 50–60%.</w:t>
            </w:r>
          </w:p>
        </w:tc>
      </w:tr>
      <w:tr>
        <w:tc>
          <w:tcPr>
            <w:tcW w:type="dxa" w:w="2678"/>
          </w:tcPr>
          <w:p>
            <w:pPr>
              <w:spacing w:after="20"/>
            </w:pPr>
            <w:r>
              <w:rPr>
                <w:b/>
                <w:color w:val="1C3A36"/>
                <w:sz w:val="16"/>
              </w:rPr>
              <w:t>ROIC</w:t>
            </w:r>
          </w:p>
        </w:tc>
        <w:tc>
          <w:tcPr>
            <w:tcW w:type="dxa" w:w="1642"/>
          </w:tcPr>
          <w:p>
            <w:pPr>
              <w:spacing w:after="20"/>
              <w:jc w:val="right"/>
            </w:pPr>
            <w:r>
              <w:rPr>
                <w:color w:val="1C3A36"/>
                <w:sz w:val="16"/>
              </w:rPr>
              <w:t>—</w:t>
            </w:r>
          </w:p>
        </w:tc>
        <w:tc>
          <w:tcPr>
            <w:tcW w:type="dxa" w:w="1930"/>
          </w:tcPr>
          <w:p>
            <w:pPr>
              <w:spacing w:after="20"/>
              <w:jc w:val="right"/>
            </w:pPr>
            <w:r>
              <w:rPr>
                <w:color w:val="1C3A36"/>
                <w:sz w:val="16"/>
              </w:rPr>
              <w:t>32% legacy / 9.5% incremental</w:t>
            </w:r>
          </w:p>
        </w:tc>
        <w:tc>
          <w:tcPr>
            <w:tcW w:type="dxa" w:w="3974"/>
          </w:tcPr>
          <w:p>
            <w:pPr>
              <w:spacing w:after="20"/>
            </w:pPr>
            <w:r>
              <w:rPr>
                <w:color w:val="1C3A36"/>
                <w:sz w:val="16"/>
              </w:rPr>
              <w:t>THE finding. §1.2.</w:t>
            </w:r>
          </w:p>
        </w:tc>
      </w:tr>
      <w:tr>
        <w:tc>
          <w:tcPr>
            <w:tcW w:type="dxa" w:w="2678"/>
          </w:tcPr>
          <w:p>
            <w:pPr>
              <w:spacing w:after="20"/>
            </w:pPr>
            <w:r>
              <w:rPr>
                <w:b/>
                <w:color w:val="1C3A36"/>
                <w:sz w:val="16"/>
              </w:rPr>
              <w:t>WACC</w:t>
            </w:r>
          </w:p>
        </w:tc>
        <w:tc>
          <w:tcPr>
            <w:tcW w:type="dxa" w:w="1642"/>
          </w:tcPr>
          <w:p>
            <w:pPr>
              <w:spacing w:after="20"/>
              <w:jc w:val="right"/>
            </w:pPr>
            <w:r>
              <w:rPr>
                <w:color w:val="1C3A36"/>
                <w:sz w:val="16"/>
              </w:rPr>
              <w:t>—</w:t>
            </w:r>
          </w:p>
        </w:tc>
        <w:tc>
          <w:tcPr>
            <w:tcW w:type="dxa" w:w="1930"/>
          </w:tcPr>
          <w:p>
            <w:pPr>
              <w:spacing w:after="20"/>
              <w:jc w:val="right"/>
            </w:pPr>
            <w:r>
              <w:rPr>
                <w:color w:val="1C3A36"/>
                <w:sz w:val="16"/>
              </w:rPr>
              <w:t>8.1%</w:t>
            </w:r>
          </w:p>
        </w:tc>
        <w:tc>
          <w:tcPr>
            <w:tcW w:type="dxa" w:w="3974"/>
          </w:tcPr>
          <w:p>
            <w:pPr>
              <w:spacing w:after="20"/>
            </w:pPr>
            <w:r>
              <w:rPr>
                <w:color w:val="1C3A36"/>
                <w:sz w:val="16"/>
              </w:rPr>
              <w:t>On a MEASURED beta of 0.76.</w:t>
            </w:r>
          </w:p>
        </w:tc>
      </w:tr>
      <w:tr>
        <w:tc>
          <w:tcPr>
            <w:tcW w:type="dxa" w:w="2678"/>
          </w:tcPr>
          <w:p>
            <w:pPr>
              <w:spacing w:after="20"/>
            </w:pPr>
            <w:r>
              <w:rPr>
                <w:b/>
                <w:color w:val="1C3A36"/>
                <w:sz w:val="16"/>
              </w:rPr>
              <w:t>Net debt / EBITDA</w:t>
            </w:r>
          </w:p>
        </w:tc>
        <w:tc>
          <w:tcPr>
            <w:tcW w:type="dxa" w:w="1642"/>
          </w:tcPr>
          <w:p>
            <w:pPr>
              <w:spacing w:after="20"/>
              <w:jc w:val="right"/>
            </w:pPr>
            <w:r>
              <w:rPr>
                <w:color w:val="1C3A36"/>
                <w:sz w:val="16"/>
              </w:rPr>
              <w:t>2.24×</w:t>
            </w:r>
          </w:p>
        </w:tc>
        <w:tc>
          <w:tcPr>
            <w:tcW w:type="dxa" w:w="1930"/>
          </w:tcPr>
          <w:p>
            <w:pPr>
              <w:spacing w:after="20"/>
              <w:jc w:val="right"/>
            </w:pPr>
            <w:r>
              <w:rPr>
                <w:color w:val="1C3A36"/>
                <w:sz w:val="16"/>
              </w:rPr>
              <w:t>2.17×</w:t>
            </w:r>
          </w:p>
        </w:tc>
        <w:tc>
          <w:tcPr>
            <w:tcW w:type="dxa" w:w="3974"/>
          </w:tcPr>
          <w:p>
            <w:pPr>
              <w:spacing w:after="20"/>
            </w:pPr>
            <w:r>
              <w:rPr>
                <w:color w:val="1C3A36"/>
                <w:sz w:val="16"/>
              </w:rPr>
              <w:t>Covenant 5.0×.</w:t>
            </w:r>
          </w:p>
        </w:tc>
      </w:tr>
      <w:tr>
        <w:tc>
          <w:tcPr>
            <w:tcW w:type="dxa" w:w="2678"/>
          </w:tcPr>
          <w:p>
            <w:pPr>
              <w:spacing w:after="20"/>
            </w:pPr>
            <w:r>
              <w:rPr>
                <w:b/>
                <w:color w:val="1C3A36"/>
                <w:sz w:val="16"/>
              </w:rPr>
              <w:t>Interest cover (EBITDA / net finance)</w:t>
            </w:r>
          </w:p>
        </w:tc>
        <w:tc>
          <w:tcPr>
            <w:tcW w:type="dxa" w:w="1642"/>
          </w:tcPr>
          <w:p>
            <w:pPr>
              <w:spacing w:after="20"/>
              <w:jc w:val="right"/>
            </w:pPr>
            <w:r>
              <w:rPr>
                <w:color w:val="1C3A36"/>
                <w:sz w:val="16"/>
              </w:rPr>
              <w:t>—</w:t>
            </w:r>
          </w:p>
        </w:tc>
        <w:tc>
          <w:tcPr>
            <w:tcW w:type="dxa" w:w="1930"/>
          </w:tcPr>
          <w:p>
            <w:pPr>
              <w:spacing w:after="20"/>
              <w:jc w:val="right"/>
            </w:pPr>
            <w:r>
              <w:rPr>
                <w:color w:val="1C3A36"/>
                <w:sz w:val="16"/>
              </w:rPr>
              <w:t>8.2×</w:t>
            </w:r>
          </w:p>
        </w:tc>
        <w:tc>
          <w:tcPr>
            <w:tcW w:type="dxa" w:w="3974"/>
          </w:tcPr>
          <w:p>
            <w:pPr>
              <w:spacing w:after="20"/>
            </w:pPr>
            <w:r>
              <w:rPr>
                <w:color w:val="1C3A36"/>
                <w:sz w:val="16"/>
              </w:rPr>
              <w:t>Ample.</w:t>
            </w:r>
          </w:p>
        </w:tc>
      </w:tr>
      <w:tr>
        <w:tc>
          <w:tcPr>
            <w:tcW w:type="dxa" w:w="2678"/>
          </w:tcPr>
          <w:p>
            <w:pPr>
              <w:spacing w:after="20"/>
            </w:pPr>
            <w:r>
              <w:rPr>
                <w:b/>
                <w:color w:val="1C3A36"/>
                <w:sz w:val="16"/>
              </w:rPr>
              <w:t>Revenue per employee (60 staff)</w:t>
            </w:r>
          </w:p>
        </w:tc>
        <w:tc>
          <w:tcPr>
            <w:tcW w:type="dxa" w:w="1642"/>
          </w:tcPr>
          <w:p>
            <w:pPr>
              <w:spacing w:after="20"/>
              <w:jc w:val="right"/>
            </w:pPr>
            <w:r>
              <w:rPr>
                <w:color w:val="1C3A36"/>
                <w:sz w:val="16"/>
              </w:rPr>
              <w:t>AED 51.6 mn</w:t>
            </w:r>
          </w:p>
        </w:tc>
        <w:tc>
          <w:tcPr>
            <w:tcW w:type="dxa" w:w="1930"/>
          </w:tcPr>
          <w:p>
            <w:pPr>
              <w:spacing w:after="20"/>
              <w:jc w:val="right"/>
            </w:pPr>
            <w:r>
              <w:rPr>
                <w:color w:val="1C3A36"/>
                <w:sz w:val="16"/>
              </w:rPr>
              <w:t>AED 49.7 mn</w:t>
            </w:r>
          </w:p>
        </w:tc>
        <w:tc>
          <w:tcPr>
            <w:tcW w:type="dxa" w:w="3974"/>
          </w:tcPr>
          <w:p>
            <w:pPr>
              <w:spacing w:after="20"/>
            </w:pPr>
            <w:r>
              <w:rPr>
                <w:color w:val="1C3A36"/>
                <w:sz w:val="16"/>
              </w:rPr>
              <w:t>Not a typo.</w:t>
            </w:r>
          </w:p>
        </w:tc>
      </w:tr>
      <w:tr>
        <w:tc>
          <w:tcPr>
            <w:tcW w:type="dxa" w:w="2678"/>
          </w:tcPr>
          <w:p>
            <w:pPr>
              <w:spacing w:after="20"/>
            </w:pPr>
            <w:r>
              <w:rPr>
                <w:b/>
                <w:color w:val="1C3A36"/>
                <w:sz w:val="16"/>
              </w:rPr>
              <w:t>Beta (measured, weekly)</w:t>
            </w:r>
          </w:p>
        </w:tc>
        <w:tc>
          <w:tcPr>
            <w:tcW w:type="dxa" w:w="1642"/>
          </w:tcPr>
          <w:p>
            <w:pPr>
              <w:spacing w:after="20"/>
              <w:jc w:val="right"/>
            </w:pPr>
            <w:r>
              <w:rPr>
                <w:color w:val="1C3A36"/>
                <w:sz w:val="16"/>
              </w:rPr>
              <w:t>—</w:t>
            </w:r>
          </w:p>
        </w:tc>
        <w:tc>
          <w:tcPr>
            <w:tcW w:type="dxa" w:w="1930"/>
          </w:tcPr>
          <w:p>
            <w:pPr>
              <w:spacing w:after="20"/>
              <w:jc w:val="right"/>
            </w:pPr>
            <w:r>
              <w:rPr>
                <w:color w:val="1C3A36"/>
                <w:sz w:val="16"/>
              </w:rPr>
              <w:t>0.64 raw / 0.76 published</w:t>
            </w:r>
          </w:p>
        </w:tc>
        <w:tc>
          <w:tcPr>
            <w:tcW w:type="dxa" w:w="3974"/>
          </w:tcPr>
          <w:p>
            <w:pPr>
              <w:spacing w:after="20"/>
            </w:pPr>
            <w:r>
              <w:rPr>
                <w:color w:val="1C3A36"/>
                <w:sz w:val="16"/>
              </w:rPr>
              <w:t>Pre-war 0.47; war 1.00. §1.8.</w:t>
            </w:r>
          </w:p>
        </w:tc>
      </w:tr>
    </w:tbl>
    <w:p>
      <w:pPr>
        <w:spacing w:after="40"/>
      </w:pPr>
    </w:p>
    <w:p>
      <w:r>
        <w:br w:type="page"/>
      </w:r>
    </w:p>
    <w:p>
      <w:pPr>
        <w:spacing w:after="100" w:before="260"/>
      </w:pPr>
      <w:r>
        <w:rPr>
          <w:b/>
          <w:i w:val="0"/>
          <w:color w:val="1C3A36"/>
          <w:sz w:val="30"/>
        </w:rPr>
        <w:t>Appendix B Peers, sector structure, risks — and the research register</w:t>
      </w:r>
    </w:p>
    <w:p>
      <w:pPr>
        <w:spacing w:after="80" w:before="180"/>
      </w:pPr>
      <w:r>
        <w:rPr>
          <w:b/>
          <w:i w:val="0"/>
          <w:color w:val="1C3A36"/>
          <w:sz w:val="23"/>
        </w:rPr>
        <w:t>B.1 The comparable set, and why it is thin</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45"/>
        <w:gridCol w:w="2045"/>
        <w:gridCol w:w="2045"/>
        <w:gridCol w:w="2045"/>
        <w:gridCol w:w="2045"/>
      </w:tblGrid>
      <w:tr>
        <w:tc>
          <w:tcPr>
            <w:tcW w:type="dxa" w:w="3197"/>
            <w:shd w:val="clear" w:color="auto" w:fill="EAF0EE"/>
          </w:tcPr>
          <w:p>
            <w:pPr>
              <w:spacing w:after="20"/>
            </w:pPr>
            <w:r>
              <w:rPr>
                <w:b/>
                <w:color w:val="1C3A36"/>
                <w:sz w:val="16"/>
              </w:rPr>
              <w:t>Name</w:t>
            </w:r>
          </w:p>
        </w:tc>
        <w:tc>
          <w:tcPr>
            <w:tcW w:type="dxa" w:w="1123"/>
            <w:shd w:val="clear" w:color="auto" w:fill="EAF0EE"/>
          </w:tcPr>
          <w:p>
            <w:pPr>
              <w:spacing w:after="20"/>
            </w:pPr>
            <w:r>
              <w:rPr>
                <w:b/>
                <w:color w:val="1C3A36"/>
                <w:sz w:val="16"/>
              </w:rPr>
              <w:t>P/E</w:t>
            </w:r>
          </w:p>
        </w:tc>
        <w:tc>
          <w:tcPr>
            <w:tcW w:type="dxa" w:w="1152"/>
            <w:shd w:val="clear" w:color="auto" w:fill="EAF0EE"/>
          </w:tcPr>
          <w:p>
            <w:pPr>
              <w:spacing w:after="20"/>
            </w:pPr>
            <w:r>
              <w:rPr>
                <w:b/>
                <w:color w:val="1C3A36"/>
                <w:sz w:val="16"/>
              </w:rPr>
              <w:t>Div yield</w:t>
            </w:r>
          </w:p>
        </w:tc>
        <w:tc>
          <w:tcPr>
            <w:tcW w:type="dxa" w:w="1354"/>
            <w:shd w:val="clear" w:color="auto" w:fill="EAF0EE"/>
          </w:tcPr>
          <w:p>
            <w:pPr>
              <w:spacing w:after="20"/>
            </w:pPr>
            <w:r>
              <w:rPr>
                <w:b/>
                <w:color w:val="1C3A36"/>
                <w:sz w:val="16"/>
              </w:rPr>
              <w:t>As at</w:t>
            </w:r>
          </w:p>
        </w:tc>
        <w:tc>
          <w:tcPr>
            <w:tcW w:type="dxa" w:w="3398"/>
            <w:shd w:val="clear" w:color="auto" w:fill="EAF0EE"/>
          </w:tcPr>
          <w:p>
            <w:pPr>
              <w:spacing w:after="20"/>
            </w:pPr>
            <w:r>
              <w:rPr>
                <w:b/>
                <w:color w:val="1C3A36"/>
                <w:sz w:val="16"/>
              </w:rPr>
              <w:t>Note</w:t>
            </w:r>
          </w:p>
        </w:tc>
      </w:tr>
      <w:tr>
        <w:tc>
          <w:tcPr>
            <w:tcW w:type="dxa" w:w="3197"/>
          </w:tcPr>
          <w:p>
            <w:pPr>
              <w:spacing w:after="20"/>
            </w:pPr>
            <w:r>
              <w:rPr>
                <w:b/>
                <w:color w:val="1C3A36"/>
                <w:sz w:val="16"/>
              </w:rPr>
              <w:t>Parkin (DFM) — the RTA’s 49-yr parking concession</w:t>
            </w:r>
          </w:p>
        </w:tc>
        <w:tc>
          <w:tcPr>
            <w:tcW w:type="dxa" w:w="1123"/>
          </w:tcPr>
          <w:p>
            <w:pPr>
              <w:spacing w:after="20"/>
              <w:jc w:val="right"/>
            </w:pPr>
            <w:r>
              <w:rPr>
                <w:color w:val="1C3A36"/>
                <w:sz w:val="16"/>
              </w:rPr>
              <w:t>24.9×</w:t>
            </w:r>
          </w:p>
        </w:tc>
        <w:tc>
          <w:tcPr>
            <w:tcW w:type="dxa" w:w="1152"/>
          </w:tcPr>
          <w:p>
            <w:pPr>
              <w:spacing w:after="20"/>
              <w:jc w:val="right"/>
            </w:pPr>
            <w:r>
              <w:rPr>
                <w:color w:val="1C3A36"/>
                <w:sz w:val="16"/>
              </w:rPr>
              <w:t>4.2%</w:t>
            </w:r>
          </w:p>
        </w:tc>
        <w:tc>
          <w:tcPr>
            <w:tcW w:type="dxa" w:w="1354"/>
          </w:tcPr>
          <w:p>
            <w:pPr>
              <w:spacing w:after="20"/>
              <w:jc w:val="right"/>
            </w:pPr>
            <w:r>
              <w:rPr>
                <w:color w:val="1C3A36"/>
                <w:sz w:val="16"/>
              </w:rPr>
              <w:t>Apr 2026</w:t>
            </w:r>
          </w:p>
        </w:tc>
        <w:tc>
          <w:tcPr>
            <w:tcW w:type="dxa" w:w="3398"/>
          </w:tcPr>
          <w:p>
            <w:pPr>
              <w:spacing w:after="20"/>
            </w:pPr>
            <w:r>
              <w:rPr>
                <w:color w:val="1C3A36"/>
                <w:sz w:val="16"/>
              </w:rPr>
              <w:t>The ONLY true structural comparable on earth: same emirate, same grantor, same 49-yr term, same ~100% payout, same Dubai Investment Fund parent. Salik trades at a premium to it.</w:t>
            </w:r>
          </w:p>
        </w:tc>
      </w:tr>
      <w:tr>
        <w:tc>
          <w:tcPr>
            <w:tcW w:type="dxa" w:w="3197"/>
          </w:tcPr>
          <w:p>
            <w:pPr>
              <w:spacing w:after="20"/>
            </w:pPr>
            <w:r>
              <w:rPr>
                <w:b/>
                <w:color w:val="1C3A36"/>
                <w:sz w:val="16"/>
              </w:rPr>
              <w:t>SALIK at spot — on our FY2026E</w:t>
            </w:r>
          </w:p>
        </w:tc>
        <w:tc>
          <w:tcPr>
            <w:tcW w:type="dxa" w:w="1123"/>
          </w:tcPr>
          <w:p>
            <w:pPr>
              <w:spacing w:after="20"/>
              <w:jc w:val="right"/>
            </w:pPr>
            <w:r>
              <w:rPr>
                <w:color w:val="1C3A36"/>
                <w:sz w:val="16"/>
              </w:rPr>
              <w:t>28.0×</w:t>
            </w:r>
          </w:p>
        </w:tc>
        <w:tc>
          <w:tcPr>
            <w:tcW w:type="dxa" w:w="1152"/>
          </w:tcPr>
          <w:p>
            <w:pPr>
              <w:spacing w:after="20"/>
              <w:jc w:val="right"/>
            </w:pPr>
            <w:r>
              <w:rPr>
                <w:color w:val="1C3A36"/>
                <w:sz w:val="16"/>
              </w:rPr>
              <w:t>3.6%</w:t>
            </w:r>
          </w:p>
        </w:tc>
        <w:tc>
          <w:tcPr>
            <w:tcW w:type="dxa" w:w="1354"/>
          </w:tcPr>
          <w:p>
            <w:pPr>
              <w:spacing w:after="20"/>
              <w:jc w:val="right"/>
            </w:pPr>
            <w:r>
              <w:rPr>
                <w:color w:val="1C3A36"/>
                <w:sz w:val="16"/>
              </w:rPr>
              <w:t>10 Jul 2026</w:t>
            </w:r>
          </w:p>
        </w:tc>
        <w:tc>
          <w:tcPr>
            <w:tcW w:type="dxa" w:w="3398"/>
          </w:tcPr>
          <w:p>
            <w:pPr>
              <w:spacing w:after="20"/>
            </w:pPr>
            <w:r>
              <w:rPr>
                <w:color w:val="1C3A36"/>
                <w:sz w:val="16"/>
              </w:rPr>
            </w:r>
          </w:p>
        </w:tc>
      </w:tr>
      <w:tr>
        <w:tc>
          <w:tcPr>
            <w:tcW w:type="dxa" w:w="3197"/>
          </w:tcPr>
          <w:p>
            <w:pPr>
              <w:spacing w:after="20"/>
            </w:pPr>
            <w:r>
              <w:rPr>
                <w:b/>
                <w:color w:val="1C3A36"/>
                <w:sz w:val="16"/>
              </w:rPr>
              <w:t>SALIK at spot — on FY2025 actual</w:t>
            </w:r>
          </w:p>
        </w:tc>
        <w:tc>
          <w:tcPr>
            <w:tcW w:type="dxa" w:w="1123"/>
          </w:tcPr>
          <w:p>
            <w:pPr>
              <w:spacing w:after="20"/>
              <w:jc w:val="right"/>
            </w:pPr>
            <w:r>
              <w:rPr>
                <w:color w:val="1C3A36"/>
                <w:sz w:val="16"/>
              </w:rPr>
              <w:t>27.5×</w:t>
            </w:r>
          </w:p>
        </w:tc>
        <w:tc>
          <w:tcPr>
            <w:tcW w:type="dxa" w:w="1152"/>
          </w:tcPr>
          <w:p>
            <w:pPr>
              <w:spacing w:after="20"/>
              <w:jc w:val="right"/>
            </w:pPr>
            <w:r>
              <w:rPr>
                <w:color w:val="1C3A36"/>
                <w:sz w:val="16"/>
              </w:rPr>
              <w:t>3.9%</w:t>
            </w:r>
          </w:p>
        </w:tc>
        <w:tc>
          <w:tcPr>
            <w:tcW w:type="dxa" w:w="1354"/>
          </w:tcPr>
          <w:p>
            <w:pPr>
              <w:spacing w:after="20"/>
              <w:jc w:val="right"/>
            </w:pPr>
            <w:r>
              <w:rPr>
                <w:color w:val="1C3A36"/>
                <w:sz w:val="16"/>
              </w:rPr>
              <w:t>10 Jul 2026</w:t>
            </w:r>
          </w:p>
        </w:tc>
        <w:tc>
          <w:tcPr>
            <w:tcW w:type="dxa" w:w="3398"/>
          </w:tcPr>
          <w:p>
            <w:pPr>
              <w:spacing w:after="20"/>
            </w:pPr>
            <w:r>
              <w:rPr>
                <w:color w:val="1C3A36"/>
                <w:sz w:val="16"/>
              </w:rPr>
              <w:t>On a year that was 88% one-offs (§1.3).</w:t>
            </w:r>
          </w:p>
        </w:tc>
      </w:tr>
      <w:tr>
        <w:tc>
          <w:tcPr>
            <w:tcW w:type="dxa" w:w="3197"/>
          </w:tcPr>
          <w:p>
            <w:pPr>
              <w:spacing w:after="20"/>
            </w:pPr>
            <w:r>
              <w:rPr>
                <w:b/>
                <w:color w:val="1C3A36"/>
                <w:sz w:val="16"/>
              </w:rPr>
              <w:t>Global toll roads (Transurban / Atlas Arteria / Getlink)</w:t>
            </w:r>
          </w:p>
        </w:tc>
        <w:tc>
          <w:tcPr>
            <w:tcW w:type="dxa" w:w="1123"/>
          </w:tcPr>
          <w:p>
            <w:pPr>
              <w:spacing w:after="20"/>
              <w:jc w:val="right"/>
            </w:pPr>
            <w:r>
              <w:rPr>
                <w:color w:val="1C3A36"/>
                <w:sz w:val="16"/>
              </w:rPr>
              <w:t>18–24×</w:t>
            </w:r>
          </w:p>
        </w:tc>
        <w:tc>
          <w:tcPr>
            <w:tcW w:type="dxa" w:w="1152"/>
          </w:tcPr>
          <w:p>
            <w:pPr>
              <w:spacing w:after="20"/>
              <w:jc w:val="right"/>
            </w:pPr>
            <w:r>
              <w:rPr>
                <w:color w:val="1C3A36"/>
                <w:sz w:val="16"/>
              </w:rPr>
              <w:t>4–6%</w:t>
            </w:r>
          </w:p>
        </w:tc>
        <w:tc>
          <w:tcPr>
            <w:tcW w:type="dxa" w:w="1354"/>
          </w:tcPr>
          <w:p>
            <w:pPr>
              <w:spacing w:after="20"/>
              <w:jc w:val="right"/>
            </w:pPr>
            <w:r>
              <w:rPr>
                <w:color w:val="1C3A36"/>
                <w:sz w:val="16"/>
              </w:rPr>
              <w:t>indicative</w:t>
            </w:r>
          </w:p>
        </w:tc>
        <w:tc>
          <w:tcPr>
            <w:tcW w:type="dxa" w:w="3398"/>
          </w:tcPr>
          <w:p>
            <w:pPr>
              <w:spacing w:after="20"/>
            </w:pPr>
            <w:r>
              <w:rPr>
                <w:color w:val="1C3A36"/>
                <w:sz w:val="16"/>
              </w:rPr>
              <w:t>Useful for the BETA question. Close to useless for the MULTIPLE question — they all carry maintenance capex that Salik does not.</w:t>
            </w:r>
          </w:p>
        </w:tc>
      </w:tr>
      <w:tr>
        <w:tc>
          <w:tcPr>
            <w:tcW w:type="dxa" w:w="3197"/>
          </w:tcPr>
          <w:p>
            <w:pPr>
              <w:spacing w:after="20"/>
            </w:pPr>
            <w:r>
              <w:rPr>
                <w:b/>
                <w:color w:val="1C3A36"/>
                <w:sz w:val="16"/>
              </w:rPr>
              <w:t>Dubai utilities (DEWA, Empower)</w:t>
            </w:r>
          </w:p>
        </w:tc>
        <w:tc>
          <w:tcPr>
            <w:tcW w:type="dxa" w:w="1123"/>
          </w:tcPr>
          <w:p>
            <w:pPr>
              <w:spacing w:after="20"/>
              <w:jc w:val="right"/>
            </w:pPr>
            <w:r>
              <w:rPr>
                <w:color w:val="1C3A36"/>
                <w:sz w:val="16"/>
              </w:rPr>
              <w:t>15–19×</w:t>
            </w:r>
          </w:p>
        </w:tc>
        <w:tc>
          <w:tcPr>
            <w:tcW w:type="dxa" w:w="1152"/>
          </w:tcPr>
          <w:p>
            <w:pPr>
              <w:spacing w:after="20"/>
              <w:jc w:val="right"/>
            </w:pPr>
            <w:r>
              <w:rPr>
                <w:color w:val="1C3A36"/>
                <w:sz w:val="16"/>
              </w:rPr>
              <w:t>5–6.5%</w:t>
            </w:r>
          </w:p>
        </w:tc>
        <w:tc>
          <w:tcPr>
            <w:tcW w:type="dxa" w:w="1354"/>
          </w:tcPr>
          <w:p>
            <w:pPr>
              <w:spacing w:after="20"/>
              <w:jc w:val="right"/>
            </w:pPr>
            <w:r>
              <w:rPr>
                <w:color w:val="1C3A36"/>
                <w:sz w:val="16"/>
              </w:rPr>
              <w:t>indicative</w:t>
            </w:r>
          </w:p>
        </w:tc>
        <w:tc>
          <w:tcPr>
            <w:tcW w:type="dxa" w:w="3398"/>
          </w:tcPr>
          <w:p>
            <w:pPr>
              <w:spacing w:after="20"/>
            </w:pPr>
            <w:r>
              <w:rPr>
                <w:color w:val="1C3A36"/>
                <w:sz w:val="16"/>
              </w:rPr>
            </w:r>
          </w:p>
        </w:tc>
      </w:tr>
    </w:tbl>
    <w:p>
      <w:pPr>
        <w:spacing w:after="40"/>
      </w:pPr>
    </w:p>
    <w:p>
      <w:pPr>
        <w:spacing w:after="80" w:before="180"/>
      </w:pPr>
      <w:r>
        <w:rPr>
          <w:b/>
          <w:i w:val="0"/>
          <w:color w:val="1C3A36"/>
          <w:sz w:val="23"/>
        </w:rPr>
        <w:t>B.2 Risk register — and WHERE each risk is priced</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408"/>
        <w:gridCol w:w="3408"/>
        <w:gridCol w:w="3408"/>
      </w:tblGrid>
      <w:tr>
        <w:tc>
          <w:tcPr>
            <w:tcW w:type="dxa" w:w="3024"/>
            <w:shd w:val="clear" w:color="auto" w:fill="EAF0EE"/>
          </w:tcPr>
          <w:p>
            <w:pPr>
              <w:spacing w:after="20"/>
            </w:pPr>
            <w:r>
              <w:rPr>
                <w:b/>
                <w:color w:val="1C3A36"/>
                <w:sz w:val="16"/>
              </w:rPr>
              <w:t>Risk</w:t>
            </w:r>
          </w:p>
        </w:tc>
        <w:tc>
          <w:tcPr>
            <w:tcW w:type="dxa" w:w="1728"/>
            <w:shd w:val="clear" w:color="auto" w:fill="EAF0EE"/>
          </w:tcPr>
          <w:p>
            <w:pPr>
              <w:spacing w:after="20"/>
            </w:pPr>
            <w:r>
              <w:rPr>
                <w:b/>
                <w:color w:val="1C3A36"/>
                <w:sz w:val="16"/>
              </w:rPr>
              <w:t>Direction</w:t>
            </w:r>
          </w:p>
        </w:tc>
        <w:tc>
          <w:tcPr>
            <w:tcW w:type="dxa" w:w="5472"/>
            <w:shd w:val="clear" w:color="auto" w:fill="EAF0EE"/>
          </w:tcPr>
          <w:p>
            <w:pPr>
              <w:spacing w:after="20"/>
            </w:pPr>
            <w:r>
              <w:rPr>
                <w:b/>
                <w:color w:val="1C3A36"/>
                <w:sz w:val="16"/>
              </w:rPr>
              <w:t>Where it is priced in this study</w:t>
            </w:r>
          </w:p>
        </w:tc>
      </w:tr>
      <w:tr>
        <w:tc>
          <w:tcPr>
            <w:tcW w:type="dxa" w:w="3024"/>
          </w:tcPr>
          <w:p>
            <w:pPr>
              <w:spacing w:after="20"/>
            </w:pPr>
            <w:r>
              <w:rPr>
                <w:color w:val="1C3A36"/>
                <w:sz w:val="16"/>
              </w:rPr>
              <w:t>Dubai population contracts (net resident departure)</w:t>
            </w:r>
          </w:p>
        </w:tc>
        <w:tc>
          <w:tcPr>
            <w:tcW w:type="dxa" w:w="1728"/>
          </w:tcPr>
          <w:p>
            <w:pPr>
              <w:spacing w:after="20"/>
            </w:pPr>
            <w:r>
              <w:rPr>
                <w:color w:val="1C3A36"/>
                <w:sz w:val="16"/>
              </w:rPr>
              <w:t>structural — volume</w:t>
            </w:r>
          </w:p>
        </w:tc>
        <w:tc>
          <w:tcPr>
            <w:tcW w:type="dxa" w:w="5472"/>
          </w:tcPr>
          <w:p>
            <w:pPr>
              <w:spacing w:after="20"/>
            </w:pPr>
            <w:r>
              <w:rPr>
                <w:color w:val="1C3A36"/>
                <w:sz w:val="16"/>
              </w:rPr>
              <w:t>NOT in the base case, deliberately. Priced ONLY by Expert 3 at a 15% state weight (AED 1.95). It is the largest un-modelled risk in this study and we say so.</w:t>
            </w:r>
          </w:p>
        </w:tc>
      </w:tr>
      <w:tr>
        <w:tc>
          <w:tcPr>
            <w:tcW w:type="dxa" w:w="3024"/>
          </w:tcPr>
          <w:p>
            <w:pPr>
              <w:spacing w:after="20"/>
            </w:pPr>
            <w:r>
              <w:rPr>
                <w:color w:val="1C3A36"/>
                <w:sz w:val="16"/>
              </w:rPr>
              <w:t>Hormuz re-escalation</w:t>
            </w:r>
          </w:p>
        </w:tc>
        <w:tc>
          <w:tcPr>
            <w:tcW w:type="dxa" w:w="1728"/>
          </w:tcPr>
          <w:p>
            <w:pPr>
              <w:spacing w:after="20"/>
            </w:pPr>
            <w:r>
              <w:rPr>
                <w:color w:val="1C3A36"/>
                <w:sz w:val="16"/>
              </w:rPr>
              <w:t>macro tail</w:t>
            </w:r>
          </w:p>
        </w:tc>
        <w:tc>
          <w:tcPr>
            <w:tcW w:type="dxa" w:w="5472"/>
          </w:tcPr>
          <w:p>
            <w:pPr>
              <w:spacing w:after="20"/>
            </w:pPr>
            <w:r>
              <w:rPr>
                <w:color w:val="1C3A36"/>
                <w:sz w:val="16"/>
              </w:rPr>
              <w:t>Discrete event #6, 30% / −4.0%. Widens the whole §3 cone. Sits INSIDE the T+60 window.</w:t>
            </w:r>
          </w:p>
        </w:tc>
      </w:tr>
      <w:tr>
        <w:tc>
          <w:tcPr>
            <w:tcW w:type="dxa" w:w="3024"/>
          </w:tcPr>
          <w:p>
            <w:pPr>
              <w:spacing w:after="20"/>
            </w:pPr>
            <w:r>
              <w:rPr>
                <w:color w:val="1C3A36"/>
                <w:sz w:val="16"/>
              </w:rPr>
              <w:t>The RTA sells Salik more gates at ~10.6% ROIC</w:t>
            </w:r>
          </w:p>
        </w:tc>
        <w:tc>
          <w:tcPr>
            <w:tcW w:type="dxa" w:w="1728"/>
          </w:tcPr>
          <w:p>
            <w:pPr>
              <w:spacing w:after="20"/>
            </w:pPr>
            <w:r>
              <w:rPr>
                <w:color w:val="1C3A36"/>
                <w:sz w:val="16"/>
              </w:rPr>
              <w:t>capital allocation</w:t>
            </w:r>
          </w:p>
        </w:tc>
        <w:tc>
          <w:tcPr>
            <w:tcW w:type="dxa" w:w="5472"/>
          </w:tcPr>
          <w:p>
            <w:pPr>
              <w:spacing w:after="20"/>
            </w:pPr>
            <w:r>
              <w:rPr>
                <w:color w:val="1C3A36"/>
                <w:sz w:val="16"/>
              </w:rPr>
              <w:t>Discrete event #9, priced NEGATIVE. Quantified in §1.2. NOT in the DCF — our forecast gives Salik credit only for the FREE growth engine.</w:t>
            </w:r>
          </w:p>
        </w:tc>
      </w:tr>
      <w:tr>
        <w:tc>
          <w:tcPr>
            <w:tcW w:type="dxa" w:w="3024"/>
          </w:tcPr>
          <w:p>
            <w:pPr>
              <w:spacing w:after="20"/>
            </w:pPr>
            <w:r>
              <w:rPr>
                <w:color w:val="1C3A36"/>
                <w:sz w:val="16"/>
              </w:rPr>
              <w:t>The RTA widens the free 01:00–06:00 window</w:t>
            </w:r>
          </w:p>
        </w:tc>
        <w:tc>
          <w:tcPr>
            <w:tcW w:type="dxa" w:w="1728"/>
          </w:tcPr>
          <w:p>
            <w:pPr>
              <w:spacing w:after="20"/>
            </w:pPr>
            <w:r>
              <w:rPr>
                <w:color w:val="1C3A36"/>
                <w:sz w:val="16"/>
              </w:rPr>
              <w:t>regulatory — revenue</w:t>
            </w:r>
          </w:p>
        </w:tc>
        <w:tc>
          <w:tcPr>
            <w:tcW w:type="dxa" w:w="5472"/>
          </w:tcPr>
          <w:p>
            <w:pPr>
              <w:spacing w:after="20"/>
            </w:pPr>
            <w:r>
              <w:rPr>
                <w:color w:val="1C3A36"/>
                <w:sz w:val="16"/>
              </w:rPr>
              <w:t>Not modelled. It already gives away 11.1% of chargeable trips and costs the RTA nothing to widen. The toll-escalation driver is held at 1.5% partly for this reason.</w:t>
            </w:r>
          </w:p>
        </w:tc>
      </w:tr>
      <w:tr>
        <w:tc>
          <w:tcPr>
            <w:tcW w:type="dxa" w:w="3024"/>
          </w:tcPr>
          <w:p>
            <w:pPr>
              <w:spacing w:after="20"/>
            </w:pPr>
            <w:r>
              <w:rPr>
                <w:color w:val="1C3A36"/>
                <w:sz w:val="16"/>
              </w:rPr>
              <w:t>Metro Blue Line (2029) substitutes tolled trips</w:t>
            </w:r>
          </w:p>
        </w:tc>
        <w:tc>
          <w:tcPr>
            <w:tcW w:type="dxa" w:w="1728"/>
          </w:tcPr>
          <w:p>
            <w:pPr>
              <w:spacing w:after="20"/>
            </w:pPr>
            <w:r>
              <w:rPr>
                <w:color w:val="1C3A36"/>
                <w:sz w:val="16"/>
              </w:rPr>
              <w:t>structural — volume</w:t>
            </w:r>
          </w:p>
        </w:tc>
        <w:tc>
          <w:tcPr>
            <w:tcW w:type="dxa" w:w="5472"/>
          </w:tcPr>
          <w:p>
            <w:pPr>
              <w:spacing w:after="20"/>
            </w:pPr>
            <w:r>
              <w:rPr>
                <w:color w:val="1C3A36"/>
                <w:sz w:val="16"/>
              </w:rPr>
              <w:t>Terminal g capped at 2.5%; trend trip growth decayed 4.5% → 3.0%. §1.9.</w:t>
            </w:r>
          </w:p>
        </w:tc>
      </w:tr>
      <w:tr>
        <w:tc>
          <w:tcPr>
            <w:tcW w:type="dxa" w:w="3024"/>
          </w:tcPr>
          <w:p>
            <w:pPr>
              <w:spacing w:after="20"/>
            </w:pPr>
            <w:r>
              <w:rPr>
                <w:color w:val="1C3A36"/>
                <w:sz w:val="16"/>
              </w:rPr>
              <w:t>A tariff rise is REFUSED</w:t>
            </w:r>
          </w:p>
        </w:tc>
        <w:tc>
          <w:tcPr>
            <w:tcW w:type="dxa" w:w="1728"/>
          </w:tcPr>
          <w:p>
            <w:pPr>
              <w:spacing w:after="20"/>
            </w:pPr>
            <w:r>
              <w:rPr>
                <w:color w:val="1C3A36"/>
                <w:sz w:val="16"/>
              </w:rPr>
              <w:t>regulatory — price</w:t>
            </w:r>
          </w:p>
        </w:tc>
        <w:tc>
          <w:tcPr>
            <w:tcW w:type="dxa" w:w="5472"/>
          </w:tcPr>
          <w:p>
            <w:pPr>
              <w:spacing w:after="20"/>
            </w:pPr>
            <w:r>
              <w:rPr>
                <w:color w:val="1C3A36"/>
                <w:sz w:val="16"/>
              </w:rPr>
              <w:t>This is a POSITIVE risk. The concession fee is cut instead, to a 15% floor = 9.2% of EBITDA. §1.9.</w:t>
            </w:r>
          </w:p>
        </w:tc>
      </w:tr>
      <w:tr>
        <w:tc>
          <w:tcPr>
            <w:tcW w:type="dxa" w:w="3024"/>
          </w:tcPr>
          <w:p>
            <w:pPr>
              <w:spacing w:after="20"/>
            </w:pPr>
            <w:r>
              <w:rPr>
                <w:color w:val="1C3A36"/>
                <w:sz w:val="16"/>
              </w:rPr>
              <w:t>The 100% payout policy changes</w:t>
            </w:r>
          </w:p>
        </w:tc>
        <w:tc>
          <w:tcPr>
            <w:tcW w:type="dxa" w:w="1728"/>
          </w:tcPr>
          <w:p>
            <w:pPr>
              <w:spacing w:after="20"/>
            </w:pPr>
            <w:r>
              <w:rPr>
                <w:color w:val="1C3A36"/>
                <w:sz w:val="16"/>
              </w:rPr>
              <w:t>capital returns</w:t>
            </w:r>
          </w:p>
        </w:tc>
        <w:tc>
          <w:tcPr>
            <w:tcW w:type="dxa" w:w="5472"/>
          </w:tcPr>
          <w:p>
            <w:pPr>
              <w:spacing w:after="20"/>
            </w:pPr>
            <w:r>
              <w:rPr>
                <w:color w:val="1C3A36"/>
                <w:sz w:val="16"/>
              </w:rPr>
              <w:t>Discrete event #5, 7% / −6.0%. Would invalidate the DDM and the relative lens SIMULTANEOUSLY, because with a 100% payout they are the same multiple.</w:t>
            </w:r>
          </w:p>
        </w:tc>
      </w:tr>
      <w:tr>
        <w:tc>
          <w:tcPr>
            <w:tcW w:type="dxa" w:w="3024"/>
          </w:tcPr>
          <w:p>
            <w:pPr>
              <w:spacing w:after="20"/>
            </w:pPr>
            <w:r>
              <w:rPr>
                <w:color w:val="1C3A36"/>
                <w:sz w:val="16"/>
              </w:rPr>
              <w:t>Beta is at the LOW end of its measured CI</w:t>
            </w:r>
          </w:p>
        </w:tc>
        <w:tc>
          <w:tcPr>
            <w:tcW w:type="dxa" w:w="1728"/>
          </w:tcPr>
          <w:p>
            <w:pPr>
              <w:spacing w:after="20"/>
            </w:pPr>
            <w:r>
              <w:rPr>
                <w:color w:val="1C3A36"/>
                <w:sz w:val="16"/>
              </w:rPr>
              <w:t>valuation</w:t>
            </w:r>
          </w:p>
        </w:tc>
        <w:tc>
          <w:tcPr>
            <w:tcW w:type="dxa" w:w="5472"/>
          </w:tcPr>
          <w:p>
            <w:pPr>
              <w:spacing w:after="20"/>
            </w:pPr>
            <w:r>
              <w:rPr>
                <w:color w:val="1C3A36"/>
                <w:sz w:val="16"/>
              </w:rPr>
              <w:t>The beta ladder in §1.8 and the β×g grid in §1.9. At β = 0.43 (the CI floor), fair value EXCEEDS spot. This is the honest bull case and we have drawn it.</w:t>
            </w:r>
          </w:p>
        </w:tc>
      </w:tr>
      <w:tr>
        <w:tc>
          <w:tcPr>
            <w:tcW w:type="dxa" w:w="3024"/>
          </w:tcPr>
          <w:p>
            <w:pPr>
              <w:spacing w:after="20"/>
            </w:pPr>
            <w:r>
              <w:rPr>
                <w:color w:val="1C3A36"/>
                <w:sz w:val="16"/>
              </w:rPr>
              <w:t>Related-party concentration</w:t>
            </w:r>
          </w:p>
        </w:tc>
        <w:tc>
          <w:tcPr>
            <w:tcW w:type="dxa" w:w="1728"/>
          </w:tcPr>
          <w:p>
            <w:pPr>
              <w:spacing w:after="20"/>
            </w:pPr>
            <w:r>
              <w:rPr>
                <w:color w:val="1C3A36"/>
                <w:sz w:val="16"/>
              </w:rPr>
              <w:t>governance</w:t>
            </w:r>
          </w:p>
        </w:tc>
        <w:tc>
          <w:tcPr>
            <w:tcW w:type="dxa" w:w="5472"/>
          </w:tcPr>
          <w:p>
            <w:pPr>
              <w:spacing w:after="20"/>
            </w:pPr>
            <w:r>
              <w:rPr>
                <w:color w:val="1C3A36"/>
                <w:sz w:val="16"/>
              </w:rPr>
              <w:t>Not discountable with any number we would defend. Declared in §7. The RTA is grantor, regulator, vendor, largest counterparty AND 75.1% shareholder — and Salik's Chairman is its Director-General.</w:t>
            </w:r>
          </w:p>
        </w:tc>
      </w:tr>
    </w:tbl>
    <w:p>
      <w:pPr>
        <w:spacing w:after="40"/>
      </w:pPr>
    </w:p>
    <w:p>
      <w:pPr>
        <w:spacing w:after="120" w:before="0"/>
      </w:pPr>
      <w:r>
        <w:rPr>
          <w:b w:val="0"/>
          <w:i/>
          <w:color w:val="6E7B77"/>
          <w:sz w:val="16"/>
        </w:rPr>
        <w:t>The last column is the point of the table. A risk that cannot be traced to a specific line in the model is not a risk we have priced — it is a risk we have mentioned. Two rows say NOT MODELLED and we would rather say that than pretend.</w:t>
      </w:r>
    </w:p>
    <w:p>
      <w:pPr>
        <w:spacing w:after="80" w:before="180"/>
      </w:pPr>
      <w:r>
        <w:rPr>
          <w:b/>
          <w:i w:val="0"/>
          <w:color w:val="1C3A36"/>
          <w:sz w:val="23"/>
        </w:rPr>
        <w:t>B.3 The research register</w:t>
      </w:r>
    </w:p>
    <w:p>
      <w:pPr>
        <w:spacing w:after="120" w:before="0"/>
      </w:pPr>
      <w:r>
        <w:rPr>
          <w:b w:val="0"/>
          <w:i w:val="0"/>
          <w:color w:val="1C3A36"/>
          <w:sz w:val="17"/>
        </w:rPr>
        <w:t>Four mandatory rings — Global, Country, Industry, Company — run BEFORE any forecast driver was set, and validated programmatically against a completeness check that requires every mandatory category in every ring to be CLOSED with either a finding or a DATED NEGATIVE SEARCH. Classification: B (base-case driver) · S (scenario) · D (data input) · C (caveat) · NEG (searched, found nothing — recorded as evidence of absence).</w:t>
      </w:r>
    </w:p>
    <w:p>
      <w:pPr>
        <w:spacing w:after="120" w:before="0"/>
      </w:pPr>
      <w:r>
        <w:rPr>
          <w:b/>
          <w:i w:val="0"/>
          <w:color w:val="1C3A36"/>
          <w:sz w:val="17"/>
        </w:rPr>
        <w:t>Register verdict: PASS — 4/4 rings, 21 findings, 13 driver-gate rows (9 bottom-up / 4 top-down), 0 errors, 0 warnings.</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45"/>
        <w:gridCol w:w="2045"/>
        <w:gridCol w:w="2045"/>
        <w:gridCol w:w="2045"/>
        <w:gridCol w:w="2045"/>
      </w:tblGrid>
      <w:tr>
        <w:tc>
          <w:tcPr>
            <w:tcW w:type="dxa" w:w="1066"/>
            <w:shd w:val="clear" w:color="auto" w:fill="EAF0EE"/>
          </w:tcPr>
          <w:p>
            <w:pPr>
              <w:spacing w:after="20"/>
            </w:pPr>
            <w:r>
              <w:rPr>
                <w:b/>
                <w:color w:val="1C3A36"/>
                <w:sz w:val="14"/>
              </w:rPr>
              <w:t>Ring</w:t>
            </w:r>
          </w:p>
        </w:tc>
        <w:tc>
          <w:tcPr>
            <w:tcW w:type="dxa" w:w="1728"/>
            <w:shd w:val="clear" w:color="auto" w:fill="EAF0EE"/>
          </w:tcPr>
          <w:p>
            <w:pPr>
              <w:spacing w:after="20"/>
            </w:pPr>
            <w:r>
              <w:rPr>
                <w:b/>
                <w:color w:val="1C3A36"/>
                <w:sz w:val="14"/>
              </w:rPr>
              <w:t>Category</w:t>
            </w:r>
          </w:p>
        </w:tc>
        <w:tc>
          <w:tcPr>
            <w:tcW w:type="dxa" w:w="403"/>
            <w:shd w:val="clear" w:color="auto" w:fill="EAF0EE"/>
          </w:tcPr>
          <w:p>
            <w:pPr>
              <w:spacing w:after="20"/>
            </w:pPr>
            <w:r>
              <w:rPr>
                <w:b/>
                <w:color w:val="1C3A36"/>
                <w:sz w:val="14"/>
              </w:rPr>
              <w:t>Cls</w:t>
            </w:r>
          </w:p>
        </w:tc>
        <w:tc>
          <w:tcPr>
            <w:tcW w:type="dxa" w:w="3398"/>
            <w:shd w:val="clear" w:color="auto" w:fill="EAF0EE"/>
          </w:tcPr>
          <w:p>
            <w:pPr>
              <w:spacing w:after="20"/>
            </w:pPr>
            <w:r>
              <w:rPr>
                <w:b/>
                <w:color w:val="1C3A36"/>
                <w:sz w:val="14"/>
              </w:rPr>
              <w:t>Finding</w:t>
            </w:r>
          </w:p>
        </w:tc>
        <w:tc>
          <w:tcPr>
            <w:tcW w:type="dxa" w:w="3629"/>
            <w:shd w:val="clear" w:color="auto" w:fill="EAF0EE"/>
          </w:tcPr>
          <w:p>
            <w:pPr>
              <w:spacing w:after="20"/>
            </w:pPr>
            <w:r>
              <w:rPr>
                <w:b/>
                <w:color w:val="1C3A36"/>
                <w:sz w:val="14"/>
              </w:rPr>
              <w:t>Effect on a driver</w:t>
            </w:r>
          </w:p>
        </w:tc>
      </w:tr>
      <w:tr>
        <w:tc>
          <w:tcPr>
            <w:tcW w:type="dxa" w:w="1066"/>
          </w:tcPr>
          <w:p>
            <w:pPr>
              <w:spacing w:after="20"/>
            </w:pPr>
            <w:r>
              <w:rPr>
                <w:color w:val="1C3A36"/>
                <w:sz w:val="14"/>
              </w:rPr>
              <w:t>GLOBAL</w:t>
            </w:r>
          </w:p>
        </w:tc>
        <w:tc>
          <w:tcPr>
            <w:tcW w:type="dxa" w:w="1728"/>
          </w:tcPr>
          <w:p>
            <w:pPr>
              <w:spacing w:after="20"/>
            </w:pPr>
            <w:r>
              <w:rPr>
                <w:color w:val="1C3A36"/>
                <w:sz w:val="14"/>
              </w:rPr>
              <w:t>rate cycle &amp; FX regime</w:t>
            </w:r>
          </w:p>
        </w:tc>
        <w:tc>
          <w:tcPr>
            <w:tcW w:type="dxa" w:w="403"/>
          </w:tcPr>
          <w:p>
            <w:pPr>
              <w:spacing w:after="20"/>
            </w:pPr>
            <w:r>
              <w:rPr>
                <w:color w:val="1C3A36"/>
                <w:sz w:val="14"/>
              </w:rPr>
              <w:t>D</w:t>
            </w:r>
          </w:p>
        </w:tc>
        <w:tc>
          <w:tcPr>
            <w:tcW w:type="dxa" w:w="3398"/>
          </w:tcPr>
          <w:p>
            <w:pPr>
              <w:spacing w:after="20"/>
            </w:pPr>
            <w:r>
              <w:rPr>
                <w:color w:val="1C3A36"/>
                <w:sz w:val="14"/>
              </w:rPr>
              <w:t>UST 10Y 4.56%; CBUAE base 3.65%; AED pegged at 3.6725. Market prices at least one Fed HIKE.</w:t>
            </w:r>
          </w:p>
        </w:tc>
        <w:tc>
          <w:tcPr>
            <w:tcW w:type="dxa" w:w="3629"/>
          </w:tcPr>
          <w:p>
            <w:pPr>
              <w:spacing w:after="20"/>
            </w:pPr>
            <w:r>
              <w:rPr>
                <w:color w:val="1C3A36"/>
                <w:sz w:val="14"/>
              </w:rPr>
              <w:t>Anchors rf (4.70%) and the MC carry. A hiking cycle RAISES our WACC.</w:t>
            </w:r>
          </w:p>
        </w:tc>
      </w:tr>
      <w:tr>
        <w:tc>
          <w:tcPr>
            <w:tcW w:type="dxa" w:w="1066"/>
          </w:tcPr>
          <w:p>
            <w:pPr>
              <w:spacing w:after="20"/>
            </w:pPr>
            <w:r>
              <w:rPr>
                <w:color w:val="1C3A36"/>
                <w:sz w:val="14"/>
              </w:rPr>
              <w:t>GLOBAL</w:t>
            </w:r>
          </w:p>
        </w:tc>
        <w:tc>
          <w:tcPr>
            <w:tcW w:type="dxa" w:w="1728"/>
          </w:tcPr>
          <w:p>
            <w:pPr>
              <w:spacing w:after="20"/>
            </w:pPr>
            <w:r>
              <w:rPr>
                <w:color w:val="1C3A36"/>
                <w:sz w:val="14"/>
              </w:rPr>
              <w:t>commodity complex</w:t>
            </w:r>
          </w:p>
        </w:tc>
        <w:tc>
          <w:tcPr>
            <w:tcW w:type="dxa" w:w="403"/>
          </w:tcPr>
          <w:p>
            <w:pPr>
              <w:spacing w:after="20"/>
            </w:pPr>
            <w:r>
              <w:rPr>
                <w:color w:val="1C3A36"/>
                <w:sz w:val="14"/>
              </w:rPr>
              <w:t>C</w:t>
            </w:r>
          </w:p>
        </w:tc>
        <w:tc>
          <w:tcPr>
            <w:tcW w:type="dxa" w:w="3398"/>
          </w:tcPr>
          <w:p>
            <w:pPr>
              <w:spacing w:after="20"/>
            </w:pPr>
            <w:r>
              <w:rPr>
                <w:color w:val="1C3A36"/>
                <w:sz w:val="14"/>
              </w:rPr>
              <w:t>Brent ~US$91. The IEA calls the Hormuz closure the largest supply disruption in oil-market history.</w:t>
            </w:r>
          </w:p>
        </w:tc>
        <w:tc>
          <w:tcPr>
            <w:tcW w:type="dxa" w:w="3629"/>
          </w:tcPr>
          <w:p>
            <w:pPr>
              <w:spacing w:after="20"/>
            </w:pPr>
            <w:r>
              <w:rPr>
                <w:color w:val="1C3A36"/>
                <w:sz w:val="14"/>
              </w:rPr>
              <w:t>Two-sided: funds Dubai’s support package, but raises the cost of a discretionary trip.</w:t>
            </w:r>
          </w:p>
        </w:tc>
      </w:tr>
      <w:tr>
        <w:tc>
          <w:tcPr>
            <w:tcW w:type="dxa" w:w="1066"/>
          </w:tcPr>
          <w:p>
            <w:pPr>
              <w:spacing w:after="20"/>
            </w:pPr>
            <w:r>
              <w:rPr>
                <w:color w:val="1C3A36"/>
                <w:sz w:val="14"/>
              </w:rPr>
              <w:t>GLOBAL</w:t>
            </w:r>
          </w:p>
        </w:tc>
        <w:tc>
          <w:tcPr>
            <w:tcW w:type="dxa" w:w="1728"/>
          </w:tcPr>
          <w:p>
            <w:pPr>
              <w:spacing w:after="20"/>
            </w:pPr>
            <w:r>
              <w:rPr>
                <w:color w:val="1C3A36"/>
                <w:sz w:val="14"/>
              </w:rPr>
              <w:t>trade / sanctions / supply chains</w:t>
            </w:r>
          </w:p>
        </w:tc>
        <w:tc>
          <w:tcPr>
            <w:tcW w:type="dxa" w:w="403"/>
          </w:tcPr>
          <w:p>
            <w:pPr>
              <w:spacing w:after="20"/>
            </w:pPr>
            <w:r>
              <w:rPr>
                <w:color w:val="1C3A36"/>
                <w:sz w:val="14"/>
              </w:rPr>
              <w:t>B</w:t>
            </w:r>
          </w:p>
        </w:tc>
        <w:tc>
          <w:tcPr>
            <w:tcW w:type="dxa" w:w="3398"/>
          </w:tcPr>
          <w:p>
            <w:pPr>
              <w:spacing w:after="20"/>
            </w:pPr>
            <w:r>
              <w:rPr>
                <w:color w:val="1C3A36"/>
                <w:sz w:val="14"/>
              </w:rPr>
              <w:t>US–Israel–Iran war from 28 Feb 2026; Hormuz transits fell 138/day → under 10. Truce called "over" 7 Jul, walked back 8 Jul.</w:t>
            </w:r>
          </w:p>
        </w:tc>
        <w:tc>
          <w:tcPr>
            <w:tcW w:type="dxa" w:w="3629"/>
          </w:tcPr>
          <w:p>
            <w:pPr>
              <w:spacing w:after="20"/>
            </w:pPr>
            <w:r>
              <w:rPr>
                <w:color w:val="1C3A36"/>
                <w:sz w:val="14"/>
              </w:rPr>
              <w:t>Root cause of the Q1-26 traffic fall AND of the doubled beta. Sets the FY26 trip path.</w:t>
            </w:r>
          </w:p>
        </w:tc>
      </w:tr>
      <w:tr>
        <w:tc>
          <w:tcPr>
            <w:tcW w:type="dxa" w:w="1066"/>
          </w:tcPr>
          <w:p>
            <w:pPr>
              <w:spacing w:after="20"/>
            </w:pPr>
            <w:r>
              <w:rPr>
                <w:color w:val="1C3A36"/>
                <w:sz w:val="14"/>
              </w:rPr>
              <w:t>GLOBAL</w:t>
            </w:r>
          </w:p>
        </w:tc>
        <w:tc>
          <w:tcPr>
            <w:tcW w:type="dxa" w:w="1728"/>
          </w:tcPr>
          <w:p>
            <w:pPr>
              <w:spacing w:after="20"/>
            </w:pPr>
            <w:r>
              <w:rPr>
                <w:color w:val="1C3A36"/>
                <w:sz w:val="14"/>
              </w:rPr>
              <w:t>global sector demand</w:t>
            </w:r>
          </w:p>
        </w:tc>
        <w:tc>
          <w:tcPr>
            <w:tcW w:type="dxa" w:w="403"/>
          </w:tcPr>
          <w:p>
            <w:pPr>
              <w:spacing w:after="20"/>
            </w:pPr>
            <w:r>
              <w:rPr>
                <w:color w:val="1C3A36"/>
                <w:sz w:val="14"/>
              </w:rPr>
              <w:t>S</w:t>
            </w:r>
          </w:p>
        </w:tc>
        <w:tc>
          <w:tcPr>
            <w:tcW w:type="dxa" w:w="3398"/>
          </w:tcPr>
          <w:p>
            <w:pPr>
              <w:spacing w:after="20"/>
            </w:pPr>
            <w:r>
              <w:rPr>
                <w:color w:val="1C3A36"/>
                <w:sz w:val="14"/>
              </w:rPr>
              <w:t>Emirates back to 96% of network; flydubai ~80%. But US/Canada/Australia travel warnings still live.</w:t>
            </w:r>
          </w:p>
        </w:tc>
        <w:tc>
          <w:tcPr>
            <w:tcW w:type="dxa" w:w="3629"/>
          </w:tcPr>
          <w:p>
            <w:pPr>
              <w:spacing w:after="20"/>
            </w:pPr>
            <w:r>
              <w:rPr>
                <w:color w:val="1C3A36"/>
                <w:sz w:val="14"/>
              </w:rPr>
              <w:t>Supports Q3-26 at 95% / Q4-26 at 100% — and caps it there.</w:t>
            </w:r>
          </w:p>
        </w:tc>
      </w:tr>
      <w:tr>
        <w:tc>
          <w:tcPr>
            <w:tcW w:type="dxa" w:w="1066"/>
          </w:tcPr>
          <w:p>
            <w:pPr>
              <w:spacing w:after="20"/>
            </w:pPr>
            <w:r>
              <w:rPr>
                <w:color w:val="1C3A36"/>
                <w:sz w:val="14"/>
              </w:rPr>
              <w:t>COUNTRY</w:t>
            </w:r>
          </w:p>
        </w:tc>
        <w:tc>
          <w:tcPr>
            <w:tcW w:type="dxa" w:w="1728"/>
          </w:tcPr>
          <w:p>
            <w:pPr>
              <w:spacing w:after="20"/>
            </w:pPr>
            <w:r>
              <w:rPr>
                <w:color w:val="1C3A36"/>
                <w:sz w:val="14"/>
              </w:rPr>
              <w:t>sovereign macro</w:t>
            </w:r>
          </w:p>
        </w:tc>
        <w:tc>
          <w:tcPr>
            <w:tcW w:type="dxa" w:w="403"/>
          </w:tcPr>
          <w:p>
            <w:pPr>
              <w:spacing w:after="20"/>
            </w:pPr>
            <w:r>
              <w:rPr>
                <w:color w:val="1C3A36"/>
                <w:sz w:val="14"/>
              </w:rPr>
              <w:t>D</w:t>
            </w:r>
          </w:p>
        </w:tc>
        <w:tc>
          <w:tcPr>
            <w:tcW w:type="dxa" w:w="3398"/>
          </w:tcPr>
          <w:p>
            <w:pPr>
              <w:spacing w:after="20"/>
            </w:pPr>
            <w:r>
              <w:rPr>
                <w:color w:val="1C3A36"/>
                <w:sz w:val="14"/>
              </w:rPr>
              <w:t>UAE MoF T-Bond auction prices AED at UST + 14bp. Damodaran: UAE Aa2, ERP 4.87% (CDS 4.93%).</w:t>
            </w:r>
          </w:p>
        </w:tc>
        <w:tc>
          <w:tcPr>
            <w:tcW w:type="dxa" w:w="3629"/>
          </w:tcPr>
          <w:p>
            <w:pPr>
              <w:spacing w:after="20"/>
            </w:pPr>
            <w:r>
              <w:rPr>
                <w:color w:val="1C3A36"/>
                <w:sz w:val="14"/>
              </w:rPr>
              <w:t>rf = 4.70%. The peg rule is respected — we did NOT shortcut rf to the UST yield.</w:t>
            </w:r>
          </w:p>
        </w:tc>
      </w:tr>
      <w:tr>
        <w:tc>
          <w:tcPr>
            <w:tcW w:type="dxa" w:w="1066"/>
          </w:tcPr>
          <w:p>
            <w:pPr>
              <w:spacing w:after="20"/>
            </w:pPr>
            <w:r>
              <w:rPr>
                <w:color w:val="1C3A36"/>
                <w:sz w:val="14"/>
              </w:rPr>
              <w:t>COUNTRY</w:t>
            </w:r>
          </w:p>
        </w:tc>
        <w:tc>
          <w:tcPr>
            <w:tcW w:type="dxa" w:w="1728"/>
          </w:tcPr>
          <w:p>
            <w:pPr>
              <w:spacing w:after="20"/>
            </w:pPr>
            <w:r>
              <w:rPr>
                <w:color w:val="1C3A36"/>
                <w:sz w:val="14"/>
              </w:rPr>
              <w:t>regulatory environment</w:t>
            </w:r>
          </w:p>
        </w:tc>
        <w:tc>
          <w:tcPr>
            <w:tcW w:type="dxa" w:w="403"/>
          </w:tcPr>
          <w:p>
            <w:pPr>
              <w:spacing w:after="20"/>
            </w:pPr>
            <w:r>
              <w:rPr>
                <w:color w:val="1C3A36"/>
                <w:sz w:val="14"/>
              </w:rPr>
              <w:t>B</w:t>
            </w:r>
          </w:p>
        </w:tc>
        <w:tc>
          <w:tcPr>
            <w:tcW w:type="dxa" w:w="3398"/>
          </w:tcPr>
          <w:p>
            <w:pPr>
              <w:spacing w:after="20"/>
            </w:pPr>
            <w:r>
              <w:rPr>
                <w:color w:val="1C3A36"/>
                <w:sz w:val="14"/>
              </w:rPr>
              <w:t>Concession fee CUT 25.0% → 22.5% on 1 Apr 2024 under the inflation-compensation mechanism. Cap 25%, FLOOR 15%. UAE CT 9%.</w:t>
            </w:r>
          </w:p>
        </w:tc>
        <w:tc>
          <w:tcPr>
            <w:tcW w:type="dxa" w:w="3629"/>
          </w:tcPr>
          <w:p>
            <w:pPr>
              <w:spacing w:after="20"/>
            </w:pPr>
            <w:r>
              <w:rPr>
                <w:color w:val="1C3A36"/>
                <w:sz w:val="14"/>
              </w:rPr>
              <w:t>Fee = 22.5% of toll revenue. The 15% floor = ~9.2% of FY26E EBITDA of cushion (§1.11).</w:t>
            </w:r>
          </w:p>
        </w:tc>
      </w:tr>
      <w:tr>
        <w:tc>
          <w:tcPr>
            <w:tcW w:type="dxa" w:w="1066"/>
          </w:tcPr>
          <w:p>
            <w:pPr>
              <w:spacing w:after="20"/>
            </w:pPr>
            <w:r>
              <w:rPr>
                <w:color w:val="1C3A36"/>
                <w:sz w:val="14"/>
              </w:rPr>
              <w:t>COUNTRY</w:t>
            </w:r>
          </w:p>
        </w:tc>
        <w:tc>
          <w:tcPr>
            <w:tcW w:type="dxa" w:w="1728"/>
          </w:tcPr>
          <w:p>
            <w:pPr>
              <w:spacing w:after="20"/>
            </w:pPr>
            <w:r>
              <w:rPr>
                <w:color w:val="1C3A36"/>
                <w:sz w:val="14"/>
              </w:rPr>
              <w:t>fiscal / political</w:t>
            </w:r>
          </w:p>
        </w:tc>
        <w:tc>
          <w:tcPr>
            <w:tcW w:type="dxa" w:w="403"/>
          </w:tcPr>
          <w:p>
            <w:pPr>
              <w:spacing w:after="20"/>
            </w:pPr>
            <w:r>
              <w:rPr>
                <w:color w:val="1C3A36"/>
                <w:sz w:val="14"/>
              </w:rPr>
              <w:t>C</w:t>
            </w:r>
          </w:p>
        </w:tc>
        <w:tc>
          <w:tcPr>
            <w:tcW w:type="dxa" w:w="3398"/>
          </w:tcPr>
          <w:p>
            <w:pPr>
              <w:spacing w:after="20"/>
            </w:pPr>
            <w:r>
              <w:rPr>
                <w:color w:val="1C3A36"/>
                <w:sz w:val="14"/>
              </w:rPr>
              <w:t>Dubai deploys an AED 2.5 bn support package. Separately: reported net departure of foreign residents.</w:t>
            </w:r>
          </w:p>
        </w:tc>
        <w:tc>
          <w:tcPr>
            <w:tcW w:type="dxa" w:w="3629"/>
          </w:tcPr>
          <w:p>
            <w:pPr>
              <w:spacing w:after="20"/>
            </w:pPr>
            <w:r>
              <w:rPr>
                <w:color w:val="1C3A36"/>
                <w:sz w:val="14"/>
              </w:rPr>
              <w:t>Package supports the recovery. Population risk NOT modelled — declared, and priced by Expert 3.</w:t>
            </w:r>
          </w:p>
        </w:tc>
      </w:tr>
      <w:tr>
        <w:tc>
          <w:tcPr>
            <w:tcW w:type="dxa" w:w="1066"/>
          </w:tcPr>
          <w:p>
            <w:pPr>
              <w:spacing w:after="20"/>
            </w:pPr>
            <w:r>
              <w:rPr>
                <w:color w:val="1C3A36"/>
                <w:sz w:val="14"/>
              </w:rPr>
              <w:t>INDUSTRY</w:t>
            </w:r>
          </w:p>
        </w:tc>
        <w:tc>
          <w:tcPr>
            <w:tcW w:type="dxa" w:w="1728"/>
          </w:tcPr>
          <w:p>
            <w:pPr>
              <w:spacing w:after="20"/>
            </w:pPr>
            <w:r>
              <w:rPr>
                <w:color w:val="1C3A36"/>
                <w:sz w:val="14"/>
              </w:rPr>
              <w:t>demand &amp; capacity balance</w:t>
            </w:r>
          </w:p>
        </w:tc>
        <w:tc>
          <w:tcPr>
            <w:tcW w:type="dxa" w:w="403"/>
          </w:tcPr>
          <w:p>
            <w:pPr>
              <w:spacing w:after="20"/>
            </w:pPr>
            <w:r>
              <w:rPr>
                <w:color w:val="1C3A36"/>
                <w:sz w:val="14"/>
              </w:rPr>
              <w:t>B</w:t>
            </w:r>
          </w:p>
        </w:tc>
        <w:tc>
          <w:tcPr>
            <w:tcW w:type="dxa" w:w="3398"/>
          </w:tcPr>
          <w:p>
            <w:pPr>
              <w:spacing w:after="20"/>
            </w:pPr>
            <w:r>
              <w:rPr>
                <w:color w:val="1C3A36"/>
                <w:sz w:val="14"/>
              </w:rPr>
              <w:t>Dubai 4.0 → 5.8 mn people by 2040. Trips grew at a 4.3% CAGR 2013–23. The RTA is ADDING road capacity (Umm Suqeim −61% travel time; Al Qudra capacity tripled).</w:t>
            </w:r>
          </w:p>
        </w:tc>
        <w:tc>
          <w:tcPr>
            <w:tcW w:type="dxa" w:w="3629"/>
          </w:tcPr>
          <w:p>
            <w:pPr>
              <w:spacing w:after="20"/>
            </w:pPr>
            <w:r>
              <w:rPr>
                <w:color w:val="1C3A36"/>
                <w:sz w:val="14"/>
              </w:rPr>
              <w:t>Underpins 4.5% → 3.0% trend trip growth and the 2.5% terminal.</w:t>
            </w:r>
          </w:p>
        </w:tc>
      </w:tr>
      <w:tr>
        <w:tc>
          <w:tcPr>
            <w:tcW w:type="dxa" w:w="1066"/>
          </w:tcPr>
          <w:p>
            <w:pPr>
              <w:spacing w:after="20"/>
            </w:pPr>
            <w:r>
              <w:rPr>
                <w:color w:val="1C3A36"/>
                <w:sz w:val="14"/>
              </w:rPr>
              <w:t>INDUSTRY</w:t>
            </w:r>
          </w:p>
        </w:tc>
        <w:tc>
          <w:tcPr>
            <w:tcW w:type="dxa" w:w="1728"/>
          </w:tcPr>
          <w:p>
            <w:pPr>
              <w:spacing w:after="20"/>
            </w:pPr>
            <w:r>
              <w:rPr>
                <w:color w:val="1C3A36"/>
                <w:sz w:val="14"/>
              </w:rPr>
              <w:t>pricing</w:t>
            </w:r>
          </w:p>
        </w:tc>
        <w:tc>
          <w:tcPr>
            <w:tcW w:type="dxa" w:w="403"/>
          </w:tcPr>
          <w:p>
            <w:pPr>
              <w:spacing w:after="20"/>
            </w:pPr>
            <w:r>
              <w:rPr>
                <w:color w:val="1C3A36"/>
                <w:sz w:val="14"/>
              </w:rPr>
              <w:t>S</w:t>
            </w:r>
          </w:p>
        </w:tc>
        <w:tc>
          <w:tcPr>
            <w:tcW w:type="dxa" w:w="3398"/>
          </w:tcPr>
          <w:p>
            <w:pPr>
              <w:spacing w:after="20"/>
            </w:pPr>
            <w:r>
              <w:rPr>
                <w:color w:val="1C3A36"/>
                <w:sz w:val="14"/>
              </w:rPr>
              <w:t>Variable pricing from 31 Jan 2025, AT THE RTA’S INSTRUCTION. Lifted the realised toll from exactly AED 4.000 to AED 4.293 — with NO measurable volume loss (§1.3).</w:t>
            </w:r>
          </w:p>
        </w:tc>
        <w:tc>
          <w:tcPr>
            <w:tcW w:type="dxa" w:w="3629"/>
          </w:tcPr>
          <w:p>
            <w:pPr>
              <w:spacing w:after="20"/>
            </w:pPr>
            <w:r>
              <w:rPr>
                <w:color w:val="1C3A36"/>
                <w:sz w:val="14"/>
              </w:rPr>
              <w:t>Sets the toll driver. And the zero elasticity is the strongest fact in the bull case.</w:t>
            </w:r>
          </w:p>
        </w:tc>
      </w:tr>
      <w:tr>
        <w:tc>
          <w:tcPr>
            <w:tcW w:type="dxa" w:w="1066"/>
          </w:tcPr>
          <w:p>
            <w:pPr>
              <w:spacing w:after="20"/>
            </w:pPr>
            <w:r>
              <w:rPr>
                <w:color w:val="1C3A36"/>
                <w:sz w:val="14"/>
              </w:rPr>
              <w:t>INDUSTRY</w:t>
            </w:r>
          </w:p>
        </w:tc>
        <w:tc>
          <w:tcPr>
            <w:tcW w:type="dxa" w:w="1728"/>
          </w:tcPr>
          <w:p>
            <w:pPr>
              <w:spacing w:after="20"/>
            </w:pPr>
            <w:r>
              <w:rPr>
                <w:color w:val="1C3A36"/>
                <w:sz w:val="14"/>
              </w:rPr>
              <w:t>new entrants (named)</w:t>
            </w:r>
          </w:p>
        </w:tc>
        <w:tc>
          <w:tcPr>
            <w:tcW w:type="dxa" w:w="403"/>
          </w:tcPr>
          <w:p>
            <w:pPr>
              <w:spacing w:after="20"/>
            </w:pPr>
            <w:r>
              <w:rPr>
                <w:color w:val="1C3A36"/>
                <w:sz w:val="14"/>
              </w:rPr>
              <w:t>NEG</w:t>
            </w:r>
          </w:p>
        </w:tc>
        <w:tc>
          <w:tcPr>
            <w:tcW w:type="dxa" w:w="3398"/>
          </w:tcPr>
          <w:p>
            <w:pPr>
              <w:spacing w:after="20"/>
            </w:pPr>
            <w:r>
              <w:rPr>
                <w:color w:val="1C3A36"/>
                <w:sz w:val="14"/>
              </w:rPr>
              <w:t>NOTHING FOUND — and there cannot be. Exclusive rights to every existing and future Dubai gate to 2071.</w:t>
            </w:r>
          </w:p>
        </w:tc>
        <w:tc>
          <w:tcPr>
            <w:tcW w:type="dxa" w:w="3629"/>
          </w:tcPr>
          <w:p>
            <w:pPr>
              <w:spacing w:after="20"/>
            </w:pPr>
            <w:r>
              <w:rPr>
                <w:color w:val="1C3A36"/>
                <w:sz w:val="14"/>
              </w:rPr>
              <w:t>Evidence of absence, recorded. The moat is a document.</w:t>
            </w:r>
          </w:p>
        </w:tc>
      </w:tr>
      <w:tr>
        <w:tc>
          <w:tcPr>
            <w:tcW w:type="dxa" w:w="1066"/>
          </w:tcPr>
          <w:p>
            <w:pPr>
              <w:spacing w:after="20"/>
            </w:pPr>
            <w:r>
              <w:rPr>
                <w:color w:val="1C3A36"/>
                <w:sz w:val="14"/>
              </w:rPr>
              <w:t>INDUSTRY</w:t>
            </w:r>
          </w:p>
        </w:tc>
        <w:tc>
          <w:tcPr>
            <w:tcW w:type="dxa" w:w="1728"/>
          </w:tcPr>
          <w:p>
            <w:pPr>
              <w:spacing w:after="20"/>
            </w:pPr>
            <w:r>
              <w:rPr>
                <w:color w:val="1C3A36"/>
                <w:sz w:val="14"/>
              </w:rPr>
              <w:t>technology substitution</w:t>
            </w:r>
          </w:p>
        </w:tc>
        <w:tc>
          <w:tcPr>
            <w:tcW w:type="dxa" w:w="403"/>
          </w:tcPr>
          <w:p>
            <w:pPr>
              <w:spacing w:after="20"/>
            </w:pPr>
            <w:r>
              <w:rPr>
                <w:color w:val="1C3A36"/>
                <w:sz w:val="14"/>
              </w:rPr>
              <w:t>C</w:t>
            </w:r>
          </w:p>
        </w:tc>
        <w:tc>
          <w:tcPr>
            <w:tcW w:type="dxa" w:w="3398"/>
          </w:tcPr>
          <w:p>
            <w:pPr>
              <w:spacing w:after="20"/>
            </w:pPr>
            <w:r>
              <w:rPr>
                <w:color w:val="1C3A36"/>
                <w:sz w:val="14"/>
              </w:rPr>
              <w:t>METRO BLUE LINE: AED 20.5 bn, 30 km, 14 stations, OPENING 2029, 200k → 320k passengers/day, EAST–WEST. Plus Joby air taxis, WeRide robotaxis (live on Uber), Etihad Rail, and the RTA’s 25%-driverless-by-2030 target.</w:t>
            </w:r>
          </w:p>
        </w:tc>
        <w:tc>
          <w:tcPr>
            <w:tcW w:type="dxa" w:w="3629"/>
          </w:tcPr>
          <w:p>
            <w:pPr>
              <w:spacing w:after="20"/>
            </w:pPr>
            <w:r>
              <w:rPr>
                <w:color w:val="1C3A36"/>
                <w:sz w:val="14"/>
              </w:rPr>
              <w:t>THE material catch, and it is dated INSIDE the forecast period. Why terminal g is capped at 2.5%.</w:t>
            </w:r>
          </w:p>
        </w:tc>
      </w:tr>
      <w:tr>
        <w:tc>
          <w:tcPr>
            <w:tcW w:type="dxa" w:w="1066"/>
          </w:tcPr>
          <w:p>
            <w:pPr>
              <w:spacing w:after="20"/>
            </w:pPr>
            <w:r>
              <w:rPr>
                <w:color w:val="1C3A36"/>
                <w:sz w:val="14"/>
              </w:rPr>
              <w:t>INDUSTRY</w:t>
            </w:r>
          </w:p>
        </w:tc>
        <w:tc>
          <w:tcPr>
            <w:tcW w:type="dxa" w:w="1728"/>
          </w:tcPr>
          <w:p>
            <w:pPr>
              <w:spacing w:after="20"/>
            </w:pPr>
            <w:r>
              <w:rPr>
                <w:color w:val="1C3A36"/>
                <w:sz w:val="14"/>
              </w:rPr>
              <w:t>competitor capacity (named)</w:t>
            </w:r>
          </w:p>
        </w:tc>
        <w:tc>
          <w:tcPr>
            <w:tcW w:type="dxa" w:w="403"/>
          </w:tcPr>
          <w:p>
            <w:pPr>
              <w:spacing w:after="20"/>
            </w:pPr>
            <w:r>
              <w:rPr>
                <w:color w:val="1C3A36"/>
                <w:sz w:val="14"/>
              </w:rPr>
              <w:t>NEG</w:t>
            </w:r>
          </w:p>
        </w:tc>
        <w:tc>
          <w:tcPr>
            <w:tcW w:type="dxa" w:w="3398"/>
          </w:tcPr>
          <w:p>
            <w:pPr>
              <w:spacing w:after="20"/>
            </w:pPr>
            <w:r>
              <w:rPr>
                <w:color w:val="1C3A36"/>
                <w:sz w:val="14"/>
              </w:rPr>
              <w:t>NOTHING FOUND. Parkin / Dubai Taxi / Mada Media are RTA spin-offs and COMPLEMENTS, not competitors.</w:t>
            </w:r>
          </w:p>
        </w:tc>
        <w:tc>
          <w:tcPr>
            <w:tcW w:type="dxa" w:w="3629"/>
          </w:tcPr>
          <w:p>
            <w:pPr>
              <w:spacing w:after="20"/>
            </w:pPr>
            <w:r>
              <w:rPr>
                <w:color w:val="1C3A36"/>
                <w:sz w:val="14"/>
              </w:rPr>
              <w:t>Evidence of absence, recorded.</w:t>
            </w:r>
          </w:p>
        </w:tc>
      </w:tr>
      <w:tr>
        <w:tc>
          <w:tcPr>
            <w:tcW w:type="dxa" w:w="1066"/>
          </w:tcPr>
          <w:p>
            <w:pPr>
              <w:spacing w:after="20"/>
            </w:pPr>
            <w:r>
              <w:rPr>
                <w:color w:val="1C3A36"/>
                <w:sz w:val="14"/>
              </w:rPr>
              <w:t>COMPANY</w:t>
            </w:r>
          </w:p>
        </w:tc>
        <w:tc>
          <w:tcPr>
            <w:tcW w:type="dxa" w:w="1728"/>
          </w:tcPr>
          <w:p>
            <w:pPr>
              <w:spacing w:after="20"/>
            </w:pPr>
            <w:r>
              <w:rPr>
                <w:color w:val="1C3A36"/>
                <w:sz w:val="14"/>
              </w:rPr>
              <w:t>strategic plans &amp; guidance</w:t>
            </w:r>
          </w:p>
        </w:tc>
        <w:tc>
          <w:tcPr>
            <w:tcW w:type="dxa" w:w="403"/>
          </w:tcPr>
          <w:p>
            <w:pPr>
              <w:spacing w:after="20"/>
            </w:pPr>
            <w:r>
              <w:rPr>
                <w:color w:val="1C3A36"/>
                <w:sz w:val="14"/>
              </w:rPr>
              <w:t>NEG</w:t>
            </w:r>
          </w:p>
        </w:tc>
        <w:tc>
          <w:tcPr>
            <w:tcW w:type="dxa" w:w="3398"/>
          </w:tcPr>
          <w:p>
            <w:pPr>
              <w:spacing w:after="20"/>
            </w:pPr>
            <w:r>
              <w:rPr>
                <w:color w:val="1C3A36"/>
                <w:sz w:val="14"/>
              </w:rPr>
              <w:t>FY2026 guidance WAS cut on 11 May 2026 — but the NUMBERS are in no company-official channel we could reach (IR site bot-blocked). Five targeted searches. We did NOT substitute an aggregator.</w:t>
            </w:r>
          </w:p>
        </w:tc>
        <w:tc>
          <w:tcPr>
            <w:tcW w:type="dxa" w:w="3629"/>
          </w:tcPr>
          <w:p>
            <w:pPr>
              <w:spacing w:after="20"/>
            </w:pPr>
            <w:r>
              <w:rPr>
                <w:color w:val="1C3A36"/>
                <w:sz w:val="14"/>
              </w:rPr>
              <w:t>A declared sourcing failure. Our FY26 path is built bottom-up instead.</w:t>
            </w:r>
          </w:p>
        </w:tc>
      </w:tr>
      <w:tr>
        <w:tc>
          <w:tcPr>
            <w:tcW w:type="dxa" w:w="1066"/>
          </w:tcPr>
          <w:p>
            <w:pPr>
              <w:spacing w:after="20"/>
            </w:pPr>
            <w:r>
              <w:rPr>
                <w:color w:val="1C3A36"/>
                <w:sz w:val="14"/>
              </w:rPr>
              <w:t>COMPANY</w:t>
            </w:r>
          </w:p>
        </w:tc>
        <w:tc>
          <w:tcPr>
            <w:tcW w:type="dxa" w:w="1728"/>
          </w:tcPr>
          <w:p>
            <w:pPr>
              <w:spacing w:after="20"/>
            </w:pPr>
            <w:r>
              <w:rPr>
                <w:color w:val="1C3A36"/>
                <w:sz w:val="14"/>
              </w:rPr>
              <w:t>regular disclosures</w:t>
            </w:r>
          </w:p>
        </w:tc>
        <w:tc>
          <w:tcPr>
            <w:tcW w:type="dxa" w:w="403"/>
          </w:tcPr>
          <w:p>
            <w:pPr>
              <w:spacing w:after="20"/>
            </w:pPr>
            <w:r>
              <w:rPr>
                <w:color w:val="1C3A36"/>
                <w:sz w:val="14"/>
              </w:rPr>
              <w:t>B</w:t>
            </w:r>
          </w:p>
        </w:tc>
        <w:tc>
          <w:tcPr>
            <w:tcW w:type="dxa" w:w="3398"/>
          </w:tcPr>
          <w:p>
            <w:pPr>
              <w:spacing w:after="20"/>
            </w:pPr>
            <w:r>
              <w:rPr>
                <w:color w:val="1C3A36"/>
                <w:sz w:val="14"/>
              </w:rPr>
              <w:t>Q1-2026: revenue −3.0%, chargeable trips −7.7%, EBITDA margin +44bp, ND/EBITDA 1.98×.</w:t>
            </w:r>
          </w:p>
        </w:tc>
        <w:tc>
          <w:tcPr>
            <w:tcW w:type="dxa" w:w="3629"/>
          </w:tcPr>
          <w:p>
            <w:pPr>
              <w:spacing w:after="20"/>
            </w:pPr>
            <w:r>
              <w:rPr>
                <w:color w:val="1C3A36"/>
                <w:sz w:val="14"/>
              </w:rPr>
              <w:t>The base for every FY2026 driver.</w:t>
            </w:r>
          </w:p>
        </w:tc>
      </w:tr>
      <w:tr>
        <w:tc>
          <w:tcPr>
            <w:tcW w:type="dxa" w:w="1066"/>
          </w:tcPr>
          <w:p>
            <w:pPr>
              <w:spacing w:after="20"/>
            </w:pPr>
            <w:r>
              <w:rPr>
                <w:color w:val="1C3A36"/>
                <w:sz w:val="14"/>
              </w:rPr>
              <w:t>COMPANY</w:t>
            </w:r>
          </w:p>
        </w:tc>
        <w:tc>
          <w:tcPr>
            <w:tcW w:type="dxa" w:w="1728"/>
          </w:tcPr>
          <w:p>
            <w:pPr>
              <w:spacing w:after="20"/>
            </w:pPr>
            <w:r>
              <w:rPr>
                <w:color w:val="1C3A36"/>
                <w:sz w:val="14"/>
              </w:rPr>
              <w:t>IR communications</w:t>
            </w:r>
          </w:p>
        </w:tc>
        <w:tc>
          <w:tcPr>
            <w:tcW w:type="dxa" w:w="403"/>
          </w:tcPr>
          <w:p>
            <w:pPr>
              <w:spacing w:after="20"/>
            </w:pPr>
            <w:r>
              <w:rPr>
                <w:color w:val="1C3A36"/>
                <w:sz w:val="14"/>
              </w:rPr>
              <w:t>B</w:t>
            </w:r>
          </w:p>
        </w:tc>
        <w:tc>
          <w:tcPr>
            <w:tcW w:type="dxa" w:w="3398"/>
          </w:tcPr>
          <w:p>
            <w:pPr>
              <w:spacing w:after="20"/>
            </w:pPr>
            <w:r>
              <w:rPr>
                <w:color w:val="1C3A36"/>
                <w:sz w:val="14"/>
              </w:rPr>
              <w:t>The disclosed peak/off-peak split REBUILDS reported toll revenue to +0.05%. And: active accounts +7.5%, active vehicles +8.4% — WHILE trips fell 7.7%.</w:t>
            </w:r>
          </w:p>
        </w:tc>
        <w:tc>
          <w:tcPr>
            <w:tcW w:type="dxa" w:w="3629"/>
          </w:tcPr>
          <w:p>
            <w:pPr>
              <w:spacing w:after="20"/>
            </w:pPr>
            <w:r>
              <w:rPr>
                <w:color w:val="1C3A36"/>
                <w:sz w:val="14"/>
              </w:rPr>
              <w:t>Makes the toll driver bottom-up. DECISIVE for treating the shock as UTILISATION, not POPULATION.</w:t>
            </w:r>
          </w:p>
        </w:tc>
      </w:tr>
      <w:tr>
        <w:tc>
          <w:tcPr>
            <w:tcW w:type="dxa" w:w="1066"/>
          </w:tcPr>
          <w:p>
            <w:pPr>
              <w:spacing w:after="20"/>
            </w:pPr>
            <w:r>
              <w:rPr>
                <w:color w:val="1C3A36"/>
                <w:sz w:val="14"/>
              </w:rPr>
              <w:t>COMPANY</w:t>
            </w:r>
          </w:p>
        </w:tc>
        <w:tc>
          <w:tcPr>
            <w:tcW w:type="dxa" w:w="1728"/>
          </w:tcPr>
          <w:p>
            <w:pPr>
              <w:spacing w:after="20"/>
            </w:pPr>
            <w:r>
              <w:rPr>
                <w:color w:val="1C3A36"/>
                <w:sz w:val="14"/>
              </w:rPr>
              <w:t>one-off base-resetting transactions</w:t>
            </w:r>
          </w:p>
        </w:tc>
        <w:tc>
          <w:tcPr>
            <w:tcW w:type="dxa" w:w="403"/>
          </w:tcPr>
          <w:p>
            <w:pPr>
              <w:spacing w:after="20"/>
            </w:pPr>
            <w:r>
              <w:rPr>
                <w:color w:val="1C3A36"/>
                <w:sz w:val="14"/>
              </w:rPr>
              <w:t>B</w:t>
            </w:r>
          </w:p>
        </w:tc>
        <w:tc>
          <w:tcPr>
            <w:tcW w:type="dxa" w:w="3398"/>
          </w:tcPr>
          <w:p>
            <w:pPr>
              <w:spacing w:after="20"/>
            </w:pPr>
            <w:r>
              <w:rPr>
                <w:color w:val="1C3A36"/>
                <w:sz w:val="14"/>
              </w:rPr>
              <w:t>Two gates opened 24 Nov 2024. AED 2,700 mn paid to the RTA, on top of AED 4,200 mn for the original eight. Earn-outs apply ONLY if traffic EXCEEDS projections — it currently does not.</w:t>
            </w:r>
          </w:p>
        </w:tc>
        <w:tc>
          <w:tcPr>
            <w:tcW w:type="dxa" w:w="3629"/>
          </w:tcPr>
          <w:p>
            <w:pPr>
              <w:spacing w:after="20"/>
            </w:pPr>
            <w:r>
              <w:rPr>
                <w:color w:val="1C3A36"/>
                <w:sz w:val="14"/>
              </w:rPr>
              <w:t>Sets D&amp;A. AND it is the raw material for §1.2 — the ROIC finding that reframes the study.</w:t>
            </w:r>
          </w:p>
        </w:tc>
      </w:tr>
      <w:tr>
        <w:tc>
          <w:tcPr>
            <w:tcW w:type="dxa" w:w="1066"/>
          </w:tcPr>
          <w:p>
            <w:pPr>
              <w:spacing w:after="20"/>
            </w:pPr>
            <w:r>
              <w:rPr>
                <w:color w:val="1C3A36"/>
                <w:sz w:val="14"/>
              </w:rPr>
              <w:t>COMPANY</w:t>
            </w:r>
          </w:p>
        </w:tc>
        <w:tc>
          <w:tcPr>
            <w:tcW w:type="dxa" w:w="1728"/>
          </w:tcPr>
          <w:p>
            <w:pPr>
              <w:spacing w:after="20"/>
            </w:pPr>
            <w:r>
              <w:rPr>
                <w:color w:val="1C3A36"/>
                <w:sz w:val="14"/>
              </w:rPr>
              <w:t>ownership / stake changes</w:t>
            </w:r>
          </w:p>
        </w:tc>
        <w:tc>
          <w:tcPr>
            <w:tcW w:type="dxa" w:w="403"/>
          </w:tcPr>
          <w:p>
            <w:pPr>
              <w:spacing w:after="20"/>
            </w:pPr>
            <w:r>
              <w:rPr>
                <w:color w:val="1C3A36"/>
                <w:sz w:val="14"/>
              </w:rPr>
              <w:t>D</w:t>
            </w:r>
          </w:p>
        </w:tc>
        <w:tc>
          <w:tcPr>
            <w:tcW w:type="dxa" w:w="3398"/>
          </w:tcPr>
          <w:p>
            <w:pPr>
              <w:spacing w:after="20"/>
            </w:pPr>
            <w:r>
              <w:rPr>
                <w:color w:val="1C3A36"/>
                <w:sz w:val="14"/>
              </w:rPr>
              <w:t>Dubai Investment Fund 75.1%; free float 24.9%. NO named change-of-stake transaction since listing — searched specifically, per the named-transaction rule.</w:t>
            </w:r>
          </w:p>
        </w:tc>
        <w:tc>
          <w:tcPr>
            <w:tcW w:type="dxa" w:w="3629"/>
          </w:tcPr>
          <w:p>
            <w:pPr>
              <w:spacing w:after="20"/>
            </w:pPr>
            <w:r>
              <w:rPr>
                <w:color w:val="1C3A36"/>
                <w:sz w:val="14"/>
              </w:rPr>
              <w:t>Share count exactly 7,500.0 mn, confirmed to the dirham by the H2-2024 dividend.</w:t>
            </w:r>
          </w:p>
        </w:tc>
      </w:tr>
      <w:tr>
        <w:tc>
          <w:tcPr>
            <w:tcW w:type="dxa" w:w="1066"/>
          </w:tcPr>
          <w:p>
            <w:pPr>
              <w:spacing w:after="20"/>
            </w:pPr>
            <w:r>
              <w:rPr>
                <w:color w:val="1C3A36"/>
                <w:sz w:val="14"/>
              </w:rPr>
              <w:t>COMPANY</w:t>
            </w:r>
          </w:p>
        </w:tc>
        <w:tc>
          <w:tcPr>
            <w:tcW w:type="dxa" w:w="1728"/>
          </w:tcPr>
          <w:p>
            <w:pPr>
              <w:spacing w:after="20"/>
            </w:pPr>
            <w:r>
              <w:rPr>
                <w:color w:val="1C3A36"/>
                <w:sz w:val="14"/>
              </w:rPr>
              <w:t>management &amp; capital actions</w:t>
            </w:r>
          </w:p>
        </w:tc>
        <w:tc>
          <w:tcPr>
            <w:tcW w:type="dxa" w:w="403"/>
          </w:tcPr>
          <w:p>
            <w:pPr>
              <w:spacing w:after="20"/>
            </w:pPr>
            <w:r>
              <w:rPr>
                <w:color w:val="1C3A36"/>
                <w:sz w:val="14"/>
              </w:rPr>
              <w:t>D</w:t>
            </w:r>
          </w:p>
        </w:tc>
        <w:tc>
          <w:tcPr>
            <w:tcW w:type="dxa" w:w="3398"/>
          </w:tcPr>
          <w:p>
            <w:pPr>
              <w:spacing w:after="20"/>
            </w:pPr>
            <w:r>
              <w:rPr>
                <w:color w:val="1C3A36"/>
                <w:sz w:val="14"/>
              </w:rPr>
              <w:t>100% payout, semi-annual. Fitch A− → A; Moody’s A3. NOTE: Salik’s Chairman is ALSO the Director-General of the RTA.</w:t>
            </w:r>
          </w:p>
        </w:tc>
        <w:tc>
          <w:tcPr>
            <w:tcW w:type="dxa" w:w="3629"/>
          </w:tcPr>
          <w:p>
            <w:pPr>
              <w:spacing w:after="20"/>
            </w:pPr>
            <w:r>
              <w:rPr>
                <w:color w:val="1C3A36"/>
                <w:sz w:val="14"/>
              </w:rPr>
              <w:t>Sets q = 3.886% for the MC carry. Supports Kd 5.5%. And it is the governance caveat in §7.</w:t>
            </w:r>
          </w:p>
        </w:tc>
      </w:tr>
      <w:tr>
        <w:tc>
          <w:tcPr>
            <w:tcW w:type="dxa" w:w="1066"/>
          </w:tcPr>
          <w:p>
            <w:pPr>
              <w:spacing w:after="20"/>
            </w:pPr>
            <w:r>
              <w:rPr>
                <w:color w:val="1C3A36"/>
                <w:sz w:val="14"/>
              </w:rPr>
              <w:t>COMPANY</w:t>
            </w:r>
          </w:p>
        </w:tc>
        <w:tc>
          <w:tcPr>
            <w:tcW w:type="dxa" w:w="1728"/>
          </w:tcPr>
          <w:p>
            <w:pPr>
              <w:spacing w:after="20"/>
            </w:pPr>
            <w:r>
              <w:rPr>
                <w:color w:val="1C3A36"/>
                <w:sz w:val="14"/>
              </w:rPr>
              <w:t>official financial statements</w:t>
            </w:r>
          </w:p>
        </w:tc>
        <w:tc>
          <w:tcPr>
            <w:tcW w:type="dxa" w:w="403"/>
          </w:tcPr>
          <w:p>
            <w:pPr>
              <w:spacing w:after="20"/>
            </w:pPr>
            <w:r>
              <w:rPr>
                <w:color w:val="1C3A36"/>
                <w:sz w:val="14"/>
              </w:rPr>
              <w:t>D</w:t>
            </w:r>
          </w:p>
        </w:tc>
        <w:tc>
          <w:tcPr>
            <w:tcW w:type="dxa" w:w="3398"/>
          </w:tcPr>
          <w:p>
            <w:pPr>
              <w:spacing w:after="20"/>
            </w:pPr>
            <w:r>
              <w:rPr>
                <w:color w:val="1C3A36"/>
                <w:sz w:val="14"/>
              </w:rPr>
              <w:t>FY2023–FY2025 audited. FY2024 toll revenue ÷ trips = EXACTLY AED 4.000. No full quarterly balance sheet is published.</w:t>
            </w:r>
          </w:p>
        </w:tc>
        <w:tc>
          <w:tcPr>
            <w:tcW w:type="dxa" w:w="3629"/>
          </w:tcPr>
          <w:p>
            <w:pPr>
              <w:spacing w:after="20"/>
            </w:pPr>
            <w:r>
              <w:rPr>
                <w:color w:val="1C3A36"/>
                <w:sz w:val="14"/>
              </w:rPr>
              <w:t>The 3-yr history and the DCF bridge — which runs through NET debt, so no valuation line rests on a derived figure.</w:t>
            </w:r>
          </w:p>
        </w:tc>
      </w:tr>
    </w:tbl>
    <w:p>
      <w:pPr>
        <w:spacing w:after="40"/>
      </w:pPr>
    </w:p>
    <w:p>
      <w:pPr>
        <w:spacing w:after="120" w:before="0"/>
      </w:pPr>
      <w:r>
        <w:rPr>
          <w:b w:val="0"/>
          <w:i/>
          <w:color w:val="6E7B77"/>
          <w:sz w:val="16"/>
        </w:rPr>
        <w:t>Three NEGATIVE searches are as much a part of this register as the eighteen findings. Two (no new entrants, no competitor capacity) are evidence that the moat is real. The third — the FY2026 guidance we could not source — is evidence that we are not making things up.</w:t>
      </w:r>
    </w:p>
    <w:p>
      <w:r>
        <w:br w:type="page"/>
      </w:r>
    </w:p>
    <w:p>
      <w:pPr>
        <w:spacing w:after="100" w:before="260"/>
      </w:pPr>
      <w:r>
        <w:rPr>
          <w:b/>
          <w:i w:val="0"/>
          <w:color w:val="1C3A36"/>
          <w:sz w:val="30"/>
        </w:rPr>
        <w:t>Appendix C The expert valuation panel</w:t>
      </w:r>
    </w:p>
    <w:p>
      <w:pPr>
        <w:spacing w:after="120" w:before="0"/>
      </w:pPr>
      <w:r>
        <w:rPr>
          <w:b w:val="0"/>
          <w:i w:val="0"/>
          <w:color w:val="1C3A36"/>
          <w:sz w:val="21"/>
        </w:rPr>
        <w:t>Four experts, cast from our standing expert panel. Their methods are permanent, written down once, and re-run each study on fresh data — which is what lets each of them build a scoreable track record over time. They were not asked to agree, and they do not. Each shows their arithmetic and each carries a named falsifier.</w:t>
      </w:r>
    </w:p>
    <w:tbl>
      <w:tblPr>
        <w:tblW w:type="auto" w:w="0"/>
        <w:tblLook w:firstColumn="1" w:firstRow="1" w:lastColumn="0" w:lastRow="0" w:noHBand="0" w:noVBand="1" w:val="04A0"/>
        <w:tblBorders>
          <w:top w:val="single" w:sz="6" w:space="0" w:color="896F36"/>
          <w:left w:val="single" w:sz="6" w:space="0" w:color="896F36"/>
          <w:bottom w:val="single" w:sz="6" w:space="0" w:color="896F36"/>
          <w:right w:val="single" w:sz="6" w:space="0" w:color="896F36"/>
          <w:insideH w:val="single" w:sz="6" w:space="0" w:color="896F36"/>
          <w:insideV w:val="single" w:sz="6" w:space="0" w:color="896F36"/>
        </w:tblBorders>
        <w:tblCellMar>
          <w:top w:w="110" w:type="dxa"/>
          <w:left w:w="150" w:type="dxa"/>
          <w:bottom w:w="110" w:type="dxa"/>
          <w:right w:w="150" w:type="dxa"/>
        </w:tblCellMar>
      </w:tblPr>
      <w:tblGrid>
        <w:gridCol w:w="10224"/>
      </w:tblGrid>
      <w:tr>
        <w:tc>
          <w:tcPr>
            <w:tcW w:type="dxa" w:w="10224"/>
            <w:shd w:val="clear" w:color="auto" w:fill="EFF3F1"/>
          </w:tcPr>
          <w:p>
            <w:pPr>
              <w:spacing w:after="100"/>
            </w:pPr>
            <w:r>
              <w:rPr>
                <w:b/>
                <w:color w:val="1C3A36"/>
                <w:sz w:val="19"/>
              </w:rPr>
              <w:t xml:space="preserve">A correction, recorded rather than quietly fixed. </w:t>
            </w:r>
            <w:r>
              <w:rPr>
                <w:color w:val="1C3A36"/>
                <w:sz w:val="19"/>
              </w:rPr>
              <w:t>Version 2 of this study invented three bespoke experts instead of casting from our standing expert panel. That was a protocol breach and it was our error, not a judgment call: the entire purpose of a fixed roster is that each persona accumulates a calibration record across studies and across markets, and a one-off expert invented for a single report can never accumulate one. Appendix C has been rebuilt from the mandated roster. We are recording this here rather than restating it silently.</w:t>
            </w:r>
          </w:p>
        </w:tc>
      </w:tr>
    </w:tbl>
    <w:p>
      <w:pPr>
        <w:spacing w:after="40"/>
      </w:pPr>
    </w:p>
    <w:p>
      <w:pPr>
        <w:spacing w:after="120" w:before="0"/>
      </w:pPr>
      <w:r>
        <w:rPr>
          <w:b w:val="0"/>
          <w:i/>
          <w:color w:val="6E7B77"/>
          <w:sz w:val="18"/>
        </w:rPr>
        <w:t>Why four and not three. Our standing expert panel’s casting table gives Accountant + Earnings-power + Macro-Policy for an industrial or general equity, and permits a fourth "only when a distinct, non-overlapping lens genuinely matters". For Salik it does: the whole study turns on returns on invested capital versus the cost of capital, which is Expert 4’s permanent method and whose stated domain explicitly covers infrastructure. Casting the standard trio alone would mean the panel never tests the central thesis.</w:t>
      </w:r>
    </w:p>
    <w:p>
      <w:pPr>
        <w:spacing w:after="80" w:before="180"/>
      </w:pPr>
      <w:r>
        <w:rPr>
          <w:b/>
          <w:i w:val="0"/>
          <w:color w:val="1C3A36"/>
          <w:sz w:val="23"/>
        </w:rPr>
        <w:t>C.1 Expert 1 — the accountant</w:t>
      </w:r>
    </w:p>
    <w:p>
      <w:pPr>
        <w:spacing w:after="120" w:before="0"/>
      </w:pPr>
      <w:r>
        <w:rPr>
          <w:b w:val="0"/>
          <w:i w:val="0"/>
          <w:color w:val="1C3A36"/>
          <w:sz w:val="21"/>
        </w:rPr>
        <w:t>Lens: realizable value plus earnings quality. Worldview: a business is worth what its assets realize net of EVERY claim, and reported profit is trusted only as far as it converts to cash. Standard workings: mark the assets conservatively; test earnings quality through the operating-cash-to-net-income bridge; bridge to equity by deducting all claims INCLUDING off-balance-sheet obligations; sensitize the swing marks.</w:t>
      </w:r>
    </w:p>
    <w:p>
      <w:pPr>
        <w:spacing w:after="120" w:before="0"/>
      </w:pPr>
      <w:r>
        <w:rPr>
          <w:b w:val="0"/>
          <w:i/>
          <w:color w:val="6E7B77"/>
          <w:sz w:val="18"/>
        </w:rPr>
        <w:t>Expert 1 is the reason §1.2a exists. He is the one who reads the CFO’s Review and finds the RTA instalment.</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408"/>
        <w:gridCol w:w="3408"/>
        <w:gridCol w:w="3408"/>
      </w:tblGrid>
      <w:tr>
        <w:tc>
          <w:tcPr>
            <w:tcW w:type="dxa" w:w="4464"/>
            <w:shd w:val="clear" w:color="auto" w:fill="EAF0EE"/>
          </w:tcPr>
          <w:p>
            <w:pPr>
              <w:spacing w:after="20"/>
            </w:pPr>
            <w:r>
              <w:rPr>
                <w:b/>
                <w:color w:val="1C3A36"/>
                <w:sz w:val="16"/>
              </w:rPr>
              <w:t>Build</w:t>
            </w:r>
          </w:p>
        </w:tc>
        <w:tc>
          <w:tcPr>
            <w:tcW w:type="dxa" w:w="1584"/>
            <w:shd w:val="clear" w:color="auto" w:fill="EAF0EE"/>
          </w:tcPr>
          <w:p>
            <w:pPr>
              <w:spacing w:after="20"/>
            </w:pPr>
            <w:r>
              <w:rPr>
                <w:b/>
                <w:color w:val="1C3A36"/>
                <w:sz w:val="16"/>
              </w:rPr>
              <w:t>AED mn</w:t>
            </w:r>
          </w:p>
        </w:tc>
        <w:tc>
          <w:tcPr>
            <w:tcW w:type="dxa" w:w="4032"/>
            <w:shd w:val="clear" w:color="auto" w:fill="EAF0EE"/>
          </w:tcPr>
          <w:p>
            <w:pPr>
              <w:spacing w:after="20"/>
            </w:pPr>
            <w:r>
              <w:rPr>
                <w:b/>
                <w:color w:val="1C3A36"/>
                <w:sz w:val="16"/>
              </w:rPr>
              <w:t>Note</w:t>
            </w:r>
          </w:p>
        </w:tc>
      </w:tr>
      <w:tr>
        <w:tc>
          <w:tcPr>
            <w:tcW w:type="dxa" w:w="4464"/>
          </w:tcPr>
          <w:p>
            <w:pPr>
              <w:spacing w:after="20"/>
            </w:pPr>
            <w:r>
              <w:rPr>
                <w:b/>
                <w:color w:val="1C3A36"/>
                <w:sz w:val="16"/>
              </w:rPr>
              <w:t>Concession intangible, gross</w:t>
            </w:r>
          </w:p>
        </w:tc>
        <w:tc>
          <w:tcPr>
            <w:tcW w:type="dxa" w:w="1584"/>
          </w:tcPr>
          <w:p>
            <w:pPr>
              <w:spacing w:after="20"/>
              <w:jc w:val="right"/>
            </w:pPr>
            <w:r>
              <w:rPr>
                <w:color w:val="1C3A36"/>
                <w:sz w:val="16"/>
              </w:rPr>
              <w:t>6,934</w:t>
            </w:r>
          </w:p>
        </w:tc>
        <w:tc>
          <w:tcPr>
            <w:tcW w:type="dxa" w:w="4032"/>
          </w:tcPr>
          <w:p>
            <w:pPr>
              <w:spacing w:after="20"/>
            </w:pPr>
            <w:r>
              <w:rPr>
                <w:color w:val="1C3A36"/>
                <w:sz w:val="16"/>
              </w:rPr>
              <w:t>AED 4,200 (8 gates, 2022) + AED 2,734 (2 gates, Nov-2024). Marked at cost — it is a contractual right, not a speculative asset.</w:t>
            </w:r>
          </w:p>
        </w:tc>
      </w:tr>
      <w:tr>
        <w:tc>
          <w:tcPr>
            <w:tcW w:type="dxa" w:w="4464"/>
          </w:tcPr>
          <w:p>
            <w:pPr>
              <w:spacing w:after="20"/>
            </w:pPr>
            <w:r>
              <w:rPr>
                <w:b/>
                <w:color w:val="1C3A36"/>
                <w:sz w:val="16"/>
              </w:rPr>
              <w:t>less accumulated amortisation (3.5 yrs)</w:t>
            </w:r>
          </w:p>
        </w:tc>
        <w:tc>
          <w:tcPr>
            <w:tcW w:type="dxa" w:w="1584"/>
          </w:tcPr>
          <w:p>
            <w:pPr>
              <w:spacing w:after="20"/>
              <w:jc w:val="right"/>
            </w:pPr>
            <w:r>
              <w:rPr>
                <w:color w:val="1C3A36"/>
                <w:sz w:val="16"/>
              </w:rPr>
              <w:t>(505)</w:t>
            </w:r>
          </w:p>
        </w:tc>
        <w:tc>
          <w:tcPr>
            <w:tcW w:type="dxa" w:w="4032"/>
          </w:tcPr>
          <w:p>
            <w:pPr>
              <w:spacing w:after="20"/>
            </w:pPr>
            <w:r>
              <w:rPr>
                <w:color w:val="1C3A36"/>
                <w:sz w:val="16"/>
              </w:rPr>
              <w:t>4,200/49 + 2,734/46.67. An intangible cannot outlive its concession.</w:t>
            </w:r>
          </w:p>
        </w:tc>
      </w:tr>
      <w:tr>
        <w:tc>
          <w:tcPr>
            <w:tcW w:type="dxa" w:w="4464"/>
          </w:tcPr>
          <w:p>
            <w:pPr>
              <w:spacing w:after="20"/>
            </w:pPr>
            <w:r>
              <w:rPr>
                <w:b/>
                <w:color w:val="1C3A36"/>
                <w:sz w:val="16"/>
              </w:rPr>
              <w:t>Concession intangible, net</w:t>
            </w:r>
          </w:p>
        </w:tc>
        <w:tc>
          <w:tcPr>
            <w:tcW w:type="dxa" w:w="1584"/>
          </w:tcPr>
          <w:p>
            <w:pPr>
              <w:spacing w:after="20"/>
              <w:jc w:val="right"/>
            </w:pPr>
            <w:r>
              <w:rPr>
                <w:color w:val="1C3A36"/>
                <w:sz w:val="16"/>
              </w:rPr>
              <w:t>6,429</w:t>
            </w:r>
          </w:p>
        </w:tc>
        <w:tc>
          <w:tcPr>
            <w:tcW w:type="dxa" w:w="4032"/>
          </w:tcPr>
          <w:p>
            <w:pPr>
              <w:spacing w:after="20"/>
            </w:pPr>
            <w:r>
              <w:rPr>
                <w:color w:val="1C3A36"/>
                <w:sz w:val="16"/>
              </w:rPr>
            </w:r>
          </w:p>
        </w:tc>
      </w:tr>
      <w:tr>
        <w:tc>
          <w:tcPr>
            <w:tcW w:type="dxa" w:w="4464"/>
          </w:tcPr>
          <w:p>
            <w:pPr>
              <w:spacing w:after="20"/>
            </w:pPr>
            <w:r>
              <w:rPr>
                <w:b/>
                <w:color w:val="1C3A36"/>
                <w:sz w:val="16"/>
              </w:rPr>
              <w:t>Working-capital float (a real, permanent liability to motorists)</w:t>
            </w:r>
          </w:p>
        </w:tc>
        <w:tc>
          <w:tcPr>
            <w:tcW w:type="dxa" w:w="1584"/>
          </w:tcPr>
          <w:p>
            <w:pPr>
              <w:spacing w:after="20"/>
              <w:jc w:val="right"/>
            </w:pPr>
            <w:r>
              <w:rPr>
                <w:color w:val="1C3A36"/>
                <w:sz w:val="16"/>
              </w:rPr>
              <w:t>(846)</w:t>
            </w:r>
          </w:p>
        </w:tc>
        <w:tc>
          <w:tcPr>
            <w:tcW w:type="dxa" w:w="4032"/>
          </w:tcPr>
          <w:p>
            <w:pPr>
              <w:spacing w:after="20"/>
            </w:pPr>
            <w:r>
              <w:rPr>
                <w:color w:val="1C3A36"/>
                <w:sz w:val="16"/>
              </w:rPr>
              <w:t>Prepaid e-wallets. Expert 1 does NOT treat this as free equity — it is other people’s money.</w:t>
            </w:r>
          </w:p>
        </w:tc>
      </w:tr>
      <w:tr>
        <w:tc>
          <w:tcPr>
            <w:tcW w:type="dxa" w:w="4464"/>
          </w:tcPr>
          <w:p>
            <w:pPr>
              <w:spacing w:after="20"/>
            </w:pPr>
            <w:r>
              <w:rPr>
                <w:b/>
                <w:color w:val="1C3A36"/>
                <w:sz w:val="16"/>
              </w:rPr>
              <w:t>= Realizable asset base</w:t>
            </w:r>
          </w:p>
        </w:tc>
        <w:tc>
          <w:tcPr>
            <w:tcW w:type="dxa" w:w="1584"/>
          </w:tcPr>
          <w:p>
            <w:pPr>
              <w:spacing w:after="20"/>
              <w:jc w:val="right"/>
            </w:pPr>
            <w:r>
              <w:rPr>
                <w:color w:val="1C3A36"/>
                <w:sz w:val="16"/>
              </w:rPr>
              <w:t>5,583</w:t>
            </w:r>
          </w:p>
        </w:tc>
        <w:tc>
          <w:tcPr>
            <w:tcW w:type="dxa" w:w="4032"/>
          </w:tcPr>
          <w:p>
            <w:pPr>
              <w:spacing w:after="20"/>
            </w:pPr>
            <w:r>
              <w:rPr>
                <w:color w:val="1C3A36"/>
                <w:sz w:val="16"/>
              </w:rPr>
            </w:r>
          </w:p>
        </w:tc>
      </w:tr>
      <w:tr>
        <w:tc>
          <w:tcPr>
            <w:tcW w:type="dxa" w:w="4464"/>
          </w:tcPr>
          <w:p>
            <w:pPr>
              <w:spacing w:after="20"/>
            </w:pPr>
            <w:r>
              <w:rPr>
                <w:b/>
                <w:color w:val="1C3A36"/>
                <w:sz w:val="16"/>
              </w:rPr>
              <w:t>less: net debt (INCLUSIVE of the RTA payable)</w:t>
            </w:r>
          </w:p>
        </w:tc>
        <w:tc>
          <w:tcPr>
            <w:tcW w:type="dxa" w:w="1584"/>
          </w:tcPr>
          <w:p>
            <w:pPr>
              <w:spacing w:after="20"/>
              <w:jc w:val="right"/>
            </w:pPr>
            <w:r>
              <w:rPr>
                <w:color w:val="1C3A36"/>
                <w:sz w:val="16"/>
              </w:rPr>
              <w:t>(4,226)</w:t>
            </w:r>
          </w:p>
        </w:tc>
        <w:tc>
          <w:tcPr>
            <w:tcW w:type="dxa" w:w="4032"/>
          </w:tcPr>
          <w:p>
            <w:pPr>
              <w:spacing w:after="20"/>
            </w:pPr>
            <w:r>
              <w:rPr>
                <w:color w:val="1C3A36"/>
                <w:sz w:val="16"/>
              </w:rPr>
              <w:t>Disclosed.</w:t>
            </w:r>
          </w:p>
        </w:tc>
      </w:tr>
      <w:tr>
        <w:tc>
          <w:tcPr>
            <w:tcW w:type="dxa" w:w="4464"/>
          </w:tcPr>
          <w:p>
            <w:pPr>
              <w:spacing w:after="20"/>
            </w:pPr>
            <w:r>
              <w:rPr>
                <w:b/>
                <w:color w:val="1C3A36"/>
                <w:sz w:val="16"/>
              </w:rPr>
              <w:t>= Equity on realizable assets</w:t>
            </w:r>
          </w:p>
        </w:tc>
        <w:tc>
          <w:tcPr>
            <w:tcW w:type="dxa" w:w="1584"/>
          </w:tcPr>
          <w:p>
            <w:pPr>
              <w:spacing w:after="20"/>
              <w:jc w:val="right"/>
            </w:pPr>
            <w:r>
              <w:rPr>
                <w:color w:val="1C3A36"/>
                <w:sz w:val="16"/>
              </w:rPr>
              <w:t>1,357</w:t>
            </w:r>
          </w:p>
        </w:tc>
        <w:tc>
          <w:tcPr>
            <w:tcW w:type="dxa" w:w="4032"/>
          </w:tcPr>
          <w:p>
            <w:pPr>
              <w:spacing w:after="20"/>
            </w:pPr>
            <w:r>
              <w:rPr>
                <w:color w:val="1C3A36"/>
                <w:sz w:val="16"/>
              </w:rPr>
              <w:t>AED 0.18 / share. Almost nothing.</w:t>
            </w:r>
          </w:p>
        </w:tc>
      </w:tr>
      <w:tr>
        <w:tc>
          <w:tcPr>
            <w:tcW w:type="dxa" w:w="4464"/>
            <w:shd w:val="clear" w:color="auto" w:fill="F6F1E6"/>
          </w:tcPr>
          <w:p>
            <w:pPr>
              <w:spacing w:after="20"/>
            </w:pPr>
            <w:r>
              <w:rPr>
                <w:b/>
                <w:color w:val="1C3A36"/>
                <w:sz w:val="16"/>
              </w:rPr>
              <w:t>… which is why he does NOT stop there</w:t>
            </w:r>
          </w:p>
        </w:tc>
        <w:tc>
          <w:tcPr>
            <w:tcW w:type="dxa" w:w="1584"/>
            <w:shd w:val="clear" w:color="auto" w:fill="F6F1E6"/>
          </w:tcPr>
          <w:p>
            <w:pPr>
              <w:spacing w:after="20"/>
              <w:jc w:val="right"/>
            </w:pPr>
            <w:r>
              <w:rPr>
                <w:b/>
                <w:color w:val="1C3A36"/>
                <w:sz w:val="16"/>
              </w:rPr>
            </w:r>
          </w:p>
        </w:tc>
        <w:tc>
          <w:tcPr>
            <w:tcW w:type="dxa" w:w="4032"/>
            <w:shd w:val="clear" w:color="auto" w:fill="F6F1E6"/>
          </w:tcPr>
          <w:p>
            <w:pPr>
              <w:spacing w:after="20"/>
            </w:pPr>
            <w:r>
              <w:rPr>
                <w:b/>
                <w:color w:val="1C3A36"/>
                <w:sz w:val="16"/>
              </w:rPr>
            </w:r>
          </w:p>
        </w:tc>
      </w:tr>
      <w:tr>
        <w:tc>
          <w:tcPr>
            <w:tcW w:type="dxa" w:w="4464"/>
          </w:tcPr>
          <w:p>
            <w:pPr>
              <w:spacing w:after="20"/>
            </w:pPr>
            <w:r>
              <w:rPr>
                <w:b/>
                <w:color w:val="1C3A36"/>
                <w:sz w:val="16"/>
              </w:rPr>
              <w:t>Earnings-quality overlay: OCF / net income (FY2025)</w:t>
            </w:r>
          </w:p>
        </w:tc>
        <w:tc>
          <w:tcPr>
            <w:tcW w:type="dxa" w:w="1584"/>
          </w:tcPr>
          <w:p>
            <w:pPr>
              <w:spacing w:after="20"/>
              <w:jc w:val="right"/>
            </w:pPr>
            <w:r>
              <w:rPr>
                <w:color w:val="1C3A36"/>
                <w:sz w:val="16"/>
              </w:rPr>
              <w:t>1.35×</w:t>
            </w:r>
          </w:p>
        </w:tc>
        <w:tc>
          <w:tcPr>
            <w:tcW w:type="dxa" w:w="4032"/>
          </w:tcPr>
          <w:p>
            <w:pPr>
              <w:spacing w:after="20"/>
            </w:pPr>
            <w:r>
              <w:rPr>
                <w:color w:val="1C3A36"/>
                <w:sz w:val="16"/>
              </w:rPr>
              <w:t>Cash conversion is EXCELLENT. The profit is real.</w:t>
            </w:r>
          </w:p>
        </w:tc>
      </w:tr>
      <w:tr>
        <w:tc>
          <w:tcPr>
            <w:tcW w:type="dxa" w:w="4464"/>
          </w:tcPr>
          <w:p>
            <w:pPr>
              <w:spacing w:after="20"/>
            </w:pPr>
            <w:r>
              <w:rPr>
                <w:b/>
                <w:color w:val="1C3A36"/>
                <w:sz w:val="16"/>
              </w:rPr>
              <w:t>Sustainable owner cash: normalized EBITDA − cash tax − capex − RTA instalment</w:t>
            </w:r>
          </w:p>
        </w:tc>
        <w:tc>
          <w:tcPr>
            <w:tcW w:type="dxa" w:w="1584"/>
          </w:tcPr>
          <w:p>
            <w:pPr>
              <w:spacing w:after="20"/>
              <w:jc w:val="right"/>
            </w:pPr>
            <w:r>
              <w:rPr>
                <w:color w:val="1C3A36"/>
                <w:sz w:val="16"/>
              </w:rPr>
              <w:t>1,590</w:t>
            </w:r>
          </w:p>
        </w:tc>
        <w:tc>
          <w:tcPr>
            <w:tcW w:type="dxa" w:w="4032"/>
          </w:tcPr>
          <w:p>
            <w:pPr>
              <w:spacing w:after="20"/>
            </w:pPr>
            <w:r>
              <w:rPr>
                <w:color w:val="1C3A36"/>
                <w:sz w:val="16"/>
              </w:rPr>
              <w:t>Expert 1 is the ONLY member of the panel who subtracts the instalment from the owner’s take.</w:t>
            </w:r>
          </w:p>
        </w:tc>
      </w:tr>
      <w:tr>
        <w:tc>
          <w:tcPr>
            <w:tcW w:type="dxa" w:w="4464"/>
          </w:tcPr>
          <w:p>
            <w:pPr>
              <w:spacing w:after="20"/>
            </w:pPr>
            <w:r>
              <w:rPr>
                <w:b/>
                <w:color w:val="1C3A36"/>
                <w:sz w:val="16"/>
              </w:rPr>
              <w:t>÷ a 7.5% required cash yield (he will not pay up for a government counterparty)</w:t>
            </w:r>
          </w:p>
        </w:tc>
        <w:tc>
          <w:tcPr>
            <w:tcW w:type="dxa" w:w="1584"/>
          </w:tcPr>
          <w:p>
            <w:pPr>
              <w:spacing w:after="20"/>
              <w:jc w:val="right"/>
            </w:pPr>
            <w:r>
              <w:rPr>
                <w:color w:val="1C3A36"/>
                <w:sz w:val="16"/>
              </w:rPr>
              <w:t>21,200</w:t>
            </w:r>
          </w:p>
        </w:tc>
        <w:tc>
          <w:tcPr>
            <w:tcW w:type="dxa" w:w="4032"/>
          </w:tcPr>
          <w:p>
            <w:pPr>
              <w:spacing w:after="20"/>
            </w:pPr>
            <w:r>
              <w:rPr>
                <w:color w:val="1C3A36"/>
                <w:sz w:val="16"/>
              </w:rPr>
            </w:r>
          </w:p>
        </w:tc>
      </w:tr>
      <w:tr>
        <w:tc>
          <w:tcPr>
            <w:tcW w:type="dxa" w:w="4464"/>
          </w:tcPr>
          <w:p>
            <w:pPr>
              <w:spacing w:after="20"/>
            </w:pPr>
            <w:r>
              <w:rPr>
                <w:b/>
                <w:color w:val="1C3A36"/>
                <w:sz w:val="16"/>
              </w:rPr>
              <w:t>less net debt ÷ 7,500 mn shares</w:t>
            </w:r>
          </w:p>
        </w:tc>
        <w:tc>
          <w:tcPr>
            <w:tcW w:type="dxa" w:w="1584"/>
          </w:tcPr>
          <w:p>
            <w:pPr>
              <w:spacing w:after="20"/>
              <w:jc w:val="right"/>
            </w:pPr>
            <w:r>
              <w:rPr>
                <w:color w:val="1C3A36"/>
                <w:sz w:val="16"/>
              </w:rPr>
            </w:r>
          </w:p>
        </w:tc>
        <w:tc>
          <w:tcPr>
            <w:tcW w:type="dxa" w:w="4032"/>
          </w:tcPr>
          <w:p>
            <w:pPr>
              <w:spacing w:after="20"/>
            </w:pPr>
            <w:r>
              <w:rPr>
                <w:color w:val="1C3A36"/>
                <w:sz w:val="16"/>
              </w:rPr>
              <w:t>AED 4.05 / share</w:t>
            </w:r>
          </w:p>
        </w:tc>
      </w:tr>
    </w:tbl>
    <w:p>
      <w:pPr>
        <w:spacing w:after="40"/>
      </w:pP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56"/>
        <w:gridCol w:w="2556"/>
        <w:gridCol w:w="2556"/>
        <w:gridCol w:w="2556"/>
      </w:tblGrid>
      <w:tr>
        <w:tc>
          <w:tcPr>
            <w:tcW w:type="dxa" w:w="3744"/>
            <w:shd w:val="clear" w:color="auto" w:fill="EAF0EE"/>
          </w:tcPr>
          <w:p>
            <w:pPr>
              <w:spacing w:after="20"/>
            </w:pPr>
            <w:r>
              <w:rPr>
                <w:b/>
                <w:color w:val="1C3A36"/>
                <w:sz w:val="16"/>
              </w:rPr>
              <w:t>Required cash yield</w:t>
            </w:r>
          </w:p>
        </w:tc>
        <w:tc>
          <w:tcPr>
            <w:tcW w:type="dxa" w:w="1440"/>
            <w:shd w:val="clear" w:color="auto" w:fill="EAF0EE"/>
          </w:tcPr>
          <w:p>
            <w:pPr>
              <w:spacing w:after="20"/>
            </w:pPr>
            <w:r>
              <w:rPr>
                <w:b/>
                <w:color w:val="1C3A36"/>
                <w:sz w:val="16"/>
              </w:rPr>
              <w:t>6.5%</w:t>
            </w:r>
          </w:p>
        </w:tc>
        <w:tc>
          <w:tcPr>
            <w:tcW w:type="dxa" w:w="1584"/>
            <w:shd w:val="clear" w:color="auto" w:fill="EAF0EE"/>
          </w:tcPr>
          <w:p>
            <w:pPr>
              <w:spacing w:after="20"/>
            </w:pPr>
            <w:r>
              <w:rPr>
                <w:b/>
                <w:color w:val="1C3A36"/>
                <w:sz w:val="16"/>
              </w:rPr>
              <w:t>7.5% (base)</w:t>
            </w:r>
          </w:p>
        </w:tc>
        <w:tc>
          <w:tcPr>
            <w:tcW w:type="dxa" w:w="1440"/>
            <w:shd w:val="clear" w:color="auto" w:fill="EAF0EE"/>
          </w:tcPr>
          <w:p>
            <w:pPr>
              <w:spacing w:after="20"/>
            </w:pPr>
            <w:r>
              <w:rPr>
                <w:b/>
                <w:color w:val="1C3A36"/>
                <w:sz w:val="16"/>
              </w:rPr>
              <w:t>9.0%</w:t>
            </w:r>
          </w:p>
        </w:tc>
      </w:tr>
      <w:tr>
        <w:tc>
          <w:tcPr>
            <w:tcW w:type="dxa" w:w="3744"/>
          </w:tcPr>
          <w:p>
            <w:pPr>
              <w:spacing w:after="20"/>
            </w:pPr>
            <w:r>
              <w:rPr>
                <w:b/>
                <w:color w:val="1C3A36"/>
                <w:sz w:val="16"/>
              </w:rPr>
              <w:t>Value, AED/share</w:t>
            </w:r>
          </w:p>
        </w:tc>
        <w:tc>
          <w:tcPr>
            <w:tcW w:type="dxa" w:w="1440"/>
          </w:tcPr>
          <w:p>
            <w:pPr>
              <w:spacing w:after="20"/>
              <w:jc w:val="right"/>
            </w:pPr>
            <w:r>
              <w:rPr>
                <w:color w:val="1C3A36"/>
                <w:sz w:val="16"/>
              </w:rPr>
              <w:t>AED 5.05</w:t>
            </w:r>
          </w:p>
        </w:tc>
        <w:tc>
          <w:tcPr>
            <w:tcW w:type="dxa" w:w="1584"/>
          </w:tcPr>
          <w:p>
            <w:pPr>
              <w:spacing w:after="20"/>
              <w:jc w:val="right"/>
            </w:pPr>
            <w:r>
              <w:rPr>
                <w:color w:val="1C3A36"/>
                <w:sz w:val="16"/>
              </w:rPr>
              <w:t>AED 4.05</w:t>
            </w:r>
          </w:p>
        </w:tc>
        <w:tc>
          <w:tcPr>
            <w:tcW w:type="dxa" w:w="1440"/>
          </w:tcPr>
          <w:p>
            <w:pPr>
              <w:spacing w:after="20"/>
              <w:jc w:val="right"/>
            </w:pPr>
            <w:r>
              <w:rPr>
                <w:color w:val="1C3A36"/>
                <w:sz w:val="16"/>
              </w:rPr>
              <w:t>AED 3.15</w:t>
            </w:r>
          </w:p>
        </w:tc>
      </w:tr>
    </w:tbl>
    <w:p>
      <w:pPr>
        <w:spacing w:after="40"/>
      </w:pPr>
    </w:p>
    <w:p>
      <w:pPr>
        <w:spacing w:after="120" w:before="0"/>
      </w:pPr>
      <w:r>
        <w:rPr>
          <w:b/>
          <w:i w:val="0"/>
          <w:color w:val="1C3A36"/>
          <w:sz w:val="21"/>
        </w:rPr>
        <w:t>Range AED 3.15 – 5.05, central AED 4.05.</w:t>
      </w:r>
    </w:p>
    <w:p>
      <w:pPr>
        <w:spacing w:after="120" w:before="0"/>
      </w:pPr>
      <w:r>
        <w:rPr>
          <w:b w:val="0"/>
          <w:i/>
          <w:color w:val="896F36"/>
          <w:sz w:val="18"/>
        </w:rPr>
        <w:t>Swing inputs: the required cash yield; whether the RTA instalment is a permanent claim or a temporary one. Falsification: a durable lift in cash conversion, OR the instalments ending in 2030 without a new gate purchase replacing them — in which case his deduction is a five-year drag, not a perpetual one, and he is too harsh by roughly AED 0.80.</w:t>
      </w:r>
    </w:p>
    <w:p>
      <w:pPr>
        <w:spacing w:after="80" w:before="180"/>
      </w:pPr>
      <w:r>
        <w:rPr>
          <w:b/>
          <w:i w:val="0"/>
          <w:color w:val="1C3A36"/>
          <w:sz w:val="23"/>
        </w:rPr>
        <w:t>C.2 Expert 2 — earnings power</w:t>
      </w:r>
    </w:p>
    <w:p>
      <w:pPr>
        <w:spacing w:after="120" w:before="0"/>
      </w:pPr>
      <w:r>
        <w:rPr>
          <w:b w:val="0"/>
          <w:i w:val="0"/>
          <w:color w:val="1C3A36"/>
          <w:sz w:val="21"/>
        </w:rPr>
        <w:t>Lens: normalized through-cycle earnings at a justified multiple. Worldview: an operating company is worth a fair multiple of its SUSTAINABLE, mid-cycle earnings power. He strips one-off peaks and troughs and asks what the business earns through the cycle.</w:t>
      </w:r>
    </w:p>
    <w:p>
      <w:pPr>
        <w:spacing w:after="120" w:before="0"/>
      </w:pPr>
      <w:r>
        <w:rPr>
          <w:b w:val="0"/>
          <w:i/>
          <w:color w:val="6E7B77"/>
          <w:sz w:val="18"/>
        </w:rPr>
        <w:t>Expert 2 is the reason §1.6c exists. He is the one who refuses to pay for FY2025.</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408"/>
        <w:gridCol w:w="3408"/>
        <w:gridCol w:w="3408"/>
      </w:tblGrid>
      <w:tr>
        <w:tc>
          <w:tcPr>
            <w:tcW w:type="dxa" w:w="3830"/>
            <w:shd w:val="clear" w:color="auto" w:fill="EAF0EE"/>
          </w:tcPr>
          <w:p>
            <w:pPr>
              <w:spacing w:after="20"/>
            </w:pPr>
            <w:r>
              <w:rPr>
                <w:b/>
                <w:color w:val="1C3A36"/>
                <w:sz w:val="16"/>
              </w:rPr>
              <w:t>Step</w:t>
            </w:r>
          </w:p>
        </w:tc>
        <w:tc>
          <w:tcPr>
            <w:tcW w:type="dxa" w:w="1872"/>
            <w:shd w:val="clear" w:color="auto" w:fill="EAF0EE"/>
          </w:tcPr>
          <w:p>
            <w:pPr>
              <w:spacing w:after="20"/>
            </w:pPr>
            <w:r>
              <w:rPr>
                <w:b/>
                <w:color w:val="1C3A36"/>
                <w:sz w:val="16"/>
              </w:rPr>
              <w:t>Value</w:t>
            </w:r>
          </w:p>
        </w:tc>
        <w:tc>
          <w:tcPr>
            <w:tcW w:type="dxa" w:w="4378"/>
            <w:shd w:val="clear" w:color="auto" w:fill="EAF0EE"/>
          </w:tcPr>
          <w:p>
            <w:pPr>
              <w:spacing w:after="20"/>
            </w:pPr>
            <w:r>
              <w:rPr>
                <w:b/>
                <w:color w:val="1C3A36"/>
                <w:sz w:val="16"/>
              </w:rPr>
              <w:t>Basis</w:t>
            </w:r>
          </w:p>
        </w:tc>
      </w:tr>
      <w:tr>
        <w:tc>
          <w:tcPr>
            <w:tcW w:type="dxa" w:w="3830"/>
          </w:tcPr>
          <w:p>
            <w:pPr>
              <w:spacing w:after="20"/>
            </w:pPr>
            <w:r>
              <w:rPr>
                <w:b/>
                <w:color w:val="1C3A36"/>
                <w:sz w:val="16"/>
              </w:rPr>
              <w:t>FY2025 reported revenue growth</w:t>
            </w:r>
          </w:p>
        </w:tc>
        <w:tc>
          <w:tcPr>
            <w:tcW w:type="dxa" w:w="1872"/>
          </w:tcPr>
          <w:p>
            <w:pPr>
              <w:spacing w:after="20"/>
              <w:jc w:val="right"/>
            </w:pPr>
            <w:r>
              <w:rPr>
                <w:color w:val="1C3A36"/>
                <w:sz w:val="16"/>
              </w:rPr>
              <w:t>+35.1%</w:t>
            </w:r>
          </w:p>
        </w:tc>
        <w:tc>
          <w:tcPr>
            <w:tcW w:type="dxa" w:w="4378"/>
          </w:tcPr>
          <w:p>
            <w:pPr>
              <w:spacing w:after="20"/>
            </w:pPr>
            <w:r>
              <w:rPr>
                <w:color w:val="1C3A36"/>
                <w:sz w:val="16"/>
              </w:rPr>
              <w:t>The headline everyone quotes.</w:t>
            </w:r>
          </w:p>
        </w:tc>
      </w:tr>
      <w:tr>
        <w:tc>
          <w:tcPr>
            <w:tcW w:type="dxa" w:w="3830"/>
          </w:tcPr>
          <w:p>
            <w:pPr>
              <w:spacing w:after="20"/>
            </w:pPr>
            <w:r>
              <w:rPr>
                <w:b/>
                <w:color w:val="1C3A36"/>
                <w:sz w:val="16"/>
              </w:rPr>
              <w:t>… of which ONE-OFF (gate count 8→10; tariff flat→variable)</w:t>
            </w:r>
          </w:p>
        </w:tc>
        <w:tc>
          <w:tcPr>
            <w:tcW w:type="dxa" w:w="1872"/>
          </w:tcPr>
          <w:p>
            <w:pPr>
              <w:spacing w:after="20"/>
              <w:jc w:val="right"/>
            </w:pPr>
            <w:r>
              <w:rPr>
                <w:color w:val="1C3A36"/>
                <w:sz w:val="16"/>
              </w:rPr>
              <w:t>84%</w:t>
            </w:r>
          </w:p>
        </w:tc>
        <w:tc>
          <w:tcPr>
            <w:tcW w:type="dxa" w:w="4378"/>
          </w:tcPr>
          <w:p>
            <w:pPr>
              <w:spacing w:after="20"/>
            </w:pPr>
            <w:r>
              <w:rPr>
                <w:color w:val="1C3A36"/>
                <w:sz w:val="16"/>
              </w:rPr>
              <w:t>On the company’s OWN new-gate trip figure. §1.6c.</w:t>
            </w:r>
          </w:p>
        </w:tc>
      </w:tr>
      <w:tr>
        <w:tc>
          <w:tcPr>
            <w:tcW w:type="dxa" w:w="3830"/>
          </w:tcPr>
          <w:p>
            <w:pPr>
              <w:spacing w:after="20"/>
            </w:pPr>
            <w:r>
              <w:rPr>
                <w:b/>
                <w:color w:val="1C3A36"/>
                <w:sz w:val="16"/>
              </w:rPr>
              <w:t>… of which ORGANIC</w:t>
            </w:r>
          </w:p>
        </w:tc>
        <w:tc>
          <w:tcPr>
            <w:tcW w:type="dxa" w:w="1872"/>
          </w:tcPr>
          <w:p>
            <w:pPr>
              <w:spacing w:after="20"/>
              <w:jc w:val="right"/>
            </w:pPr>
            <w:r>
              <w:rPr>
                <w:color w:val="1C3A36"/>
                <w:sz w:val="16"/>
              </w:rPr>
              <w:t>16%</w:t>
            </w:r>
          </w:p>
        </w:tc>
        <w:tc>
          <w:tcPr>
            <w:tcW w:type="dxa" w:w="4378"/>
          </w:tcPr>
          <w:p>
            <w:pPr>
              <w:spacing w:after="20"/>
            </w:pPr>
            <w:r>
              <w:rPr>
                <w:color w:val="1C3A36"/>
                <w:sz w:val="16"/>
              </w:rPr>
              <w:t>AED 120 mn of AED 738 mn.</w:t>
            </w:r>
          </w:p>
        </w:tc>
      </w:tr>
      <w:tr>
        <w:tc>
          <w:tcPr>
            <w:tcW w:type="dxa" w:w="3830"/>
          </w:tcPr>
          <w:p>
            <w:pPr>
              <w:spacing w:after="20"/>
            </w:pPr>
            <w:r>
              <w:rPr>
                <w:b/>
                <w:color w:val="1C3A36"/>
                <w:sz w:val="16"/>
              </w:rPr>
              <w:t>⇒ Sustainable revenue growth, mid-cycle</w:t>
            </w:r>
          </w:p>
        </w:tc>
        <w:tc>
          <w:tcPr>
            <w:tcW w:type="dxa" w:w="1872"/>
          </w:tcPr>
          <w:p>
            <w:pPr>
              <w:spacing w:after="20"/>
              <w:jc w:val="right"/>
            </w:pPr>
            <w:r>
              <w:rPr>
                <w:color w:val="1C3A36"/>
                <w:sz w:val="16"/>
              </w:rPr>
              <w:t>4–5%</w:t>
            </w:r>
          </w:p>
        </w:tc>
        <w:tc>
          <w:tcPr>
            <w:tcW w:type="dxa" w:w="4378"/>
          </w:tcPr>
          <w:p>
            <w:pPr>
              <w:spacing w:after="20"/>
            </w:pPr>
            <w:r>
              <w:rPr>
                <w:color w:val="1C3A36"/>
                <w:sz w:val="16"/>
              </w:rPr>
              <w:t>The company’s OWN disclosure: revenue-generating trips grew at a 4.3% CAGR 2013–2023.</w:t>
            </w:r>
          </w:p>
        </w:tc>
      </w:tr>
      <w:tr>
        <w:tc>
          <w:tcPr>
            <w:tcW w:type="dxa" w:w="3830"/>
          </w:tcPr>
          <w:p>
            <w:pPr>
              <w:spacing w:after="20"/>
            </w:pPr>
            <w:r>
              <w:rPr>
                <w:b/>
                <w:color w:val="1C3A36"/>
                <w:sz w:val="16"/>
              </w:rPr>
              <w:t>Normalized (non-conflict) net profit</w:t>
            </w:r>
          </w:p>
        </w:tc>
        <w:tc>
          <w:tcPr>
            <w:tcW w:type="dxa" w:w="1872"/>
          </w:tcPr>
          <w:p>
            <w:pPr>
              <w:spacing w:after="20"/>
              <w:jc w:val="right"/>
            </w:pPr>
            <w:r>
              <w:rPr>
                <w:color w:val="1C3A36"/>
                <w:sz w:val="16"/>
              </w:rPr>
              <w:t>AED 1,700 mn</w:t>
            </w:r>
          </w:p>
        </w:tc>
        <w:tc>
          <w:tcPr>
            <w:tcW w:type="dxa" w:w="4378"/>
          </w:tcPr>
          <w:p>
            <w:pPr>
              <w:spacing w:after="20"/>
            </w:pPr>
            <w:r>
              <w:rPr>
                <w:color w:val="1C3A36"/>
                <w:sz w:val="16"/>
              </w:rPr>
              <w:t>Ten gates, variable pricing embedded, no war.</w:t>
            </w:r>
          </w:p>
        </w:tc>
      </w:tr>
      <w:tr>
        <w:tc>
          <w:tcPr>
            <w:tcW w:type="dxa" w:w="3830"/>
          </w:tcPr>
          <w:p>
            <w:pPr>
              <w:spacing w:after="20"/>
            </w:pPr>
            <w:r>
              <w:rPr>
                <w:b/>
                <w:color w:val="1C3A36"/>
                <w:sz w:val="16"/>
              </w:rPr>
              <w:t>Normalized EPS</w:t>
            </w:r>
          </w:p>
        </w:tc>
        <w:tc>
          <w:tcPr>
            <w:tcW w:type="dxa" w:w="1872"/>
          </w:tcPr>
          <w:p>
            <w:pPr>
              <w:spacing w:after="20"/>
              <w:jc w:val="right"/>
            </w:pPr>
            <w:r>
              <w:rPr>
                <w:color w:val="1C3A36"/>
                <w:sz w:val="16"/>
              </w:rPr>
              <w:t>AED 0.2267</w:t>
            </w:r>
          </w:p>
        </w:tc>
        <w:tc>
          <w:tcPr>
            <w:tcW w:type="dxa" w:w="4378"/>
          </w:tcPr>
          <w:p>
            <w:pPr>
              <w:spacing w:after="20"/>
            </w:pPr>
            <w:r>
              <w:rPr>
                <w:color w:val="1C3A36"/>
                <w:sz w:val="16"/>
              </w:rPr>
              <w:t>100% payout ⇒ this is also the DPS.</w:t>
            </w:r>
          </w:p>
        </w:tc>
      </w:tr>
      <w:tr>
        <w:tc>
          <w:tcPr>
            <w:tcW w:type="dxa" w:w="3830"/>
          </w:tcPr>
          <w:p>
            <w:pPr>
              <w:spacing w:after="20"/>
            </w:pPr>
            <w:r>
              <w:rPr>
                <w:b/>
                <w:color w:val="1C3A36"/>
                <w:sz w:val="16"/>
              </w:rPr>
              <w:t>Justified P/E</w:t>
            </w:r>
          </w:p>
        </w:tc>
        <w:tc>
          <w:tcPr>
            <w:tcW w:type="dxa" w:w="1872"/>
          </w:tcPr>
          <w:p>
            <w:pPr>
              <w:spacing w:after="20"/>
              <w:jc w:val="right"/>
            </w:pPr>
            <w:r>
              <w:rPr>
                <w:color w:val="1C3A36"/>
                <w:sz w:val="16"/>
              </w:rPr>
              <w:t>22×</w:t>
            </w:r>
          </w:p>
        </w:tc>
        <w:tc>
          <w:tcPr>
            <w:tcW w:type="dxa" w:w="4378"/>
          </w:tcPr>
          <w:p>
            <w:pPr>
              <w:spacing w:after="20"/>
            </w:pPr>
            <w:r>
              <w:rPr>
                <w:color w:val="1C3A36"/>
                <w:sz w:val="16"/>
              </w:rPr>
              <w:t>A DISCOUNT to Parkin’s 24.9× — same grantor, same term, same payout, but Parkin is not buying assets from its own controlling shareholder at a 9.5% return.</w:t>
            </w:r>
          </w:p>
        </w:tc>
      </w:tr>
    </w:tbl>
    <w:p>
      <w:pPr>
        <w:spacing w:after="40"/>
      </w:pP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56"/>
        <w:gridCol w:w="2556"/>
        <w:gridCol w:w="2556"/>
        <w:gridCol w:w="2556"/>
      </w:tblGrid>
      <w:tr>
        <w:tc>
          <w:tcPr>
            <w:tcW w:type="dxa" w:w="4176"/>
            <w:shd w:val="clear" w:color="auto" w:fill="EAF0EE"/>
          </w:tcPr>
          <w:p>
            <w:pPr>
              <w:spacing w:after="20"/>
            </w:pPr>
            <w:r>
              <w:rPr>
                <w:b/>
                <w:color w:val="1C3A36"/>
                <w:sz w:val="16"/>
              </w:rPr>
              <w:t>Normalized EPS \ P/E</w:t>
            </w:r>
          </w:p>
        </w:tc>
        <w:tc>
          <w:tcPr>
            <w:tcW w:type="dxa" w:w="1512"/>
            <w:shd w:val="clear" w:color="auto" w:fill="EAF0EE"/>
          </w:tcPr>
          <w:p>
            <w:pPr>
              <w:spacing w:after="20"/>
            </w:pPr>
            <w:r>
              <w:rPr>
                <w:b/>
                <w:color w:val="1C3A36"/>
                <w:sz w:val="16"/>
              </w:rPr>
              <w:t>18×</w:t>
            </w:r>
          </w:p>
        </w:tc>
        <w:tc>
          <w:tcPr>
            <w:tcW w:type="dxa" w:w="1656"/>
            <w:shd w:val="clear" w:color="auto" w:fill="EAF0EE"/>
          </w:tcPr>
          <w:p>
            <w:pPr>
              <w:spacing w:after="20"/>
            </w:pPr>
            <w:r>
              <w:rPr>
                <w:b/>
                <w:color w:val="1C3A36"/>
                <w:sz w:val="16"/>
              </w:rPr>
              <w:t>22× (base)</w:t>
            </w:r>
          </w:p>
        </w:tc>
        <w:tc>
          <w:tcPr>
            <w:tcW w:type="dxa" w:w="1512"/>
            <w:shd w:val="clear" w:color="auto" w:fill="EAF0EE"/>
          </w:tcPr>
          <w:p>
            <w:pPr>
              <w:spacing w:after="20"/>
            </w:pPr>
            <w:r>
              <w:rPr>
                <w:b/>
                <w:color w:val="1C3A36"/>
                <w:sz w:val="16"/>
              </w:rPr>
              <w:t>26×</w:t>
            </w:r>
          </w:p>
        </w:tc>
      </w:tr>
      <w:tr>
        <w:tc>
          <w:tcPr>
            <w:tcW w:type="dxa" w:w="4176"/>
          </w:tcPr>
          <w:p>
            <w:pPr>
              <w:spacing w:after="20"/>
            </w:pPr>
            <w:r>
              <w:rPr>
                <w:b/>
                <w:color w:val="1C3A36"/>
                <w:sz w:val="16"/>
              </w:rPr>
              <w:t>AED 0.2086 (a harsher normalisation)</w:t>
            </w:r>
          </w:p>
        </w:tc>
        <w:tc>
          <w:tcPr>
            <w:tcW w:type="dxa" w:w="1512"/>
          </w:tcPr>
          <w:p>
            <w:pPr>
              <w:spacing w:after="20"/>
              <w:jc w:val="right"/>
            </w:pPr>
            <w:r>
              <w:rPr>
                <w:color w:val="1C3A36"/>
                <w:sz w:val="16"/>
              </w:rPr>
              <w:t>AED 3.75</w:t>
            </w:r>
          </w:p>
        </w:tc>
        <w:tc>
          <w:tcPr>
            <w:tcW w:type="dxa" w:w="1656"/>
          </w:tcPr>
          <w:p>
            <w:pPr>
              <w:spacing w:after="20"/>
              <w:jc w:val="right"/>
            </w:pPr>
            <w:r>
              <w:rPr>
                <w:color w:val="1C3A36"/>
                <w:sz w:val="16"/>
              </w:rPr>
              <w:t>AED 4.59</w:t>
            </w:r>
          </w:p>
        </w:tc>
        <w:tc>
          <w:tcPr>
            <w:tcW w:type="dxa" w:w="1512"/>
          </w:tcPr>
          <w:p>
            <w:pPr>
              <w:spacing w:after="20"/>
              <w:jc w:val="right"/>
            </w:pPr>
            <w:r>
              <w:rPr>
                <w:color w:val="1C3A36"/>
                <w:sz w:val="16"/>
              </w:rPr>
              <w:t>AED 5.42</w:t>
            </w:r>
          </w:p>
        </w:tc>
      </w:tr>
      <w:tr>
        <w:tc>
          <w:tcPr>
            <w:tcW w:type="dxa" w:w="4176"/>
          </w:tcPr>
          <w:p>
            <w:pPr>
              <w:spacing w:after="20"/>
            </w:pPr>
            <w:r>
              <w:rPr>
                <w:b/>
                <w:color w:val="1C3A36"/>
                <w:sz w:val="16"/>
              </w:rPr>
              <w:t>AED 0.2267 (base)</w:t>
            </w:r>
          </w:p>
        </w:tc>
        <w:tc>
          <w:tcPr>
            <w:tcW w:type="dxa" w:w="1512"/>
          </w:tcPr>
          <w:p>
            <w:pPr>
              <w:spacing w:after="20"/>
              <w:jc w:val="right"/>
            </w:pPr>
            <w:r>
              <w:rPr>
                <w:color w:val="1C3A36"/>
                <w:sz w:val="16"/>
              </w:rPr>
              <w:t>AED 4.08</w:t>
            </w:r>
          </w:p>
        </w:tc>
        <w:tc>
          <w:tcPr>
            <w:tcW w:type="dxa" w:w="1656"/>
          </w:tcPr>
          <w:p>
            <w:pPr>
              <w:spacing w:after="20"/>
              <w:jc w:val="right"/>
            </w:pPr>
            <w:r>
              <w:rPr>
                <w:color w:val="1C3A36"/>
                <w:sz w:val="16"/>
              </w:rPr>
              <w:t>AED 4.99</w:t>
            </w:r>
          </w:p>
        </w:tc>
        <w:tc>
          <w:tcPr>
            <w:tcW w:type="dxa" w:w="1512"/>
          </w:tcPr>
          <w:p>
            <w:pPr>
              <w:spacing w:after="20"/>
              <w:jc w:val="right"/>
            </w:pPr>
            <w:r>
              <w:rPr>
                <w:color w:val="1C3A36"/>
                <w:sz w:val="16"/>
              </w:rPr>
              <w:t>AED 5.89</w:t>
            </w:r>
          </w:p>
        </w:tc>
      </w:tr>
      <w:tr>
        <w:tc>
          <w:tcPr>
            <w:tcW w:type="dxa" w:w="4176"/>
            <w:shd w:val="clear" w:color="auto" w:fill="F6F1E6"/>
          </w:tcPr>
          <w:p>
            <w:pPr>
              <w:spacing w:after="20"/>
            </w:pPr>
            <w:r>
              <w:rPr>
                <w:b/>
                <w:color w:val="1C3A36"/>
                <w:sz w:val="16"/>
              </w:rPr>
              <w:t>AED 0.2449 (a faster recovery)</w:t>
            </w:r>
          </w:p>
        </w:tc>
        <w:tc>
          <w:tcPr>
            <w:tcW w:type="dxa" w:w="1512"/>
            <w:shd w:val="clear" w:color="auto" w:fill="F6F1E6"/>
          </w:tcPr>
          <w:p>
            <w:pPr>
              <w:spacing w:after="20"/>
              <w:jc w:val="right"/>
            </w:pPr>
            <w:r>
              <w:rPr>
                <w:b/>
                <w:color w:val="1C3A36"/>
                <w:sz w:val="16"/>
              </w:rPr>
              <w:t>AED 4.41</w:t>
            </w:r>
          </w:p>
        </w:tc>
        <w:tc>
          <w:tcPr>
            <w:tcW w:type="dxa" w:w="1656"/>
            <w:shd w:val="clear" w:color="auto" w:fill="F6F1E6"/>
          </w:tcPr>
          <w:p>
            <w:pPr>
              <w:spacing w:after="20"/>
              <w:jc w:val="right"/>
            </w:pPr>
            <w:r>
              <w:rPr>
                <w:b/>
                <w:color w:val="1C3A36"/>
                <w:sz w:val="16"/>
              </w:rPr>
              <w:t>AED 5.39</w:t>
            </w:r>
          </w:p>
        </w:tc>
        <w:tc>
          <w:tcPr>
            <w:tcW w:type="dxa" w:w="1512"/>
            <w:shd w:val="clear" w:color="auto" w:fill="F6F1E6"/>
          </w:tcPr>
          <w:p>
            <w:pPr>
              <w:spacing w:after="20"/>
              <w:jc w:val="right"/>
            </w:pPr>
            <w:r>
              <w:rPr>
                <w:b/>
                <w:color w:val="1C3A36"/>
                <w:sz w:val="16"/>
              </w:rPr>
              <w:t>AED 6.37</w:t>
            </w:r>
          </w:p>
        </w:tc>
      </w:tr>
    </w:tbl>
    <w:p>
      <w:pPr>
        <w:spacing w:after="40"/>
      </w:pPr>
    </w:p>
    <w:p>
      <w:pPr>
        <w:spacing w:after="120" w:before="0"/>
      </w:pPr>
      <w:r>
        <w:rPr>
          <w:b/>
          <w:i w:val="0"/>
          <w:color w:val="1C3A36"/>
          <w:sz w:val="21"/>
        </w:rPr>
        <w:t>Range AED 3.75 – 6.37, central AED 4.99.</w:t>
      </w:r>
    </w:p>
    <w:p>
      <w:pPr>
        <w:spacing w:after="120" w:before="0"/>
      </w:pPr>
      <w:r>
        <w:rPr>
          <w:b w:val="0"/>
          <w:i/>
          <w:color w:val="896F36"/>
          <w:sz w:val="18"/>
        </w:rPr>
        <w:t>Swing inputs: the normalized margin; the justified multiple. Falsification: a structural margin re-rating, or a multiple-regime change. Specifically — if Dubai’s traffic returns to the FY2025 level AND the market keeps paying 28×, he is wrong and the stock is worth AED 6.35.</w:t>
      </w:r>
    </w:p>
    <w:p>
      <w:pPr>
        <w:spacing w:after="80" w:before="180"/>
      </w:pPr>
      <w:r>
        <w:rPr>
          <w:b/>
          <w:i w:val="0"/>
          <w:color w:val="1C3A36"/>
          <w:sz w:val="23"/>
        </w:rPr>
        <w:t>C.3 Expert 3 — macro-policy</w:t>
      </w:r>
    </w:p>
    <w:p>
      <w:pPr>
        <w:spacing w:after="120" w:before="0"/>
      </w:pPr>
      <w:r>
        <w:rPr>
          <w:b w:val="0"/>
          <w:i w:val="0"/>
          <w:color w:val="1C3A36"/>
          <w:sz w:val="21"/>
        </w:rPr>
        <w:t>Lens: scenario-weighted real options on policy and macro. Worldview: in frontier and emerging markets, policy outranks fundamentals. He prices the asset as a set of options on WHICH POLICY WORLD ARRIVES. Standard workings: identify the policy levers; define bull/base/bear as CONFIGURATIONS of those levers; re-run the base valuation under each so the scenario values are DERIVED, not asserted; probability-weight; stress the weights.</w:t>
      </w:r>
    </w:p>
    <w:p>
      <w:pPr>
        <w:spacing w:after="120" w:before="0"/>
      </w:pPr>
      <w:r>
        <w:rPr>
          <w:b w:val="0"/>
          <w:i/>
          <w:color w:val="6E7B77"/>
          <w:sz w:val="18"/>
        </w:rPr>
        <w:t>For Salik the levers are three, and every one of them belongs to the Government of Dubai: the war, the tariff, and the population.</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45"/>
        <w:gridCol w:w="2045"/>
        <w:gridCol w:w="2045"/>
        <w:gridCol w:w="2045"/>
        <w:gridCol w:w="2045"/>
      </w:tblGrid>
      <w:tr>
        <w:tc>
          <w:tcPr>
            <w:tcW w:type="dxa" w:w="1670"/>
            <w:shd w:val="clear" w:color="auto" w:fill="EAF0EE"/>
          </w:tcPr>
          <w:p>
            <w:pPr>
              <w:spacing w:after="20"/>
            </w:pPr>
            <w:r>
              <w:rPr>
                <w:b/>
                <w:color w:val="1C3A36"/>
                <w:sz w:val="15"/>
              </w:rPr>
              <w:t>State</w:t>
            </w:r>
          </w:p>
        </w:tc>
        <w:tc>
          <w:tcPr>
            <w:tcW w:type="dxa" w:w="518"/>
            <w:shd w:val="clear" w:color="auto" w:fill="EAF0EE"/>
          </w:tcPr>
          <w:p>
            <w:pPr>
              <w:spacing w:after="20"/>
            </w:pPr>
            <w:r>
              <w:rPr>
                <w:b/>
                <w:color w:val="1C3A36"/>
                <w:sz w:val="15"/>
              </w:rPr>
              <w:t>P</w:t>
            </w:r>
          </w:p>
        </w:tc>
        <w:tc>
          <w:tcPr>
            <w:tcW w:type="dxa" w:w="4493"/>
            <w:shd w:val="clear" w:color="auto" w:fill="EAF0EE"/>
          </w:tcPr>
          <w:p>
            <w:pPr>
              <w:spacing w:after="20"/>
            </w:pPr>
            <w:r>
              <w:rPr>
                <w:b/>
                <w:color w:val="1C3A36"/>
                <w:sz w:val="15"/>
              </w:rPr>
              <w:t>The lever configuration</w:t>
            </w:r>
          </w:p>
        </w:tc>
        <w:tc>
          <w:tcPr>
            <w:tcW w:type="dxa" w:w="1094"/>
            <w:shd w:val="clear" w:color="auto" w:fill="EAF0EE"/>
          </w:tcPr>
          <w:p>
            <w:pPr>
              <w:spacing w:after="20"/>
            </w:pPr>
            <w:r>
              <w:rPr>
                <w:b/>
                <w:color w:val="1C3A36"/>
                <w:sz w:val="15"/>
              </w:rPr>
              <w:t>Value</w:t>
            </w:r>
          </w:p>
        </w:tc>
        <w:tc>
          <w:tcPr>
            <w:tcW w:type="dxa" w:w="1440"/>
            <w:shd w:val="clear" w:color="auto" w:fill="EAF0EE"/>
          </w:tcPr>
          <w:p>
            <w:pPr>
              <w:spacing w:after="20"/>
            </w:pPr>
            <w:r>
              <w:rPr>
                <w:b/>
                <w:color w:val="1C3A36"/>
                <w:sz w:val="15"/>
              </w:rPr>
              <w:t>Contribution</w:t>
            </w:r>
          </w:p>
        </w:tc>
      </w:tr>
      <w:tr>
        <w:tc>
          <w:tcPr>
            <w:tcW w:type="dxa" w:w="1670"/>
          </w:tcPr>
          <w:p>
            <w:pPr>
              <w:spacing w:after="20"/>
            </w:pPr>
            <w:r>
              <w:rPr>
                <w:b/>
                <w:color w:val="1C3A36"/>
                <w:sz w:val="15"/>
              </w:rPr>
              <w:t>Normalisation</w:t>
            </w:r>
          </w:p>
        </w:tc>
        <w:tc>
          <w:tcPr>
            <w:tcW w:type="dxa" w:w="518"/>
          </w:tcPr>
          <w:p>
            <w:pPr>
              <w:spacing w:after="20"/>
            </w:pPr>
            <w:r>
              <w:rPr>
                <w:color w:val="1C3A36"/>
                <w:sz w:val="15"/>
              </w:rPr>
              <w:t>50%</w:t>
            </w:r>
          </w:p>
        </w:tc>
        <w:tc>
          <w:tcPr>
            <w:tcW w:type="dxa" w:w="4493"/>
          </w:tcPr>
          <w:p>
            <w:pPr>
              <w:spacing w:after="20"/>
            </w:pPr>
            <w:r>
              <w:rPr>
                <w:color w:val="1C3A36"/>
                <w:sz w:val="15"/>
              </w:rPr>
              <w:t>The war ends. The beta reverts to its MEASURED pre-war 0.47 (§1.8). Trips recover to FY2025 by 2027. The Executive Council grants a CPI-linked tariff rise. Residents stay.</w:t>
            </w:r>
          </w:p>
        </w:tc>
        <w:tc>
          <w:tcPr>
            <w:tcW w:type="dxa" w:w="1094"/>
          </w:tcPr>
          <w:p>
            <w:pPr>
              <w:spacing w:after="20"/>
              <w:jc w:val="right"/>
            </w:pPr>
            <w:r>
              <w:rPr>
                <w:color w:val="1C3A36"/>
                <w:sz w:val="15"/>
              </w:rPr>
              <w:t>AED 6.00</w:t>
            </w:r>
          </w:p>
        </w:tc>
        <w:tc>
          <w:tcPr>
            <w:tcW w:type="dxa" w:w="1440"/>
          </w:tcPr>
          <w:p>
            <w:pPr>
              <w:spacing w:after="20"/>
              <w:jc w:val="right"/>
            </w:pPr>
            <w:r>
              <w:rPr>
                <w:color w:val="1C3A36"/>
                <w:sz w:val="15"/>
              </w:rPr>
              <w:t>AED 3.00</w:t>
            </w:r>
          </w:p>
        </w:tc>
      </w:tr>
      <w:tr>
        <w:tc>
          <w:tcPr>
            <w:tcW w:type="dxa" w:w="1670"/>
          </w:tcPr>
          <w:p>
            <w:pPr>
              <w:spacing w:after="20"/>
            </w:pPr>
            <w:r>
              <w:rPr>
                <w:b/>
                <w:color w:val="1C3A36"/>
                <w:sz w:val="15"/>
              </w:rPr>
              <w:t>Grind</w:t>
            </w:r>
          </w:p>
        </w:tc>
        <w:tc>
          <w:tcPr>
            <w:tcW w:type="dxa" w:w="518"/>
          </w:tcPr>
          <w:p>
            <w:pPr>
              <w:spacing w:after="20"/>
            </w:pPr>
            <w:r>
              <w:rPr>
                <w:color w:val="1C3A36"/>
                <w:sz w:val="15"/>
              </w:rPr>
              <w:t>32%</w:t>
            </w:r>
          </w:p>
        </w:tc>
        <w:tc>
          <w:tcPr>
            <w:tcW w:type="dxa" w:w="4493"/>
          </w:tcPr>
          <w:p>
            <w:pPr>
              <w:spacing w:after="20"/>
            </w:pPr>
            <w:r>
              <w:rPr>
                <w:color w:val="1C3A36"/>
                <w:sz w:val="15"/>
              </w:rPr>
              <w:t>The truce holds but confidence does not. The beta stays at the war-inclusive 0.64. Trips plateau ~8% below FY2025. No tariff rise — but the concession fee is cut toward the 15% floor, which is worth AED 192 mn a year and is why this state is not worse.</w:t>
            </w:r>
          </w:p>
        </w:tc>
        <w:tc>
          <w:tcPr>
            <w:tcW w:type="dxa" w:w="1094"/>
          </w:tcPr>
          <w:p>
            <w:pPr>
              <w:spacing w:after="20"/>
              <w:jc w:val="right"/>
            </w:pPr>
            <w:r>
              <w:rPr>
                <w:color w:val="1C3A36"/>
                <w:sz w:val="15"/>
              </w:rPr>
              <w:t>AED 3.55</w:t>
            </w:r>
          </w:p>
        </w:tc>
        <w:tc>
          <w:tcPr>
            <w:tcW w:type="dxa" w:w="1440"/>
          </w:tcPr>
          <w:p>
            <w:pPr>
              <w:spacing w:after="20"/>
              <w:jc w:val="right"/>
            </w:pPr>
            <w:r>
              <w:rPr>
                <w:color w:val="1C3A36"/>
                <w:sz w:val="15"/>
              </w:rPr>
              <w:t>AED 1.14</w:t>
            </w:r>
          </w:p>
        </w:tc>
      </w:tr>
      <w:tr>
        <w:tc>
          <w:tcPr>
            <w:tcW w:type="dxa" w:w="1670"/>
          </w:tcPr>
          <w:p>
            <w:pPr>
              <w:spacing w:after="20"/>
            </w:pPr>
            <w:r>
              <w:rPr>
                <w:b/>
                <w:color w:val="1C3A36"/>
                <w:sz w:val="15"/>
              </w:rPr>
              <w:t>Regime break</w:t>
            </w:r>
          </w:p>
        </w:tc>
        <w:tc>
          <w:tcPr>
            <w:tcW w:type="dxa" w:w="518"/>
          </w:tcPr>
          <w:p>
            <w:pPr>
              <w:spacing w:after="20"/>
            </w:pPr>
            <w:r>
              <w:rPr>
                <w:color w:val="1C3A36"/>
                <w:sz w:val="15"/>
              </w:rPr>
              <w:t>18%</w:t>
            </w:r>
          </w:p>
        </w:tc>
        <w:tc>
          <w:tcPr>
            <w:tcW w:type="dxa" w:w="4493"/>
          </w:tcPr>
          <w:p>
            <w:pPr>
              <w:spacing w:after="20"/>
            </w:pPr>
            <w:r>
              <w:rPr>
                <w:color w:val="1C3A36"/>
                <w:sz w:val="15"/>
              </w:rPr>
              <w:t>Sustained net departure of foreign residents. Dubai’s resident base shrinks 5–8%. AND the board trims the payout below 100% to fund the RTA instalments (§1.2a) — which invalidates the dividend AND the relative lens simultaneously, because with a 100% payout they are the same multiple.</w:t>
            </w:r>
          </w:p>
        </w:tc>
        <w:tc>
          <w:tcPr>
            <w:tcW w:type="dxa" w:w="1094"/>
          </w:tcPr>
          <w:p>
            <w:pPr>
              <w:spacing w:after="20"/>
              <w:jc w:val="right"/>
            </w:pPr>
            <w:r>
              <w:rPr>
                <w:color w:val="1C3A36"/>
                <w:sz w:val="15"/>
              </w:rPr>
              <w:t>AED 2.05</w:t>
            </w:r>
          </w:p>
        </w:tc>
        <w:tc>
          <w:tcPr>
            <w:tcW w:type="dxa" w:w="1440"/>
          </w:tcPr>
          <w:p>
            <w:pPr>
              <w:spacing w:after="20"/>
              <w:jc w:val="right"/>
            </w:pPr>
            <w:r>
              <w:rPr>
                <w:color w:val="1C3A36"/>
                <w:sz w:val="15"/>
              </w:rPr>
              <w:t>AED 0.37</w:t>
            </w:r>
          </w:p>
        </w:tc>
      </w:tr>
    </w:tbl>
    <w:p>
      <w:pPr>
        <w:spacing w:after="40"/>
      </w:pP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112"/>
        <w:gridCol w:w="5112"/>
      </w:tblGrid>
      <w:tr>
        <w:tc>
          <w:tcPr>
            <w:tcW w:type="dxa" w:w="7056"/>
            <w:shd w:val="clear" w:color="auto" w:fill="EAF0EE"/>
          </w:tcPr>
          <w:p>
            <w:pPr>
              <w:spacing w:after="20"/>
            </w:pPr>
            <w:r>
              <w:rPr>
                <w:b/>
                <w:color w:val="1C3A36"/>
                <w:sz w:val="16"/>
              </w:rPr>
              <w:t>Probability-weighted value</w:t>
            </w:r>
          </w:p>
        </w:tc>
        <w:tc>
          <w:tcPr>
            <w:tcW w:type="dxa" w:w="1944"/>
            <w:shd w:val="clear" w:color="auto" w:fill="EAF0EE"/>
          </w:tcPr>
          <w:p>
            <w:pPr>
              <w:spacing w:after="20"/>
            </w:pPr>
            <w:r>
              <w:rPr>
                <w:b/>
                <w:color w:val="1C3A36"/>
                <w:sz w:val="16"/>
              </w:rPr>
              <w:t>AED 4.51</w:t>
            </w:r>
          </w:p>
        </w:tc>
      </w:tr>
      <w:tr>
        <w:tc>
          <w:tcPr>
            <w:tcW w:type="dxa" w:w="7056"/>
          </w:tcPr>
          <w:p>
            <w:pPr>
              <w:spacing w:after="20"/>
            </w:pPr>
            <w:r>
              <w:rPr>
                <w:b/>
                <w:color w:val="1C3A36"/>
                <w:sz w:val="16"/>
              </w:rPr>
              <w:t>Stress the weights: 40 / 35 / 25</w:t>
            </w:r>
          </w:p>
        </w:tc>
        <w:tc>
          <w:tcPr>
            <w:tcW w:type="dxa" w:w="1944"/>
          </w:tcPr>
          <w:p>
            <w:pPr>
              <w:spacing w:after="20"/>
              <w:jc w:val="right"/>
            </w:pPr>
            <w:r>
              <w:rPr>
                <w:color w:val="1C3A36"/>
                <w:sz w:val="16"/>
              </w:rPr>
              <w:t>AED 4.15</w:t>
            </w:r>
          </w:p>
        </w:tc>
      </w:tr>
      <w:tr>
        <w:tc>
          <w:tcPr>
            <w:tcW w:type="dxa" w:w="7056"/>
          </w:tcPr>
          <w:p>
            <w:pPr>
              <w:spacing w:after="20"/>
            </w:pPr>
            <w:r>
              <w:rPr>
                <w:b/>
                <w:color w:val="1C3A36"/>
                <w:sz w:val="16"/>
              </w:rPr>
              <w:t>Stress the weights: 60 / 28 / 12</w:t>
            </w:r>
          </w:p>
        </w:tc>
        <w:tc>
          <w:tcPr>
            <w:tcW w:type="dxa" w:w="1944"/>
          </w:tcPr>
          <w:p>
            <w:pPr>
              <w:spacing w:after="20"/>
              <w:jc w:val="right"/>
            </w:pPr>
            <w:r>
              <w:rPr>
                <w:color w:val="1C3A36"/>
                <w:sz w:val="16"/>
              </w:rPr>
              <w:t>AED 4.85</w:t>
            </w:r>
          </w:p>
        </w:tc>
      </w:tr>
      <w:tr>
        <w:tc>
          <w:tcPr>
            <w:tcW w:type="dxa" w:w="7056"/>
          </w:tcPr>
          <w:p>
            <w:pPr>
              <w:spacing w:after="20"/>
            </w:pPr>
            <w:r>
              <w:rPr>
                <w:b/>
                <w:color w:val="1C3A36"/>
                <w:sz w:val="16"/>
              </w:rPr>
              <w:t>Expert 3’s published central</w:t>
            </w:r>
          </w:p>
        </w:tc>
        <w:tc>
          <w:tcPr>
            <w:tcW w:type="dxa" w:w="1944"/>
          </w:tcPr>
          <w:p>
            <w:pPr>
              <w:spacing w:after="20"/>
              <w:jc w:val="right"/>
            </w:pPr>
            <w:r>
              <w:rPr>
                <w:color w:val="1C3A36"/>
                <w:sz w:val="16"/>
              </w:rPr>
              <w:t>AED 4.50</w:t>
            </w:r>
          </w:p>
        </w:tc>
      </w:tr>
    </w:tbl>
    <w:p>
      <w:pPr>
        <w:spacing w:after="40"/>
      </w:pPr>
    </w:p>
    <w:p>
      <w:pPr>
        <w:spacing w:after="120" w:before="0"/>
      </w:pPr>
      <w:r>
        <w:rPr>
          <w:b w:val="0"/>
          <w:i w:val="0"/>
          <w:color w:val="1C3A36"/>
          <w:sz w:val="21"/>
        </w:rPr>
        <w:t>Expert 3’s point, put bluntly: "Every one of the three levers that decides this valuation is held by the same counterparty — the Government of Dubai, which is also the grantor, the regulator, the vendor and the 75.1% shareholder. I am not pricing a toll road. I am pricing a policy portfolio with a toll road attached."</w:t>
      </w:r>
    </w:p>
    <w:p>
      <w:pPr>
        <w:spacing w:after="120" w:before="0"/>
      </w:pPr>
      <w:r>
        <w:rPr>
          <w:b w:val="0"/>
          <w:i/>
          <w:color w:val="896F36"/>
          <w:sz w:val="18"/>
        </w:rPr>
        <w:t>Swing inputs: the scenario probabilities. Falsification: a fourth, unmodelled policy shock dominating — or the scenario set being mis-specified. Concretely: Dubai’s official 2026 population count. If the resident base is flat or up, his regime-break state collapses to near-zero and he concedes.</w:t>
      </w:r>
    </w:p>
    <w:p>
      <w:pPr>
        <w:spacing w:after="80" w:before="180"/>
      </w:pPr>
      <w:r>
        <w:rPr>
          <w:b/>
          <w:i w:val="0"/>
          <w:color w:val="1C3A36"/>
          <w:sz w:val="23"/>
        </w:rPr>
        <w:t>C.4 Expert 4 — cash returns</w:t>
      </w:r>
    </w:p>
    <w:p>
      <w:pPr>
        <w:spacing w:after="120" w:before="0"/>
      </w:pPr>
      <w:r>
        <w:rPr>
          <w:b w:val="0"/>
          <w:i w:val="0"/>
          <w:color w:val="1C3A36"/>
          <w:sz w:val="21"/>
        </w:rPr>
        <w:t>Lens: discounted free cash flow plus returns on invested capital versus the cost of capital — economic profit. Worldview: a business creates value ONLY when it earns above its cost of capital. Standard workings: build free cash flow; compute ROIC against WACC; discount the explicit stream plus a terminal value CONSISTENT WITH RETURNS FADING TOWARD THE COST OF CAPITAL; sensitize on the WACC and on the SPEED OF THE FADE.</w:t>
      </w:r>
    </w:p>
    <w:p>
      <w:pPr>
        <w:spacing w:after="120" w:before="0"/>
      </w:pPr>
      <w:r>
        <w:rPr>
          <w:b w:val="0"/>
          <w:i/>
          <w:color w:val="6E7B77"/>
          <w:sz w:val="18"/>
        </w:rPr>
        <w:t>Expert 4 is the reason §1.6b exists, and he is the only member of the panel who models the fade.</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408"/>
        <w:gridCol w:w="3408"/>
        <w:gridCol w:w="3408"/>
      </w:tblGrid>
      <w:tr>
        <w:tc>
          <w:tcPr>
            <w:tcW w:type="dxa" w:w="4550"/>
            <w:shd w:val="clear" w:color="auto" w:fill="EAF0EE"/>
          </w:tcPr>
          <w:p>
            <w:pPr>
              <w:spacing w:after="20"/>
            </w:pPr>
            <w:r>
              <w:rPr>
                <w:b/>
                <w:color w:val="1C3A36"/>
                <w:sz w:val="16"/>
              </w:rPr>
              <w:t>Step</w:t>
            </w:r>
          </w:p>
        </w:tc>
        <w:tc>
          <w:tcPr>
            <w:tcW w:type="dxa" w:w="1642"/>
            <w:shd w:val="clear" w:color="auto" w:fill="EAF0EE"/>
          </w:tcPr>
          <w:p>
            <w:pPr>
              <w:spacing w:after="20"/>
            </w:pPr>
            <w:r>
              <w:rPr>
                <w:b/>
                <w:color w:val="1C3A36"/>
                <w:sz w:val="16"/>
              </w:rPr>
              <w:t>Value</w:t>
            </w:r>
          </w:p>
        </w:tc>
        <w:tc>
          <w:tcPr>
            <w:tcW w:type="dxa" w:w="3888"/>
            <w:shd w:val="clear" w:color="auto" w:fill="EAF0EE"/>
          </w:tcPr>
          <w:p>
            <w:pPr>
              <w:spacing w:after="20"/>
            </w:pPr>
            <w:r>
              <w:rPr>
                <w:b/>
                <w:color w:val="1C3A36"/>
                <w:sz w:val="16"/>
              </w:rPr>
              <w:t>Note</w:t>
            </w:r>
          </w:p>
        </w:tc>
      </w:tr>
      <w:tr>
        <w:tc>
          <w:tcPr>
            <w:tcW w:type="dxa" w:w="4550"/>
          </w:tcPr>
          <w:p>
            <w:pPr>
              <w:spacing w:after="20"/>
            </w:pPr>
            <w:r>
              <w:rPr>
                <w:b/>
                <w:color w:val="1C3A36"/>
                <w:sz w:val="16"/>
              </w:rPr>
              <w:t>ROIC — the ORIGINAL 8 gates (FY2024, the clean year)</w:t>
            </w:r>
          </w:p>
        </w:tc>
        <w:tc>
          <w:tcPr>
            <w:tcW w:type="dxa" w:w="1642"/>
          </w:tcPr>
          <w:p>
            <w:pPr>
              <w:spacing w:after="20"/>
              <w:jc w:val="right"/>
            </w:pPr>
            <w:r>
              <w:rPr>
                <w:color w:val="1C3A36"/>
                <w:sz w:val="16"/>
              </w:rPr>
              <w:t>32%</w:t>
            </w:r>
          </w:p>
        </w:tc>
        <w:tc>
          <w:tcPr>
            <w:tcW w:type="dxa" w:w="3888"/>
          </w:tcPr>
          <w:p>
            <w:pPr>
              <w:spacing w:after="20"/>
            </w:pPr>
            <w:r>
              <w:rPr>
                <w:color w:val="1C3A36"/>
                <w:sz w:val="16"/>
              </w:rPr>
              <w:t>What the RTA HANDED Salik at the IPO, to make the IPO work.</w:t>
            </w:r>
          </w:p>
        </w:tc>
      </w:tr>
      <w:tr>
        <w:tc>
          <w:tcPr>
            <w:tcW w:type="dxa" w:w="4550"/>
          </w:tcPr>
          <w:p>
            <w:pPr>
              <w:spacing w:after="20"/>
            </w:pPr>
            <w:r>
              <w:rPr>
                <w:b/>
                <w:color w:val="1C3A36"/>
                <w:sz w:val="16"/>
              </w:rPr>
              <w:t>ROIC — the 2 gates the RTA SOLD Salik (2024)</w:t>
            </w:r>
          </w:p>
        </w:tc>
        <w:tc>
          <w:tcPr>
            <w:tcW w:type="dxa" w:w="1642"/>
          </w:tcPr>
          <w:p>
            <w:pPr>
              <w:spacing w:after="20"/>
              <w:jc w:val="right"/>
            </w:pPr>
            <w:r>
              <w:rPr>
                <w:color w:val="1C3A36"/>
                <w:sz w:val="16"/>
              </w:rPr>
              <w:t>9.5%</w:t>
            </w:r>
          </w:p>
        </w:tc>
        <w:tc>
          <w:tcPr>
            <w:tcW w:type="dxa" w:w="3888"/>
          </w:tcPr>
          <w:p>
            <w:pPr>
              <w:spacing w:after="20"/>
            </w:pPr>
            <w:r>
              <w:rPr>
                <w:color w:val="1C3A36"/>
                <w:sz w:val="16"/>
              </w:rPr>
              <w:t>On the company’s OWN 111 mn trip figure and the correct AED 2,734 mn / 46.67-yr basis.</w:t>
            </w:r>
          </w:p>
        </w:tc>
      </w:tr>
      <w:tr>
        <w:tc>
          <w:tcPr>
            <w:tcW w:type="dxa" w:w="4550"/>
          </w:tcPr>
          <w:p>
            <w:pPr>
              <w:spacing w:after="20"/>
            </w:pPr>
            <w:r>
              <w:rPr>
                <w:b/>
                <w:color w:val="1C3A36"/>
                <w:sz w:val="16"/>
              </w:rPr>
              <w:t>WACC</w:t>
            </w:r>
          </w:p>
        </w:tc>
        <w:tc>
          <w:tcPr>
            <w:tcW w:type="dxa" w:w="1642"/>
          </w:tcPr>
          <w:p>
            <w:pPr>
              <w:spacing w:after="20"/>
              <w:jc w:val="right"/>
            </w:pPr>
            <w:r>
              <w:rPr>
                <w:color w:val="1C3A36"/>
                <w:sz w:val="16"/>
              </w:rPr>
              <w:t>8.1%</w:t>
            </w:r>
          </w:p>
        </w:tc>
        <w:tc>
          <w:tcPr>
            <w:tcW w:type="dxa" w:w="3888"/>
          </w:tcPr>
          <w:p>
            <w:pPr>
              <w:spacing w:after="20"/>
            </w:pPr>
            <w:r>
              <w:rPr>
                <w:color w:val="1C3A36"/>
                <w:sz w:val="16"/>
              </w:rPr>
              <w:t>Measured beta. §1.8.</w:t>
            </w:r>
          </w:p>
        </w:tc>
      </w:tr>
      <w:tr>
        <w:tc>
          <w:tcPr>
            <w:tcW w:type="dxa" w:w="4550"/>
          </w:tcPr>
          <w:p>
            <w:pPr>
              <w:spacing w:after="20"/>
            </w:pPr>
            <w:r>
              <w:rPr>
                <w:b/>
                <w:color w:val="1C3A36"/>
                <w:sz w:val="16"/>
              </w:rPr>
              <w:t>⇒ Economic-profit spread on NEW capital</w:t>
            </w:r>
          </w:p>
        </w:tc>
        <w:tc>
          <w:tcPr>
            <w:tcW w:type="dxa" w:w="1642"/>
          </w:tcPr>
          <w:p>
            <w:pPr>
              <w:spacing w:after="20"/>
              <w:jc w:val="right"/>
            </w:pPr>
            <w:r>
              <w:rPr>
                <w:color w:val="1C3A36"/>
                <w:sz w:val="16"/>
              </w:rPr>
              <w:t>+1.4 pp</w:t>
            </w:r>
          </w:p>
        </w:tc>
        <w:tc>
          <w:tcPr>
            <w:tcW w:type="dxa" w:w="3888"/>
          </w:tcPr>
          <w:p>
            <w:pPr>
              <w:spacing w:after="20"/>
            </w:pPr>
            <w:r>
              <w:rPr>
                <w:color w:val="1C3A36"/>
                <w:sz w:val="16"/>
              </w:rPr>
              <w:t>Barely positive. In the pessimistic corner of the box, NEGATIVE.</w:t>
            </w:r>
          </w:p>
        </w:tc>
      </w:tr>
      <w:tr>
        <w:tc>
          <w:tcPr>
            <w:tcW w:type="dxa" w:w="4550"/>
          </w:tcPr>
          <w:p>
            <w:pPr>
              <w:spacing w:after="20"/>
            </w:pPr>
            <w:r>
              <w:rPr>
                <w:b/>
                <w:color w:val="1C3A36"/>
                <w:sz w:val="16"/>
              </w:rPr>
              <w:t>⇒ The fade is not a theory here — it is already observable</w:t>
            </w:r>
          </w:p>
        </w:tc>
        <w:tc>
          <w:tcPr>
            <w:tcW w:type="dxa" w:w="1642"/>
          </w:tcPr>
          <w:p>
            <w:pPr>
              <w:spacing w:after="20"/>
              <w:jc w:val="right"/>
            </w:pPr>
            <w:r>
              <w:rPr>
                <w:color w:val="1C3A36"/>
                <w:sz w:val="16"/>
              </w:rPr>
            </w:r>
          </w:p>
        </w:tc>
        <w:tc>
          <w:tcPr>
            <w:tcW w:type="dxa" w:w="3888"/>
          </w:tcPr>
          <w:p>
            <w:pPr>
              <w:spacing w:after="20"/>
            </w:pPr>
            <w:r>
              <w:rPr>
                <w:color w:val="1C3A36"/>
                <w:sz w:val="16"/>
              </w:rPr>
              <w:t>The company has ALREADY deployed capital at 9.5% against an 8.1% cost. Expert 4 does not have to assume a fade; he has watched one happen.</w:t>
            </w:r>
          </w:p>
        </w:tc>
      </w:tr>
      <w:tr>
        <w:tc>
          <w:tcPr>
            <w:tcW w:type="dxa" w:w="4550"/>
          </w:tcPr>
          <w:p>
            <w:pPr>
              <w:spacing w:after="20"/>
            </w:pPr>
            <w:r>
              <w:rPr>
                <w:b/>
                <w:color w:val="1C3A36"/>
                <w:sz w:val="16"/>
              </w:rPr>
              <w:t>Base case: NO new gates (our house DCF)</w:t>
            </w:r>
          </w:p>
        </w:tc>
        <w:tc>
          <w:tcPr>
            <w:tcW w:type="dxa" w:w="1642"/>
          </w:tcPr>
          <w:p>
            <w:pPr>
              <w:spacing w:after="20"/>
              <w:jc w:val="right"/>
            </w:pPr>
            <w:r>
              <w:rPr>
                <w:color w:val="1C3A36"/>
                <w:sz w:val="16"/>
              </w:rPr>
              <w:t>AED 4.49</w:t>
            </w:r>
          </w:p>
        </w:tc>
        <w:tc>
          <w:tcPr>
            <w:tcW w:type="dxa" w:w="3888"/>
          </w:tcPr>
          <w:p>
            <w:pPr>
              <w:spacing w:after="20"/>
            </w:pPr>
            <w:r>
              <w:rPr>
                <w:color w:val="1C3A36"/>
                <w:sz w:val="16"/>
              </w:rPr>
              <w:t>Gives Salik credit ONLY for the free growth engine.</w:t>
            </w:r>
          </w:p>
        </w:tc>
      </w:tr>
      <w:tr>
        <w:tc>
          <w:tcPr>
            <w:tcW w:type="dxa" w:w="4550"/>
          </w:tcPr>
          <w:p>
            <w:pPr>
              <w:spacing w:after="20"/>
            </w:pPr>
            <w:r>
              <w:rPr>
                <w:b/>
                <w:color w:val="1C3A36"/>
                <w:sz w:val="16"/>
              </w:rPr>
              <w:t>A new gate every 8 years at 9.5%</w:t>
            </w:r>
          </w:p>
        </w:tc>
        <w:tc>
          <w:tcPr>
            <w:tcW w:type="dxa" w:w="1642"/>
          </w:tcPr>
          <w:p>
            <w:pPr>
              <w:spacing w:after="20"/>
              <w:jc w:val="right"/>
            </w:pPr>
            <w:r>
              <w:rPr>
                <w:color w:val="1C3A36"/>
                <w:sz w:val="16"/>
              </w:rPr>
              <w:t>AED 4.15</w:t>
            </w:r>
          </w:p>
        </w:tc>
        <w:tc>
          <w:tcPr>
            <w:tcW w:type="dxa" w:w="3888"/>
          </w:tcPr>
          <w:p>
            <w:pPr>
              <w:spacing w:after="20"/>
            </w:pPr>
            <w:r>
              <w:rPr>
                <w:color w:val="1C3A36"/>
                <w:sz w:val="16"/>
              </w:rPr>
            </w:r>
          </w:p>
        </w:tc>
      </w:tr>
      <w:tr>
        <w:tc>
          <w:tcPr>
            <w:tcW w:type="dxa" w:w="4550"/>
          </w:tcPr>
          <w:p>
            <w:pPr>
              <w:spacing w:after="20"/>
            </w:pPr>
            <w:r>
              <w:rPr>
                <w:b/>
                <w:color w:val="1C3A36"/>
                <w:sz w:val="16"/>
              </w:rPr>
              <w:t>A new gate every 5 years at 9.5%</w:t>
            </w:r>
          </w:p>
        </w:tc>
        <w:tc>
          <w:tcPr>
            <w:tcW w:type="dxa" w:w="1642"/>
          </w:tcPr>
          <w:p>
            <w:pPr>
              <w:spacing w:after="20"/>
              <w:jc w:val="right"/>
            </w:pPr>
            <w:r>
              <w:rPr>
                <w:color w:val="1C3A36"/>
                <w:sz w:val="16"/>
              </w:rPr>
              <w:t>AED 3.95</w:t>
            </w:r>
          </w:p>
        </w:tc>
        <w:tc>
          <w:tcPr>
            <w:tcW w:type="dxa" w:w="3888"/>
          </w:tcPr>
          <w:p>
            <w:pPr>
              <w:spacing w:after="20"/>
            </w:pPr>
            <w:r>
              <w:rPr>
                <w:color w:val="1C3A36"/>
                <w:sz w:val="16"/>
              </w:rPr>
            </w:r>
          </w:p>
        </w:tc>
      </w:tr>
      <w:tr>
        <w:tc>
          <w:tcPr>
            <w:tcW w:type="dxa" w:w="4550"/>
          </w:tcPr>
          <w:p>
            <w:pPr>
              <w:spacing w:after="20"/>
            </w:pPr>
            <w:r>
              <w:rPr>
                <w:b/>
                <w:color w:val="1C3A36"/>
                <w:sz w:val="16"/>
              </w:rPr>
              <w:t>A new gate every 3 years at 9.5%</w:t>
            </w:r>
          </w:p>
        </w:tc>
        <w:tc>
          <w:tcPr>
            <w:tcW w:type="dxa" w:w="1642"/>
          </w:tcPr>
          <w:p>
            <w:pPr>
              <w:spacing w:after="20"/>
              <w:jc w:val="right"/>
            </w:pPr>
            <w:r>
              <w:rPr>
                <w:color w:val="1C3A36"/>
                <w:sz w:val="16"/>
              </w:rPr>
              <w:t>AED 3.59</w:t>
            </w:r>
          </w:p>
        </w:tc>
        <w:tc>
          <w:tcPr>
            <w:tcW w:type="dxa" w:w="3888"/>
          </w:tcPr>
          <w:p>
            <w:pPr>
              <w:spacing w:after="20"/>
            </w:pPr>
            <w:r>
              <w:rPr>
                <w:color w:val="1C3A36"/>
                <w:sz w:val="16"/>
              </w:rPr>
              <w:t>The RTA has added gates ONCE in 3.5 years as a listed company.</w:t>
            </w:r>
          </w:p>
        </w:tc>
      </w:tr>
    </w:tbl>
    <w:p>
      <w:pPr>
        <w:spacing w:after="40"/>
      </w:pPr>
    </w:p>
    <w:p>
      <w:pPr>
        <w:spacing w:after="120" w:before="0"/>
      </w:pPr>
      <w:r>
        <w:rPr>
          <w:b/>
          <w:i w:val="0"/>
          <w:color w:val="1C3A36"/>
          <w:sz w:val="21"/>
        </w:rPr>
        <w:t>Expert 4 weights the gate cadence at one every 6–8 years and lands at AED 4.30. Range AED 3.59 – 4.49, central AED 4.30.</w:t>
      </w:r>
    </w:p>
    <w:p>
      <w:pPr>
        <w:spacing w:after="120" w:before="0"/>
      </w:pPr>
      <w:r>
        <w:rPr>
          <w:b w:val="0"/>
          <w:i w:val="0"/>
          <w:color w:val="1C3A36"/>
          <w:sz w:val="21"/>
        </w:rPr>
        <w:t>Expert 4’s point: "Everyone is arguing about the discount rate. Fine. But look at what the company DID with the last AED 2.7 billion it deployed — it bought an asset returning 9.5% against a cost of capital of 8.1%. That is not a compounder. That is a utility with a related-party capital call attached, and the market is paying a compounder’s multiple for it."</w:t>
      </w:r>
    </w:p>
    <w:p>
      <w:pPr>
        <w:spacing w:after="120" w:before="0"/>
      </w:pPr>
      <w:r>
        <w:rPr>
          <w:b w:val="0"/>
          <w:i/>
          <w:color w:val="896F36"/>
          <w:sz w:val="18"/>
        </w:rPr>
        <w:t>Swing inputs: the WACC; the speed at which excess returns fade. Falsification: a structural change in returns on capital — specifically, an RTA gate sold to Salik at a price implying a 15%+ return, which would prove the 2024 deal was an outlier rather than the template.</w:t>
      </w:r>
    </w:p>
    <w:p>
      <w:pPr>
        <w:spacing w:after="80" w:before="180"/>
      </w:pPr>
      <w:r>
        <w:rPr>
          <w:b/>
          <w:i w:val="0"/>
          <w:color w:val="1C3A36"/>
          <w:sz w:val="23"/>
        </w:rPr>
        <w:t>C.5 Cross-examination</w:t>
      </w:r>
    </w:p>
    <w:p>
      <w:pPr>
        <w:spacing w:after="120" w:before="0"/>
      </w:pPr>
      <w:r>
        <w:rPr>
          <w:b w:val="0"/>
          <w:i w:val="0"/>
          <w:color w:val="1C3A36"/>
          <w:sz w:val="21"/>
        </w:rPr>
        <w:t>Expert 2 to Expert 3: "You carry an 18% chance of a regime break. But Salik’s own Q1-2026 disclosure shows registered active accounts UP 7.5% and active vehicles UP 8.4% — in the very quarter trips fell 7.7%. The customer base GREW. People did not leave; they stayed home. That is a utilisation shock, not a population shock, and you are pricing the wrong one."</w:t>
      </w:r>
    </w:p>
    <w:p>
      <w:pPr>
        <w:spacing w:after="120" w:before="0"/>
      </w:pPr>
      <w:r>
        <w:rPr>
          <w:b w:val="0"/>
          <w:i w:val="0"/>
          <w:color w:val="1C3A36"/>
          <w:sz w:val="21"/>
        </w:rPr>
        <w:t>Expert 3 to Expert 2: "Active accounts are a lagging indicator — nobody cancels a Salik tag on the way to the airport. And you apply a 22× multiple to a normalized year. Normalized against WHAT? You have one clean year of a ten-gate network, and it was 84% one-offs."</w:t>
      </w:r>
    </w:p>
    <w:p>
      <w:pPr>
        <w:spacing w:after="120" w:before="0"/>
      </w:pPr>
      <w:r>
        <w:rPr>
          <w:b w:val="0"/>
          <w:i w:val="0"/>
          <w:color w:val="1C3A36"/>
          <w:sz w:val="21"/>
        </w:rPr>
        <w:t>Expert 1 to Expert 4: "Your gate-cadence scenarios are elegant and they are guesses. Mine is a signed instalment schedule in the CFO’s Review. AED 455.7 million a year, six years, from November 2024. You are modelling a hypothetical capital call while ignoring the actual one."</w:t>
      </w:r>
    </w:p>
    <w:p>
      <w:pPr>
        <w:spacing w:after="120" w:before="0"/>
      </w:pPr>
      <w:r>
        <w:rPr>
          <w:b w:val="0"/>
          <w:i w:val="0"/>
          <w:color w:val="1C3A36"/>
          <w:sz w:val="21"/>
        </w:rPr>
        <w:t>Expert 4 to Expert 1: "And you are deducting that instalment from owner earnings IN PERPETUITY when it ends in 2030. Your AED 4.05 is too harsh by about eighty fils for exactly that reason, and you know it — it is in your own falsifier."</w:t>
      </w:r>
    </w:p>
    <w:p>
      <w:pPr>
        <w:spacing w:after="120" w:before="0"/>
      </w:pPr>
      <w:r>
        <w:rPr>
          <w:b w:val="0"/>
          <w:i w:val="0"/>
          <w:color w:val="1C3A36"/>
          <w:sz w:val="21"/>
        </w:rPr>
        <w:t>Expert 3 to all three: "You are all arguing about the numerator. The measured beta went from 0.47 to 1.00 when the war started. That single fact moves this valuation by more than everything the three of you have said combined."</w:t>
      </w:r>
    </w:p>
    <w:p>
      <w:pPr>
        <w:spacing w:after="120" w:before="0"/>
      </w:pPr>
      <w:r>
        <w:rPr>
          <w:b w:val="0"/>
          <w:i w:val="0"/>
          <w:color w:val="1C3A36"/>
          <w:sz w:val="21"/>
        </w:rPr>
        <w:t>Expert 1, closing: "Show me the cash, not the booking. The cash says: a 100% payout, an AED 455.7 million senior claim in front of it, and a retained wedge of AED 116 million. Those three numbers do not fit in the same year, and someone is going to have to give."</w:t>
      </w:r>
    </w:p>
    <w:p>
      <w:pPr>
        <w:spacing w:after="80" w:before="180"/>
      </w:pPr>
      <w:r>
        <w:rPr>
          <w:b/>
          <w:i w:val="0"/>
          <w:color w:val="1C3A36"/>
          <w:sz w:val="23"/>
        </w:rPr>
        <w:t>C.6 The four in one room</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704"/>
        <w:gridCol w:w="1704"/>
        <w:gridCol w:w="1704"/>
        <w:gridCol w:w="1704"/>
        <w:gridCol w:w="1704"/>
        <w:gridCol w:w="1704"/>
      </w:tblGrid>
      <w:tr>
        <w:tc>
          <w:tcPr>
            <w:tcW w:type="dxa" w:w="922"/>
            <w:shd w:val="clear" w:color="auto" w:fill="EAF0EE"/>
          </w:tcPr>
          <w:p>
            <w:pPr>
              <w:spacing w:after="20"/>
            </w:pPr>
            <w:r>
              <w:rPr>
                <w:b/>
                <w:color w:val="1C3A36"/>
                <w:sz w:val="15"/>
              </w:rPr>
              <w:t>Expert</w:t>
            </w:r>
          </w:p>
        </w:tc>
        <w:tc>
          <w:tcPr>
            <w:tcW w:type="dxa" w:w="2160"/>
            <w:shd w:val="clear" w:color="auto" w:fill="EAF0EE"/>
          </w:tcPr>
          <w:p>
            <w:pPr>
              <w:spacing w:after="20"/>
            </w:pPr>
            <w:r>
              <w:rPr>
                <w:b/>
                <w:color w:val="1C3A36"/>
                <w:sz w:val="15"/>
              </w:rPr>
              <w:t>Lens (permanent — from our standing expert panel)</w:t>
            </w:r>
          </w:p>
        </w:tc>
        <w:tc>
          <w:tcPr>
            <w:tcW w:type="dxa" w:w="1642"/>
            <w:shd w:val="clear" w:color="auto" w:fill="EAF0EE"/>
          </w:tcPr>
          <w:p>
            <w:pPr>
              <w:spacing w:after="20"/>
            </w:pPr>
            <w:r>
              <w:rPr>
                <w:b/>
                <w:color w:val="1C3A36"/>
                <w:sz w:val="15"/>
              </w:rPr>
              <w:t>Discount rate used</w:t>
            </w:r>
          </w:p>
        </w:tc>
        <w:tc>
          <w:tcPr>
            <w:tcW w:type="dxa" w:w="1008"/>
            <w:shd w:val="clear" w:color="auto" w:fill="EAF0EE"/>
          </w:tcPr>
          <w:p>
            <w:pPr>
              <w:spacing w:after="20"/>
            </w:pPr>
            <w:r>
              <w:rPr>
                <w:b/>
                <w:color w:val="1C3A36"/>
                <w:sz w:val="15"/>
              </w:rPr>
              <w:t>Central</w:t>
            </w:r>
          </w:p>
        </w:tc>
        <w:tc>
          <w:tcPr>
            <w:tcW w:type="dxa" w:w="1152"/>
            <w:shd w:val="clear" w:color="auto" w:fill="EAF0EE"/>
          </w:tcPr>
          <w:p>
            <w:pPr>
              <w:spacing w:after="20"/>
            </w:pPr>
            <w:r>
              <w:rPr>
                <w:b/>
                <w:color w:val="1C3A36"/>
                <w:sz w:val="15"/>
              </w:rPr>
              <w:t>Range</w:t>
            </w:r>
          </w:p>
        </w:tc>
        <w:tc>
          <w:tcPr>
            <w:tcW w:type="dxa" w:w="3312"/>
            <w:shd w:val="clear" w:color="auto" w:fill="EAF0EE"/>
          </w:tcPr>
          <w:p>
            <w:pPr>
              <w:spacing w:after="20"/>
            </w:pPr>
            <w:r>
              <w:rPr>
                <w:b/>
                <w:color w:val="1C3A36"/>
                <w:sz w:val="15"/>
              </w:rPr>
              <w:t>Position in one line</w:t>
            </w:r>
          </w:p>
        </w:tc>
      </w:tr>
      <w:tr>
        <w:tc>
          <w:tcPr>
            <w:tcW w:type="dxa" w:w="922"/>
          </w:tcPr>
          <w:p>
            <w:pPr>
              <w:spacing w:after="20"/>
            </w:pPr>
            <w:r>
              <w:rPr>
                <w:b/>
                <w:color w:val="1C3A36"/>
                <w:sz w:val="15"/>
              </w:rPr>
              <w:t>1</w:t>
            </w:r>
          </w:p>
        </w:tc>
        <w:tc>
          <w:tcPr>
            <w:tcW w:type="dxa" w:w="2160"/>
          </w:tcPr>
          <w:p>
            <w:pPr>
              <w:spacing w:after="20"/>
            </w:pPr>
            <w:r>
              <w:rPr>
                <w:color w:val="1C3A36"/>
                <w:sz w:val="15"/>
              </w:rPr>
              <w:t>Realizable value + earnings quality</w:t>
            </w:r>
          </w:p>
        </w:tc>
        <w:tc>
          <w:tcPr>
            <w:tcW w:type="dxa" w:w="1642"/>
          </w:tcPr>
          <w:p>
            <w:pPr>
              <w:spacing w:after="20"/>
            </w:pPr>
            <w:r>
              <w:rPr>
                <w:color w:val="1C3A36"/>
                <w:sz w:val="15"/>
              </w:rPr>
              <w:t>7.5% required cash yield</w:t>
            </w:r>
          </w:p>
        </w:tc>
        <w:tc>
          <w:tcPr>
            <w:tcW w:type="dxa" w:w="1008"/>
          </w:tcPr>
          <w:p>
            <w:pPr>
              <w:spacing w:after="20"/>
              <w:jc w:val="right"/>
            </w:pPr>
            <w:r>
              <w:rPr>
                <w:color w:val="1C3A36"/>
                <w:sz w:val="15"/>
              </w:rPr>
              <w:t>AED 4.05</w:t>
            </w:r>
          </w:p>
        </w:tc>
        <w:tc>
          <w:tcPr>
            <w:tcW w:type="dxa" w:w="1152"/>
          </w:tcPr>
          <w:p>
            <w:pPr>
              <w:spacing w:after="20"/>
              <w:jc w:val="right"/>
            </w:pPr>
            <w:r>
              <w:rPr>
                <w:color w:val="1C3A36"/>
                <w:sz w:val="15"/>
              </w:rPr>
              <w:t>3.15–5.05</w:t>
            </w:r>
          </w:p>
        </w:tc>
        <w:tc>
          <w:tcPr>
            <w:tcW w:type="dxa" w:w="3312"/>
          </w:tcPr>
          <w:p>
            <w:pPr>
              <w:spacing w:after="20"/>
            </w:pPr>
            <w:r>
              <w:rPr>
                <w:color w:val="1C3A36"/>
                <w:sz w:val="15"/>
              </w:rPr>
              <w:t>"There is an AED 455.7 mn senior claim sitting in front of the dividend, and nobody is modelling it."</w:t>
            </w:r>
          </w:p>
        </w:tc>
      </w:tr>
      <w:tr>
        <w:tc>
          <w:tcPr>
            <w:tcW w:type="dxa" w:w="922"/>
          </w:tcPr>
          <w:p>
            <w:pPr>
              <w:spacing w:after="20"/>
            </w:pPr>
            <w:r>
              <w:rPr>
                <w:b/>
                <w:color w:val="1C3A36"/>
                <w:sz w:val="15"/>
              </w:rPr>
              <w:t>2</w:t>
            </w:r>
          </w:p>
        </w:tc>
        <w:tc>
          <w:tcPr>
            <w:tcW w:type="dxa" w:w="2160"/>
          </w:tcPr>
          <w:p>
            <w:pPr>
              <w:spacing w:after="20"/>
            </w:pPr>
            <w:r>
              <w:rPr>
                <w:color w:val="1C3A36"/>
                <w:sz w:val="15"/>
              </w:rPr>
              <w:t>Normalized through-cycle earnings + multiples</w:t>
            </w:r>
          </w:p>
        </w:tc>
        <w:tc>
          <w:tcPr>
            <w:tcW w:type="dxa" w:w="1642"/>
          </w:tcPr>
          <w:p>
            <w:pPr>
              <w:spacing w:after="20"/>
            </w:pPr>
            <w:r>
              <w:rPr>
                <w:color w:val="1C3A36"/>
                <w:sz w:val="15"/>
              </w:rPr>
              <w:t>implicit in a 22× multiple</w:t>
            </w:r>
          </w:p>
        </w:tc>
        <w:tc>
          <w:tcPr>
            <w:tcW w:type="dxa" w:w="1008"/>
          </w:tcPr>
          <w:p>
            <w:pPr>
              <w:spacing w:after="20"/>
              <w:jc w:val="right"/>
            </w:pPr>
            <w:r>
              <w:rPr>
                <w:color w:val="1C3A36"/>
                <w:sz w:val="15"/>
              </w:rPr>
              <w:t>AED 4.99</w:t>
            </w:r>
          </w:p>
        </w:tc>
        <w:tc>
          <w:tcPr>
            <w:tcW w:type="dxa" w:w="1152"/>
          </w:tcPr>
          <w:p>
            <w:pPr>
              <w:spacing w:after="20"/>
              <w:jc w:val="right"/>
            </w:pPr>
            <w:r>
              <w:rPr>
                <w:color w:val="1C3A36"/>
                <w:sz w:val="15"/>
              </w:rPr>
              <w:t>3.75–6.37</w:t>
            </w:r>
          </w:p>
        </w:tc>
        <w:tc>
          <w:tcPr>
            <w:tcW w:type="dxa" w:w="3312"/>
          </w:tcPr>
          <w:p>
            <w:pPr>
              <w:spacing w:after="20"/>
            </w:pPr>
            <w:r>
              <w:rPr>
                <w:color w:val="1C3A36"/>
                <w:sz w:val="15"/>
              </w:rPr>
              <w:t>"FY2025 was 84% one-offs. You are paying a growth multiple for an artefact."</w:t>
            </w:r>
          </w:p>
        </w:tc>
      </w:tr>
      <w:tr>
        <w:tc>
          <w:tcPr>
            <w:tcW w:type="dxa" w:w="922"/>
          </w:tcPr>
          <w:p>
            <w:pPr>
              <w:spacing w:after="20"/>
            </w:pPr>
            <w:r>
              <w:rPr>
                <w:b/>
                <w:color w:val="1C3A36"/>
                <w:sz w:val="15"/>
              </w:rPr>
              <w:t>3</w:t>
            </w:r>
          </w:p>
        </w:tc>
        <w:tc>
          <w:tcPr>
            <w:tcW w:type="dxa" w:w="2160"/>
          </w:tcPr>
          <w:p>
            <w:pPr>
              <w:spacing w:after="20"/>
            </w:pPr>
            <w:r>
              <w:rPr>
                <w:color w:val="1C3A36"/>
                <w:sz w:val="15"/>
              </w:rPr>
              <w:t>Scenario-weighted real options on policy</w:t>
            </w:r>
          </w:p>
        </w:tc>
        <w:tc>
          <w:tcPr>
            <w:tcW w:type="dxa" w:w="1642"/>
          </w:tcPr>
          <w:p>
            <w:pPr>
              <w:spacing w:after="20"/>
            </w:pPr>
            <w:r>
              <w:rPr>
                <w:color w:val="1C3A36"/>
                <w:sz w:val="15"/>
              </w:rPr>
              <w:t>none — states, not rates</w:t>
            </w:r>
          </w:p>
        </w:tc>
        <w:tc>
          <w:tcPr>
            <w:tcW w:type="dxa" w:w="1008"/>
          </w:tcPr>
          <w:p>
            <w:pPr>
              <w:spacing w:after="20"/>
              <w:jc w:val="right"/>
            </w:pPr>
            <w:r>
              <w:rPr>
                <w:color w:val="1C3A36"/>
                <w:sz w:val="15"/>
              </w:rPr>
              <w:t>AED 4.50</w:t>
            </w:r>
          </w:p>
        </w:tc>
        <w:tc>
          <w:tcPr>
            <w:tcW w:type="dxa" w:w="1152"/>
          </w:tcPr>
          <w:p>
            <w:pPr>
              <w:spacing w:after="20"/>
              <w:jc w:val="right"/>
            </w:pPr>
            <w:r>
              <w:rPr>
                <w:color w:val="1C3A36"/>
                <w:sz w:val="15"/>
              </w:rPr>
              <w:t>4.15–4.85</w:t>
            </w:r>
          </w:p>
        </w:tc>
        <w:tc>
          <w:tcPr>
            <w:tcW w:type="dxa" w:w="3312"/>
          </w:tcPr>
          <w:p>
            <w:pPr>
              <w:spacing w:after="20"/>
            </w:pPr>
            <w:r>
              <w:rPr>
                <w:color w:val="1C3A36"/>
                <w:sz w:val="15"/>
              </w:rPr>
              <w:t>"Every lever that decides this valuation is held by the same counterparty."</w:t>
            </w:r>
          </w:p>
        </w:tc>
      </w:tr>
      <w:tr>
        <w:tc>
          <w:tcPr>
            <w:tcW w:type="dxa" w:w="922"/>
          </w:tcPr>
          <w:p>
            <w:pPr>
              <w:spacing w:after="20"/>
            </w:pPr>
            <w:r>
              <w:rPr>
                <w:b/>
                <w:color w:val="1C3A36"/>
                <w:sz w:val="15"/>
              </w:rPr>
              <w:t>4</w:t>
            </w:r>
          </w:p>
        </w:tc>
        <w:tc>
          <w:tcPr>
            <w:tcW w:type="dxa" w:w="2160"/>
          </w:tcPr>
          <w:p>
            <w:pPr>
              <w:spacing w:after="20"/>
            </w:pPr>
            <w:r>
              <w:rPr>
                <w:color w:val="1C3A36"/>
                <w:sz w:val="15"/>
              </w:rPr>
              <w:t>DCF + returns on capital vs WACC (economic profit)</w:t>
            </w:r>
          </w:p>
        </w:tc>
        <w:tc>
          <w:tcPr>
            <w:tcW w:type="dxa" w:w="1642"/>
          </w:tcPr>
          <w:p>
            <w:pPr>
              <w:spacing w:after="20"/>
            </w:pPr>
            <w:r>
              <w:rPr>
                <w:color w:val="1C3A36"/>
                <w:sz w:val="15"/>
              </w:rPr>
              <w:t>WACC 8.1%</w:t>
            </w:r>
          </w:p>
        </w:tc>
        <w:tc>
          <w:tcPr>
            <w:tcW w:type="dxa" w:w="1008"/>
          </w:tcPr>
          <w:p>
            <w:pPr>
              <w:spacing w:after="20"/>
              <w:jc w:val="right"/>
            </w:pPr>
            <w:r>
              <w:rPr>
                <w:color w:val="1C3A36"/>
                <w:sz w:val="15"/>
              </w:rPr>
              <w:t>AED 4.30</w:t>
            </w:r>
          </w:p>
        </w:tc>
        <w:tc>
          <w:tcPr>
            <w:tcW w:type="dxa" w:w="1152"/>
          </w:tcPr>
          <w:p>
            <w:pPr>
              <w:spacing w:after="20"/>
              <w:jc w:val="right"/>
            </w:pPr>
            <w:r>
              <w:rPr>
                <w:color w:val="1C3A36"/>
                <w:sz w:val="15"/>
              </w:rPr>
              <w:t>3.59–4.49</w:t>
            </w:r>
          </w:p>
        </w:tc>
        <w:tc>
          <w:tcPr>
            <w:tcW w:type="dxa" w:w="3312"/>
          </w:tcPr>
          <w:p>
            <w:pPr>
              <w:spacing w:after="20"/>
            </w:pPr>
            <w:r>
              <w:rPr>
                <w:color w:val="1C3A36"/>
                <w:sz w:val="15"/>
              </w:rPr>
              <w:t>"Look at what they DID with the last AED 2.7 bn: bought a 9.5% asset with 8.1% money."</w:t>
            </w:r>
          </w:p>
        </w:tc>
      </w:tr>
      <w:tr>
        <w:tc>
          <w:tcPr>
            <w:tcW w:type="dxa" w:w="922"/>
          </w:tcPr>
          <w:p>
            <w:pPr>
              <w:spacing w:after="20"/>
            </w:pPr>
            <w:r>
              <w:rPr>
                <w:b/>
                <w:color w:val="1C3A36"/>
                <w:sz w:val="15"/>
              </w:rPr>
              <w:t>OURS</w:t>
            </w:r>
          </w:p>
        </w:tc>
        <w:tc>
          <w:tcPr>
            <w:tcW w:type="dxa" w:w="2160"/>
          </w:tcPr>
          <w:p>
            <w:pPr>
              <w:spacing w:after="20"/>
            </w:pPr>
            <w:r>
              <w:rPr>
                <w:color w:val="1C3A36"/>
                <w:sz w:val="15"/>
              </w:rPr>
              <w:t>Four lenses, weighted. Beta MEASURED, not assumed.</w:t>
            </w:r>
          </w:p>
        </w:tc>
        <w:tc>
          <w:tcPr>
            <w:tcW w:type="dxa" w:w="1642"/>
          </w:tcPr>
          <w:p>
            <w:pPr>
              <w:spacing w:after="20"/>
            </w:pPr>
            <w:r>
              <w:rPr>
                <w:color w:val="1C3A36"/>
                <w:sz w:val="15"/>
              </w:rPr>
              <w:t>WACC 8.1% on β 0.76</w:t>
            </w:r>
          </w:p>
        </w:tc>
        <w:tc>
          <w:tcPr>
            <w:tcW w:type="dxa" w:w="1008"/>
          </w:tcPr>
          <w:p>
            <w:pPr>
              <w:spacing w:after="20"/>
              <w:jc w:val="right"/>
            </w:pPr>
            <w:r>
              <w:rPr>
                <w:color w:val="1C3A36"/>
                <w:sz w:val="15"/>
              </w:rPr>
              <w:t>AED 4.62</w:t>
            </w:r>
          </w:p>
        </w:tc>
        <w:tc>
          <w:tcPr>
            <w:tcW w:type="dxa" w:w="1152"/>
          </w:tcPr>
          <w:p>
            <w:pPr>
              <w:spacing w:after="20"/>
              <w:jc w:val="right"/>
            </w:pPr>
            <w:r>
              <w:rPr>
                <w:color w:val="1C3A36"/>
                <w:sz w:val="15"/>
              </w:rPr>
              <w:t>3.32–7.05</w:t>
            </w:r>
          </w:p>
        </w:tc>
        <w:tc>
          <w:tcPr>
            <w:tcW w:type="dxa" w:w="3312"/>
          </w:tcPr>
          <w:p>
            <w:pPr>
              <w:spacing w:after="20"/>
            </w:pPr>
            <w:r>
              <w:rPr>
                <w:color w:val="1C3A36"/>
                <w:sz w:val="15"/>
              </w:rPr>
              <w:t>"The war attacks the numerator and the denominator. Spot needs both to reverse."</w:t>
            </w:r>
          </w:p>
        </w:tc>
      </w:tr>
    </w:tbl>
    <w:p>
      <w:pPr>
        <w:spacing w:after="40"/>
      </w:pPr>
    </w:p>
    <w:p>
      <w:pPr>
        <w:spacing w:after="40"/>
        <w:jc w:val="center"/>
      </w:pPr>
      <w:r>
        <w:drawing>
          <wp:inline xmlns:a="http://schemas.openxmlformats.org/drawingml/2006/main" xmlns:pic="http://schemas.openxmlformats.org/drawingml/2006/picture">
            <wp:extent cx="6309360" cy="2236814"/>
            <wp:docPr id="13" name="Picture 13"/>
            <wp:cNvGraphicFramePr>
              <a:graphicFrameLocks noChangeAspect="1"/>
            </wp:cNvGraphicFramePr>
            <a:graphic>
              <a:graphicData uri="http://schemas.openxmlformats.org/drawingml/2006/picture">
                <pic:pic>
                  <pic:nvPicPr>
                    <pic:cNvPr id="0" name="f12_panel.png"/>
                    <pic:cNvPicPr/>
                  </pic:nvPicPr>
                  <pic:blipFill>
                    <a:blip r:embed="rId21"/>
                    <a:stretch>
                      <a:fillRect/>
                    </a:stretch>
                  </pic:blipFill>
                  <pic:spPr>
                    <a:xfrm>
                      <a:off x="0" y="0"/>
                      <a:ext cx="6309360" cy="2236814"/>
                    </a:xfrm>
                    <a:prstGeom prst="rect"/>
                  </pic:spPr>
                </pic:pic>
              </a:graphicData>
            </a:graphic>
          </wp:inline>
        </w:drawing>
      </w:r>
    </w:p>
    <w:p>
      <w:pPr>
        <w:spacing w:after="180" w:before="0"/>
      </w:pPr>
      <w:r>
        <w:rPr>
          <w:b w:val="0"/>
          <w:i/>
          <w:color w:val="6E7B77"/>
          <w:sz w:val="17"/>
        </w:rPr>
        <w:t>Figure 12 · The panel’s ranges against spot and our weighted central.</w:t>
      </w:r>
    </w:p>
    <w:p>
      <w:pPr>
        <w:spacing w:after="80" w:before="180"/>
      </w:pPr>
      <w:r>
        <w:rPr>
          <w:b/>
          <w:i w:val="0"/>
          <w:color w:val="1C3A36"/>
          <w:sz w:val="23"/>
        </w:rPr>
        <w:t>C.7 Reading the divergence</w:t>
      </w:r>
    </w:p>
    <w:p>
      <w:pPr>
        <w:spacing w:after="120" w:before="0"/>
      </w:pPr>
      <w:r>
        <w:rPr>
          <w:b w:val="0"/>
          <w:i w:val="0"/>
          <w:color w:val="1C3A36"/>
          <w:sz w:val="21"/>
        </w:rPr>
        <w:t>Four permanent methods, no shared machinery. Expert 1 will not use a cost of equity at all and deducts an instalment nobody else sees. Expert 2 refuses to look at the discount rate and argues entirely about what a normalized year earns. Expert 3 refuses to average states into a rate. Expert 4 is the only one who models the fade in returns on capital. They produce centrals of AED 4.05, AED 4.99, AED 4.50 and AED 4.30 — a spread of only AED 0.94, against a house weighted central of AED 4.62.</w:t>
      </w:r>
    </w:p>
    <w:p>
      <w:pPr>
        <w:spacing w:after="120" w:before="0"/>
      </w:pPr>
      <w:r>
        <w:rPr>
          <w:b w:val="0"/>
          <w:i w:val="0"/>
          <w:color w:val="1C3A36"/>
          <w:sz w:val="21"/>
        </w:rPr>
        <w:t>That IS convergence, and it is worth more than the agreement of methods that share assumptions. Four analysts who agree on nothing about method land within eighty fils of each other, and all four land below spot. To believe AED 5.70 you have to disagree with all four simultaneously — and per §1.7, the specific thing you have to disagree with them all about is the discount rate, not the earnings.</w:t>
      </w:r>
    </w:p>
    <w:p>
      <w:pPr>
        <w:spacing w:after="120" w:before="0"/>
      </w:pPr>
      <w:r>
        <w:rPr>
          <w:b w:val="0"/>
          <w:i/>
          <w:color w:val="6E7B77"/>
          <w:sz w:val="18"/>
        </w:rPr>
        <w:t>One caution against reading too much into it. All four experts are working from the same disclosures and the same sourcing gate. Convergence proves the methods are consistent with the DATA; it does not prove the data is complete. The FY2026 guidance we could not source, and the residual we could not attribute, are both invisible to all four of them.</w:t>
      </w:r>
    </w:p>
    <w:p>
      <w:r>
        <w:br w:type="page"/>
      </w:r>
    </w:p>
    <w:p>
      <w:pPr>
        <w:spacing w:after="100" w:before="260"/>
      </w:pPr>
      <w:r>
        <w:rPr>
          <w:b/>
          <w:i w:val="0"/>
          <w:color w:val="1C3A36"/>
          <w:sz w:val="30"/>
        </w:rPr>
        <w:t>About this series</w:t>
      </w:r>
    </w:p>
    <w:p>
      <w:pPr>
        <w:spacing w:after="120" w:before="0"/>
      </w:pPr>
      <w:r>
        <w:rPr>
          <w:b w:val="0"/>
          <w:i w:val="0"/>
          <w:color w:val="1C3A36"/>
          <w:sz w:val="21"/>
        </w:rPr>
        <w:t>Testahil publishes independent, free equity research on EGX, GCC, international and metals markets. We publish fair-value RANGES and probability DISTRIBUTIONS — never ratings, never price targets. Every probabilistic forecast we publish is registered in a public, append-only Calibration Ledger and graded against what actually happened when it matures. Forecasts that are never scored are not forecasts; they are marketing.</w:t>
      </w:r>
    </w:p>
    <w:p>
      <w:pPr>
        <w:spacing w:after="120" w:before="0"/>
      </w:pPr>
      <w:r>
        <w:rPr>
          <w:b w:val="0"/>
          <w:i w:val="0"/>
          <w:color w:val="1C3A36"/>
          <w:sz w:val="21"/>
        </w:rPr>
        <w:t>This study registers two cohorts: T+20 (matures 7 August 2026) and T+60 (matures 2 October 2026). The percentiles in §3 are frozen at publication and will not be edited. Our the calibration back-test for SALIK returned PARITY — calibrated and market-panel validated, with no demonstrated single-name edge — on only 11 windows, and with an over-covered cone. We publish that verdict exactly as it came out.</w:t>
      </w:r>
    </w:p>
    <w:p>
      <w:pPr>
        <w:spacing w:after="80" w:before="180"/>
      </w:pPr>
      <w:r>
        <w:rPr>
          <w:b/>
          <w:i w:val="0"/>
          <w:color w:val="1C3A36"/>
          <w:sz w:val="23"/>
        </w:rPr>
        <w:t>What changed, and why — the version history</w:t>
      </w:r>
    </w:p>
    <w:tbl>
      <w:tblPr>
        <w:tblW w:type="auto" w:w="0"/>
        <w:jc w:val="center"/>
        <w:tblLook w:firstColumn="1" w:firstRow="1" w:lastColumn="0" w:lastRow="0" w:noHBand="0" w:noVBand="1" w:val="04A0"/>
        <w:tblLayout w:type="fixed"/>
        <w:tblCellMar>
          <w:top w:w="38" w:type="dxa"/>
          <w:left w:w="85" w:type="dxa"/>
          <w:bottom w:w="38" w:type="dxa"/>
          <w:right w:w="85"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56"/>
        <w:gridCol w:w="2556"/>
        <w:gridCol w:w="2556"/>
        <w:gridCol w:w="2556"/>
      </w:tblGrid>
      <w:tr>
        <w:tc>
          <w:tcPr>
            <w:tcW w:type="dxa" w:w="1008"/>
            <w:shd w:val="clear" w:color="auto" w:fill="EAF0EE"/>
          </w:tcPr>
          <w:p>
            <w:pPr>
              <w:spacing w:after="20"/>
            </w:pPr>
            <w:r>
              <w:rPr>
                <w:b/>
                <w:color w:val="1C3A36"/>
                <w:sz w:val="16"/>
              </w:rPr>
              <w:t>Version</w:t>
            </w:r>
          </w:p>
        </w:tc>
        <w:tc>
          <w:tcPr>
            <w:tcW w:type="dxa" w:w="3514"/>
            <w:shd w:val="clear" w:color="auto" w:fill="EAF0EE"/>
          </w:tcPr>
          <w:p>
            <w:pPr>
              <w:spacing w:after="20"/>
            </w:pPr>
            <w:r>
              <w:rPr>
                <w:b/>
                <w:color w:val="1C3A36"/>
                <w:sz w:val="16"/>
              </w:rPr>
              <w:t>What was wrong</w:t>
            </w:r>
          </w:p>
        </w:tc>
        <w:tc>
          <w:tcPr>
            <w:tcW w:type="dxa" w:w="3715"/>
            <w:shd w:val="clear" w:color="auto" w:fill="EAF0EE"/>
          </w:tcPr>
          <w:p>
            <w:pPr>
              <w:spacing w:after="20"/>
            </w:pPr>
            <w:r>
              <w:rPr>
                <w:b/>
                <w:color w:val="1C3A36"/>
                <w:sz w:val="16"/>
              </w:rPr>
              <w:t>What fixed it</w:t>
            </w:r>
          </w:p>
        </w:tc>
        <w:tc>
          <w:tcPr>
            <w:tcW w:type="dxa" w:w="1267"/>
            <w:shd w:val="clear" w:color="auto" w:fill="EAF0EE"/>
          </w:tcPr>
          <w:p>
            <w:pPr>
              <w:spacing w:after="20"/>
            </w:pPr>
            <w:r>
              <w:rPr>
                <w:b/>
                <w:color w:val="1C3A36"/>
                <w:sz w:val="16"/>
              </w:rPr>
              <w:t>Fair value</w:t>
            </w:r>
          </w:p>
        </w:tc>
      </w:tr>
      <w:tr>
        <w:tc>
          <w:tcPr>
            <w:tcW w:type="dxa" w:w="1008"/>
          </w:tcPr>
          <w:p>
            <w:pPr>
              <w:spacing w:after="20"/>
            </w:pPr>
            <w:r>
              <w:rPr>
                <w:b/>
                <w:color w:val="1C3A36"/>
                <w:sz w:val="16"/>
              </w:rPr>
              <w:t>v1</w:t>
            </w:r>
          </w:p>
        </w:tc>
        <w:tc>
          <w:tcPr>
            <w:tcW w:type="dxa" w:w="3514"/>
          </w:tcPr>
          <w:p>
            <w:pPr>
              <w:spacing w:after="20"/>
            </w:pPr>
            <w:r>
              <w:rPr>
                <w:color w:val="1C3A36"/>
                <w:sz w:val="16"/>
              </w:rPr>
              <w:t>Beta defaulted to 1.00 on a FAILED regression (n=19 vs a 24 floor). That single fallback dominated the answer.</w:t>
            </w:r>
          </w:p>
        </w:tc>
        <w:tc>
          <w:tcPr>
            <w:tcW w:type="dxa" w:w="3715"/>
          </w:tcPr>
          <w:p>
            <w:pPr>
              <w:spacing w:after="20"/>
            </w:pPr>
            <w:r>
              <w:rPr>
                <w:color w:val="1C3A36"/>
                <w:sz w:val="16"/>
              </w:rPr>
              <w:t>v2 rebuilt the market portfolio from the 14 UAE names the MC engine itself calibrates on. The regression PASSES: n=195, β=0.637, t=6.1.</w:t>
            </w:r>
          </w:p>
        </w:tc>
        <w:tc>
          <w:tcPr>
            <w:tcW w:type="dxa" w:w="1267"/>
          </w:tcPr>
          <w:p>
            <w:pPr>
              <w:spacing w:after="20"/>
              <w:jc w:val="right"/>
            </w:pPr>
            <w:r>
              <w:rPr>
                <w:color w:val="1C3A36"/>
                <w:sz w:val="16"/>
              </w:rPr>
              <w:t>AED 4.16</w:t>
            </w:r>
          </w:p>
        </w:tc>
      </w:tr>
      <w:tr>
        <w:tc>
          <w:tcPr>
            <w:tcW w:type="dxa" w:w="1008"/>
          </w:tcPr>
          <w:p>
            <w:pPr>
              <w:spacing w:after="20"/>
            </w:pPr>
            <w:r>
              <w:rPr>
                <w:b/>
                <w:color w:val="1C3A36"/>
                <w:sz w:val="16"/>
              </w:rPr>
              <w:t>v2</w:t>
            </w:r>
          </w:p>
        </w:tc>
        <w:tc>
          <w:tcPr>
            <w:tcW w:type="dxa" w:w="3514"/>
          </w:tcPr>
          <w:p>
            <w:pPr>
              <w:spacing w:after="20"/>
            </w:pPr>
            <w:r>
              <w:rPr>
                <w:color w:val="1C3A36"/>
                <w:sz w:val="16"/>
              </w:rPr>
              <w:t>Thin. No ROIC work, no revenue bridge, no operating dashboard, no risk register, no expert workings.</w:t>
            </w:r>
          </w:p>
        </w:tc>
        <w:tc>
          <w:tcPr>
            <w:tcW w:type="dxa" w:w="3715"/>
          </w:tcPr>
          <w:p>
            <w:pPr>
              <w:spacing w:after="20"/>
            </w:pPr>
            <w:r>
              <w:rPr>
                <w:color w:val="1C3A36"/>
                <w:sz w:val="16"/>
              </w:rPr>
              <w:t>Added the two-growth-engines analysis, the FY2025 bridge, the elasticity test, and the measured pre-war/war beta split.</w:t>
            </w:r>
          </w:p>
        </w:tc>
        <w:tc>
          <w:tcPr>
            <w:tcW w:type="dxa" w:w="1267"/>
          </w:tcPr>
          <w:p>
            <w:pPr>
              <w:spacing w:after="20"/>
              <w:jc w:val="right"/>
            </w:pPr>
            <w:r>
              <w:rPr>
                <w:color w:val="1C3A36"/>
                <w:sz w:val="16"/>
              </w:rPr>
              <w:t>AED 4.62</w:t>
            </w:r>
          </w:p>
        </w:tc>
      </w:tr>
      <w:tr>
        <w:tc>
          <w:tcPr>
            <w:tcW w:type="dxa" w:w="1008"/>
          </w:tcPr>
          <w:p>
            <w:pPr>
              <w:spacing w:after="20"/>
            </w:pPr>
            <w:r>
              <w:rPr>
                <w:b/>
                <w:color w:val="1C3A36"/>
                <w:sz w:val="16"/>
              </w:rPr>
              <w:t>v3</w:t>
            </w:r>
          </w:p>
        </w:tc>
        <w:tc>
          <w:tcPr>
            <w:tcW w:type="dxa" w:w="3514"/>
          </w:tcPr>
          <w:p>
            <w:pPr>
              <w:spacing w:after="20"/>
            </w:pPr>
            <w:r>
              <w:rPr>
                <w:color w:val="1C3A36"/>
                <w:sz w:val="16"/>
              </w:rPr>
              <w:t>SEVEN of our own errors, and four of a fact-check’s. Gate cost was 2,700 not 2,734. Amortisation ran 49 yrs when the gates entered service in year 2.33. We DERIVED a new-gate trip count the company had PUBLISHED. Our net-debt path contradicted our own payout arithmetic. We never modelled the AED 455.7 mn/yr RTA instalment. We invented an expert panel instead of casting from our standing expert panel. We called a plug "Other revenue".</w:t>
            </w:r>
          </w:p>
        </w:tc>
        <w:tc>
          <w:tcPr>
            <w:tcW w:type="dxa" w:w="3715"/>
          </w:tcPr>
          <w:p>
            <w:pPr>
              <w:spacing w:after="20"/>
            </w:pPr>
            <w:r>
              <w:rPr>
                <w:color w:val="1C3A36"/>
                <w:sz w:val="16"/>
              </w:rPr>
              <w:t>All corrected. The ROIC finding got STRONGER (10.3% → 9.5%) and became company-sourced. The RTA cash waterfall is now §1.2a. Appendix C is recast from the mandated roster.</w:t>
            </w:r>
          </w:p>
        </w:tc>
        <w:tc>
          <w:tcPr>
            <w:tcW w:type="dxa" w:w="1267"/>
          </w:tcPr>
          <w:p>
            <w:pPr>
              <w:spacing w:after="20"/>
              <w:jc w:val="right"/>
            </w:pPr>
            <w:r>
              <w:rPr>
                <w:color w:val="1C3A36"/>
                <w:sz w:val="16"/>
              </w:rPr>
              <w:t>AED 4.62</w:t>
            </w:r>
          </w:p>
        </w:tc>
      </w:tr>
    </w:tbl>
    <w:p>
      <w:pPr>
        <w:spacing w:after="40"/>
      </w:pPr>
    </w:p>
    <w:p>
      <w:pPr>
        <w:spacing w:after="120" w:before="0"/>
      </w:pPr>
      <w:r>
        <w:rPr>
          <w:b w:val="0"/>
          <w:i/>
          <w:color w:val="6E7B77"/>
          <w:sz w:val="18"/>
        </w:rPr>
        <w:t>We publish the version history rather than restating quietly, because a research process that never visibly changes its mind is not a research process — and because two of the three revisions above were prompted by someone telling us we were wrong.</w:t>
      </w:r>
    </w:p>
    <w:p>
      <w:pPr>
        <w:spacing w:after="100" w:before="260"/>
      </w:pPr>
      <w:r>
        <w:rPr>
          <w:b/>
          <w:i w:val="0"/>
          <w:color w:val="1C3A36"/>
          <w:sz w:val="30"/>
        </w:rPr>
        <w:t>Disclosure &amp; Disclaimer</w:t>
      </w:r>
    </w:p>
    <w:p>
      <w:pPr>
        <w:spacing w:after="140" w:before="0"/>
      </w:pPr>
      <w:r>
        <w:rPr>
          <w:b/>
          <w:i w:val="0"/>
          <w:color w:val="1C3A36"/>
          <w:sz w:val="18"/>
        </w:rPr>
        <w:t xml:space="preserve">1. Not investment advice. </w:t>
      </w:r>
      <w:r>
        <w:rPr>
          <w:b w:val="0"/>
          <w:i w:val="0"/>
          <w:color w:val="1C3A36"/>
          <w:sz w:val="18"/>
        </w:rPr>
        <w:t>This document is an educational valuation exercise and an expression of personal analytical opinion. It is not investment advice, not a recommendation, not a solicitation, and not an offer to buy, sell or hold any security. It is not directed at, and does not consider, the investment objectives, financial situation or particular needs of any reader.</w:t>
      </w:r>
    </w:p>
    <w:p>
      <w:pPr>
        <w:spacing w:after="140" w:before="0"/>
      </w:pPr>
      <w:r>
        <w:rPr>
          <w:b/>
          <w:i w:val="0"/>
          <w:color w:val="1C3A36"/>
          <w:sz w:val="18"/>
        </w:rPr>
        <w:t xml:space="preserve">2. No licence, no authorisation, no clients. </w:t>
      </w:r>
      <w:r>
        <w:rPr>
          <w:b w:val="0"/>
          <w:i w:val="0"/>
          <w:color w:val="1C3A36"/>
          <w:sz w:val="18"/>
        </w:rPr>
        <w:t>The preparer is not licensed or registered by any securities regulator in any jurisdiction, holds no brokerage, dealing or advisory authorisation, provides no financial consultancy, manages no money for any person, and accepts no fees, funds or clients. Nothing here should be construed as a regulated financial service.</w:t>
      </w:r>
    </w:p>
    <w:p>
      <w:pPr>
        <w:spacing w:after="140" w:before="0"/>
      </w:pPr>
      <w:r>
        <w:rPr>
          <w:b/>
          <w:i w:val="0"/>
          <w:color w:val="1C3A36"/>
          <w:sz w:val="18"/>
        </w:rPr>
        <w:t xml:space="preserve">3. No rating, no price target. </w:t>
      </w:r>
      <w:r>
        <w:rPr>
          <w:b w:val="0"/>
          <w:i w:val="0"/>
          <w:color w:val="1C3A36"/>
          <w:sz w:val="18"/>
        </w:rPr>
        <w:t>Testahil does not issue ratings, recommendations or price targets, and this document contains none. Every valuation output above is a RANGE or a DISTRIBUTION, because no single number should be relied on. Any reader who extracts a single number from this document and treats it as a target has misread it.</w:t>
      </w:r>
    </w:p>
    <w:p>
      <w:pPr>
        <w:spacing w:after="140" w:before="0"/>
      </w:pPr>
      <w:r>
        <w:rPr>
          <w:b/>
          <w:i w:val="0"/>
          <w:color w:val="1C3A36"/>
          <w:sz w:val="18"/>
        </w:rPr>
        <w:t xml:space="preserve">4. Sources, and the line between fact and judgment. </w:t>
      </w:r>
      <w:r>
        <w:rPr>
          <w:b w:val="0"/>
          <w:i w:val="0"/>
          <w:color w:val="1C3A36"/>
          <w:sz w:val="18"/>
        </w:rPr>
        <w:t>All historical financial and operating data are the company’s own disclosure — the FY2023–FY2025 earnings releases, the 2024 Annual Report, the Q1-2026 release of 11 May 2026, and RTA and Dubai Media Office announcements. Market data is as at the 10 July 2026 close. The cost-of-capital inputs are sourced as stated in §1.8, and the beta is MEASURED against a 14-name UAE portfolio built from public daily price history. Everything forward-looking — the trip, tariff, margin and ancillary paths, terminal growth, the multiple band and the Monte-Carlo factor probabilities — is the preparer’s judgment and is flagged as such throughout. Where a figure could not be sourced (the FY2026 guidance), we say so rather than estimate it.</w:t>
      </w:r>
    </w:p>
    <w:p>
      <w:pPr>
        <w:spacing w:after="140" w:before="0"/>
      </w:pPr>
      <w:r>
        <w:rPr>
          <w:b/>
          <w:i w:val="0"/>
          <w:color w:val="1C3A36"/>
          <w:sz w:val="18"/>
        </w:rPr>
        <w:t xml:space="preserve">5. Models are wrong, and this one is calibrated so you can see how wrong. </w:t>
      </w:r>
      <w:r>
        <w:rPr>
          <w:b w:val="0"/>
          <w:i w:val="0"/>
          <w:color w:val="1C3A36"/>
          <w:sz w:val="18"/>
        </w:rPr>
        <w:t>The Monte Carlo in §3 was back-tested over 11 non-overlapping 60-session windows against a carry-anchored random-walk benchmark and returned PARITY: calibrated and market-panel validated, with no demonstrated single-name edge. The cone is OVER-COVERED. The T+20 and T+60 percentiles are frozen at publication and appended to Testahil’s public Calibration Ledger, where they will be graded on 7 August and 2 October 2026 — whatever that does to our record.</w:t>
      </w:r>
    </w:p>
    <w:p>
      <w:pPr>
        <w:spacing w:after="140" w:before="0"/>
      </w:pPr>
      <w:r>
        <w:rPr>
          <w:b/>
          <w:i w:val="0"/>
          <w:color w:val="1C3A36"/>
          <w:sz w:val="18"/>
        </w:rPr>
        <w:t xml:space="preserve">6. Consult a licensed advisor. </w:t>
      </w:r>
      <w:r>
        <w:rPr>
          <w:b w:val="0"/>
          <w:i w:val="0"/>
          <w:color w:val="1C3A36"/>
          <w:sz w:val="18"/>
        </w:rPr>
        <w:t>Investing involves the risk of loss, including total loss. Past performance — including Salik’s 185% return since its IPO — is not indicative of future results. Consult a licensed financial advisor who knows your circumstances before making any investment decision.</w:t>
      </w:r>
    </w:p>
    <w:p>
      <w:pPr>
        <w:spacing w:after="120" w:before="200"/>
        <w:jc w:val="center"/>
      </w:pPr>
      <w:r>
        <w:rPr>
          <w:b w:val="0"/>
          <w:i/>
          <w:color w:val="6E7B77"/>
          <w:sz w:val="18"/>
        </w:rPr>
        <w:t>Testahil · Independent equity research · Distributions, not tips.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