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B5E5E"/>
          <w:sz w:val="22"/>
        </w:rPr>
        <w:t>Independent Valuation Study — Educational Analysis</w:t>
      </w:r>
    </w:p>
    <w:p>
      <w:r>
        <w:rPr>
          <w:b/>
          <w:color w:val="222222"/>
          <w:sz w:val="40"/>
        </w:rPr>
        <w:t>Orascom Construction PLC  (EGX: ORAS)</w:t>
      </w:r>
    </w:p>
    <w:p>
      <w:pPr>
        <w:spacing w:after="80"/>
      </w:pPr>
      <w:r>
        <w:rPr>
          <w:b w:val="0"/>
          <w:i/>
          <w:color w:val="666666"/>
          <w:sz w:val="21"/>
        </w:rPr>
        <w:t>Fundamental analysis · Technical analysis · Monte Carlo simulation — one integrated read</w:t>
      </w:r>
    </w:p>
    <w:p>
      <w:pPr>
        <w:spacing w:after="40"/>
      </w:pPr>
      <w:r>
        <w:rPr>
          <w:b w:val="0"/>
          <w:i w:val="0"/>
          <w:color w:val="222222"/>
          <w:sz w:val="19"/>
        </w:rPr>
        <w:t>Anchor: EGP 720 (30 Jun 2026 close) · ~110m shares · mkt cap ≈ EGP 79.3bn (≈ $1.61bn) · a leading global E&amp;C contractor reporting in USD, dual-listed on ADX (primary) and EGX, owner of 50% of BESIX.</w:t>
      </w:r>
    </w:p>
    <w:tbl>
      <w:tblPr>
        <w:tblW w:type="auto" w:w="0"/>
        <w:jc w:val="center"/>
        <w:tblLook w:firstColumn="1" w:firstRow="1" w:lastColumn="0" w:lastRow="0" w:noHBand="0" w:noVBand="1" w:val="04A0"/>
      </w:tblPr>
      <w:tblGrid>
        <w:gridCol w:w="9360"/>
      </w:tblGrid>
      <w:tr>
        <w:tc>
          <w:tcPr>
            <w:tcW w:type="dxa" w:w="9360"/>
            <w:shd w:val="clear" w:fill="F0F5F4"/>
          </w:tcPr>
          <w:p>
            <w:r>
              <w:rPr>
                <w:b/>
                <w:color w:val="1B5E5E"/>
                <w:sz w:val="21"/>
              </w:rPr>
              <w:t>READ FIRST — what this is, and what it is not</w:t>
            </w:r>
          </w:p>
          <w:p>
            <w:r>
              <w:rPr>
                <w:color w:val="222222"/>
                <w:sz w:val="19"/>
              </w:rPr>
              <w:t>This is an educational valuation study, not investment advice, not a recommendation, and not a price target. It presents a distribution of fair-value estimates from four independent methods, plus a probabilistic three-month price map from a 16-factor Monte Carlo. Orascom Construction reports in US dollars; the EGX line trades in Egyptian pounds, so every per-share figure is converted at the USD/EGP rate stated in the assumptions (49.2). Two clocks run through the document and must not be mixed: the fundamental fair value is a longer-horizon (roughly twelve-month) anchor, while only the Monte Carlo percentiles are genuine three-month figures. The single largest swing in the whole study is the quality of the company's net cash — how much is truly distributable versus client advances held against future work — and the proposed combination with OCI Global. Figures are unaudited estimates drawn from company disclosure; full sources and disclaimers are at the end.</w:t>
            </w:r>
          </w:p>
        </w:tc>
      </w:tr>
    </w:tbl>
    <w:p>
      <w:pPr>
        <w:spacing w:before="280" w:after="80"/>
      </w:pPr>
      <w:r>
        <w:rPr>
          <w:b/>
          <w:color w:val="1B5E5E"/>
          <w:sz w:val="30"/>
        </w:rPr>
        <w:t>Headline</w:t>
      </w:r>
    </w:p>
    <w:p>
      <w:pPr>
        <w:spacing w:after="120"/>
      </w:pPr>
      <w:r>
        <w:rPr>
          <w:b w:val="0"/>
          <w:i w:val="0"/>
          <w:color w:val="222222"/>
          <w:sz w:val="21"/>
        </w:rPr>
        <w:t>The model's read: modestly-to-meaningfully undervalued on the weight of the evidence, but the upside is conditional. At EGP 720 the five lenses span EGP 740 to EGP 1,272; the weighted central estimate is EGP 928, about +29% above spot. The spread itself is the message — it is wide, and it is wide for a reason.</w:t>
      </w:r>
    </w:p>
    <w:p>
      <w:pPr>
        <w:spacing w:after="120"/>
      </w:pPr>
      <w:r>
        <w:rPr>
          <w:b w:val="0"/>
          <w:i w:val="0"/>
          <w:color w:val="222222"/>
          <w:sz w:val="21"/>
        </w:rPr>
        <w:t>The disagreement is structural. Value the company on its through-cycle earnings and it looks roughly fairly priced — an 8.3x contractor with a fair multiple. Value it on its sum of parts plus its cash pile and it looks cheap, because reported net cash is large and the concessions platform and the 50% BESIX stake carry real, separable value. Which lens is right turns on one question — how much of the net cash is genuinely distributable rather than client advances — and on whether the OCI Global combination completes on constructive terms. Those two issues, not the discount rate, drive the answer.</w:t>
      </w:r>
    </w:p>
    <w:p>
      <w:pPr>
        <w:spacing w:after="120"/>
      </w:pPr>
      <w:r>
        <w:rPr>
          <w:b w:val="0"/>
          <w:i w:val="0"/>
          <w:color w:val="222222"/>
          <w:sz w:val="21"/>
        </w:rPr>
        <w:t>This is a statement about valuation, not direction. The tape is constructive — the shares sit in the upper quartile of their 52-week range after an eight-fold run from 2021 lows, above a rising 200-day average, in a near-term consolidation. Over three months the Monte Carlo's median is roughly flat at spot; the probability the price touches the central fair value of EGP 928 within the quarter is about 23%. The value gap is a twelve-month thesis, not a three-month trade.</w:t>
      </w:r>
    </w:p>
    <w:p>
      <w:pPr>
        <w:spacing w:before="280" w:after="80"/>
      </w:pPr>
      <w:r>
        <w:rPr>
          <w:b/>
          <w:color w:val="1B5E5E"/>
          <w:sz w:val="30"/>
        </w:rPr>
        <w:t>Company overview — Orascom Construction at a glance</w:t>
      </w:r>
    </w:p>
    <w:p>
      <w:pPr>
        <w:spacing w:after="120"/>
      </w:pPr>
      <w:r>
        <w:rPr>
          <w:b w:val="0"/>
          <w:i w:val="0"/>
          <w:color w:val="222222"/>
          <w:sz w:val="21"/>
        </w:rPr>
        <w:t>Orascom Construction PLC is a global engineering and construction contractor with a track record of large-scale infrastructure, industrial and commercial projects across the Middle East, Africa and the United States. It also develops and owns concessions (renewable power, water), holds a 50% stake in the Belgian contractor BESIX (equity-accounted), and runs a portfolio of building-materials, equipment-services and facility-management businesses. The group reports in US dollars and is dual-listed on the Abu Dhabi Securities Exchange (its primary listing since September 2025) and on the Egyptian Exchange. In FY2025 it delivered revenue of $5,049.8m, EBITDA of $305.0m, and net income attributable to shareholders of $194.8m, with a record consolidated backlog of $9.0bn ($13.0bn including BESIX). The most important shift in the numbers is geographic: US backlog rose 80.6% to represent 32.1% of the total, re-weighting a company long associated with Egypt and the Gulf toward American data-center, aviation and commercial work.</w:t>
      </w:r>
    </w:p>
    <w:p>
      <w:pPr>
        <w:spacing w:after="120"/>
      </w:pPr>
      <w:r>
        <w:rPr>
          <w:b w:val="0"/>
          <w:i/>
          <w:color w:val="666666"/>
          <w:sz w:val="18"/>
        </w:rPr>
        <w:t>Company-level figures are sourced from Orascom Construction's public disclosure (results announcements and audited financial statements) and other public sources; forward estimates and per-share conversions are the author's own. Balance-sheet lines beyond reported headline totals are estimates anchored to disclosed figures and are flagged as such.</w:t>
      </w:r>
    </w:p>
    <w:tbl>
      <w:tblPr>
        <w:tblStyle w:val="TableGrid"/>
        <w:tblW w:type="auto" w:w="0"/>
        <w:jc w:val="center"/>
        <w:tblLook w:firstColumn="1" w:firstRow="1" w:lastColumn="0" w:lastRow="0" w:noHBand="0" w:noVBand="1" w:val="04A0"/>
      </w:tblPr>
      <w:tblGrid>
        <w:gridCol w:w="4680"/>
        <w:gridCol w:w="4680"/>
      </w:tblGrid>
      <w:tr>
        <w:tc>
          <w:tcPr>
            <w:tcW w:type="dxa" w:w="3312"/>
            <w:shd w:val="clear" w:fill="1B5E5E"/>
          </w:tcPr>
          <w:p>
            <w:r>
              <w:rPr>
                <w:b/>
                <w:color w:val="FFFFFF"/>
                <w:sz w:val="18"/>
              </w:rPr>
              <w:t>Item</w:t>
            </w:r>
          </w:p>
        </w:tc>
        <w:tc>
          <w:tcPr>
            <w:tcW w:type="dxa" w:w="6192"/>
            <w:shd w:val="clear" w:fill="1B5E5E"/>
          </w:tcPr>
          <w:p>
            <w:r>
              <w:rPr>
                <w:b/>
                <w:color w:val="FFFFFF"/>
                <w:sz w:val="18"/>
              </w:rPr>
              <w:t>Value (as disclosed / estimated)</w:t>
            </w:r>
          </w:p>
        </w:tc>
      </w:tr>
      <w:tr>
        <w:tc>
          <w:tcPr>
            <w:tcW w:type="dxa" w:w="3312"/>
          </w:tcPr>
          <w:p>
            <w:r>
              <w:rPr>
                <w:color w:val="222222"/>
                <w:sz w:val="18"/>
              </w:rPr>
              <w:t>Listing / sector</w:t>
            </w:r>
          </w:p>
        </w:tc>
        <w:tc>
          <w:tcPr>
            <w:tcW w:type="dxa" w:w="6192"/>
          </w:tcPr>
          <w:p>
            <w:pPr>
              <w:jc w:val="right"/>
            </w:pPr>
            <w:r>
              <w:rPr>
                <w:color w:val="222222"/>
                <w:sz w:val="18"/>
              </w:rPr>
              <w:t>ADX (primary) &amp; EGX: ORAS · engineering &amp; construction</w:t>
            </w:r>
          </w:p>
        </w:tc>
      </w:tr>
      <w:tr>
        <w:tc>
          <w:tcPr>
            <w:tcW w:type="dxa" w:w="3312"/>
          </w:tcPr>
          <w:p>
            <w:r>
              <w:rPr>
                <w:color w:val="222222"/>
                <w:sz w:val="18"/>
              </w:rPr>
              <w:t>Spot (30 Jun 2026)</w:t>
            </w:r>
          </w:p>
        </w:tc>
        <w:tc>
          <w:tcPr>
            <w:tcW w:type="dxa" w:w="6192"/>
          </w:tcPr>
          <w:p>
            <w:pPr>
              <w:jc w:val="right"/>
            </w:pPr>
            <w:r>
              <w:rPr>
                <w:color w:val="222222"/>
                <w:sz w:val="18"/>
              </w:rPr>
              <w:t>EGP 720  (≈ $14.63 at 49.2)</w:t>
            </w:r>
          </w:p>
        </w:tc>
      </w:tr>
      <w:tr>
        <w:tc>
          <w:tcPr>
            <w:tcW w:type="dxa" w:w="3312"/>
          </w:tcPr>
          <w:p>
            <w:r>
              <w:rPr>
                <w:color w:val="222222"/>
                <w:sz w:val="18"/>
              </w:rPr>
              <w:t>Shares (net of treasury)</w:t>
            </w:r>
          </w:p>
        </w:tc>
        <w:tc>
          <w:tcPr>
            <w:tcW w:type="dxa" w:w="6192"/>
          </w:tcPr>
          <w:p>
            <w:pPr>
              <w:jc w:val="right"/>
            </w:pPr>
            <w:r>
              <w:rPr>
                <w:color w:val="222222"/>
                <w:sz w:val="18"/>
              </w:rPr>
              <w:t>~110m (issued ~116.6m)</w:t>
            </w:r>
          </w:p>
        </w:tc>
      </w:tr>
      <w:tr>
        <w:tc>
          <w:tcPr>
            <w:tcW w:type="dxa" w:w="3312"/>
          </w:tcPr>
          <w:p>
            <w:r>
              <w:rPr>
                <w:color w:val="222222"/>
                <w:sz w:val="18"/>
              </w:rPr>
              <w:t>Market cap</w:t>
            </w:r>
          </w:p>
        </w:tc>
        <w:tc>
          <w:tcPr>
            <w:tcW w:type="dxa" w:w="6192"/>
          </w:tcPr>
          <w:p>
            <w:pPr>
              <w:jc w:val="right"/>
            </w:pPr>
            <w:r>
              <w:rPr>
                <w:color w:val="222222"/>
                <w:sz w:val="18"/>
              </w:rPr>
              <w:t>≈ EGP 79.3bn (≈ $1.61bn)</w:t>
            </w:r>
          </w:p>
        </w:tc>
      </w:tr>
      <w:tr>
        <w:tc>
          <w:tcPr>
            <w:tcW w:type="dxa" w:w="3312"/>
          </w:tcPr>
          <w:p>
            <w:r>
              <w:rPr>
                <w:color w:val="222222"/>
                <w:sz w:val="18"/>
              </w:rPr>
              <w:t>FY2025 revenue</w:t>
            </w:r>
          </w:p>
        </w:tc>
        <w:tc>
          <w:tcPr>
            <w:tcW w:type="dxa" w:w="6192"/>
          </w:tcPr>
          <w:p>
            <w:pPr>
              <w:jc w:val="right"/>
            </w:pPr>
            <w:r>
              <w:rPr>
                <w:color w:val="222222"/>
                <w:sz w:val="18"/>
              </w:rPr>
              <w:t>$5,049.8m (MEA $2,849.3m · USA $2,200.5m)</w:t>
            </w:r>
          </w:p>
        </w:tc>
      </w:tr>
      <w:tr>
        <w:tc>
          <w:tcPr>
            <w:tcW w:type="dxa" w:w="3312"/>
          </w:tcPr>
          <w:p>
            <w:r>
              <w:rPr>
                <w:color w:val="222222"/>
                <w:sz w:val="18"/>
              </w:rPr>
              <w:t>FY2025 EBITDA</w:t>
            </w:r>
          </w:p>
        </w:tc>
        <w:tc>
          <w:tcPr>
            <w:tcW w:type="dxa" w:w="6192"/>
          </w:tcPr>
          <w:p>
            <w:pPr>
              <w:jc w:val="right"/>
            </w:pPr>
            <w:r>
              <w:rPr>
                <w:color w:val="222222"/>
                <w:sz w:val="18"/>
              </w:rPr>
              <w:t>$305.0m (adjusted $276.0m)</w:t>
            </w:r>
          </w:p>
        </w:tc>
      </w:tr>
      <w:tr>
        <w:tc>
          <w:tcPr>
            <w:tcW w:type="dxa" w:w="3312"/>
          </w:tcPr>
          <w:p>
            <w:r>
              <w:rPr>
                <w:color w:val="222222"/>
                <w:sz w:val="18"/>
              </w:rPr>
              <w:t>FY2025 net income (attrib.)</w:t>
            </w:r>
          </w:p>
        </w:tc>
        <w:tc>
          <w:tcPr>
            <w:tcW w:type="dxa" w:w="6192"/>
          </w:tcPr>
          <w:p>
            <w:pPr>
              <w:jc w:val="right"/>
            </w:pPr>
            <w:r>
              <w:rPr>
                <w:color w:val="222222"/>
                <w:sz w:val="18"/>
              </w:rPr>
              <w:t>$194.8m (adjusted $165.8m); EPS ≈ $1.77</w:t>
            </w:r>
          </w:p>
        </w:tc>
      </w:tr>
      <w:tr>
        <w:tc>
          <w:tcPr>
            <w:tcW w:type="dxa" w:w="3312"/>
          </w:tcPr>
          <w:p>
            <w:r>
              <w:rPr>
                <w:color w:val="222222"/>
                <w:sz w:val="18"/>
              </w:rPr>
              <w:t>Backlog (31 Dec 2025)</w:t>
            </w:r>
          </w:p>
        </w:tc>
        <w:tc>
          <w:tcPr>
            <w:tcW w:type="dxa" w:w="6192"/>
          </w:tcPr>
          <w:p>
            <w:pPr>
              <w:jc w:val="right"/>
            </w:pPr>
            <w:r>
              <w:rPr>
                <w:color w:val="222222"/>
                <w:sz w:val="18"/>
              </w:rPr>
              <w:t>$9,025.4m ($12,963.6m incl. 50% BESIX)</w:t>
            </w:r>
          </w:p>
        </w:tc>
      </w:tr>
      <w:tr>
        <w:tc>
          <w:tcPr>
            <w:tcW w:type="dxa" w:w="3312"/>
          </w:tcPr>
          <w:p>
            <w:r>
              <w:rPr>
                <w:color w:val="222222"/>
                <w:sz w:val="18"/>
              </w:rPr>
              <w:t>New awards FY2025</w:t>
            </w:r>
          </w:p>
        </w:tc>
        <w:tc>
          <w:tcPr>
            <w:tcW w:type="dxa" w:w="6192"/>
          </w:tcPr>
          <w:p>
            <w:pPr>
              <w:jc w:val="right"/>
            </w:pPr>
            <w:r>
              <w:rPr>
                <w:color w:val="222222"/>
                <w:sz w:val="18"/>
              </w:rPr>
              <w:t>$5,581.4m ($7,241.4m pro forma)</w:t>
            </w:r>
          </w:p>
        </w:tc>
      </w:tr>
      <w:tr>
        <w:tc>
          <w:tcPr>
            <w:tcW w:type="dxa" w:w="3312"/>
          </w:tcPr>
          <w:p>
            <w:r>
              <w:rPr>
                <w:color w:val="222222"/>
                <w:sz w:val="18"/>
              </w:rPr>
              <w:t>Backlog mix</w:t>
            </w:r>
          </w:p>
        </w:tc>
        <w:tc>
          <w:tcPr>
            <w:tcW w:type="dxa" w:w="6192"/>
          </w:tcPr>
          <w:p>
            <w:pPr>
              <w:jc w:val="right"/>
            </w:pPr>
            <w:r>
              <w:rPr>
                <w:color w:val="222222"/>
                <w:sz w:val="18"/>
              </w:rPr>
              <w:t>Egypt 54.3% · USA 32.1% · KSA 7.9% · UAE 3.2%</w:t>
            </w:r>
          </w:p>
        </w:tc>
      </w:tr>
      <w:tr>
        <w:tc>
          <w:tcPr>
            <w:tcW w:type="dxa" w:w="3312"/>
          </w:tcPr>
          <w:p>
            <w:r>
              <w:rPr>
                <w:color w:val="222222"/>
                <w:sz w:val="18"/>
              </w:rPr>
              <w:t>Concessions</w:t>
            </w:r>
          </w:p>
        </w:tc>
        <w:tc>
          <w:tcPr>
            <w:tcW w:type="dxa" w:w="6192"/>
          </w:tcPr>
          <w:p>
            <w:pPr>
              <w:jc w:val="right"/>
            </w:pPr>
            <w:r>
              <w:rPr>
                <w:color w:val="222222"/>
                <w:sz w:val="18"/>
              </w:rPr>
              <w:t>912.5 MW wind operational; +900 MW signed; water BOO/BOOT</w:t>
            </w:r>
          </w:p>
        </w:tc>
      </w:tr>
      <w:tr>
        <w:tc>
          <w:tcPr>
            <w:tcW w:type="dxa" w:w="3312"/>
          </w:tcPr>
          <w:p>
            <w:r>
              <w:rPr>
                <w:color w:val="222222"/>
                <w:sz w:val="18"/>
              </w:rPr>
              <w:t>BESIX</w:t>
            </w:r>
          </w:p>
        </w:tc>
        <w:tc>
          <w:tcPr>
            <w:tcW w:type="dxa" w:w="6192"/>
          </w:tcPr>
          <w:p>
            <w:pPr>
              <w:jc w:val="right"/>
            </w:pPr>
            <w:r>
              <w:rPr>
                <w:color w:val="222222"/>
                <w:sz w:val="18"/>
              </w:rPr>
              <w:t>50% stake, equity-accounted; FY2025 contribution $24.7m</w:t>
            </w:r>
          </w:p>
        </w:tc>
      </w:tr>
      <w:tr>
        <w:tc>
          <w:tcPr>
            <w:tcW w:type="dxa" w:w="3312"/>
          </w:tcPr>
          <w:p>
            <w:r>
              <w:rPr>
                <w:color w:val="222222"/>
                <w:sz w:val="18"/>
              </w:rPr>
              <w:t>Net cash (reported / usable)</w:t>
            </w:r>
          </w:p>
        </w:tc>
        <w:tc>
          <w:tcPr>
            <w:tcW w:type="dxa" w:w="6192"/>
          </w:tcPr>
          <w:p>
            <w:pPr>
              <w:jc w:val="right"/>
            </w:pPr>
            <w:r>
              <w:rPr>
                <w:color w:val="222222"/>
                <w:sz w:val="18"/>
              </w:rPr>
              <w:t>≈ $540m reported · $400m usable (est.)</w:t>
            </w:r>
          </w:p>
        </w:tc>
      </w:tr>
      <w:tr>
        <w:tc>
          <w:tcPr>
            <w:tcW w:type="dxa" w:w="3312"/>
          </w:tcPr>
          <w:p>
            <w:r>
              <w:rPr>
                <w:color w:val="222222"/>
                <w:sz w:val="18"/>
              </w:rPr>
              <w:t>Dividend</w:t>
            </w:r>
          </w:p>
        </w:tc>
        <w:tc>
          <w:tcPr>
            <w:tcW w:type="dxa" w:w="6192"/>
          </w:tcPr>
          <w:p>
            <w:pPr>
              <w:jc w:val="right"/>
            </w:pPr>
            <w:r>
              <w:rPr>
                <w:color w:val="222222"/>
                <w:sz w:val="18"/>
              </w:rPr>
              <w:t>$0.47/sh ($51.8m), ≈ 3.2% yield</w:t>
            </w:r>
          </w:p>
        </w:tc>
      </w:tr>
      <w:tr>
        <w:tc>
          <w:tcPr>
            <w:tcW w:type="dxa" w:w="3312"/>
          </w:tcPr>
          <w:p>
            <w:r>
              <w:rPr>
                <w:color w:val="222222"/>
                <w:sz w:val="18"/>
              </w:rPr>
              <w:t>Corporate event</w:t>
            </w:r>
          </w:p>
        </w:tc>
        <w:tc>
          <w:tcPr>
            <w:tcW w:type="dxa" w:w="6192"/>
          </w:tcPr>
          <w:p>
            <w:pPr>
              <w:jc w:val="right"/>
            </w:pPr>
            <w:r>
              <w:rPr>
                <w:color w:val="222222"/>
                <w:sz w:val="18"/>
              </w:rPr>
              <w:t>Proposed combination with OCI Global (Euronext: OCI)</w:t>
            </w:r>
          </w:p>
        </w:tc>
      </w:tr>
    </w:tbl>
    <w:p>
      <w:pPr>
        <w:spacing w:after="40"/>
      </w:pPr>
    </w:p>
    <w:p>
      <w:pPr>
        <w:keepNext/>
        <w:spacing w:before="280" w:after="80"/>
      </w:pPr>
      <w:r>
        <w:rPr>
          <w:b/>
          <w:color w:val="1B5E5E"/>
          <w:sz w:val="32"/>
        </w:rPr>
        <w:t>1  Fundamental valuation</w:t>
      </w:r>
    </w:p>
    <w:p>
      <w:pPr>
        <w:spacing w:after="120"/>
      </w:pPr>
      <w:r>
        <w:rPr>
          <w:b w:val="0"/>
          <w:i w:val="0"/>
          <w:color w:val="222222"/>
          <w:sz w:val="21"/>
        </w:rPr>
        <w:t>A global contractor is not valued like a property developer or a bank. There is no land bank to revalue and no deposit franchise; the value is the cash the order book converts into over time, plus a handful of separable assets — a 50% stake in BESIX, a growing concessions platform, and a net cash balance — that sit alongside the contracting engine. We therefore lead with a going-concern cash-flow lens and cross-check it three ways: a sum-of-the-parts, relative multiples, and normalized earnings. The four are weighted into a single central estimate, but the weighting matters less than understanding why they disagree.</w:t>
      </w:r>
    </w:p>
    <w:p>
      <w:pPr>
        <w:keepNext/>
        <w:spacing w:before="280" w:after="80"/>
      </w:pPr>
      <w:r>
        <w:rPr>
          <w:b/>
          <w:color w:val="1B5E5E"/>
          <w:sz w:val="26"/>
        </w:rPr>
        <w:t>1.1  Consolidated FCFF — the primary lens</w:t>
      </w:r>
    </w:p>
    <w:p>
      <w:pPr>
        <w:spacing w:after="120"/>
      </w:pPr>
      <w:r>
        <w:rPr>
          <w:b w:val="0"/>
          <w:i w:val="0"/>
          <w:color w:val="222222"/>
          <w:sz w:val="21"/>
        </w:rPr>
        <w:t>The discounted-cash-flow lens asks the narrow, demanding question: what is the consolidated operating business worth on the cash it generates? We build unlevered free cash flow from normalized operating profit (stripping the $29m of one-off claim and arbitration gains booked in FY2025), tax it, add back depreciation, and subtract capex and a normalized working-capital drag — the last is the crux for a contractor, whose cash swings violently with advances and billings. We grow the base at 8% through an explicit five-year window, fade to a 3.5% terminal, and discount at a 12.0% dollar WACC that reflects a country mix now tilting toward the US and the Gulf. The 50% BESIX stake and the usable net cash are added to the operating enterprise value, not double-counted inside it.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880"/>
            <w:shd w:val="clear" w:fill="1B5E5E"/>
          </w:tcPr>
          <w:p>
            <w:r>
              <w:rPr>
                <w:b/>
                <w:color w:val="FFFFFF"/>
                <w:sz w:val="17"/>
              </w:rPr>
              <w:t>FCFF build (USD m)</w:t>
            </w:r>
          </w:p>
        </w:tc>
        <w:tc>
          <w:tcPr>
            <w:tcW w:type="dxa" w:w="1368"/>
            <w:shd w:val="clear" w:fill="1B5E5E"/>
          </w:tcPr>
          <w:p>
            <w:pPr>
              <w:jc w:val="right"/>
            </w:pPr>
            <w:r>
              <w:rPr>
                <w:b/>
                <w:color w:val="FFFFFF"/>
                <w:sz w:val="17"/>
              </w:rPr>
              <w:t>2026e</w:t>
            </w:r>
          </w:p>
        </w:tc>
        <w:tc>
          <w:tcPr>
            <w:tcW w:type="dxa" w:w="1368"/>
            <w:shd w:val="clear" w:fill="1B5E5E"/>
          </w:tcPr>
          <w:p>
            <w:pPr>
              <w:jc w:val="right"/>
            </w:pPr>
            <w:r>
              <w:rPr>
                <w:b/>
                <w:color w:val="FFFFFF"/>
                <w:sz w:val="17"/>
              </w:rPr>
              <w:t>2027e</w:t>
            </w:r>
          </w:p>
        </w:tc>
        <w:tc>
          <w:tcPr>
            <w:tcW w:type="dxa" w:w="1368"/>
            <w:shd w:val="clear" w:fill="1B5E5E"/>
          </w:tcPr>
          <w:p>
            <w:pPr>
              <w:jc w:val="right"/>
            </w:pPr>
            <w:r>
              <w:rPr>
                <w:b/>
                <w:color w:val="FFFFFF"/>
                <w:sz w:val="17"/>
              </w:rPr>
              <w:t>2028e</w:t>
            </w:r>
          </w:p>
        </w:tc>
        <w:tc>
          <w:tcPr>
            <w:tcW w:type="dxa" w:w="1368"/>
            <w:shd w:val="clear" w:fill="1B5E5E"/>
          </w:tcPr>
          <w:p>
            <w:pPr>
              <w:jc w:val="right"/>
            </w:pPr>
            <w:r>
              <w:rPr>
                <w:b/>
                <w:color w:val="FFFFFF"/>
                <w:sz w:val="17"/>
              </w:rPr>
              <w:t>2029e</w:t>
            </w:r>
          </w:p>
        </w:tc>
        <w:tc>
          <w:tcPr>
            <w:tcW w:type="dxa" w:w="1368"/>
            <w:shd w:val="clear" w:fill="1B5E5E"/>
          </w:tcPr>
          <w:p>
            <w:pPr>
              <w:jc w:val="right"/>
            </w:pPr>
            <w:r>
              <w:rPr>
                <w:b/>
                <w:color w:val="FFFFFF"/>
                <w:sz w:val="17"/>
              </w:rPr>
              <w:t>2030e</w:t>
            </w:r>
          </w:p>
        </w:tc>
      </w:tr>
      <w:tr>
        <w:tc>
          <w:tcPr>
            <w:tcW w:type="dxa" w:w="2880"/>
          </w:tcPr>
          <w:p>
            <w:r>
              <w:rPr>
                <w:color w:val="222222"/>
                <w:sz w:val="17"/>
              </w:rPr>
              <w:t>Operating profit (EBIT)</w:t>
            </w:r>
          </w:p>
        </w:tc>
        <w:tc>
          <w:tcPr>
            <w:tcW w:type="dxa" w:w="1368"/>
          </w:tcPr>
          <w:p>
            <w:pPr>
              <w:jc w:val="right"/>
            </w:pPr>
            <w:r>
              <w:rPr>
                <w:color w:val="222222"/>
                <w:sz w:val="17"/>
              </w:rPr>
              <w:t>280</w:t>
            </w:r>
          </w:p>
        </w:tc>
        <w:tc>
          <w:tcPr>
            <w:tcW w:type="dxa" w:w="1368"/>
          </w:tcPr>
          <w:p>
            <w:pPr>
              <w:jc w:val="right"/>
            </w:pPr>
            <w:r>
              <w:rPr>
                <w:color w:val="222222"/>
                <w:sz w:val="17"/>
              </w:rPr>
              <w:t>305</w:t>
            </w:r>
          </w:p>
        </w:tc>
        <w:tc>
          <w:tcPr>
            <w:tcW w:type="dxa" w:w="1368"/>
          </w:tcPr>
          <w:p>
            <w:pPr>
              <w:jc w:val="right"/>
            </w:pPr>
            <w:r>
              <w:rPr>
                <w:color w:val="222222"/>
                <w:sz w:val="17"/>
              </w:rPr>
              <w:t>329</w:t>
            </w:r>
          </w:p>
        </w:tc>
        <w:tc>
          <w:tcPr>
            <w:tcW w:type="dxa" w:w="1368"/>
          </w:tcPr>
          <w:p>
            <w:pPr>
              <w:jc w:val="right"/>
            </w:pPr>
            <w:r>
              <w:rPr>
                <w:color w:val="222222"/>
                <w:sz w:val="17"/>
              </w:rPr>
              <w:t>352</w:t>
            </w:r>
          </w:p>
        </w:tc>
        <w:tc>
          <w:tcPr>
            <w:tcW w:type="dxa" w:w="1368"/>
          </w:tcPr>
          <w:p>
            <w:pPr>
              <w:jc w:val="right"/>
            </w:pPr>
            <w:r>
              <w:rPr>
                <w:color w:val="222222"/>
                <w:sz w:val="17"/>
              </w:rPr>
              <w:t>372</w:t>
            </w:r>
          </w:p>
        </w:tc>
      </w:tr>
      <w:tr>
        <w:tc>
          <w:tcPr>
            <w:tcW w:type="dxa" w:w="2880"/>
          </w:tcPr>
          <w:p>
            <w:r>
              <w:rPr>
                <w:color w:val="222222"/>
                <w:sz w:val="17"/>
              </w:rPr>
              <w:t>NOPAT (after 22% tax)</w:t>
            </w:r>
          </w:p>
        </w:tc>
        <w:tc>
          <w:tcPr>
            <w:tcW w:type="dxa" w:w="1368"/>
          </w:tcPr>
          <w:p>
            <w:pPr>
              <w:jc w:val="right"/>
            </w:pPr>
            <w:r>
              <w:rPr>
                <w:color w:val="222222"/>
                <w:sz w:val="17"/>
              </w:rPr>
              <w:t>218</w:t>
            </w:r>
          </w:p>
        </w:tc>
        <w:tc>
          <w:tcPr>
            <w:tcW w:type="dxa" w:w="1368"/>
          </w:tcPr>
          <w:p>
            <w:pPr>
              <w:jc w:val="right"/>
            </w:pPr>
            <w:r>
              <w:rPr>
                <w:color w:val="222222"/>
                <w:sz w:val="17"/>
              </w:rPr>
              <w:t>238</w:t>
            </w:r>
          </w:p>
        </w:tc>
        <w:tc>
          <w:tcPr>
            <w:tcW w:type="dxa" w:w="1368"/>
          </w:tcPr>
          <w:p>
            <w:pPr>
              <w:jc w:val="right"/>
            </w:pPr>
            <w:r>
              <w:rPr>
                <w:color w:val="222222"/>
                <w:sz w:val="17"/>
              </w:rPr>
              <w:t>257</w:t>
            </w:r>
          </w:p>
        </w:tc>
        <w:tc>
          <w:tcPr>
            <w:tcW w:type="dxa" w:w="1368"/>
          </w:tcPr>
          <w:p>
            <w:pPr>
              <w:jc w:val="right"/>
            </w:pPr>
            <w:r>
              <w:rPr>
                <w:color w:val="222222"/>
                <w:sz w:val="17"/>
              </w:rPr>
              <w:t>275</w:t>
            </w:r>
          </w:p>
        </w:tc>
        <w:tc>
          <w:tcPr>
            <w:tcW w:type="dxa" w:w="1368"/>
          </w:tcPr>
          <w:p>
            <w:pPr>
              <w:jc w:val="right"/>
            </w:pPr>
            <w:r>
              <w:rPr>
                <w:color w:val="222222"/>
                <w:sz w:val="17"/>
              </w:rPr>
              <w:t>290</w:t>
            </w:r>
          </w:p>
        </w:tc>
      </w:tr>
      <w:tr>
        <w:tc>
          <w:tcPr>
            <w:tcW w:type="dxa" w:w="2880"/>
          </w:tcPr>
          <w:p>
            <w:r>
              <w:rPr>
                <w:color w:val="222222"/>
                <w:sz w:val="17"/>
              </w:rPr>
              <w:t>(+) D&amp;A</w:t>
            </w:r>
          </w:p>
        </w:tc>
        <w:tc>
          <w:tcPr>
            <w:tcW w:type="dxa" w:w="1368"/>
          </w:tcPr>
          <w:p>
            <w:pPr>
              <w:jc w:val="right"/>
            </w:pPr>
            <w:r>
              <w:rPr>
                <w:color w:val="222222"/>
                <w:sz w:val="17"/>
              </w:rPr>
              <w:t>50</w:t>
            </w:r>
          </w:p>
        </w:tc>
        <w:tc>
          <w:tcPr>
            <w:tcW w:type="dxa" w:w="1368"/>
          </w:tcPr>
          <w:p>
            <w:pPr>
              <w:jc w:val="right"/>
            </w:pPr>
            <w:r>
              <w:rPr>
                <w:color w:val="222222"/>
                <w:sz w:val="17"/>
              </w:rPr>
              <w:t>55</w:t>
            </w:r>
          </w:p>
        </w:tc>
        <w:tc>
          <w:tcPr>
            <w:tcW w:type="dxa" w:w="1368"/>
          </w:tcPr>
          <w:p>
            <w:pPr>
              <w:jc w:val="right"/>
            </w:pPr>
            <w:r>
              <w:rPr>
                <w:color w:val="222222"/>
                <w:sz w:val="17"/>
              </w:rPr>
              <w:t>59</w:t>
            </w:r>
          </w:p>
        </w:tc>
        <w:tc>
          <w:tcPr>
            <w:tcW w:type="dxa" w:w="1368"/>
          </w:tcPr>
          <w:p>
            <w:pPr>
              <w:jc w:val="right"/>
            </w:pPr>
            <w:r>
              <w:rPr>
                <w:color w:val="222222"/>
                <w:sz w:val="17"/>
              </w:rPr>
              <w:t>62</w:t>
            </w:r>
          </w:p>
        </w:tc>
        <w:tc>
          <w:tcPr>
            <w:tcW w:type="dxa" w:w="1368"/>
          </w:tcPr>
          <w:p>
            <w:pPr>
              <w:jc w:val="right"/>
            </w:pPr>
            <w:r>
              <w:rPr>
                <w:color w:val="222222"/>
                <w:sz w:val="17"/>
              </w:rPr>
              <w:t>66</w:t>
            </w:r>
          </w:p>
        </w:tc>
      </w:tr>
      <w:tr>
        <w:tc>
          <w:tcPr>
            <w:tcW w:type="dxa" w:w="2880"/>
          </w:tcPr>
          <w:p>
            <w:r>
              <w:rPr>
                <w:color w:val="222222"/>
                <w:sz w:val="17"/>
              </w:rPr>
              <w:t>(−) Capex</w:t>
            </w:r>
          </w:p>
        </w:tc>
        <w:tc>
          <w:tcPr>
            <w:tcW w:type="dxa" w:w="1368"/>
          </w:tcPr>
          <w:p>
            <w:pPr>
              <w:jc w:val="right"/>
            </w:pPr>
            <w:r>
              <w:rPr>
                <w:color w:val="222222"/>
                <w:sz w:val="17"/>
              </w:rPr>
              <w:t>(80)</w:t>
            </w:r>
          </w:p>
        </w:tc>
        <w:tc>
          <w:tcPr>
            <w:tcW w:type="dxa" w:w="1368"/>
          </w:tcPr>
          <w:p>
            <w:pPr>
              <w:jc w:val="right"/>
            </w:pPr>
            <w:r>
              <w:rPr>
                <w:color w:val="222222"/>
                <w:sz w:val="17"/>
              </w:rPr>
              <w:t>(84)</w:t>
            </w:r>
          </w:p>
        </w:tc>
        <w:tc>
          <w:tcPr>
            <w:tcW w:type="dxa" w:w="1368"/>
          </w:tcPr>
          <w:p>
            <w:pPr>
              <w:jc w:val="right"/>
            </w:pPr>
            <w:r>
              <w:rPr>
                <w:color w:val="222222"/>
                <w:sz w:val="17"/>
              </w:rPr>
              <w:t>(88)</w:t>
            </w:r>
          </w:p>
        </w:tc>
        <w:tc>
          <w:tcPr>
            <w:tcW w:type="dxa" w:w="1368"/>
          </w:tcPr>
          <w:p>
            <w:pPr>
              <w:jc w:val="right"/>
            </w:pPr>
            <w:r>
              <w:rPr>
                <w:color w:val="222222"/>
                <w:sz w:val="17"/>
              </w:rPr>
              <w:t>(92)</w:t>
            </w:r>
          </w:p>
        </w:tc>
        <w:tc>
          <w:tcPr>
            <w:tcW w:type="dxa" w:w="1368"/>
          </w:tcPr>
          <w:p>
            <w:pPr>
              <w:jc w:val="right"/>
            </w:pPr>
            <w:r>
              <w:rPr>
                <w:color w:val="222222"/>
                <w:sz w:val="17"/>
              </w:rPr>
              <w:t>(96)</w:t>
            </w:r>
          </w:p>
        </w:tc>
      </w:tr>
      <w:tr>
        <w:tc>
          <w:tcPr>
            <w:tcW w:type="dxa" w:w="2880"/>
          </w:tcPr>
          <w:p>
            <w:r>
              <w:rPr>
                <w:color w:val="222222"/>
                <w:sz w:val="17"/>
              </w:rPr>
              <w:t>(−) Δ Working capital</w:t>
            </w:r>
          </w:p>
        </w:tc>
        <w:tc>
          <w:tcPr>
            <w:tcW w:type="dxa" w:w="1368"/>
          </w:tcPr>
          <w:p>
            <w:pPr>
              <w:jc w:val="right"/>
            </w:pPr>
            <w:r>
              <w:rPr>
                <w:color w:val="222222"/>
                <w:sz w:val="17"/>
              </w:rPr>
              <w:t>(35)</w:t>
            </w:r>
          </w:p>
        </w:tc>
        <w:tc>
          <w:tcPr>
            <w:tcW w:type="dxa" w:w="1368"/>
          </w:tcPr>
          <w:p>
            <w:pPr>
              <w:jc w:val="right"/>
            </w:pPr>
            <w:r>
              <w:rPr>
                <w:color w:val="222222"/>
                <w:sz w:val="17"/>
              </w:rPr>
              <w:t>(38)</w:t>
            </w:r>
          </w:p>
        </w:tc>
        <w:tc>
          <w:tcPr>
            <w:tcW w:type="dxa" w:w="1368"/>
          </w:tcPr>
          <w:p>
            <w:pPr>
              <w:jc w:val="right"/>
            </w:pPr>
            <w:r>
              <w:rPr>
                <w:color w:val="222222"/>
                <w:sz w:val="17"/>
              </w:rPr>
              <w:t>(41)</w:t>
            </w:r>
          </w:p>
        </w:tc>
        <w:tc>
          <w:tcPr>
            <w:tcW w:type="dxa" w:w="1368"/>
          </w:tcPr>
          <w:p>
            <w:pPr>
              <w:jc w:val="right"/>
            </w:pPr>
            <w:r>
              <w:rPr>
                <w:color w:val="222222"/>
                <w:sz w:val="17"/>
              </w:rPr>
              <w:t>(44)</w:t>
            </w:r>
          </w:p>
        </w:tc>
        <w:tc>
          <w:tcPr>
            <w:tcW w:type="dxa" w:w="1368"/>
          </w:tcPr>
          <w:p>
            <w:pPr>
              <w:jc w:val="right"/>
            </w:pPr>
            <w:r>
              <w:rPr>
                <w:color w:val="222222"/>
                <w:sz w:val="17"/>
              </w:rPr>
              <w:t>(47)</w:t>
            </w:r>
          </w:p>
        </w:tc>
      </w:tr>
      <w:tr>
        <w:tc>
          <w:tcPr>
            <w:tcW w:type="dxa" w:w="2880"/>
          </w:tcPr>
          <w:p>
            <w:r>
              <w:rPr>
                <w:color w:val="222222"/>
                <w:sz w:val="17"/>
              </w:rPr>
              <w:t>Unlevered FCFF</w:t>
            </w:r>
          </w:p>
        </w:tc>
        <w:tc>
          <w:tcPr>
            <w:tcW w:type="dxa" w:w="1368"/>
          </w:tcPr>
          <w:p>
            <w:pPr>
              <w:jc w:val="right"/>
            </w:pPr>
            <w:r>
              <w:rPr>
                <w:color w:val="222222"/>
                <w:sz w:val="17"/>
              </w:rPr>
              <w:t>119</w:t>
            </w:r>
          </w:p>
        </w:tc>
        <w:tc>
          <w:tcPr>
            <w:tcW w:type="dxa" w:w="1368"/>
          </w:tcPr>
          <w:p>
            <w:pPr>
              <w:jc w:val="right"/>
            </w:pPr>
            <w:r>
              <w:rPr>
                <w:color w:val="222222"/>
                <w:sz w:val="17"/>
              </w:rPr>
              <w:t>128</w:t>
            </w:r>
          </w:p>
        </w:tc>
        <w:tc>
          <w:tcPr>
            <w:tcW w:type="dxa" w:w="1368"/>
          </w:tcPr>
          <w:p>
            <w:pPr>
              <w:jc w:val="right"/>
            </w:pPr>
            <w:r>
              <w:rPr>
                <w:color w:val="222222"/>
                <w:sz w:val="17"/>
              </w:rPr>
              <w:t>139</w:t>
            </w:r>
          </w:p>
        </w:tc>
        <w:tc>
          <w:tcPr>
            <w:tcW w:type="dxa" w:w="1368"/>
          </w:tcPr>
          <w:p>
            <w:pPr>
              <w:jc w:val="right"/>
            </w:pPr>
            <w:r>
              <w:rPr>
                <w:color w:val="222222"/>
                <w:sz w:val="17"/>
              </w:rPr>
              <w:t>150</w:t>
            </w:r>
          </w:p>
        </w:tc>
        <w:tc>
          <w:tcPr>
            <w:tcW w:type="dxa" w:w="1368"/>
          </w:tcPr>
          <w:p>
            <w:pPr>
              <w:jc w:val="right"/>
            </w:pPr>
            <w:r>
              <w:rPr>
                <w:color w:val="222222"/>
                <w:sz w:val="17"/>
              </w:rPr>
              <w:t>162</w:t>
            </w:r>
          </w:p>
        </w:tc>
      </w:tr>
      <w:tr>
        <w:tc>
          <w:tcPr>
            <w:tcW w:type="dxa" w:w="2880"/>
          </w:tcPr>
          <w:p>
            <w:r>
              <w:rPr>
                <w:color w:val="222222"/>
                <w:sz w:val="17"/>
              </w:rPr>
              <w:t>Discount factor @ 12.0%</w:t>
            </w:r>
          </w:p>
        </w:tc>
        <w:tc>
          <w:tcPr>
            <w:tcW w:type="dxa" w:w="1368"/>
          </w:tcPr>
          <w:p>
            <w:pPr>
              <w:jc w:val="right"/>
            </w:pPr>
            <w:r>
              <w:rPr>
                <w:color w:val="222222"/>
                <w:sz w:val="17"/>
              </w:rPr>
              <w:t>0.89</w:t>
            </w:r>
          </w:p>
        </w:tc>
        <w:tc>
          <w:tcPr>
            <w:tcW w:type="dxa" w:w="1368"/>
          </w:tcPr>
          <w:p>
            <w:pPr>
              <w:jc w:val="right"/>
            </w:pPr>
            <w:r>
              <w:rPr>
                <w:color w:val="222222"/>
                <w:sz w:val="17"/>
              </w:rPr>
              <w:t>0.80</w:t>
            </w:r>
          </w:p>
        </w:tc>
        <w:tc>
          <w:tcPr>
            <w:tcW w:type="dxa" w:w="1368"/>
          </w:tcPr>
          <w:p>
            <w:pPr>
              <w:jc w:val="right"/>
            </w:pPr>
            <w:r>
              <w:rPr>
                <w:color w:val="222222"/>
                <w:sz w:val="17"/>
              </w:rPr>
              <w:t>0.71</w:t>
            </w:r>
          </w:p>
        </w:tc>
        <w:tc>
          <w:tcPr>
            <w:tcW w:type="dxa" w:w="1368"/>
          </w:tcPr>
          <w:p>
            <w:pPr>
              <w:jc w:val="right"/>
            </w:pPr>
            <w:r>
              <w:rPr>
                <w:color w:val="222222"/>
                <w:sz w:val="17"/>
              </w:rPr>
              <w:t>0.64</w:t>
            </w:r>
          </w:p>
        </w:tc>
        <w:tc>
          <w:tcPr>
            <w:tcW w:type="dxa" w:w="1368"/>
          </w:tcPr>
          <w:p>
            <w:pPr>
              <w:jc w:val="right"/>
            </w:pPr>
            <w:r>
              <w:rPr>
                <w:color w:val="222222"/>
                <w:sz w:val="17"/>
              </w:rPr>
              <w:t>0.57</w:t>
            </w:r>
          </w:p>
        </w:tc>
      </w:tr>
      <w:tr>
        <w:tc>
          <w:tcPr>
            <w:tcW w:type="dxa" w:w="2880"/>
          </w:tcPr>
          <w:p>
            <w:r>
              <w:rPr>
                <w:color w:val="222222"/>
                <w:sz w:val="17"/>
              </w:rPr>
              <w:t>PV of FCFF</w:t>
            </w:r>
          </w:p>
        </w:tc>
        <w:tc>
          <w:tcPr>
            <w:tcW w:type="dxa" w:w="1368"/>
          </w:tcPr>
          <w:p>
            <w:pPr>
              <w:jc w:val="right"/>
            </w:pPr>
            <w:r>
              <w:rPr>
                <w:color w:val="222222"/>
                <w:sz w:val="17"/>
              </w:rPr>
              <w:t>106</w:t>
            </w:r>
          </w:p>
        </w:tc>
        <w:tc>
          <w:tcPr>
            <w:tcW w:type="dxa" w:w="1368"/>
          </w:tcPr>
          <w:p>
            <w:pPr>
              <w:jc w:val="right"/>
            </w:pPr>
            <w:r>
              <w:rPr>
                <w:color w:val="222222"/>
                <w:sz w:val="17"/>
              </w:rPr>
              <w:t>102</w:t>
            </w:r>
          </w:p>
        </w:tc>
        <w:tc>
          <w:tcPr>
            <w:tcW w:type="dxa" w:w="1368"/>
          </w:tcPr>
          <w:p>
            <w:pPr>
              <w:jc w:val="right"/>
            </w:pPr>
            <w:r>
              <w:rPr>
                <w:color w:val="222222"/>
                <w:sz w:val="17"/>
              </w:rPr>
              <w:t>99</w:t>
            </w:r>
          </w:p>
        </w:tc>
        <w:tc>
          <w:tcPr>
            <w:tcW w:type="dxa" w:w="1368"/>
          </w:tcPr>
          <w:p>
            <w:pPr>
              <w:jc w:val="right"/>
            </w:pPr>
            <w:r>
              <w:rPr>
                <w:color w:val="222222"/>
                <w:sz w:val="17"/>
              </w:rPr>
              <w:t>95</w:t>
            </w:r>
          </w:p>
        </w:tc>
        <w:tc>
          <w:tcPr>
            <w:tcW w:type="dxa" w:w="1368"/>
          </w:tcPr>
          <w:p>
            <w:pPr>
              <w:jc w:val="right"/>
            </w:pPr>
            <w:r>
              <w:rPr>
                <w:color w:val="222222"/>
                <w:sz w:val="17"/>
              </w:rPr>
              <w:t>92</w:t>
            </w:r>
          </w:p>
        </w:tc>
      </w:tr>
    </w:tbl>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4320"/>
            <w:shd w:val="clear" w:fill="1B5E5E"/>
          </w:tcPr>
          <w:p>
            <w:r>
              <w:rPr>
                <w:b/>
                <w:color w:val="FFFFFF"/>
                <w:sz w:val="18"/>
              </w:rPr>
              <w:t>DCF bridge to value</w:t>
            </w:r>
          </w:p>
        </w:tc>
        <w:tc>
          <w:tcPr>
            <w:tcW w:type="dxa" w:w="1728"/>
            <w:shd w:val="clear" w:fill="1B5E5E"/>
          </w:tcPr>
          <w:p>
            <w:pPr>
              <w:jc w:val="right"/>
            </w:pPr>
            <w:r>
              <w:rPr>
                <w:b/>
                <w:color w:val="FFFFFF"/>
                <w:sz w:val="18"/>
              </w:rPr>
              <w:t>USD m</w:t>
            </w:r>
          </w:p>
        </w:tc>
        <w:tc>
          <w:tcPr>
            <w:tcW w:type="dxa" w:w="2304"/>
            <w:shd w:val="clear" w:fill="1B5E5E"/>
          </w:tcPr>
          <w:p>
            <w:pPr>
              <w:jc w:val="right"/>
            </w:pPr>
            <w:r>
              <w:rPr>
                <w:b/>
                <w:color w:val="FFFFFF"/>
                <w:sz w:val="18"/>
              </w:rPr>
              <w:t>per share</w:t>
            </w:r>
          </w:p>
        </w:tc>
      </w:tr>
      <w:tr>
        <w:tc>
          <w:tcPr>
            <w:tcW w:type="dxa" w:w="4320"/>
          </w:tcPr>
          <w:p>
            <w:r>
              <w:rPr>
                <w:color w:val="222222"/>
                <w:sz w:val="18"/>
              </w:rPr>
              <w:t>PV of explicit FCFF (2026–30)</w:t>
            </w:r>
          </w:p>
        </w:tc>
        <w:tc>
          <w:tcPr>
            <w:tcW w:type="dxa" w:w="1728"/>
          </w:tcPr>
          <w:p>
            <w:pPr>
              <w:jc w:val="right"/>
            </w:pPr>
            <w:r>
              <w:rPr>
                <w:color w:val="222222"/>
                <w:sz w:val="18"/>
              </w:rPr>
              <w:t>494</w:t>
            </w:r>
          </w:p>
        </w:tc>
        <w:tc>
          <w:tcPr>
            <w:tcW w:type="dxa" w:w="2304"/>
          </w:tcPr>
          <w:p>
            <w:pPr>
              <w:jc w:val="right"/>
            </w:pPr>
            <w:r>
              <w:rPr>
                <w:color w:val="222222"/>
                <w:sz w:val="18"/>
              </w:rPr>
              <w:t>—</w:t>
            </w:r>
          </w:p>
        </w:tc>
      </w:tr>
      <w:tr>
        <w:tc>
          <w:tcPr>
            <w:tcW w:type="dxa" w:w="4320"/>
          </w:tcPr>
          <w:p>
            <w:r>
              <w:rPr>
                <w:color w:val="222222"/>
                <w:sz w:val="18"/>
              </w:rPr>
              <w:t>PV of terminal value</w:t>
            </w:r>
          </w:p>
        </w:tc>
        <w:tc>
          <w:tcPr>
            <w:tcW w:type="dxa" w:w="1728"/>
          </w:tcPr>
          <w:p>
            <w:pPr>
              <w:jc w:val="right"/>
            </w:pPr>
            <w:r>
              <w:rPr>
                <w:color w:val="222222"/>
                <w:sz w:val="18"/>
              </w:rPr>
              <w:t>1,119</w:t>
            </w:r>
          </w:p>
        </w:tc>
        <w:tc>
          <w:tcPr>
            <w:tcW w:type="dxa" w:w="2304"/>
          </w:tcPr>
          <w:p>
            <w:pPr>
              <w:jc w:val="right"/>
            </w:pPr>
            <w:r>
              <w:rPr>
                <w:color w:val="222222"/>
                <w:sz w:val="18"/>
              </w:rPr>
              <w:t>—</w:t>
            </w:r>
          </w:p>
        </w:tc>
      </w:tr>
      <w:tr>
        <w:tc>
          <w:tcPr>
            <w:tcW w:type="dxa" w:w="4320"/>
          </w:tcPr>
          <w:p>
            <w:r>
              <w:rPr>
                <w:color w:val="222222"/>
                <w:sz w:val="18"/>
              </w:rPr>
              <w:t>Operating enterprise value</w:t>
            </w:r>
          </w:p>
        </w:tc>
        <w:tc>
          <w:tcPr>
            <w:tcW w:type="dxa" w:w="1728"/>
          </w:tcPr>
          <w:p>
            <w:pPr>
              <w:jc w:val="right"/>
            </w:pPr>
            <w:r>
              <w:rPr>
                <w:color w:val="222222"/>
                <w:sz w:val="18"/>
              </w:rPr>
              <w:t>1,613</w:t>
            </w:r>
          </w:p>
        </w:tc>
        <w:tc>
          <w:tcPr>
            <w:tcW w:type="dxa" w:w="2304"/>
          </w:tcPr>
          <w:p>
            <w:pPr>
              <w:jc w:val="right"/>
            </w:pPr>
            <w:r>
              <w:rPr>
                <w:color w:val="222222"/>
                <w:sz w:val="18"/>
              </w:rPr>
              <w:t>—</w:t>
            </w:r>
          </w:p>
        </w:tc>
      </w:tr>
      <w:tr>
        <w:tc>
          <w:tcPr>
            <w:tcW w:type="dxa" w:w="4320"/>
          </w:tcPr>
          <w:p>
            <w:r>
              <w:rPr>
                <w:color w:val="222222"/>
                <w:sz w:val="18"/>
              </w:rPr>
              <w:t>(+) Usable net cash</w:t>
            </w:r>
          </w:p>
        </w:tc>
        <w:tc>
          <w:tcPr>
            <w:tcW w:type="dxa" w:w="1728"/>
          </w:tcPr>
          <w:p>
            <w:pPr>
              <w:jc w:val="right"/>
            </w:pPr>
            <w:r>
              <w:rPr>
                <w:color w:val="222222"/>
                <w:sz w:val="18"/>
              </w:rPr>
              <w:t>400</w:t>
            </w:r>
          </w:p>
        </w:tc>
        <w:tc>
          <w:tcPr>
            <w:tcW w:type="dxa" w:w="2304"/>
          </w:tcPr>
          <w:p>
            <w:pPr>
              <w:jc w:val="right"/>
            </w:pPr>
            <w:r>
              <w:rPr>
                <w:color w:val="222222"/>
                <w:sz w:val="18"/>
              </w:rPr>
              <w:t>—</w:t>
            </w:r>
          </w:p>
        </w:tc>
      </w:tr>
      <w:tr>
        <w:tc>
          <w:tcPr>
            <w:tcW w:type="dxa" w:w="4320"/>
          </w:tcPr>
          <w:p>
            <w:r>
              <w:rPr>
                <w:color w:val="222222"/>
                <w:sz w:val="18"/>
              </w:rPr>
              <w:t>(+) BESIX 50% stake</w:t>
            </w:r>
          </w:p>
        </w:tc>
        <w:tc>
          <w:tcPr>
            <w:tcW w:type="dxa" w:w="1728"/>
          </w:tcPr>
          <w:p>
            <w:pPr>
              <w:jc w:val="right"/>
            </w:pPr>
            <w:r>
              <w:rPr>
                <w:color w:val="222222"/>
                <w:sz w:val="18"/>
              </w:rPr>
              <w:t>240</w:t>
            </w:r>
          </w:p>
        </w:tc>
        <w:tc>
          <w:tcPr>
            <w:tcW w:type="dxa" w:w="2304"/>
          </w:tcPr>
          <w:p>
            <w:pPr>
              <w:jc w:val="right"/>
            </w:pPr>
            <w:r>
              <w:rPr>
                <w:color w:val="222222"/>
                <w:sz w:val="18"/>
              </w:rPr>
              <w:t>—</w:t>
            </w:r>
          </w:p>
        </w:tc>
      </w:tr>
      <w:tr>
        <w:tc>
          <w:tcPr>
            <w:tcW w:type="dxa" w:w="4320"/>
          </w:tcPr>
          <w:p>
            <w:r>
              <w:rPr>
                <w:color w:val="222222"/>
                <w:sz w:val="18"/>
              </w:rPr>
              <w:t>Equity value</w:t>
            </w:r>
          </w:p>
        </w:tc>
        <w:tc>
          <w:tcPr>
            <w:tcW w:type="dxa" w:w="1728"/>
          </w:tcPr>
          <w:p>
            <w:pPr>
              <w:jc w:val="right"/>
            </w:pPr>
            <w:r>
              <w:rPr>
                <w:color w:val="222222"/>
                <w:sz w:val="18"/>
              </w:rPr>
              <w:t>2,253</w:t>
            </w:r>
          </w:p>
        </w:tc>
        <w:tc>
          <w:tcPr>
            <w:tcW w:type="dxa" w:w="2304"/>
          </w:tcPr>
          <w:p>
            <w:pPr>
              <w:jc w:val="right"/>
            </w:pPr>
            <w:r>
              <w:rPr>
                <w:color w:val="222222"/>
                <w:sz w:val="18"/>
              </w:rPr>
              <w:t>$20.45</w:t>
            </w:r>
          </w:p>
        </w:tc>
      </w:tr>
      <w:tr>
        <w:tc>
          <w:tcPr>
            <w:tcW w:type="dxa" w:w="4320"/>
          </w:tcPr>
          <w:p>
            <w:r>
              <w:rPr>
                <w:color w:val="222222"/>
                <w:sz w:val="18"/>
              </w:rPr>
              <w:t>Value per share (EGP)</w:t>
            </w:r>
          </w:p>
        </w:tc>
        <w:tc>
          <w:tcPr>
            <w:tcW w:type="dxa" w:w="1728"/>
          </w:tcPr>
          <w:p>
            <w:pPr>
              <w:jc w:val="right"/>
            </w:pPr>
            <w:r>
              <w:rPr>
                <w:color w:val="222222"/>
                <w:sz w:val="18"/>
              </w:rPr>
              <w:t>—</w:t>
            </w:r>
          </w:p>
        </w:tc>
        <w:tc>
          <w:tcPr>
            <w:tcW w:type="dxa" w:w="2304"/>
          </w:tcPr>
          <w:p>
            <w:pPr>
              <w:jc w:val="right"/>
            </w:pPr>
            <w:r>
              <w:rPr>
                <w:color w:val="222222"/>
                <w:sz w:val="18"/>
              </w:rPr>
              <w:t>EGP 1,006</w:t>
            </w:r>
          </w:p>
        </w:tc>
      </w:tr>
      <w:tr>
        <w:tc>
          <w:tcPr>
            <w:tcW w:type="dxa" w:w="4320"/>
          </w:tcPr>
          <w:p>
            <w:r>
              <w:rPr>
                <w:color w:val="222222"/>
                <w:sz w:val="18"/>
              </w:rPr>
              <w:t>vs spot</w:t>
            </w:r>
          </w:p>
        </w:tc>
        <w:tc>
          <w:tcPr>
            <w:tcW w:type="dxa" w:w="1728"/>
          </w:tcPr>
          <w:p>
            <w:pPr>
              <w:jc w:val="right"/>
            </w:pPr>
            <w:r>
              <w:rPr>
                <w:color w:val="222222"/>
                <w:sz w:val="18"/>
              </w:rPr>
              <w:t>—</w:t>
            </w:r>
          </w:p>
        </w:tc>
        <w:tc>
          <w:tcPr>
            <w:tcW w:type="dxa" w:w="2304"/>
          </w:tcPr>
          <w:p>
            <w:pPr>
              <w:jc w:val="right"/>
            </w:pPr>
            <w:r>
              <w:rPr>
                <w:color w:val="222222"/>
                <w:sz w:val="18"/>
              </w:rPr>
              <w:t>+40%</w:t>
            </w:r>
          </w:p>
        </w:tc>
      </w:tr>
    </w:tbl>
    <w:p>
      <w:pPr>
        <w:spacing w:after="40"/>
      </w:pPr>
    </w:p>
    <w:p>
      <w:pPr>
        <w:spacing w:after="120"/>
      </w:pPr>
      <w:r>
        <w:rPr>
          <w:b w:val="0"/>
          <w:i w:val="0"/>
          <w:color w:val="222222"/>
          <w:sz w:val="21"/>
        </w:rPr>
        <w:t>The DCF lands at EGP 1,006, about +40% above spot. Note how much of the value sits below the operating line: roughly a quarter of the equity value is net cash and the BESIX stake. That is the lens's strength and its vulnerability — if the net cash is less distributable than reported, the DCF is the most exposed of the four.</w:t>
      </w:r>
    </w:p>
    <w:p>
      <w:pPr>
        <w:keepNext/>
        <w:spacing w:before="280" w:after="80"/>
      </w:pPr>
      <w:r>
        <w:rPr>
          <w:b/>
          <w:color w:val="1B5E5E"/>
          <w:sz w:val="26"/>
        </w:rPr>
        <w:t>1.2  Sum-of-the-parts — the asset cross-check</w:t>
      </w:r>
    </w:p>
    <w:p>
      <w:pPr>
        <w:spacing w:after="120"/>
      </w:pPr>
      <w:r>
        <w:rPr>
          <w:b w:val="0"/>
          <w:i w:val="0"/>
          <w:color w:val="222222"/>
          <w:sz w:val="21"/>
        </w:rPr>
        <w:t>Because Orascom is really several businesses under one roof, a sum-of-the-parts is a natural cross-check. We value the core contracting EV on a peer EV/EBITDA multiple, add the concessions platform (renewable and water assets with long, contracted offtake — worth more than a contracting multiple), the 50% BESIX stake, the building-materials and equipment cluster, and the usable net cash. The marks are deliberately conservative; the concessions platform in particular is young and growing six-fold, and could be worth more on a project-finance basis.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val="clear" w:fill="1B5E5E"/>
          </w:tcPr>
          <w:p>
            <w:r>
              <w:rPr>
                <w:b/>
                <w:color w:val="FFFFFF"/>
                <w:sz w:val="18"/>
              </w:rPr>
              <w:t>SOTP component</w:t>
            </w:r>
          </w:p>
        </w:tc>
        <w:tc>
          <w:tcPr>
            <w:tcW w:type="dxa" w:w="1440"/>
            <w:shd w:val="clear" w:fill="1B5E5E"/>
          </w:tcPr>
          <w:p>
            <w:pPr>
              <w:jc w:val="right"/>
            </w:pPr>
            <w:r>
              <w:rPr>
                <w:b/>
                <w:color w:val="FFFFFF"/>
                <w:sz w:val="18"/>
              </w:rPr>
              <w:t>Ownership</w:t>
            </w:r>
          </w:p>
        </w:tc>
        <w:tc>
          <w:tcPr>
            <w:tcW w:type="dxa" w:w="2016"/>
            <w:shd w:val="clear" w:fill="1B5E5E"/>
          </w:tcPr>
          <w:p>
            <w:pPr>
              <w:jc w:val="right"/>
            </w:pPr>
            <w:r>
              <w:rPr>
                <w:b/>
                <w:color w:val="FFFFFF"/>
                <w:sz w:val="18"/>
              </w:rPr>
              <w:t>Mark</w:t>
            </w:r>
          </w:p>
        </w:tc>
        <w:tc>
          <w:tcPr>
            <w:tcW w:type="dxa" w:w="1440"/>
            <w:shd w:val="clear" w:fill="1B5E5E"/>
          </w:tcPr>
          <w:p>
            <w:pPr>
              <w:jc w:val="right"/>
            </w:pPr>
            <w:r>
              <w:rPr>
                <w:b/>
                <w:color w:val="FFFFFF"/>
                <w:sz w:val="18"/>
              </w:rPr>
              <w:t>Value (USD m)</w:t>
            </w:r>
          </w:p>
        </w:tc>
      </w:tr>
      <w:tr>
        <w:tc>
          <w:tcPr>
            <w:tcW w:type="dxa" w:w="3600"/>
          </w:tcPr>
          <w:p>
            <w:r>
              <w:rPr>
                <w:color w:val="222222"/>
                <w:sz w:val="18"/>
              </w:rPr>
              <w:t>Core E&amp;C (operating EV)</w:t>
            </w:r>
          </w:p>
        </w:tc>
        <w:tc>
          <w:tcPr>
            <w:tcW w:type="dxa" w:w="1440"/>
          </w:tcPr>
          <w:p>
            <w:pPr>
              <w:jc w:val="right"/>
            </w:pPr>
            <w:r>
              <w:rPr>
                <w:color w:val="222222"/>
                <w:sz w:val="18"/>
              </w:rPr>
              <w:t>100%</w:t>
            </w:r>
          </w:p>
        </w:tc>
        <w:tc>
          <w:tcPr>
            <w:tcW w:type="dxa" w:w="2016"/>
          </w:tcPr>
          <w:p>
            <w:pPr>
              <w:jc w:val="right"/>
            </w:pPr>
            <w:r>
              <w:rPr>
                <w:color w:val="222222"/>
                <w:sz w:val="18"/>
              </w:rPr>
              <w:t>5.5× EBITDA</w:t>
            </w:r>
          </w:p>
        </w:tc>
        <w:tc>
          <w:tcPr>
            <w:tcW w:type="dxa" w:w="1440"/>
          </w:tcPr>
          <w:p>
            <w:pPr>
              <w:jc w:val="right"/>
            </w:pPr>
            <w:r>
              <w:rPr>
                <w:color w:val="222222"/>
                <w:sz w:val="18"/>
              </w:rPr>
              <w:t>1,133</w:t>
            </w:r>
          </w:p>
        </w:tc>
      </w:tr>
      <w:tr>
        <w:tc>
          <w:tcPr>
            <w:tcW w:type="dxa" w:w="3600"/>
          </w:tcPr>
          <w:p>
            <w:r>
              <w:rPr>
                <w:color w:val="222222"/>
                <w:sz w:val="18"/>
              </w:rPr>
              <w:t>Concessions platform</w:t>
            </w:r>
          </w:p>
        </w:tc>
        <w:tc>
          <w:tcPr>
            <w:tcW w:type="dxa" w:w="1440"/>
          </w:tcPr>
          <w:p>
            <w:pPr>
              <w:jc w:val="right"/>
            </w:pPr>
            <w:r>
              <w:rPr>
                <w:color w:val="222222"/>
                <w:sz w:val="18"/>
              </w:rPr>
              <w:t>various</w:t>
            </w:r>
          </w:p>
        </w:tc>
        <w:tc>
          <w:tcPr>
            <w:tcW w:type="dxa" w:w="2016"/>
          </w:tcPr>
          <w:p>
            <w:pPr>
              <w:jc w:val="right"/>
            </w:pPr>
            <w:r>
              <w:rPr>
                <w:color w:val="222222"/>
                <w:sz w:val="18"/>
              </w:rPr>
              <w:t>equity, contracted</w:t>
            </w:r>
          </w:p>
        </w:tc>
        <w:tc>
          <w:tcPr>
            <w:tcW w:type="dxa" w:w="1440"/>
          </w:tcPr>
          <w:p>
            <w:pPr>
              <w:jc w:val="right"/>
            </w:pPr>
            <w:r>
              <w:rPr>
                <w:color w:val="222222"/>
                <w:sz w:val="18"/>
              </w:rPr>
              <w:t>330</w:t>
            </w:r>
          </w:p>
        </w:tc>
      </w:tr>
      <w:tr>
        <w:tc>
          <w:tcPr>
            <w:tcW w:type="dxa" w:w="3600"/>
          </w:tcPr>
          <w:p>
            <w:r>
              <w:rPr>
                <w:color w:val="222222"/>
                <w:sz w:val="18"/>
              </w:rPr>
              <w:t>BESIX</w:t>
            </w:r>
          </w:p>
        </w:tc>
        <w:tc>
          <w:tcPr>
            <w:tcW w:type="dxa" w:w="1440"/>
          </w:tcPr>
          <w:p>
            <w:pPr>
              <w:jc w:val="right"/>
            </w:pPr>
            <w:r>
              <w:rPr>
                <w:color w:val="222222"/>
                <w:sz w:val="18"/>
              </w:rPr>
              <w:t>50%</w:t>
            </w:r>
          </w:p>
        </w:tc>
        <w:tc>
          <w:tcPr>
            <w:tcW w:type="dxa" w:w="2016"/>
          </w:tcPr>
          <w:p>
            <w:pPr>
              <w:jc w:val="right"/>
            </w:pPr>
            <w:r>
              <w:rPr>
                <w:color w:val="222222"/>
                <w:sz w:val="18"/>
              </w:rPr>
              <w:t>~10× equity income</w:t>
            </w:r>
          </w:p>
        </w:tc>
        <w:tc>
          <w:tcPr>
            <w:tcW w:type="dxa" w:w="1440"/>
          </w:tcPr>
          <w:p>
            <w:pPr>
              <w:jc w:val="right"/>
            </w:pPr>
            <w:r>
              <w:rPr>
                <w:color w:val="222222"/>
                <w:sz w:val="18"/>
              </w:rPr>
              <w:t>240</w:t>
            </w:r>
          </w:p>
        </w:tc>
      </w:tr>
      <w:tr>
        <w:tc>
          <w:tcPr>
            <w:tcW w:type="dxa" w:w="3600"/>
          </w:tcPr>
          <w:p>
            <w:r>
              <w:rPr>
                <w:color w:val="222222"/>
                <w:sz w:val="18"/>
              </w:rPr>
              <w:t>Building materials / equip / FM</w:t>
            </w:r>
          </w:p>
        </w:tc>
        <w:tc>
          <w:tcPr>
            <w:tcW w:type="dxa" w:w="1440"/>
          </w:tcPr>
          <w:p>
            <w:pPr>
              <w:jc w:val="right"/>
            </w:pPr>
            <w:r>
              <w:rPr>
                <w:color w:val="222222"/>
                <w:sz w:val="18"/>
              </w:rPr>
              <w:t>various</w:t>
            </w:r>
          </w:p>
        </w:tc>
        <w:tc>
          <w:tcPr>
            <w:tcW w:type="dxa" w:w="2016"/>
          </w:tcPr>
          <w:p>
            <w:pPr>
              <w:jc w:val="right"/>
            </w:pPr>
            <w:r>
              <w:rPr>
                <w:color w:val="222222"/>
                <w:sz w:val="18"/>
              </w:rPr>
              <w:t>~8× net income</w:t>
            </w:r>
          </w:p>
        </w:tc>
        <w:tc>
          <w:tcPr>
            <w:tcW w:type="dxa" w:w="1440"/>
          </w:tcPr>
          <w:p>
            <w:pPr>
              <w:jc w:val="right"/>
            </w:pPr>
            <w:r>
              <w:rPr>
                <w:color w:val="222222"/>
                <w:sz w:val="18"/>
              </w:rPr>
              <w:t>205</w:t>
            </w:r>
          </w:p>
        </w:tc>
      </w:tr>
      <w:tr>
        <w:tc>
          <w:tcPr>
            <w:tcW w:type="dxa" w:w="3600"/>
          </w:tcPr>
          <w:p>
            <w:r>
              <w:rPr>
                <w:color w:val="222222"/>
                <w:sz w:val="18"/>
              </w:rPr>
              <w:t>Usable net cash (ex-advances)</w:t>
            </w:r>
          </w:p>
        </w:tc>
        <w:tc>
          <w:tcPr>
            <w:tcW w:type="dxa" w:w="1440"/>
          </w:tcPr>
          <w:p>
            <w:pPr>
              <w:jc w:val="right"/>
            </w:pPr>
            <w:r>
              <w:rPr>
                <w:color w:val="222222"/>
                <w:sz w:val="18"/>
              </w:rPr>
              <w:t>—</w:t>
            </w:r>
          </w:p>
        </w:tc>
        <w:tc>
          <w:tcPr>
            <w:tcW w:type="dxa" w:w="2016"/>
          </w:tcPr>
          <w:p>
            <w:pPr>
              <w:jc w:val="right"/>
            </w:pPr>
            <w:r>
              <w:rPr>
                <w:color w:val="222222"/>
                <w:sz w:val="18"/>
              </w:rPr>
              <w:t>reported less advances</w:t>
            </w:r>
          </w:p>
        </w:tc>
        <w:tc>
          <w:tcPr>
            <w:tcW w:type="dxa" w:w="1440"/>
          </w:tcPr>
          <w:p>
            <w:pPr>
              <w:jc w:val="right"/>
            </w:pPr>
            <w:r>
              <w:rPr>
                <w:color w:val="222222"/>
                <w:sz w:val="18"/>
              </w:rPr>
              <w:t>400</w:t>
            </w:r>
          </w:p>
        </w:tc>
      </w:tr>
      <w:tr>
        <w:tc>
          <w:tcPr>
            <w:tcW w:type="dxa" w:w="3600"/>
          </w:tcPr>
          <w:p>
            <w:r>
              <w:rPr>
                <w:color w:val="222222"/>
                <w:sz w:val="18"/>
              </w:rPr>
              <w:t>Equity value</w:t>
            </w:r>
          </w:p>
        </w:tc>
        <w:tc>
          <w:tcPr>
            <w:tcW w:type="dxa" w:w="1440"/>
          </w:tcPr>
          <w:p>
            <w:pPr>
              <w:jc w:val="right"/>
            </w:pPr>
            <w:r>
              <w:rPr>
                <w:color w:val="222222"/>
                <w:sz w:val="18"/>
              </w:rPr>
              <w:t>—</w:t>
            </w:r>
          </w:p>
        </w:tc>
        <w:tc>
          <w:tcPr>
            <w:tcW w:type="dxa" w:w="2016"/>
          </w:tcPr>
          <w:p>
            <w:pPr>
              <w:jc w:val="right"/>
            </w:pPr>
            <w:r>
              <w:rPr>
                <w:color w:val="222222"/>
                <w:sz w:val="18"/>
              </w:rPr>
              <w:t>—</w:t>
            </w:r>
          </w:p>
        </w:tc>
        <w:tc>
          <w:tcPr>
            <w:tcW w:type="dxa" w:w="1440"/>
          </w:tcPr>
          <w:p>
            <w:pPr>
              <w:jc w:val="right"/>
            </w:pPr>
            <w:r>
              <w:rPr>
                <w:color w:val="222222"/>
                <w:sz w:val="18"/>
              </w:rPr>
              <w:t>2,308</w:t>
            </w:r>
          </w:p>
        </w:tc>
      </w:tr>
      <w:tr>
        <w:tc>
          <w:tcPr>
            <w:tcW w:type="dxa" w:w="3600"/>
          </w:tcPr>
          <w:p>
            <w:r>
              <w:rPr>
                <w:color w:val="222222"/>
                <w:sz w:val="18"/>
              </w:rPr>
              <w:t>Per share (EGP)</w:t>
            </w:r>
          </w:p>
        </w:tc>
        <w:tc>
          <w:tcPr>
            <w:tcW w:type="dxa" w:w="1440"/>
          </w:tcPr>
          <w:p>
            <w:pPr>
              <w:jc w:val="right"/>
            </w:pPr>
            <w:r>
              <w:rPr>
                <w:color w:val="222222"/>
                <w:sz w:val="18"/>
              </w:rPr>
              <w:t>—</w:t>
            </w:r>
          </w:p>
        </w:tc>
        <w:tc>
          <w:tcPr>
            <w:tcW w:type="dxa" w:w="2016"/>
          </w:tcPr>
          <w:p>
            <w:pPr>
              <w:jc w:val="right"/>
            </w:pPr>
            <w:r>
              <w:rPr>
                <w:color w:val="222222"/>
                <w:sz w:val="18"/>
              </w:rPr>
              <w:t>—</w:t>
            </w:r>
          </w:p>
        </w:tc>
        <w:tc>
          <w:tcPr>
            <w:tcW w:type="dxa" w:w="1440"/>
          </w:tcPr>
          <w:p>
            <w:pPr>
              <w:jc w:val="right"/>
            </w:pPr>
            <w:r>
              <w:rPr>
                <w:color w:val="222222"/>
                <w:sz w:val="18"/>
              </w:rPr>
              <w:t>EGP 1,030</w:t>
            </w:r>
          </w:p>
        </w:tc>
      </w:tr>
    </w:tbl>
    <w:p>
      <w:pPr>
        <w:spacing w:after="40"/>
      </w:pPr>
    </w:p>
    <w:p>
      <w:pPr>
        <w:spacing w:after="120"/>
      </w:pPr>
      <w:r>
        <w:rPr>
          <w:b w:val="0"/>
          <w:i w:val="0"/>
          <w:color w:val="222222"/>
          <w:sz w:val="21"/>
        </w:rPr>
        <w:t>The SOTP lands at EGP 1,030, the high end of the base cluster, because it credits the separable assets in full. It is the bull case for a reason: it assumes the parts could be realized at these marks, which an operating contractor rarely tests.</w:t>
      </w:r>
    </w:p>
    <w:p>
      <w:pPr>
        <w:spacing w:after="120"/>
      </w:pPr>
      <w:r>
        <w:rPr>
          <w:b w:val="0"/>
          <w:i w:val="0"/>
          <w:color w:val="222222"/>
          <w:sz w:val="21"/>
        </w:rPr>
        <w:t>We also carry a SOTP bull case, marking the core contracting at a higher 6.5× multiple, the concessions platform at a project-finance premium, the BESIX stake higher, and the full reported net cash with no advance haircut. On those marks the parts are worth roughly EGP 1,272 — a genuine upside scenario in which the deal and the disclosure let the market credit the assets in full. The base and bull cases enter the synthesis separately, so the asset lens is represented by a conservative and an optimistic reading rather than a single point.</w:t>
      </w:r>
    </w:p>
    <w:p>
      <w:pPr>
        <w:keepNext/>
        <w:spacing w:before="280" w:after="80"/>
      </w:pPr>
      <w:r>
        <w:rPr>
          <w:b/>
          <w:color w:val="1B5E5E"/>
          <w:sz w:val="26"/>
        </w:rPr>
        <w:t>1.3  Relative multiples</w:t>
      </w:r>
    </w:p>
    <w:p>
      <w:pPr>
        <w:spacing w:after="120"/>
      </w:pPr>
      <w:r>
        <w:rPr>
          <w:b w:val="0"/>
          <w:i w:val="0"/>
          <w:color w:val="222222"/>
          <w:sz w:val="21"/>
        </w:rPr>
        <w:t>Against global and regional contractors, Orascom screens cheap on enterprise value and fair on earnings — and the gap between those two is, again, the net cash. On adjusted EBITDA the shares trade at roughly 4.4× EV/EBITDA (peers 5–8×); on reported earnings they trade at 8.3× (peers 8–14×). The EV/Sales lens, appropriate for a thin-margin contractor, is included as a third reference.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fill="1B5E5E"/>
          </w:tcPr>
          <w:p>
            <w:r>
              <w:rPr>
                <w:b/>
                <w:color w:val="FFFFFF"/>
                <w:sz w:val="18"/>
              </w:rPr>
              <w:t>Relative lens</w:t>
            </w:r>
          </w:p>
        </w:tc>
        <w:tc>
          <w:tcPr>
            <w:tcW w:type="dxa" w:w="2160"/>
            <w:shd w:val="clear" w:fill="1B5E5E"/>
          </w:tcPr>
          <w:p>
            <w:pPr>
              <w:jc w:val="right"/>
            </w:pPr>
            <w:r>
              <w:rPr>
                <w:b/>
                <w:color w:val="FFFFFF"/>
                <w:sz w:val="18"/>
              </w:rPr>
              <w:t>Metric</w:t>
            </w:r>
          </w:p>
        </w:tc>
        <w:tc>
          <w:tcPr>
            <w:tcW w:type="dxa" w:w="1440"/>
            <w:shd w:val="clear" w:fill="1B5E5E"/>
          </w:tcPr>
          <w:p>
            <w:pPr>
              <w:jc w:val="right"/>
            </w:pPr>
            <w:r>
              <w:rPr>
                <w:b/>
                <w:color w:val="FFFFFF"/>
                <w:sz w:val="18"/>
              </w:rPr>
              <w:t>Multiple</w:t>
            </w:r>
          </w:p>
        </w:tc>
        <w:tc>
          <w:tcPr>
            <w:tcW w:type="dxa" w:w="2304"/>
            <w:shd w:val="clear" w:fill="1B5E5E"/>
          </w:tcPr>
          <w:p>
            <w:pPr>
              <w:jc w:val="right"/>
            </w:pPr>
            <w:r>
              <w:rPr>
                <w:b/>
                <w:color w:val="FFFFFF"/>
                <w:sz w:val="18"/>
              </w:rPr>
              <w:t>Implied (EGP)</w:t>
            </w:r>
          </w:p>
        </w:tc>
      </w:tr>
      <w:tr>
        <w:tc>
          <w:tcPr>
            <w:tcW w:type="dxa" w:w="2592"/>
          </w:tcPr>
          <w:p>
            <w:r>
              <w:rPr>
                <w:color w:val="222222"/>
                <w:sz w:val="18"/>
              </w:rPr>
              <w:t>EV/EBITDA</w:t>
            </w:r>
          </w:p>
        </w:tc>
        <w:tc>
          <w:tcPr>
            <w:tcW w:type="dxa" w:w="2160"/>
          </w:tcPr>
          <w:p>
            <w:pPr>
              <w:jc w:val="right"/>
            </w:pPr>
            <w:r>
              <w:rPr>
                <w:color w:val="222222"/>
                <w:sz w:val="18"/>
              </w:rPr>
              <w:t>$276m adj.</w:t>
            </w:r>
          </w:p>
        </w:tc>
        <w:tc>
          <w:tcPr>
            <w:tcW w:type="dxa" w:w="1440"/>
          </w:tcPr>
          <w:p>
            <w:pPr>
              <w:jc w:val="right"/>
            </w:pPr>
            <w:r>
              <w:rPr>
                <w:color w:val="222222"/>
                <w:sz w:val="18"/>
              </w:rPr>
              <w:t>5.5×</w:t>
            </w:r>
          </w:p>
        </w:tc>
        <w:tc>
          <w:tcPr>
            <w:tcW w:type="dxa" w:w="2304"/>
          </w:tcPr>
          <w:p>
            <w:pPr>
              <w:jc w:val="right"/>
            </w:pPr>
            <w:r>
              <w:rPr>
                <w:color w:val="222222"/>
                <w:sz w:val="18"/>
              </w:rPr>
              <w:t>EGP 856</w:t>
            </w:r>
          </w:p>
        </w:tc>
      </w:tr>
      <w:tr>
        <w:tc>
          <w:tcPr>
            <w:tcW w:type="dxa" w:w="2592"/>
          </w:tcPr>
          <w:p>
            <w:r>
              <w:rPr>
                <w:color w:val="222222"/>
                <w:sz w:val="18"/>
              </w:rPr>
              <w:t>P/E (reported)</w:t>
            </w:r>
          </w:p>
        </w:tc>
        <w:tc>
          <w:tcPr>
            <w:tcW w:type="dxa" w:w="2160"/>
          </w:tcPr>
          <w:p>
            <w:pPr>
              <w:jc w:val="right"/>
            </w:pPr>
            <w:r>
              <w:rPr>
                <w:color w:val="222222"/>
                <w:sz w:val="18"/>
              </w:rPr>
              <w:t>$194.8m</w:t>
            </w:r>
          </w:p>
        </w:tc>
        <w:tc>
          <w:tcPr>
            <w:tcW w:type="dxa" w:w="1440"/>
          </w:tcPr>
          <w:p>
            <w:pPr>
              <w:jc w:val="right"/>
            </w:pPr>
            <w:r>
              <w:rPr>
                <w:color w:val="222222"/>
                <w:sz w:val="18"/>
              </w:rPr>
              <w:t>10.0×</w:t>
            </w:r>
          </w:p>
        </w:tc>
        <w:tc>
          <w:tcPr>
            <w:tcW w:type="dxa" w:w="2304"/>
          </w:tcPr>
          <w:p>
            <w:pPr>
              <w:jc w:val="right"/>
            </w:pPr>
            <w:r>
              <w:rPr>
                <w:color w:val="222222"/>
                <w:sz w:val="18"/>
              </w:rPr>
              <w:t>EGP 870</w:t>
            </w:r>
          </w:p>
        </w:tc>
      </w:tr>
      <w:tr>
        <w:tc>
          <w:tcPr>
            <w:tcW w:type="dxa" w:w="2592"/>
          </w:tcPr>
          <w:p>
            <w:r>
              <w:rPr>
                <w:color w:val="222222"/>
                <w:sz w:val="18"/>
              </w:rPr>
              <w:t>EV/Sales</w:t>
            </w:r>
          </w:p>
        </w:tc>
        <w:tc>
          <w:tcPr>
            <w:tcW w:type="dxa" w:w="2160"/>
          </w:tcPr>
          <w:p>
            <w:pPr>
              <w:jc w:val="right"/>
            </w:pPr>
            <w:r>
              <w:rPr>
                <w:color w:val="222222"/>
                <w:sz w:val="18"/>
              </w:rPr>
              <w:t>$5,049.8m</w:t>
            </w:r>
          </w:p>
        </w:tc>
        <w:tc>
          <w:tcPr>
            <w:tcW w:type="dxa" w:w="1440"/>
          </w:tcPr>
          <w:p>
            <w:pPr>
              <w:jc w:val="right"/>
            </w:pPr>
            <w:r>
              <w:rPr>
                <w:color w:val="222222"/>
                <w:sz w:val="18"/>
              </w:rPr>
              <w:t>0.35×</w:t>
            </w:r>
          </w:p>
        </w:tc>
        <w:tc>
          <w:tcPr>
            <w:tcW w:type="dxa" w:w="2304"/>
          </w:tcPr>
          <w:p>
            <w:pPr>
              <w:jc w:val="right"/>
            </w:pPr>
            <w:r>
              <w:rPr>
                <w:color w:val="222222"/>
                <w:sz w:val="18"/>
              </w:rPr>
              <w:t>EGP 968</w:t>
            </w:r>
          </w:p>
        </w:tc>
      </w:tr>
      <w:tr>
        <w:tc>
          <w:tcPr>
            <w:tcW w:type="dxa" w:w="2592"/>
          </w:tcPr>
          <w:p>
            <w:r>
              <w:rPr>
                <w:color w:val="222222"/>
                <w:sz w:val="18"/>
              </w:rPr>
              <w:t>Relative mean</w:t>
            </w:r>
          </w:p>
        </w:tc>
        <w:tc>
          <w:tcPr>
            <w:tcW w:type="dxa" w:w="2160"/>
          </w:tcPr>
          <w:p>
            <w:pPr>
              <w:jc w:val="right"/>
            </w:pPr>
            <w:r>
              <w:rPr>
                <w:color w:val="222222"/>
                <w:sz w:val="18"/>
              </w:rPr>
              <w:t>—</w:t>
            </w:r>
          </w:p>
        </w:tc>
        <w:tc>
          <w:tcPr>
            <w:tcW w:type="dxa" w:w="1440"/>
          </w:tcPr>
          <w:p>
            <w:pPr>
              <w:jc w:val="right"/>
            </w:pPr>
            <w:r>
              <w:rPr>
                <w:color w:val="222222"/>
                <w:sz w:val="18"/>
              </w:rPr>
              <w:t>—</w:t>
            </w:r>
          </w:p>
        </w:tc>
        <w:tc>
          <w:tcPr>
            <w:tcW w:type="dxa" w:w="2304"/>
          </w:tcPr>
          <w:p>
            <w:pPr>
              <w:jc w:val="right"/>
            </w:pPr>
            <w:r>
              <w:rPr>
                <w:color w:val="222222"/>
                <w:sz w:val="18"/>
              </w:rPr>
              <w:t>EGP 898</w:t>
            </w:r>
          </w:p>
        </w:tc>
      </w:tr>
    </w:tbl>
    <w:p>
      <w:pPr>
        <w:spacing w:after="40"/>
      </w:pPr>
    </w:p>
    <w:p>
      <w:pPr>
        <w:spacing w:after="120"/>
      </w:pPr>
      <w:r>
        <w:rPr>
          <w:b w:val="0"/>
          <w:i w:val="0"/>
          <w:color w:val="222222"/>
          <w:sz w:val="21"/>
        </w:rPr>
        <w:t>The relative mean is EGP 898. The EV/EBITDA reading is the one that makes the stock look cheap; it relies entirely on crediting the net cash as a deduction from enterprise value, which is precisely the assumption under scrutiny.</w:t>
      </w:r>
    </w:p>
    <w:p>
      <w:pPr>
        <w:keepNext/>
        <w:spacing w:before="280" w:after="80"/>
      </w:pPr>
      <w:r>
        <w:rPr>
          <w:b/>
          <w:color w:val="1B5E5E"/>
          <w:sz w:val="26"/>
        </w:rPr>
        <w:t>1.4  Normalized earnings power</w:t>
      </w:r>
    </w:p>
    <w:p>
      <w:pPr>
        <w:spacing w:after="120"/>
      </w:pPr>
      <w:r>
        <w:rPr>
          <w:b w:val="0"/>
          <w:i w:val="0"/>
          <w:color w:val="222222"/>
          <w:sz w:val="21"/>
        </w:rPr>
        <w:t>Strip the one-offs and ask what Orascom earns in a normal year. FY2025 attributable net income of $194.8m includes a $29m net gain on legacy claims; FY2023's $158.6m was flattered by a $107m disposal gain. Normalized through-cycle earnings are closer to $166m. At a justified 10× — a fair multiple for a cyclical contractor with improving but volatile margins and meaningful country risk — that implies a value near spot.</w:t>
      </w:r>
    </w:p>
    <w:tbl>
      <w:tblPr>
        <w:tblStyle w:val="TableGrid"/>
        <w:tblW w:type="auto" w:w="0"/>
        <w:jc w:val="center"/>
        <w:tblLook w:firstColumn="1" w:firstRow="1" w:lastColumn="0" w:lastRow="0" w:noHBand="0" w:noVBand="1" w:val="04A0"/>
      </w:tblPr>
      <w:tblGrid>
        <w:gridCol w:w="4680"/>
        <w:gridCol w:w="4680"/>
      </w:tblGrid>
      <w:tr>
        <w:tc>
          <w:tcPr>
            <w:tcW w:type="dxa" w:w="4320"/>
            <w:shd w:val="clear" w:fill="1B5E5E"/>
          </w:tcPr>
          <w:p>
            <w:r>
              <w:rPr>
                <w:b/>
                <w:color w:val="FFFFFF"/>
                <w:sz w:val="18"/>
              </w:rPr>
              <w:t>Normalized earnings</w:t>
            </w:r>
          </w:p>
        </w:tc>
        <w:tc>
          <w:tcPr>
            <w:tcW w:type="dxa" w:w="2880"/>
            <w:shd w:val="clear" w:fill="1B5E5E"/>
          </w:tcPr>
          <w:p>
            <w:pPr>
              <w:jc w:val="right"/>
            </w:pPr>
            <w:r>
              <w:rPr>
                <w:b/>
                <w:color w:val="FFFFFF"/>
                <w:sz w:val="18"/>
              </w:rPr>
              <w:t>Value</w:t>
            </w:r>
          </w:p>
        </w:tc>
      </w:tr>
      <w:tr>
        <w:tc>
          <w:tcPr>
            <w:tcW w:type="dxa" w:w="4320"/>
          </w:tcPr>
          <w:p>
            <w:r>
              <w:rPr>
                <w:color w:val="222222"/>
                <w:sz w:val="18"/>
              </w:rPr>
              <w:t>Normalized net income</w:t>
            </w:r>
          </w:p>
        </w:tc>
        <w:tc>
          <w:tcPr>
            <w:tcW w:type="dxa" w:w="2880"/>
          </w:tcPr>
          <w:p>
            <w:pPr>
              <w:jc w:val="right"/>
            </w:pPr>
            <w:r>
              <w:rPr>
                <w:color w:val="222222"/>
                <w:sz w:val="18"/>
              </w:rPr>
              <w:t>$166m</w:t>
            </w:r>
          </w:p>
        </w:tc>
      </w:tr>
      <w:tr>
        <w:tc>
          <w:tcPr>
            <w:tcW w:type="dxa" w:w="4320"/>
          </w:tcPr>
          <w:p>
            <w:r>
              <w:rPr>
                <w:color w:val="222222"/>
                <w:sz w:val="18"/>
              </w:rPr>
              <w:t>Justified P/E</w:t>
            </w:r>
          </w:p>
        </w:tc>
        <w:tc>
          <w:tcPr>
            <w:tcW w:type="dxa" w:w="2880"/>
          </w:tcPr>
          <w:p>
            <w:pPr>
              <w:jc w:val="right"/>
            </w:pPr>
            <w:r>
              <w:rPr>
                <w:color w:val="222222"/>
                <w:sz w:val="18"/>
              </w:rPr>
              <w:t>10.0×</w:t>
            </w:r>
          </w:p>
        </w:tc>
      </w:tr>
      <w:tr>
        <w:tc>
          <w:tcPr>
            <w:tcW w:type="dxa" w:w="4320"/>
          </w:tcPr>
          <w:p>
            <w:r>
              <w:rPr>
                <w:color w:val="222222"/>
                <w:sz w:val="18"/>
              </w:rPr>
              <w:t>Implied equity value</w:t>
            </w:r>
          </w:p>
        </w:tc>
        <w:tc>
          <w:tcPr>
            <w:tcW w:type="dxa" w:w="2880"/>
          </w:tcPr>
          <w:p>
            <w:pPr>
              <w:jc w:val="right"/>
            </w:pPr>
            <w:r>
              <w:rPr>
                <w:color w:val="222222"/>
                <w:sz w:val="18"/>
              </w:rPr>
              <w:t>$1,658m</w:t>
            </w:r>
          </w:p>
        </w:tc>
      </w:tr>
      <w:tr>
        <w:tc>
          <w:tcPr>
            <w:tcW w:type="dxa" w:w="4320"/>
          </w:tcPr>
          <w:p>
            <w:r>
              <w:rPr>
                <w:color w:val="222222"/>
                <w:sz w:val="18"/>
              </w:rPr>
              <w:t>Per share (EGP)</w:t>
            </w:r>
          </w:p>
        </w:tc>
        <w:tc>
          <w:tcPr>
            <w:tcW w:type="dxa" w:w="2880"/>
          </w:tcPr>
          <w:p>
            <w:pPr>
              <w:jc w:val="right"/>
            </w:pPr>
            <w:r>
              <w:rPr>
                <w:color w:val="222222"/>
                <w:sz w:val="18"/>
              </w:rPr>
              <w:t>EGP 740</w:t>
            </w:r>
          </w:p>
        </w:tc>
      </w:tr>
      <w:tr>
        <w:tc>
          <w:tcPr>
            <w:tcW w:type="dxa" w:w="4320"/>
          </w:tcPr>
          <w:p>
            <w:r>
              <w:rPr>
                <w:color w:val="222222"/>
                <w:sz w:val="18"/>
              </w:rPr>
              <w:t>vs spot</w:t>
            </w:r>
          </w:p>
        </w:tc>
        <w:tc>
          <w:tcPr>
            <w:tcW w:type="dxa" w:w="2880"/>
          </w:tcPr>
          <w:p>
            <w:pPr>
              <w:jc w:val="right"/>
            </w:pPr>
            <w:r>
              <w:rPr>
                <w:color w:val="222222"/>
                <w:sz w:val="18"/>
              </w:rPr>
              <w:t>+3%</w:t>
            </w:r>
          </w:p>
        </w:tc>
      </w:tr>
    </w:tbl>
    <w:p>
      <w:pPr>
        <w:spacing w:after="40"/>
      </w:pPr>
    </w:p>
    <w:p>
      <w:pPr>
        <w:spacing w:after="120"/>
      </w:pPr>
      <w:r>
        <w:rPr>
          <w:b w:val="0"/>
          <w:i w:val="0"/>
          <w:color w:val="222222"/>
          <w:sz w:val="21"/>
        </w:rPr>
        <w:t>The normalized lens lands at EGP 740 — essentially spot. This is the bear anchor of the study: it says that if you value Orascom purely on its sustainable earnings and ignore the cash pile and the separable assets, the shares are already fairly priced. The whole bull case lives in the gap between this number and the asset-based lenses.</w:t>
      </w:r>
    </w:p>
    <w:p>
      <w:pPr>
        <w:keepNext/>
        <w:spacing w:before="280" w:after="80"/>
      </w:pPr>
      <w:r>
        <w:rPr>
          <w:b/>
          <w:color w:val="1B5E5E"/>
          <w:sz w:val="26"/>
        </w:rPr>
        <w:t>1.5  Synthesis — five lenses</w:t>
      </w:r>
    </w:p>
    <w:p>
      <w:pPr>
        <w:spacing w:after="120"/>
      </w:pPr>
      <w:r>
        <w:rPr>
          <w:b w:val="0"/>
          <w:i w:val="0"/>
          <w:color w:val="222222"/>
          <w:sz w:val="21"/>
        </w:rPr>
        <w:t>The four methods and weights are below. We lean on the cash-flow DCF (the right structure for a going concern) and the normalized-earnings lens (the discipline against over-crediting the balance sheet), with the SOTP and relative lenses as the asset and market cross-checks.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744"/>
            <w:shd w:val="clear" w:fill="1B5E5E"/>
          </w:tcPr>
          <w:p>
            <w:r>
              <w:rPr>
                <w:b/>
                <w:color w:val="FFFFFF"/>
                <w:sz w:val="18"/>
              </w:rPr>
              <w:t>Method</w:t>
            </w:r>
          </w:p>
        </w:tc>
        <w:tc>
          <w:tcPr>
            <w:tcW w:type="dxa" w:w="1872"/>
            <w:shd w:val="clear" w:fill="1B5E5E"/>
          </w:tcPr>
          <w:p>
            <w:pPr>
              <w:jc w:val="right"/>
            </w:pPr>
            <w:r>
              <w:rPr>
                <w:b/>
                <w:color w:val="FFFFFF"/>
                <w:sz w:val="18"/>
              </w:rPr>
              <w:t>EGP / sh</w:t>
            </w:r>
          </w:p>
        </w:tc>
        <w:tc>
          <w:tcPr>
            <w:tcW w:type="dxa" w:w="1728"/>
            <w:shd w:val="clear" w:fill="1B5E5E"/>
          </w:tcPr>
          <w:p>
            <w:pPr>
              <w:jc w:val="right"/>
            </w:pPr>
            <w:r>
              <w:rPr>
                <w:b/>
                <w:color w:val="FFFFFF"/>
                <w:sz w:val="18"/>
              </w:rPr>
              <w:t>vs spot</w:t>
            </w:r>
          </w:p>
        </w:tc>
        <w:tc>
          <w:tcPr>
            <w:tcW w:type="dxa" w:w="1584"/>
            <w:shd w:val="clear" w:fill="1B5E5E"/>
          </w:tcPr>
          <w:p>
            <w:pPr>
              <w:jc w:val="right"/>
            </w:pPr>
            <w:r>
              <w:rPr>
                <w:b/>
                <w:color w:val="FFFFFF"/>
                <w:sz w:val="18"/>
              </w:rPr>
              <w:t>Weight</w:t>
            </w:r>
          </w:p>
        </w:tc>
      </w:tr>
      <w:tr>
        <w:tc>
          <w:tcPr>
            <w:tcW w:type="dxa" w:w="3744"/>
          </w:tcPr>
          <w:p>
            <w:r>
              <w:rPr>
                <w:color w:val="222222"/>
                <w:sz w:val="18"/>
              </w:rPr>
              <w:t>FCFF DCF (primary)</w:t>
            </w:r>
          </w:p>
        </w:tc>
        <w:tc>
          <w:tcPr>
            <w:tcW w:type="dxa" w:w="1872"/>
          </w:tcPr>
          <w:p>
            <w:pPr>
              <w:jc w:val="right"/>
            </w:pPr>
            <w:r>
              <w:rPr>
                <w:color w:val="222222"/>
                <w:sz w:val="18"/>
              </w:rPr>
              <w:t>1,006</w:t>
            </w:r>
          </w:p>
        </w:tc>
        <w:tc>
          <w:tcPr>
            <w:tcW w:type="dxa" w:w="1728"/>
          </w:tcPr>
          <w:p>
            <w:pPr>
              <w:jc w:val="right"/>
            </w:pPr>
            <w:r>
              <w:rPr>
                <w:color w:val="222222"/>
                <w:sz w:val="18"/>
              </w:rPr>
              <w:t>+40%</w:t>
            </w:r>
          </w:p>
        </w:tc>
        <w:tc>
          <w:tcPr>
            <w:tcW w:type="dxa" w:w="1584"/>
          </w:tcPr>
          <w:p>
            <w:pPr>
              <w:jc w:val="right"/>
            </w:pPr>
            <w:r>
              <w:rPr>
                <w:color w:val="222222"/>
                <w:sz w:val="18"/>
              </w:rPr>
              <w:t>25%</w:t>
            </w:r>
          </w:p>
        </w:tc>
      </w:tr>
      <w:tr>
        <w:tc>
          <w:tcPr>
            <w:tcW w:type="dxa" w:w="3744"/>
          </w:tcPr>
          <w:p>
            <w:r>
              <w:rPr>
                <w:color w:val="222222"/>
                <w:sz w:val="18"/>
              </w:rPr>
              <w:t>SOTP — base</w:t>
            </w:r>
          </w:p>
        </w:tc>
        <w:tc>
          <w:tcPr>
            <w:tcW w:type="dxa" w:w="1872"/>
          </w:tcPr>
          <w:p>
            <w:pPr>
              <w:jc w:val="right"/>
            </w:pPr>
            <w:r>
              <w:rPr>
                <w:color w:val="222222"/>
                <w:sz w:val="18"/>
              </w:rPr>
              <w:t>1,030</w:t>
            </w:r>
          </w:p>
        </w:tc>
        <w:tc>
          <w:tcPr>
            <w:tcW w:type="dxa" w:w="1728"/>
          </w:tcPr>
          <w:p>
            <w:pPr>
              <w:jc w:val="right"/>
            </w:pPr>
            <w:r>
              <w:rPr>
                <w:color w:val="222222"/>
                <w:sz w:val="18"/>
              </w:rPr>
              <w:t>+43%</w:t>
            </w:r>
          </w:p>
        </w:tc>
        <w:tc>
          <w:tcPr>
            <w:tcW w:type="dxa" w:w="1584"/>
          </w:tcPr>
          <w:p>
            <w:pPr>
              <w:jc w:val="right"/>
            </w:pPr>
            <w:r>
              <w:rPr>
                <w:color w:val="222222"/>
                <w:sz w:val="18"/>
              </w:rPr>
              <w:t>18%</w:t>
            </w:r>
          </w:p>
        </w:tc>
      </w:tr>
      <w:tr>
        <w:tc>
          <w:tcPr>
            <w:tcW w:type="dxa" w:w="3744"/>
          </w:tcPr>
          <w:p>
            <w:r>
              <w:rPr>
                <w:color w:val="222222"/>
                <w:sz w:val="18"/>
              </w:rPr>
              <w:t>SOTP — bull</w:t>
            </w:r>
          </w:p>
        </w:tc>
        <w:tc>
          <w:tcPr>
            <w:tcW w:type="dxa" w:w="1872"/>
          </w:tcPr>
          <w:p>
            <w:pPr>
              <w:jc w:val="right"/>
            </w:pPr>
            <w:r>
              <w:rPr>
                <w:color w:val="222222"/>
                <w:sz w:val="18"/>
              </w:rPr>
              <w:t>1,272</w:t>
            </w:r>
          </w:p>
        </w:tc>
        <w:tc>
          <w:tcPr>
            <w:tcW w:type="dxa" w:w="1728"/>
          </w:tcPr>
          <w:p>
            <w:pPr>
              <w:jc w:val="right"/>
            </w:pPr>
            <w:r>
              <w:rPr>
                <w:color w:val="222222"/>
                <w:sz w:val="18"/>
              </w:rPr>
              <w:t>+77%</w:t>
            </w:r>
          </w:p>
        </w:tc>
        <w:tc>
          <w:tcPr>
            <w:tcW w:type="dxa" w:w="1584"/>
          </w:tcPr>
          <w:p>
            <w:pPr>
              <w:jc w:val="right"/>
            </w:pPr>
            <w:r>
              <w:rPr>
                <w:color w:val="222222"/>
                <w:sz w:val="18"/>
              </w:rPr>
              <w:t>7%</w:t>
            </w:r>
          </w:p>
        </w:tc>
      </w:tr>
      <w:tr>
        <w:tc>
          <w:tcPr>
            <w:tcW w:type="dxa" w:w="3744"/>
          </w:tcPr>
          <w:p>
            <w:r>
              <w:rPr>
                <w:color w:val="222222"/>
                <w:sz w:val="18"/>
              </w:rPr>
              <w:t>Relative multiples</w:t>
            </w:r>
          </w:p>
        </w:tc>
        <w:tc>
          <w:tcPr>
            <w:tcW w:type="dxa" w:w="1872"/>
          </w:tcPr>
          <w:p>
            <w:pPr>
              <w:jc w:val="right"/>
            </w:pPr>
            <w:r>
              <w:rPr>
                <w:color w:val="222222"/>
                <w:sz w:val="18"/>
              </w:rPr>
              <w:t>898</w:t>
            </w:r>
          </w:p>
        </w:tc>
        <w:tc>
          <w:tcPr>
            <w:tcW w:type="dxa" w:w="1728"/>
          </w:tcPr>
          <w:p>
            <w:pPr>
              <w:jc w:val="right"/>
            </w:pPr>
            <w:r>
              <w:rPr>
                <w:color w:val="222222"/>
                <w:sz w:val="18"/>
              </w:rPr>
              <w:t>+25%</w:t>
            </w:r>
          </w:p>
        </w:tc>
        <w:tc>
          <w:tcPr>
            <w:tcW w:type="dxa" w:w="1584"/>
          </w:tcPr>
          <w:p>
            <w:pPr>
              <w:jc w:val="right"/>
            </w:pPr>
            <w:r>
              <w:rPr>
                <w:color w:val="222222"/>
                <w:sz w:val="18"/>
              </w:rPr>
              <w:t>20%</w:t>
            </w:r>
          </w:p>
        </w:tc>
      </w:tr>
      <w:tr>
        <w:tc>
          <w:tcPr>
            <w:tcW w:type="dxa" w:w="3744"/>
          </w:tcPr>
          <w:p>
            <w:r>
              <w:rPr>
                <w:color w:val="222222"/>
                <w:sz w:val="18"/>
              </w:rPr>
              <w:t>Normalized earnings</w:t>
            </w:r>
          </w:p>
        </w:tc>
        <w:tc>
          <w:tcPr>
            <w:tcW w:type="dxa" w:w="1872"/>
          </w:tcPr>
          <w:p>
            <w:pPr>
              <w:jc w:val="right"/>
            </w:pPr>
            <w:r>
              <w:rPr>
                <w:color w:val="222222"/>
                <w:sz w:val="18"/>
              </w:rPr>
              <w:t>740</w:t>
            </w:r>
          </w:p>
        </w:tc>
        <w:tc>
          <w:tcPr>
            <w:tcW w:type="dxa" w:w="1728"/>
          </w:tcPr>
          <w:p>
            <w:pPr>
              <w:jc w:val="right"/>
            </w:pPr>
            <w:r>
              <w:rPr>
                <w:color w:val="222222"/>
                <w:sz w:val="18"/>
              </w:rPr>
              <w:t>+3%</w:t>
            </w:r>
          </w:p>
        </w:tc>
        <w:tc>
          <w:tcPr>
            <w:tcW w:type="dxa" w:w="1584"/>
          </w:tcPr>
          <w:p>
            <w:pPr>
              <w:jc w:val="right"/>
            </w:pPr>
            <w:r>
              <w:rPr>
                <w:color w:val="222222"/>
                <w:sz w:val="18"/>
              </w:rPr>
              <w:t>30%</w:t>
            </w:r>
          </w:p>
        </w:tc>
      </w:tr>
      <w:tr>
        <w:tc>
          <w:tcPr>
            <w:tcW w:type="dxa" w:w="3744"/>
          </w:tcPr>
          <w:p>
            <w:r>
              <w:rPr>
                <w:color w:val="222222"/>
                <w:sz w:val="18"/>
              </w:rPr>
              <w:t>Weighted central</w:t>
            </w:r>
          </w:p>
        </w:tc>
        <w:tc>
          <w:tcPr>
            <w:tcW w:type="dxa" w:w="1872"/>
          </w:tcPr>
          <w:p>
            <w:pPr>
              <w:jc w:val="right"/>
            </w:pPr>
            <w:r>
              <w:rPr>
                <w:color w:val="222222"/>
                <w:sz w:val="18"/>
              </w:rPr>
              <w:t>928</w:t>
            </w:r>
          </w:p>
        </w:tc>
        <w:tc>
          <w:tcPr>
            <w:tcW w:type="dxa" w:w="1728"/>
          </w:tcPr>
          <w:p>
            <w:pPr>
              <w:jc w:val="right"/>
            </w:pPr>
            <w:r>
              <w:rPr>
                <w:color w:val="222222"/>
                <w:sz w:val="18"/>
              </w:rPr>
              <w:t>+29%</w:t>
            </w:r>
          </w:p>
        </w:tc>
        <w:tc>
          <w:tcPr>
            <w:tcW w:type="dxa" w:w="1584"/>
          </w:tcPr>
          <w:p>
            <w:pPr>
              <w:jc w:val="right"/>
            </w:pPr>
            <w:r>
              <w:rPr>
                <w:color w:val="222222"/>
                <w:sz w:val="18"/>
              </w:rPr>
              <w:t>100%</w:t>
            </w:r>
          </w:p>
        </w:tc>
      </w:tr>
    </w:tbl>
    <w:p>
      <w:pPr>
        <w:spacing w:after="40"/>
      </w:pPr>
    </w:p>
    <w:p>
      <w:pPr>
        <w:jc w:val="center"/>
      </w:pPr>
      <w:r>
        <w:drawing>
          <wp:inline xmlns:a="http://schemas.openxmlformats.org/drawingml/2006/main" xmlns:pic="http://schemas.openxmlformats.org/drawingml/2006/picture">
            <wp:extent cx="5669280" cy="2768718"/>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669280" cy="2768718"/>
                    </a:xfrm>
                    <a:prstGeom prst="rect"/>
                  </pic:spPr>
                </pic:pic>
              </a:graphicData>
            </a:graphic>
          </wp:inline>
        </w:drawing>
      </w:r>
    </w:p>
    <w:p>
      <w:pPr>
        <w:jc w:val="center"/>
      </w:pPr>
      <w:r>
        <w:rPr>
          <w:i/>
          <w:color w:val="666666"/>
          <w:sz w:val="17"/>
        </w:rPr>
        <w:t>Figure 1 · Valuation football field — five lenses. Spot EGP 720 sits below the weighted central EGP 928; the normalized-earnings lens anchors the low end, the SOTP bull case the high end.</w:t>
      </w:r>
    </w:p>
    <w:p>
      <w:pPr>
        <w:spacing w:after="120"/>
      </w:pPr>
      <w:r>
        <w:rPr>
          <w:b w:val="0"/>
          <w:i w:val="0"/>
          <w:color w:val="222222"/>
          <w:sz w:val="21"/>
        </w:rPr>
        <w:t>How to read this. The cluster is wide and sits above spot — the signature of a stock the market is pricing cautiously while several independent methods see more value. The spread from EGP 740 to EGP 1,272 is not noise; it is the precise measure of how much of the case rests on the balance sheet rather than the income statement.</w:t>
      </w:r>
    </w:p>
    <w:p>
      <w:pPr>
        <w:keepNext/>
        <w:spacing w:before="280" w:after="80"/>
      </w:pPr>
      <w:r>
        <w:rPr>
          <w:b/>
          <w:color w:val="1B5E5E"/>
          <w:sz w:val="26"/>
        </w:rPr>
        <w:t>1.6  The parts — a deeper look</w:t>
      </w:r>
    </w:p>
    <w:p>
      <w:pPr>
        <w:spacing w:after="120"/>
      </w:pPr>
      <w:r>
        <w:rPr>
          <w:b w:val="0"/>
          <w:i w:val="0"/>
          <w:color w:val="222222"/>
          <w:sz w:val="21"/>
        </w:rPr>
        <w:t>The valuation rests on asset-level judgments. For each major piece we set out what it is, where it stands, and the key tension.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shd w:val="clear" w:fill="1B5E5E"/>
          </w:tcPr>
          <w:p>
            <w:r>
              <w:rPr>
                <w:b/>
                <w:color w:val="FFFFFF"/>
                <w:sz w:val="17"/>
              </w:rPr>
              <w:t>Asset</w:t>
            </w:r>
          </w:p>
        </w:tc>
        <w:tc>
          <w:tcPr>
            <w:tcW w:type="dxa" w:w="2016"/>
            <w:shd w:val="clear" w:fill="1B5E5E"/>
          </w:tcPr>
          <w:p>
            <w:pPr>
              <w:jc w:val="right"/>
            </w:pPr>
            <w:r>
              <w:rPr>
                <w:b/>
                <w:color w:val="FFFFFF"/>
                <w:sz w:val="17"/>
              </w:rPr>
              <w:t>Scale</w:t>
            </w:r>
          </w:p>
        </w:tc>
        <w:tc>
          <w:tcPr>
            <w:tcW w:type="dxa" w:w="1872"/>
            <w:shd w:val="clear" w:fill="1B5E5E"/>
          </w:tcPr>
          <w:p>
            <w:pPr>
              <w:jc w:val="right"/>
            </w:pPr>
            <w:r>
              <w:rPr>
                <w:b/>
                <w:color w:val="FFFFFF"/>
                <w:sz w:val="17"/>
              </w:rPr>
              <w:t>Mark basis</w:t>
            </w:r>
          </w:p>
        </w:tc>
        <w:tc>
          <w:tcPr>
            <w:tcW w:type="dxa" w:w="2736"/>
            <w:shd w:val="clear" w:fill="1B5E5E"/>
          </w:tcPr>
          <w:p>
            <w:pPr>
              <w:jc w:val="right"/>
            </w:pPr>
            <w:r>
              <w:rPr>
                <w:b/>
                <w:color w:val="FFFFFF"/>
                <w:sz w:val="17"/>
              </w:rPr>
              <w:t>Key tension</w:t>
            </w:r>
          </w:p>
        </w:tc>
      </w:tr>
      <w:tr>
        <w:tc>
          <w:tcPr>
            <w:tcW w:type="dxa" w:w="2448"/>
          </w:tcPr>
          <w:p>
            <w:r>
              <w:rPr>
                <w:color w:val="222222"/>
                <w:sz w:val="17"/>
              </w:rPr>
              <w:t>Core E&amp;C (Egypt/MENA)</w:t>
            </w:r>
          </w:p>
        </w:tc>
        <w:tc>
          <w:tcPr>
            <w:tcW w:type="dxa" w:w="2016"/>
          </w:tcPr>
          <w:p>
            <w:pPr>
              <w:jc w:val="right"/>
            </w:pPr>
            <w:r>
              <w:rPr>
                <w:color w:val="222222"/>
                <w:sz w:val="17"/>
              </w:rPr>
              <w:t>54% of backlog</w:t>
            </w:r>
          </w:p>
        </w:tc>
        <w:tc>
          <w:tcPr>
            <w:tcW w:type="dxa" w:w="1872"/>
          </w:tcPr>
          <w:p>
            <w:pPr>
              <w:jc w:val="right"/>
            </w:pPr>
            <w:r>
              <w:rPr>
                <w:color w:val="222222"/>
                <w:sz w:val="17"/>
              </w:rPr>
              <w:t>EBITDA multiple</w:t>
            </w:r>
          </w:p>
        </w:tc>
        <w:tc>
          <w:tcPr>
            <w:tcW w:type="dxa" w:w="2736"/>
          </w:tcPr>
          <w:p>
            <w:pPr>
              <w:jc w:val="right"/>
            </w:pPr>
            <w:r>
              <w:rPr>
                <w:color w:val="222222"/>
                <w:sz w:val="17"/>
              </w:rPr>
              <w:t>IFI-funded FX projects; thin margins</w:t>
            </w:r>
          </w:p>
        </w:tc>
      </w:tr>
      <w:tr>
        <w:tc>
          <w:tcPr>
            <w:tcW w:type="dxa" w:w="2448"/>
          </w:tcPr>
          <w:p>
            <w:r>
              <w:rPr>
                <w:color w:val="222222"/>
                <w:sz w:val="17"/>
              </w:rPr>
              <w:t>US (Weitz/Contrack)</w:t>
            </w:r>
          </w:p>
        </w:tc>
        <w:tc>
          <w:tcPr>
            <w:tcW w:type="dxa" w:w="2016"/>
          </w:tcPr>
          <w:p>
            <w:pPr>
              <w:jc w:val="right"/>
            </w:pPr>
            <w:r>
              <w:rPr>
                <w:color w:val="222222"/>
                <w:sz w:val="17"/>
              </w:rPr>
              <w:t>32% of backlog</w:t>
            </w:r>
          </w:p>
        </w:tc>
        <w:tc>
          <w:tcPr>
            <w:tcW w:type="dxa" w:w="1872"/>
          </w:tcPr>
          <w:p>
            <w:pPr>
              <w:jc w:val="right"/>
            </w:pPr>
            <w:r>
              <w:rPr>
                <w:color w:val="222222"/>
                <w:sz w:val="17"/>
              </w:rPr>
              <w:t>EBITDA multiple</w:t>
            </w:r>
          </w:p>
        </w:tc>
        <w:tc>
          <w:tcPr>
            <w:tcW w:type="dxa" w:w="2736"/>
          </w:tcPr>
          <w:p>
            <w:pPr>
              <w:jc w:val="right"/>
            </w:pPr>
            <w:r>
              <w:rPr>
                <w:color w:val="222222"/>
                <w:sz w:val="17"/>
              </w:rPr>
              <w:t>fastest-growing; data centers; +80.6%</w:t>
            </w:r>
          </w:p>
        </w:tc>
      </w:tr>
      <w:tr>
        <w:tc>
          <w:tcPr>
            <w:tcW w:type="dxa" w:w="2448"/>
          </w:tcPr>
          <w:p>
            <w:r>
              <w:rPr>
                <w:color w:val="222222"/>
                <w:sz w:val="17"/>
              </w:rPr>
              <w:t>Concessions</w:t>
            </w:r>
          </w:p>
        </w:tc>
        <w:tc>
          <w:tcPr>
            <w:tcW w:type="dxa" w:w="2016"/>
          </w:tcPr>
          <w:p>
            <w:pPr>
              <w:jc w:val="right"/>
            </w:pPr>
            <w:r>
              <w:rPr>
                <w:color w:val="222222"/>
                <w:sz w:val="17"/>
              </w:rPr>
              <w:t>912.5 MW + water</w:t>
            </w:r>
          </w:p>
        </w:tc>
        <w:tc>
          <w:tcPr>
            <w:tcW w:type="dxa" w:w="1872"/>
          </w:tcPr>
          <w:p>
            <w:pPr>
              <w:jc w:val="right"/>
            </w:pPr>
            <w:r>
              <w:rPr>
                <w:color w:val="222222"/>
                <w:sz w:val="17"/>
              </w:rPr>
              <w:t>contracted equity</w:t>
            </w:r>
          </w:p>
        </w:tc>
        <w:tc>
          <w:tcPr>
            <w:tcW w:type="dxa" w:w="2736"/>
          </w:tcPr>
          <w:p>
            <w:pPr>
              <w:jc w:val="right"/>
            </w:pPr>
            <w:r>
              <w:rPr>
                <w:color w:val="222222"/>
                <w:sz w:val="17"/>
              </w:rPr>
              <w:t>young, growing 6×; could re-rate up</w:t>
            </w:r>
          </w:p>
        </w:tc>
      </w:tr>
      <w:tr>
        <w:tc>
          <w:tcPr>
            <w:tcW w:type="dxa" w:w="2448"/>
          </w:tcPr>
          <w:p>
            <w:r>
              <w:rPr>
                <w:color w:val="222222"/>
                <w:sz w:val="17"/>
              </w:rPr>
              <w:t>BESIX 50%</w:t>
            </w:r>
          </w:p>
        </w:tc>
        <w:tc>
          <w:tcPr>
            <w:tcW w:type="dxa" w:w="2016"/>
          </w:tcPr>
          <w:p>
            <w:pPr>
              <w:jc w:val="right"/>
            </w:pPr>
            <w:r>
              <w:rPr>
                <w:color w:val="222222"/>
                <w:sz w:val="17"/>
              </w:rPr>
              <w:t>€6.7bn backlog</w:t>
            </w:r>
          </w:p>
        </w:tc>
        <w:tc>
          <w:tcPr>
            <w:tcW w:type="dxa" w:w="1872"/>
          </w:tcPr>
          <w:p>
            <w:pPr>
              <w:jc w:val="right"/>
            </w:pPr>
            <w:r>
              <w:rPr>
                <w:color w:val="222222"/>
                <w:sz w:val="17"/>
              </w:rPr>
              <w:t>equity income ×</w:t>
            </w:r>
          </w:p>
        </w:tc>
        <w:tc>
          <w:tcPr>
            <w:tcW w:type="dxa" w:w="2736"/>
          </w:tcPr>
          <w:p>
            <w:pPr>
              <w:jc w:val="right"/>
            </w:pPr>
            <w:r>
              <w:rPr>
                <w:color w:val="222222"/>
                <w:sz w:val="17"/>
              </w:rPr>
              <w:t>equity-accounted; own cycle</w:t>
            </w:r>
          </w:p>
        </w:tc>
      </w:tr>
      <w:tr>
        <w:tc>
          <w:tcPr>
            <w:tcW w:type="dxa" w:w="2448"/>
          </w:tcPr>
          <w:p>
            <w:r>
              <w:rPr>
                <w:color w:val="222222"/>
                <w:sz w:val="17"/>
              </w:rPr>
              <w:t>Materials/equip/FM</w:t>
            </w:r>
          </w:p>
        </w:tc>
        <w:tc>
          <w:tcPr>
            <w:tcW w:type="dxa" w:w="2016"/>
          </w:tcPr>
          <w:p>
            <w:pPr>
              <w:jc w:val="right"/>
            </w:pPr>
            <w:r>
              <w:rPr>
                <w:color w:val="222222"/>
                <w:sz w:val="17"/>
              </w:rPr>
              <w:t>13% of net income</w:t>
            </w:r>
          </w:p>
        </w:tc>
        <w:tc>
          <w:tcPr>
            <w:tcW w:type="dxa" w:w="1872"/>
          </w:tcPr>
          <w:p>
            <w:pPr>
              <w:jc w:val="right"/>
            </w:pPr>
            <w:r>
              <w:rPr>
                <w:color w:val="222222"/>
                <w:sz w:val="17"/>
              </w:rPr>
              <w:t>earnings multiple</w:t>
            </w:r>
          </w:p>
        </w:tc>
        <w:tc>
          <w:tcPr>
            <w:tcW w:type="dxa" w:w="2736"/>
          </w:tcPr>
          <w:p>
            <w:pPr>
              <w:jc w:val="right"/>
            </w:pPr>
            <w:r>
              <w:rPr>
                <w:color w:val="222222"/>
                <w:sz w:val="17"/>
              </w:rPr>
              <w:t>steady; export steel fabrication</w:t>
            </w:r>
          </w:p>
        </w:tc>
      </w:tr>
      <w:tr>
        <w:tc>
          <w:tcPr>
            <w:tcW w:type="dxa" w:w="2448"/>
          </w:tcPr>
          <w:p>
            <w:r>
              <w:rPr>
                <w:color w:val="222222"/>
                <w:sz w:val="17"/>
              </w:rPr>
              <w:t>Net cash</w:t>
            </w:r>
          </w:p>
        </w:tc>
        <w:tc>
          <w:tcPr>
            <w:tcW w:type="dxa" w:w="2016"/>
          </w:tcPr>
          <w:p>
            <w:pPr>
              <w:jc w:val="right"/>
            </w:pPr>
            <w:r>
              <w:rPr>
                <w:color w:val="222222"/>
                <w:sz w:val="17"/>
              </w:rPr>
              <w:t>≈ $540m reported</w:t>
            </w:r>
          </w:p>
        </w:tc>
        <w:tc>
          <w:tcPr>
            <w:tcW w:type="dxa" w:w="1872"/>
          </w:tcPr>
          <w:p>
            <w:pPr>
              <w:jc w:val="right"/>
            </w:pPr>
            <w:r>
              <w:rPr>
                <w:color w:val="222222"/>
                <w:sz w:val="17"/>
              </w:rPr>
              <w:t>usable haircut</w:t>
            </w:r>
          </w:p>
        </w:tc>
        <w:tc>
          <w:tcPr>
            <w:tcW w:type="dxa" w:w="2736"/>
          </w:tcPr>
          <w:p>
            <w:pPr>
              <w:jc w:val="right"/>
            </w:pPr>
            <w:r>
              <w:rPr>
                <w:color w:val="222222"/>
                <w:sz w:val="17"/>
              </w:rPr>
              <w:t>how much is client advances?</w:t>
            </w:r>
          </w:p>
        </w:tc>
      </w:tr>
    </w:tbl>
    <w:p>
      <w:pPr>
        <w:spacing w:after="40"/>
      </w:pPr>
    </w:p>
    <w:p>
      <w:pPr>
        <w:keepNext/>
        <w:spacing w:before="280" w:after="80"/>
      </w:pPr>
      <w:r>
        <w:rPr>
          <w:b/>
          <w:color w:val="1B5E5E"/>
          <w:sz w:val="26"/>
        </w:rPr>
        <w:t>1.7  The crux — net-cash quality and the OCI combination</w:t>
      </w:r>
    </w:p>
    <w:p>
      <w:pPr>
        <w:spacing w:after="120"/>
      </w:pPr>
      <w:r>
        <w:rPr>
          <w:b w:val="0"/>
          <w:i w:val="0"/>
          <w:color w:val="222222"/>
          <w:sz w:val="21"/>
        </w:rPr>
        <w:t>Two issues, not the discount rate, decide whether Orascom is cheap. The first is the quality of the net cash. A contractor collects large advance payments and bills ahead of cost on long projects; that cash sits on the balance sheet but is spoken for — it funds work in progress and is returned in substance as projects complete. Reported net cash of roughly $540m therefore overstates what is genuinely distributable to equity. We mark usable net cash at $400m as a base case; an aggressive reading takes the full figure, a conservative one closer to $300m. That single line moves the DCF and the EV/EBITDA lens by more than any change in WACC, because both add net cash on top of the operating value.</w:t>
      </w:r>
    </w:p>
    <w:p>
      <w:pPr>
        <w:spacing w:after="120"/>
      </w:pPr>
      <w:r>
        <w:rPr>
          <w:b w:val="0"/>
          <w:i w:val="0"/>
          <w:color w:val="222222"/>
          <w:sz w:val="21"/>
        </w:rPr>
        <w:t>The second is the proposed combination with OCI Global. Orascom's shareholders approved the special resolutions on 22 January 2026; OCI's shareholders have not yet voted, and completion remains subject to regulatory approvals — and a Dutch court has previously blocked an OCI vote. The transaction is a genuine fork: completed on constructive terms it could re-rate the equity and reshape the capital structure; collapsed or completed on poor terms it removes a support the market has partly priced. We do not embed a deal outcome in the fundamental value; we treat it as the dominant catalyst and the widest branch of the scenario tree in §3 and §5.</w:t>
      </w:r>
    </w:p>
    <w:p>
      <w:pPr>
        <w:keepNext/>
        <w:spacing w:before="280" w:after="80"/>
      </w:pPr>
      <w:r>
        <w:rPr>
          <w:b/>
          <w:color w:val="1B5E5E"/>
          <w:sz w:val="26"/>
        </w:rPr>
        <w:t>1.8  Egypt, the dollar, the cross-listing, and the US pivot</w:t>
      </w:r>
    </w:p>
    <w:p>
      <w:pPr>
        <w:spacing w:after="120"/>
      </w:pPr>
      <w:r>
        <w:rPr>
          <w:b w:val="0"/>
          <w:i w:val="0"/>
          <w:color w:val="222222"/>
          <w:sz w:val="21"/>
        </w:rPr>
        <w:t>Four forces specific to where and how Orascom trades shape the read. First, the company reports in dollars but the EGX line is quoted in pounds, so the USD/EGP rate (≈49.2) is the bridge between the fundamentals and the screen. A further EGP devaluation, counter-intuitively, tends to lift the pound value of a dollar-earning, dollar-reporting asset — the EGX line behaves partly as an FX hedge for domestic investors. Second, the Egyptian backlog is largely foreign-currency denominated and funded by international financial institutions, which insulates a meaningful slice of revenue from local-currency and local-budget risk. Third, country risk still sits in the discount rate: a pure-Egypt cost of capital would be ~18–22%, but with roughly two-thirds of backlog now outside Egypt we use a blended ~12% dollar WACC. Fourth, the US pivot is the structural story — a data-center and aviation backlog growing 80% a year is re-rating the company's geographic and end-market mix faster than its multiple has acknowledged.</w:t>
      </w:r>
    </w:p>
    <w:p>
      <w:pPr>
        <w:keepNext/>
        <w:spacing w:before="280" w:after="80"/>
      </w:pPr>
      <w:r>
        <w:rPr>
          <w:b/>
          <w:color w:val="1B5E5E"/>
          <w:sz w:val="26"/>
        </w:rPr>
        <w:t>1.9  DCF sensitivity — how much the cross-check moves</w:t>
      </w:r>
    </w:p>
    <w:p>
      <w:pPr>
        <w:spacing w:after="120"/>
      </w:pPr>
      <w:r>
        <w:rPr>
          <w:b w:val="0"/>
          <w:i w:val="0"/>
          <w:color w:val="222222"/>
          <w:sz w:val="21"/>
        </w:rPr>
        <w:t>The DCF lands at EGP 1,006. The grid shows how the per-share figure moves with the discount rate and the terminal growth assumption. Even the conservative corners stay above the normalized-earnings anchor, while the generous corners approach the SOTP.</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val="clear" w:fill="1B5E5E"/>
          </w:tcPr>
          <w:p>
            <w:r>
              <w:rPr>
                <w:b/>
                <w:color w:val="FFFFFF"/>
                <w:sz w:val="17"/>
              </w:rPr>
              <w:t>WACC \ g</w:t>
            </w:r>
          </w:p>
        </w:tc>
        <w:tc>
          <w:tcPr>
            <w:tcW w:type="dxa" w:w="1512"/>
            <w:shd w:val="clear" w:fill="1B5E5E"/>
          </w:tcPr>
          <w:p>
            <w:pPr>
              <w:jc w:val="right"/>
            </w:pPr>
            <w:r>
              <w:rPr>
                <w:b/>
                <w:color w:val="FFFFFF"/>
                <w:sz w:val="17"/>
              </w:rPr>
              <w:t>2.5%</w:t>
            </w:r>
          </w:p>
        </w:tc>
        <w:tc>
          <w:tcPr>
            <w:tcW w:type="dxa" w:w="1512"/>
            <w:shd w:val="clear" w:fill="1B5E5E"/>
          </w:tcPr>
          <w:p>
            <w:pPr>
              <w:jc w:val="right"/>
            </w:pPr>
            <w:r>
              <w:rPr>
                <w:b/>
                <w:color w:val="FFFFFF"/>
                <w:sz w:val="17"/>
              </w:rPr>
              <w:t>3.0%</w:t>
            </w:r>
          </w:p>
        </w:tc>
        <w:tc>
          <w:tcPr>
            <w:tcW w:type="dxa" w:w="1512"/>
            <w:shd w:val="clear" w:fill="1B5E5E"/>
          </w:tcPr>
          <w:p>
            <w:pPr>
              <w:jc w:val="right"/>
            </w:pPr>
            <w:r>
              <w:rPr>
                <w:b/>
                <w:color w:val="FFFFFF"/>
                <w:sz w:val="17"/>
              </w:rPr>
              <w:t>3.5%</w:t>
            </w:r>
          </w:p>
        </w:tc>
        <w:tc>
          <w:tcPr>
            <w:tcW w:type="dxa" w:w="1512"/>
            <w:shd w:val="clear" w:fill="1B5E5E"/>
          </w:tcPr>
          <w:p>
            <w:pPr>
              <w:jc w:val="right"/>
            </w:pPr>
            <w:r>
              <w:rPr>
                <w:b/>
                <w:color w:val="FFFFFF"/>
                <w:sz w:val="17"/>
              </w:rPr>
              <w:t>4.0%</w:t>
            </w:r>
          </w:p>
        </w:tc>
        <w:tc>
          <w:tcPr>
            <w:tcW w:type="dxa" w:w="1512"/>
            <w:shd w:val="clear" w:fill="1B5E5E"/>
          </w:tcPr>
          <w:p>
            <w:pPr>
              <w:jc w:val="right"/>
            </w:pPr>
            <w:r>
              <w:rPr>
                <w:b/>
                <w:color w:val="FFFFFF"/>
                <w:sz w:val="17"/>
              </w:rPr>
              <w:t>4.5%</w:t>
            </w:r>
          </w:p>
        </w:tc>
      </w:tr>
      <w:tr>
        <w:tc>
          <w:tcPr>
            <w:tcW w:type="dxa" w:w="1584"/>
          </w:tcPr>
          <w:p>
            <w:r>
              <w:rPr>
                <w:color w:val="222222"/>
                <w:sz w:val="17"/>
              </w:rPr>
              <w:t>10.5%</w:t>
            </w:r>
          </w:p>
        </w:tc>
        <w:tc>
          <w:tcPr>
            <w:tcW w:type="dxa" w:w="1512"/>
          </w:tcPr>
          <w:p>
            <w:pPr>
              <w:jc w:val="right"/>
            </w:pPr>
            <w:r>
              <w:rPr>
                <w:color w:val="222222"/>
                <w:sz w:val="17"/>
              </w:rPr>
              <w:t>1,078</w:t>
            </w:r>
          </w:p>
        </w:tc>
        <w:tc>
          <w:tcPr>
            <w:tcW w:type="dxa" w:w="1512"/>
          </w:tcPr>
          <w:p>
            <w:pPr>
              <w:jc w:val="right"/>
            </w:pPr>
            <w:r>
              <w:rPr>
                <w:color w:val="222222"/>
                <w:sz w:val="17"/>
              </w:rPr>
              <w:t>1,118</w:t>
            </w:r>
          </w:p>
        </w:tc>
        <w:tc>
          <w:tcPr>
            <w:tcW w:type="dxa" w:w="1512"/>
          </w:tcPr>
          <w:p>
            <w:pPr>
              <w:jc w:val="right"/>
            </w:pPr>
            <w:r>
              <w:rPr>
                <w:color w:val="222222"/>
                <w:sz w:val="17"/>
              </w:rPr>
              <w:t>1,164</w:t>
            </w:r>
          </w:p>
        </w:tc>
        <w:tc>
          <w:tcPr>
            <w:tcW w:type="dxa" w:w="1512"/>
          </w:tcPr>
          <w:p>
            <w:pPr>
              <w:jc w:val="right"/>
            </w:pPr>
            <w:r>
              <w:rPr>
                <w:color w:val="222222"/>
                <w:sz w:val="17"/>
              </w:rPr>
              <w:t>1,217</w:t>
            </w:r>
          </w:p>
        </w:tc>
        <w:tc>
          <w:tcPr>
            <w:tcW w:type="dxa" w:w="1512"/>
          </w:tcPr>
          <w:p>
            <w:pPr>
              <w:jc w:val="right"/>
            </w:pPr>
            <w:r>
              <w:rPr>
                <w:color w:val="222222"/>
                <w:sz w:val="17"/>
              </w:rPr>
              <w:t>1,280</w:t>
            </w:r>
          </w:p>
        </w:tc>
      </w:tr>
      <w:tr>
        <w:tc>
          <w:tcPr>
            <w:tcW w:type="dxa" w:w="1584"/>
          </w:tcPr>
          <w:p>
            <w:r>
              <w:rPr>
                <w:color w:val="222222"/>
                <w:sz w:val="17"/>
              </w:rPr>
              <w:t>11.0%</w:t>
            </w:r>
          </w:p>
        </w:tc>
        <w:tc>
          <w:tcPr>
            <w:tcW w:type="dxa" w:w="1512"/>
          </w:tcPr>
          <w:p>
            <w:pPr>
              <w:jc w:val="right"/>
            </w:pPr>
            <w:r>
              <w:rPr>
                <w:color w:val="222222"/>
                <w:sz w:val="17"/>
              </w:rPr>
              <w:t>1,030</w:t>
            </w:r>
          </w:p>
        </w:tc>
        <w:tc>
          <w:tcPr>
            <w:tcW w:type="dxa" w:w="1512"/>
          </w:tcPr>
          <w:p>
            <w:pPr>
              <w:jc w:val="right"/>
            </w:pPr>
            <w:r>
              <w:rPr>
                <w:color w:val="222222"/>
                <w:sz w:val="17"/>
              </w:rPr>
              <w:t>1,065</w:t>
            </w:r>
          </w:p>
        </w:tc>
        <w:tc>
          <w:tcPr>
            <w:tcW w:type="dxa" w:w="1512"/>
          </w:tcPr>
          <w:p>
            <w:pPr>
              <w:jc w:val="right"/>
            </w:pPr>
            <w:r>
              <w:rPr>
                <w:color w:val="222222"/>
                <w:sz w:val="17"/>
              </w:rPr>
              <w:t>1,104</w:t>
            </w:r>
          </w:p>
        </w:tc>
        <w:tc>
          <w:tcPr>
            <w:tcW w:type="dxa" w:w="1512"/>
          </w:tcPr>
          <w:p>
            <w:pPr>
              <w:jc w:val="right"/>
            </w:pPr>
            <w:r>
              <w:rPr>
                <w:color w:val="222222"/>
                <w:sz w:val="17"/>
              </w:rPr>
              <w:t>1,150</w:t>
            </w:r>
          </w:p>
        </w:tc>
        <w:tc>
          <w:tcPr>
            <w:tcW w:type="dxa" w:w="1512"/>
          </w:tcPr>
          <w:p>
            <w:pPr>
              <w:jc w:val="right"/>
            </w:pPr>
            <w:r>
              <w:rPr>
                <w:color w:val="222222"/>
                <w:sz w:val="17"/>
              </w:rPr>
              <w:t>1,202</w:t>
            </w:r>
          </w:p>
        </w:tc>
      </w:tr>
      <w:tr>
        <w:tc>
          <w:tcPr>
            <w:tcW w:type="dxa" w:w="1584"/>
          </w:tcPr>
          <w:p>
            <w:r>
              <w:rPr>
                <w:color w:val="222222"/>
                <w:sz w:val="17"/>
              </w:rPr>
              <w:t>12.0%</w:t>
            </w:r>
          </w:p>
        </w:tc>
        <w:tc>
          <w:tcPr>
            <w:tcW w:type="dxa" w:w="1512"/>
          </w:tcPr>
          <w:p>
            <w:pPr>
              <w:jc w:val="right"/>
            </w:pPr>
            <w:r>
              <w:rPr>
                <w:color w:val="222222"/>
                <w:sz w:val="17"/>
              </w:rPr>
              <w:t>949</w:t>
            </w:r>
          </w:p>
        </w:tc>
        <w:tc>
          <w:tcPr>
            <w:tcW w:type="dxa" w:w="1512"/>
          </w:tcPr>
          <w:p>
            <w:pPr>
              <w:jc w:val="right"/>
            </w:pPr>
            <w:r>
              <w:rPr>
                <w:color w:val="222222"/>
                <w:sz w:val="17"/>
              </w:rPr>
              <w:t>976</w:t>
            </w:r>
          </w:p>
        </w:tc>
        <w:tc>
          <w:tcPr>
            <w:tcW w:type="dxa" w:w="1512"/>
          </w:tcPr>
          <w:p>
            <w:pPr>
              <w:jc w:val="right"/>
            </w:pPr>
            <w:r>
              <w:rPr>
                <w:color w:val="222222"/>
                <w:sz w:val="17"/>
              </w:rPr>
              <w:t>1,006</w:t>
            </w:r>
          </w:p>
        </w:tc>
        <w:tc>
          <w:tcPr>
            <w:tcW w:type="dxa" w:w="1512"/>
          </w:tcPr>
          <w:p>
            <w:pPr>
              <w:jc w:val="right"/>
            </w:pPr>
            <w:r>
              <w:rPr>
                <w:color w:val="222222"/>
                <w:sz w:val="17"/>
              </w:rPr>
              <w:t>1,040</w:t>
            </w:r>
          </w:p>
        </w:tc>
        <w:tc>
          <w:tcPr>
            <w:tcW w:type="dxa" w:w="1512"/>
          </w:tcPr>
          <w:p>
            <w:pPr>
              <w:jc w:val="right"/>
            </w:pPr>
            <w:r>
              <w:rPr>
                <w:color w:val="222222"/>
                <w:sz w:val="17"/>
              </w:rPr>
              <w:t>1,078</w:t>
            </w:r>
          </w:p>
        </w:tc>
      </w:tr>
      <w:tr>
        <w:tc>
          <w:tcPr>
            <w:tcW w:type="dxa" w:w="1584"/>
          </w:tcPr>
          <w:p>
            <w:r>
              <w:rPr>
                <w:color w:val="222222"/>
                <w:sz w:val="17"/>
              </w:rPr>
              <w:t>13.0%</w:t>
            </w:r>
          </w:p>
        </w:tc>
        <w:tc>
          <w:tcPr>
            <w:tcW w:type="dxa" w:w="1512"/>
          </w:tcPr>
          <w:p>
            <w:pPr>
              <w:jc w:val="right"/>
            </w:pPr>
            <w:r>
              <w:rPr>
                <w:color w:val="222222"/>
                <w:sz w:val="17"/>
              </w:rPr>
              <w:t>884</w:t>
            </w:r>
          </w:p>
        </w:tc>
        <w:tc>
          <w:tcPr>
            <w:tcW w:type="dxa" w:w="1512"/>
          </w:tcPr>
          <w:p>
            <w:pPr>
              <w:jc w:val="right"/>
            </w:pPr>
            <w:r>
              <w:rPr>
                <w:color w:val="222222"/>
                <w:sz w:val="17"/>
              </w:rPr>
              <w:t>905</w:t>
            </w:r>
          </w:p>
        </w:tc>
        <w:tc>
          <w:tcPr>
            <w:tcW w:type="dxa" w:w="1512"/>
          </w:tcPr>
          <w:p>
            <w:pPr>
              <w:jc w:val="right"/>
            </w:pPr>
            <w:r>
              <w:rPr>
                <w:color w:val="222222"/>
                <w:sz w:val="17"/>
              </w:rPr>
              <w:t>928</w:t>
            </w:r>
          </w:p>
        </w:tc>
        <w:tc>
          <w:tcPr>
            <w:tcW w:type="dxa" w:w="1512"/>
          </w:tcPr>
          <w:p>
            <w:pPr>
              <w:jc w:val="right"/>
            </w:pPr>
            <w:r>
              <w:rPr>
                <w:color w:val="222222"/>
                <w:sz w:val="17"/>
              </w:rPr>
              <w:t>954</w:t>
            </w:r>
          </w:p>
        </w:tc>
        <w:tc>
          <w:tcPr>
            <w:tcW w:type="dxa" w:w="1512"/>
          </w:tcPr>
          <w:p>
            <w:pPr>
              <w:jc w:val="right"/>
            </w:pPr>
            <w:r>
              <w:rPr>
                <w:color w:val="222222"/>
                <w:sz w:val="17"/>
              </w:rPr>
              <w:t>983</w:t>
            </w:r>
          </w:p>
        </w:tc>
      </w:tr>
      <w:tr>
        <w:tc>
          <w:tcPr>
            <w:tcW w:type="dxa" w:w="1584"/>
          </w:tcPr>
          <w:p>
            <w:r>
              <w:rPr>
                <w:color w:val="222222"/>
                <w:sz w:val="17"/>
              </w:rPr>
              <w:t>14.0%</w:t>
            </w:r>
          </w:p>
        </w:tc>
        <w:tc>
          <w:tcPr>
            <w:tcW w:type="dxa" w:w="1512"/>
          </w:tcPr>
          <w:p>
            <w:pPr>
              <w:jc w:val="right"/>
            </w:pPr>
            <w:r>
              <w:rPr>
                <w:color w:val="222222"/>
                <w:sz w:val="17"/>
              </w:rPr>
              <w:t>830</w:t>
            </w:r>
          </w:p>
        </w:tc>
        <w:tc>
          <w:tcPr>
            <w:tcW w:type="dxa" w:w="1512"/>
          </w:tcPr>
          <w:p>
            <w:pPr>
              <w:jc w:val="right"/>
            </w:pPr>
            <w:r>
              <w:rPr>
                <w:color w:val="222222"/>
                <w:sz w:val="17"/>
              </w:rPr>
              <w:t>847</w:t>
            </w:r>
          </w:p>
        </w:tc>
        <w:tc>
          <w:tcPr>
            <w:tcW w:type="dxa" w:w="1512"/>
          </w:tcPr>
          <w:p>
            <w:pPr>
              <w:jc w:val="right"/>
            </w:pPr>
            <w:r>
              <w:rPr>
                <w:color w:val="222222"/>
                <w:sz w:val="17"/>
              </w:rPr>
              <w:t>866</w:t>
            </w:r>
          </w:p>
        </w:tc>
        <w:tc>
          <w:tcPr>
            <w:tcW w:type="dxa" w:w="1512"/>
          </w:tcPr>
          <w:p>
            <w:pPr>
              <w:jc w:val="right"/>
            </w:pPr>
            <w:r>
              <w:rPr>
                <w:color w:val="222222"/>
                <w:sz w:val="17"/>
              </w:rPr>
              <w:t>886</w:t>
            </w:r>
          </w:p>
        </w:tc>
        <w:tc>
          <w:tcPr>
            <w:tcW w:type="dxa" w:w="1512"/>
          </w:tcPr>
          <w:p>
            <w:pPr>
              <w:jc w:val="right"/>
            </w:pPr>
            <w:r>
              <w:rPr>
                <w:color w:val="222222"/>
                <w:sz w:val="17"/>
              </w:rPr>
              <w:t>908</w:t>
            </w:r>
          </w:p>
        </w:tc>
      </w:tr>
    </w:tbl>
    <w:p>
      <w:pPr>
        <w:spacing w:after="40"/>
      </w:pPr>
    </w:p>
    <w:p>
      <w:pPr>
        <w:spacing w:after="120"/>
      </w:pPr>
      <w:r>
        <w:rPr>
          <w:b w:val="0"/>
          <w:i w:val="0"/>
          <w:color w:val="222222"/>
          <w:sz w:val="21"/>
        </w:rPr>
        <w:t>Reading the grid. Across a plausible band — WACC 10.5–14% and terminal growth 2.5–4.5% — the DCF spans roughly EGP 830 to EGP 1,280. The base case (12.0% / 3.5%) sits comfortably above spot; the lens only approaches fair value at a high discount rate and low growth together.</w:t>
      </w:r>
    </w:p>
    <w:p>
      <w:pPr>
        <w:keepNext/>
        <w:spacing w:before="280" w:after="80"/>
      </w:pPr>
      <w:r>
        <w:rPr>
          <w:b/>
          <w:color w:val="1B5E5E"/>
          <w:sz w:val="32"/>
        </w:rPr>
        <w:t>2  Technical and price structure</w:t>
      </w:r>
    </w:p>
    <w:p>
      <w:pPr>
        <w:spacing w:after="120"/>
      </w:pPr>
      <w:r>
        <w:rPr>
          <w:b w:val="0"/>
          <w:i w:val="0"/>
          <w:color w:val="222222"/>
          <w:sz w:val="21"/>
        </w:rPr>
        <w:t>Technicals describe the price, not the value. They matter here for one reason: Orascom has run roughly eight-fold from its 2021 lows and now sits in the upper quartile of its 52-week range, so the question is whether the trend is intact or exhausted. The honest read is the former, pausing. The moving-average stack is bullish — the 20-day (EGP 749), 50-day (EGP 686) and 200-day (EGP 514) are in rising order — but spot at EGP 720 has slipped just below the 20-day, a normal consolidation within an uptrend. Momentum is cooling: the MACD histogram is negative (MACD 12.1 below signal 24.9) and RSI is a neutral 50, neither overbought nor oversold.</w:t>
      </w:r>
    </w:p>
    <w:p>
      <w:pPr>
        <w:jc w:val="center"/>
      </w:pPr>
      <w:r>
        <w:drawing>
          <wp:inline xmlns:a="http://schemas.openxmlformats.org/drawingml/2006/main" xmlns:pic="http://schemas.openxmlformats.org/drawingml/2006/picture">
            <wp:extent cx="5669280" cy="3043909"/>
            <wp:docPr id="2" name="Picture 2"/>
            <wp:cNvGraphicFramePr>
              <a:graphicFrameLocks noChangeAspect="1"/>
            </wp:cNvGraphicFramePr>
            <a:graphic>
              <a:graphicData uri="http://schemas.openxmlformats.org/drawingml/2006/picture">
                <pic:pic>
                  <pic:nvPicPr>
                    <pic:cNvPr id="0" name="fig2_ma_stack.png"/>
                    <pic:cNvPicPr/>
                  </pic:nvPicPr>
                  <pic:blipFill>
                    <a:blip r:embed="rId10"/>
                    <a:stretch>
                      <a:fillRect/>
                    </a:stretch>
                  </pic:blipFill>
                  <pic:spPr>
                    <a:xfrm>
                      <a:off x="0" y="0"/>
                      <a:ext cx="5669280" cy="3043909"/>
                    </a:xfrm>
                    <a:prstGeom prst="rect"/>
                  </pic:spPr>
                </pic:pic>
              </a:graphicData>
            </a:graphic>
          </wp:inline>
        </w:drawing>
      </w:r>
    </w:p>
    <w:p>
      <w:pPr>
        <w:jc w:val="center"/>
      </w:pPr>
      <w:r>
        <w:rPr>
          <w:i/>
          <w:color w:val="666666"/>
          <w:sz w:val="17"/>
        </w:rPr>
        <w:t>Figure 2 · Price with moving-average stack — a rising 20/50/200 structure; spot consolidating just below the 20-day after a strong advance.</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fill="1B5E5E"/>
          </w:tcPr>
          <w:p>
            <w:r>
              <w:rPr>
                <w:b/>
                <w:color w:val="FFFFFF"/>
                <w:sz w:val="17"/>
              </w:rPr>
              <w:t>Indicator</w:t>
            </w:r>
          </w:p>
        </w:tc>
        <w:tc>
          <w:tcPr>
            <w:tcW w:type="dxa" w:w="2880"/>
            <w:shd w:val="clear" w:fill="1B5E5E"/>
          </w:tcPr>
          <w:p>
            <w:pPr>
              <w:jc w:val="right"/>
            </w:pPr>
            <w:r>
              <w:rPr>
                <w:b/>
                <w:color w:val="FFFFFF"/>
                <w:sz w:val="17"/>
              </w:rPr>
              <w:t>Reading</w:t>
            </w:r>
          </w:p>
        </w:tc>
        <w:tc>
          <w:tcPr>
            <w:tcW w:type="dxa" w:w="3744"/>
            <w:shd w:val="clear" w:fill="1B5E5E"/>
          </w:tcPr>
          <w:p>
            <w:pPr>
              <w:jc w:val="right"/>
            </w:pPr>
            <w:r>
              <w:rPr>
                <w:b/>
                <w:color w:val="FFFFFF"/>
                <w:sz w:val="17"/>
              </w:rPr>
              <w:t>Interpretation</w:t>
            </w:r>
          </w:p>
        </w:tc>
      </w:tr>
      <w:tr>
        <w:tc>
          <w:tcPr>
            <w:tcW w:type="dxa" w:w="2880"/>
          </w:tcPr>
          <w:p>
            <w:r>
              <w:rPr>
                <w:color w:val="222222"/>
                <w:sz w:val="17"/>
              </w:rPr>
              <w:t>Spot vs 52-week range</w:t>
            </w:r>
          </w:p>
        </w:tc>
        <w:tc>
          <w:tcPr>
            <w:tcW w:type="dxa" w:w="2880"/>
          </w:tcPr>
          <w:p>
            <w:pPr>
              <w:jc w:val="right"/>
            </w:pPr>
            <w:r>
              <w:rPr>
                <w:color w:val="222222"/>
                <w:sz w:val="17"/>
              </w:rPr>
              <w:t>720 / 282–800</w:t>
            </w:r>
          </w:p>
        </w:tc>
        <w:tc>
          <w:tcPr>
            <w:tcW w:type="dxa" w:w="3744"/>
          </w:tcPr>
          <w:p>
            <w:pPr>
              <w:jc w:val="right"/>
            </w:pPr>
            <w:r>
              <w:rPr>
                <w:color w:val="222222"/>
                <w:sz w:val="17"/>
              </w:rPr>
              <w:t>upper quartile, near highs</w:t>
            </w:r>
          </w:p>
        </w:tc>
      </w:tr>
      <w:tr>
        <w:tc>
          <w:tcPr>
            <w:tcW w:type="dxa" w:w="2880"/>
          </w:tcPr>
          <w:p>
            <w:r>
              <w:rPr>
                <w:color w:val="222222"/>
                <w:sz w:val="17"/>
              </w:rPr>
              <w:t>20 / 50 / 200-day</w:t>
            </w:r>
          </w:p>
        </w:tc>
        <w:tc>
          <w:tcPr>
            <w:tcW w:type="dxa" w:w="2880"/>
          </w:tcPr>
          <w:p>
            <w:pPr>
              <w:jc w:val="right"/>
            </w:pPr>
            <w:r>
              <w:rPr>
                <w:color w:val="222222"/>
                <w:sz w:val="17"/>
              </w:rPr>
              <w:t>749 / 686 / 514</w:t>
            </w:r>
          </w:p>
        </w:tc>
        <w:tc>
          <w:tcPr>
            <w:tcW w:type="dxa" w:w="3744"/>
          </w:tcPr>
          <w:p>
            <w:pPr>
              <w:jc w:val="right"/>
            </w:pPr>
            <w:r>
              <w:rPr>
                <w:color w:val="222222"/>
                <w:sz w:val="17"/>
              </w:rPr>
              <w:t>bullish stack; spot just below 20-day</w:t>
            </w:r>
          </w:p>
        </w:tc>
      </w:tr>
      <w:tr>
        <w:tc>
          <w:tcPr>
            <w:tcW w:type="dxa" w:w="2880"/>
          </w:tcPr>
          <w:p>
            <w:r>
              <w:rPr>
                <w:color w:val="222222"/>
                <w:sz w:val="17"/>
              </w:rPr>
              <w:t>RSI (14)</w:t>
            </w:r>
          </w:p>
        </w:tc>
        <w:tc>
          <w:tcPr>
            <w:tcW w:type="dxa" w:w="2880"/>
          </w:tcPr>
          <w:p>
            <w:pPr>
              <w:jc w:val="right"/>
            </w:pPr>
            <w:r>
              <w:rPr>
                <w:color w:val="222222"/>
                <w:sz w:val="17"/>
              </w:rPr>
              <w:t>50</w:t>
            </w:r>
          </w:p>
        </w:tc>
        <w:tc>
          <w:tcPr>
            <w:tcW w:type="dxa" w:w="3744"/>
          </w:tcPr>
          <w:p>
            <w:pPr>
              <w:jc w:val="right"/>
            </w:pPr>
            <w:r>
              <w:rPr>
                <w:color w:val="222222"/>
                <w:sz w:val="17"/>
              </w:rPr>
              <w:t>neutral</w:t>
            </w:r>
          </w:p>
        </w:tc>
      </w:tr>
      <w:tr>
        <w:tc>
          <w:tcPr>
            <w:tcW w:type="dxa" w:w="2880"/>
          </w:tcPr>
          <w:p>
            <w:r>
              <w:rPr>
                <w:color w:val="222222"/>
                <w:sz w:val="17"/>
              </w:rPr>
              <w:t>MACD (12,26,9)</w:t>
            </w:r>
          </w:p>
        </w:tc>
        <w:tc>
          <w:tcPr>
            <w:tcW w:type="dxa" w:w="2880"/>
          </w:tcPr>
          <w:p>
            <w:pPr>
              <w:jc w:val="right"/>
            </w:pPr>
            <w:r>
              <w:rPr>
                <w:color w:val="222222"/>
                <w:sz w:val="17"/>
              </w:rPr>
              <w:t>12.1 / 24.9 / -12.8</w:t>
            </w:r>
          </w:p>
        </w:tc>
        <w:tc>
          <w:tcPr>
            <w:tcW w:type="dxa" w:w="3744"/>
          </w:tcPr>
          <w:p>
            <w:pPr>
              <w:jc w:val="right"/>
            </w:pPr>
            <w:r>
              <w:rPr>
                <w:color w:val="222222"/>
                <w:sz w:val="17"/>
              </w:rPr>
              <w:t>histogram negative; momentum cooling</w:t>
            </w:r>
          </w:p>
        </w:tc>
      </w:tr>
      <w:tr>
        <w:tc>
          <w:tcPr>
            <w:tcW w:type="dxa" w:w="2880"/>
          </w:tcPr>
          <w:p>
            <w:r>
              <w:rPr>
                <w:color w:val="222222"/>
                <w:sz w:val="17"/>
              </w:rPr>
              <w:t>Trend</w:t>
            </w:r>
          </w:p>
        </w:tc>
        <w:tc>
          <w:tcPr>
            <w:tcW w:type="dxa" w:w="2880"/>
          </w:tcPr>
          <w:p>
            <w:pPr>
              <w:jc w:val="right"/>
            </w:pPr>
            <w:r>
              <w:rPr>
                <w:color w:val="222222"/>
                <w:sz w:val="17"/>
              </w:rPr>
              <w:t>above rising 200-day</w:t>
            </w:r>
          </w:p>
        </w:tc>
        <w:tc>
          <w:tcPr>
            <w:tcW w:type="dxa" w:w="3744"/>
          </w:tcPr>
          <w:p>
            <w:pPr>
              <w:jc w:val="right"/>
            </w:pPr>
            <w:r>
              <w:rPr>
                <w:color w:val="222222"/>
                <w:sz w:val="17"/>
              </w:rPr>
              <w:t>primary uptrend intact</w:t>
            </w:r>
          </w:p>
        </w:tc>
      </w:tr>
    </w:tbl>
    <w:p>
      <w:pPr>
        <w:spacing w:after="40"/>
      </w:pPr>
    </w:p>
    <w:p>
      <w:pPr>
        <w:spacing w:after="120"/>
      </w:pPr>
      <w:r>
        <w:rPr>
          <w:b w:val="0"/>
          <w:i w:val="0"/>
          <w:color w:val="222222"/>
          <w:sz w:val="21"/>
        </w:rPr>
        <w:t>The honest technical read. The primary trend is up and the structure is constructive, unlike a stock breaking down. But the near-term tape is in a pause — below the 20-day, momentum fading — so a probabilistic price map, not a trend extrapolation, is the right tool for the next quarter.</w:t>
      </w:r>
    </w:p>
    <w:p>
      <w:pPr>
        <w:keepNext/>
        <w:spacing w:before="280" w:after="80"/>
      </w:pPr>
      <w:r>
        <w:rPr>
          <w:b/>
          <w:color w:val="1B5E5E"/>
          <w:sz w:val="32"/>
        </w:rPr>
        <w:t>3  Monte Carlo — a probabilistic price map</w:t>
      </w:r>
    </w:p>
    <w:p>
      <w:pPr>
        <w:spacing w:after="120"/>
      </w:pPr>
      <w:r>
        <w:rPr>
          <w:b w:val="0"/>
          <w:i w:val="0"/>
          <w:color w:val="222222"/>
          <w:sz w:val="21"/>
        </w:rPr>
        <w:t>This models the price over the next three months, not the value. We simulate 50,000 paths (seed 42) from a 16-factor structure: seven continuous factors that compound a small daily drift, and nine discrete events that arrive with a probability and move the path when they land. The diffusion volatility is calibrated from Orascom's own five-year history with the volatility uplift validated in Appendix B (KVOL 1.40). Crucially, the drift is built only from external macro and event factors; it deliberately does not embed the fundamental value gap from §1. These paths diffuse from spot and do not assume the stock is cheap.</w:t>
      </w:r>
    </w:p>
    <w:p>
      <w:pPr>
        <w:spacing w:after="40"/>
      </w:pPr>
      <w:r>
        <w:rPr>
          <w:b/>
          <w:i w:val="0"/>
          <w:color w:val="222222"/>
          <w:sz w:val="20"/>
        </w:rPr>
        <w:t>The seven continuous factors.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val="clear" w:fill="1B5E5E"/>
          </w:tcPr>
          <w:p>
            <w:r>
              <w:rPr>
                <w:b/>
                <w:color w:val="FFFFFF"/>
                <w:sz w:val="16"/>
              </w:rPr>
              <w:t>Continuous factor</w:t>
            </w:r>
          </w:p>
        </w:tc>
        <w:tc>
          <w:tcPr>
            <w:tcW w:type="dxa" w:w="1224"/>
            <w:shd w:val="clear" w:fill="1B5E5E"/>
          </w:tcPr>
          <w:p>
            <w:pPr>
              <w:jc w:val="right"/>
            </w:pPr>
            <w:r>
              <w:rPr>
                <w:b/>
                <w:color w:val="FFFFFF"/>
                <w:sz w:val="16"/>
              </w:rPr>
              <w:t>3M drift</w:t>
            </w:r>
          </w:p>
        </w:tc>
        <w:tc>
          <w:tcPr>
            <w:tcW w:type="dxa" w:w="1008"/>
            <w:shd w:val="clear" w:fill="1B5E5E"/>
          </w:tcPr>
          <w:p>
            <w:pPr>
              <w:jc w:val="right"/>
            </w:pPr>
            <w:r>
              <w:rPr>
                <w:b/>
                <w:color w:val="FFFFFF"/>
                <w:sz w:val="16"/>
              </w:rPr>
              <w:t>3M vol</w:t>
            </w:r>
          </w:p>
        </w:tc>
        <w:tc>
          <w:tcPr>
            <w:tcW w:type="dxa" w:w="3528"/>
            <w:shd w:val="clear" w:fill="1B5E5E"/>
          </w:tcPr>
          <w:p>
            <w:pPr>
              <w:jc w:val="right"/>
            </w:pPr>
            <w:r>
              <w:rPr>
                <w:b/>
                <w:color w:val="FFFFFF"/>
                <w:sz w:val="16"/>
              </w:rPr>
              <w:t>Channel</w:t>
            </w:r>
          </w:p>
        </w:tc>
      </w:tr>
      <w:tr>
        <w:tc>
          <w:tcPr>
            <w:tcW w:type="dxa" w:w="3600"/>
          </w:tcPr>
          <w:p>
            <w:r>
              <w:rPr>
                <w:color w:val="222222"/>
                <w:sz w:val="16"/>
              </w:rPr>
              <w:t>US infrastructure / data-center capex cycle</w:t>
            </w:r>
          </w:p>
        </w:tc>
        <w:tc>
          <w:tcPr>
            <w:tcW w:type="dxa" w:w="1224"/>
          </w:tcPr>
          <w:p>
            <w:pPr>
              <w:jc w:val="right"/>
            </w:pPr>
            <w:r>
              <w:rPr>
                <w:color w:val="222222"/>
                <w:sz w:val="16"/>
              </w:rPr>
              <w:t>+0.8%</w:t>
            </w:r>
          </w:p>
        </w:tc>
        <w:tc>
          <w:tcPr>
            <w:tcW w:type="dxa" w:w="1008"/>
          </w:tcPr>
          <w:p>
            <w:pPr>
              <w:jc w:val="right"/>
            </w:pPr>
            <w:r>
              <w:rPr>
                <w:color w:val="222222"/>
                <w:sz w:val="16"/>
              </w:rPr>
              <w:t>6%</w:t>
            </w:r>
          </w:p>
        </w:tc>
        <w:tc>
          <w:tcPr>
            <w:tcW w:type="dxa" w:w="3528"/>
          </w:tcPr>
          <w:p>
            <w:pPr>
              <w:jc w:val="right"/>
            </w:pPr>
            <w:r>
              <w:rPr>
                <w:color w:val="222222"/>
                <w:sz w:val="16"/>
              </w:rPr>
              <w:t>Weitz; 32% of backlog, fastest-growing leg</w:t>
            </w:r>
          </w:p>
        </w:tc>
      </w:tr>
      <w:tr>
        <w:tc>
          <w:tcPr>
            <w:tcW w:type="dxa" w:w="3600"/>
          </w:tcPr>
          <w:p>
            <w:r>
              <w:rPr>
                <w:color w:val="222222"/>
                <w:sz w:val="16"/>
              </w:rPr>
              <w:t>Egypt/MENA FX-funded infra execution</w:t>
            </w:r>
          </w:p>
        </w:tc>
        <w:tc>
          <w:tcPr>
            <w:tcW w:type="dxa" w:w="1224"/>
          </w:tcPr>
          <w:p>
            <w:pPr>
              <w:jc w:val="right"/>
            </w:pPr>
            <w:r>
              <w:rPr>
                <w:color w:val="222222"/>
                <w:sz w:val="16"/>
              </w:rPr>
              <w:t>+0.4%</w:t>
            </w:r>
          </w:p>
        </w:tc>
        <w:tc>
          <w:tcPr>
            <w:tcW w:type="dxa" w:w="1008"/>
          </w:tcPr>
          <w:p>
            <w:pPr>
              <w:jc w:val="right"/>
            </w:pPr>
            <w:r>
              <w:rPr>
                <w:color w:val="222222"/>
                <w:sz w:val="16"/>
              </w:rPr>
              <w:t>5%</w:t>
            </w:r>
          </w:p>
        </w:tc>
        <w:tc>
          <w:tcPr>
            <w:tcW w:type="dxa" w:w="3528"/>
          </w:tcPr>
          <w:p>
            <w:pPr>
              <w:jc w:val="right"/>
            </w:pPr>
            <w:r>
              <w:rPr>
                <w:color w:val="222222"/>
                <w:sz w:val="16"/>
              </w:rPr>
              <w:t>54% of backlog; IFI-funded, USD-denominated</w:t>
            </w:r>
          </w:p>
        </w:tc>
      </w:tr>
      <w:tr>
        <w:tc>
          <w:tcPr>
            <w:tcW w:type="dxa" w:w="3600"/>
          </w:tcPr>
          <w:p>
            <w:r>
              <w:rPr>
                <w:color w:val="222222"/>
                <w:sz w:val="16"/>
              </w:rPr>
              <w:t>EGP/USD translation &amp; EGX cross-listing premium</w:t>
            </w:r>
          </w:p>
        </w:tc>
        <w:tc>
          <w:tcPr>
            <w:tcW w:type="dxa" w:w="1224"/>
          </w:tcPr>
          <w:p>
            <w:pPr>
              <w:jc w:val="right"/>
            </w:pPr>
            <w:r>
              <w:rPr>
                <w:color w:val="222222"/>
                <w:sz w:val="16"/>
              </w:rPr>
              <w:t>+0.0%</w:t>
            </w:r>
          </w:p>
        </w:tc>
        <w:tc>
          <w:tcPr>
            <w:tcW w:type="dxa" w:w="1008"/>
          </w:tcPr>
          <w:p>
            <w:pPr>
              <w:jc w:val="right"/>
            </w:pPr>
            <w:r>
              <w:rPr>
                <w:color w:val="222222"/>
                <w:sz w:val="16"/>
              </w:rPr>
              <w:t>5%</w:t>
            </w:r>
          </w:p>
        </w:tc>
        <w:tc>
          <w:tcPr>
            <w:tcW w:type="dxa" w:w="3528"/>
          </w:tcPr>
          <w:p>
            <w:pPr>
              <w:jc w:val="right"/>
            </w:pPr>
            <w:r>
              <w:rPr>
                <w:color w:val="222222"/>
                <w:sz w:val="16"/>
              </w:rPr>
              <w:t>USD reporting; EGP-line premium dynamics</w:t>
            </w:r>
          </w:p>
        </w:tc>
      </w:tr>
      <w:tr>
        <w:tc>
          <w:tcPr>
            <w:tcW w:type="dxa" w:w="3600"/>
          </w:tcPr>
          <w:p>
            <w:r>
              <w:rPr>
                <w:color w:val="222222"/>
                <w:sz w:val="16"/>
              </w:rPr>
              <w:t>EGX30 / foreign flows &amp; EGP-hedge bid</w:t>
            </w:r>
          </w:p>
        </w:tc>
        <w:tc>
          <w:tcPr>
            <w:tcW w:type="dxa" w:w="1224"/>
          </w:tcPr>
          <w:p>
            <w:pPr>
              <w:jc w:val="right"/>
            </w:pPr>
            <w:r>
              <w:rPr>
                <w:color w:val="222222"/>
                <w:sz w:val="16"/>
              </w:rPr>
              <w:t>+0.6%</w:t>
            </w:r>
          </w:p>
        </w:tc>
        <w:tc>
          <w:tcPr>
            <w:tcW w:type="dxa" w:w="1008"/>
          </w:tcPr>
          <w:p>
            <w:pPr>
              <w:jc w:val="right"/>
            </w:pPr>
            <w:r>
              <w:rPr>
                <w:color w:val="222222"/>
                <w:sz w:val="16"/>
              </w:rPr>
              <w:t>6%</w:t>
            </w:r>
          </w:p>
        </w:tc>
        <w:tc>
          <w:tcPr>
            <w:tcW w:type="dxa" w:w="3528"/>
          </w:tcPr>
          <w:p>
            <w:pPr>
              <w:jc w:val="right"/>
            </w:pPr>
            <w:r>
              <w:rPr>
                <w:color w:val="222222"/>
                <w:sz w:val="16"/>
              </w:rPr>
              <w:t>market beta + trapped-EGP bid for USD assets</w:t>
            </w:r>
          </w:p>
        </w:tc>
      </w:tr>
      <w:tr>
        <w:tc>
          <w:tcPr>
            <w:tcW w:type="dxa" w:w="3600"/>
          </w:tcPr>
          <w:p>
            <w:r>
              <w:rPr>
                <w:color w:val="222222"/>
                <w:sz w:val="16"/>
              </w:rPr>
              <w:t>Input cost (steel/cement/labour) &amp; margin</w:t>
            </w:r>
          </w:p>
        </w:tc>
        <w:tc>
          <w:tcPr>
            <w:tcW w:type="dxa" w:w="1224"/>
          </w:tcPr>
          <w:p>
            <w:pPr>
              <w:jc w:val="right"/>
            </w:pPr>
            <w:r>
              <w:rPr>
                <w:color w:val="222222"/>
                <w:sz w:val="16"/>
              </w:rPr>
              <w:t>-0.6%</w:t>
            </w:r>
          </w:p>
        </w:tc>
        <w:tc>
          <w:tcPr>
            <w:tcW w:type="dxa" w:w="1008"/>
          </w:tcPr>
          <w:p>
            <w:pPr>
              <w:jc w:val="right"/>
            </w:pPr>
            <w:r>
              <w:rPr>
                <w:color w:val="222222"/>
                <w:sz w:val="16"/>
              </w:rPr>
              <w:t>4%</w:t>
            </w:r>
          </w:p>
        </w:tc>
        <w:tc>
          <w:tcPr>
            <w:tcW w:type="dxa" w:w="3528"/>
          </w:tcPr>
          <w:p>
            <w:pPr>
              <w:jc w:val="right"/>
            </w:pPr>
            <w:r>
              <w:rPr>
                <w:color w:val="222222"/>
                <w:sz w:val="16"/>
              </w:rPr>
              <w:t>contractor gross-margin channel</w:t>
            </w:r>
          </w:p>
        </w:tc>
      </w:tr>
      <w:tr>
        <w:tc>
          <w:tcPr>
            <w:tcW w:type="dxa" w:w="3600"/>
          </w:tcPr>
          <w:p>
            <w:r>
              <w:rPr>
                <w:color w:val="222222"/>
                <w:sz w:val="16"/>
              </w:rPr>
              <w:t>Gulf infra-capex &amp; oil-linked liquidity</w:t>
            </w:r>
          </w:p>
        </w:tc>
        <w:tc>
          <w:tcPr>
            <w:tcW w:type="dxa" w:w="1224"/>
          </w:tcPr>
          <w:p>
            <w:pPr>
              <w:jc w:val="right"/>
            </w:pPr>
            <w:r>
              <w:rPr>
                <w:color w:val="222222"/>
                <w:sz w:val="16"/>
              </w:rPr>
              <w:t>+0.4%</w:t>
            </w:r>
          </w:p>
        </w:tc>
        <w:tc>
          <w:tcPr>
            <w:tcW w:type="dxa" w:w="1008"/>
          </w:tcPr>
          <w:p>
            <w:pPr>
              <w:jc w:val="right"/>
            </w:pPr>
            <w:r>
              <w:rPr>
                <w:color w:val="222222"/>
                <w:sz w:val="16"/>
              </w:rPr>
              <w:t>5%</w:t>
            </w:r>
          </w:p>
        </w:tc>
        <w:tc>
          <w:tcPr>
            <w:tcW w:type="dxa" w:w="3528"/>
          </w:tcPr>
          <w:p>
            <w:pPr>
              <w:jc w:val="right"/>
            </w:pPr>
            <w:r>
              <w:rPr>
                <w:color w:val="222222"/>
                <w:sz w:val="16"/>
              </w:rPr>
              <w:t>KSA/UAE pipeline (Qurayyah, Project Wave)</w:t>
            </w:r>
          </w:p>
        </w:tc>
      </w:tr>
      <w:tr>
        <w:tc>
          <w:tcPr>
            <w:tcW w:type="dxa" w:w="3600"/>
          </w:tcPr>
          <w:p>
            <w:r>
              <w:rPr>
                <w:color w:val="222222"/>
                <w:sz w:val="16"/>
              </w:rPr>
              <w:t>Interest-rate / working-capital funding cost</w:t>
            </w:r>
          </w:p>
        </w:tc>
        <w:tc>
          <w:tcPr>
            <w:tcW w:type="dxa" w:w="1224"/>
          </w:tcPr>
          <w:p>
            <w:pPr>
              <w:jc w:val="right"/>
            </w:pPr>
            <w:r>
              <w:rPr>
                <w:color w:val="222222"/>
                <w:sz w:val="16"/>
              </w:rPr>
              <w:t>-0.4%</w:t>
            </w:r>
          </w:p>
        </w:tc>
        <w:tc>
          <w:tcPr>
            <w:tcW w:type="dxa" w:w="1008"/>
          </w:tcPr>
          <w:p>
            <w:pPr>
              <w:jc w:val="right"/>
            </w:pPr>
            <w:r>
              <w:rPr>
                <w:color w:val="222222"/>
                <w:sz w:val="16"/>
              </w:rPr>
              <w:t>4%</w:t>
            </w:r>
          </w:p>
        </w:tc>
        <w:tc>
          <w:tcPr>
            <w:tcW w:type="dxa" w:w="3528"/>
          </w:tcPr>
          <w:p>
            <w:pPr>
              <w:jc w:val="right"/>
            </w:pPr>
            <w:r>
              <w:rPr>
                <w:color w:val="222222"/>
                <w:sz w:val="16"/>
              </w:rPr>
              <w:t>CBE/USD rates; long-cycle WC funding</w:t>
            </w:r>
          </w:p>
        </w:tc>
      </w:tr>
    </w:tbl>
    <w:p>
      <w:pPr>
        <w:spacing w:after="40"/>
      </w:pPr>
    </w:p>
    <w:p>
      <w:pPr>
        <w:spacing w:after="40"/>
      </w:pPr>
      <w:r>
        <w:rPr>
          <w:b/>
          <w:i w:val="0"/>
          <w:color w:val="222222"/>
          <w:sz w:val="20"/>
        </w:rPr>
        <w:t>The nine discrete events.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896"/>
            <w:shd w:val="clear" w:fill="1B5E5E"/>
          </w:tcPr>
          <w:p>
            <w:r>
              <w:rPr>
                <w:b/>
                <w:color w:val="FFFFFF"/>
                <w:sz w:val="16"/>
              </w:rPr>
              <w:t>Discrete event</w:t>
            </w:r>
          </w:p>
        </w:tc>
        <w:tc>
          <w:tcPr>
            <w:tcW w:type="dxa" w:w="1296"/>
            <w:shd w:val="clear" w:fill="1B5E5E"/>
          </w:tcPr>
          <w:p>
            <w:pPr>
              <w:jc w:val="right"/>
            </w:pPr>
            <w:r>
              <w:rPr>
                <w:b/>
                <w:color w:val="FFFFFF"/>
                <w:sz w:val="16"/>
              </w:rPr>
              <w:t>Prob</w:t>
            </w:r>
          </w:p>
        </w:tc>
        <w:tc>
          <w:tcPr>
            <w:tcW w:type="dxa" w:w="1440"/>
            <w:shd w:val="clear" w:fill="1B5E5E"/>
          </w:tcPr>
          <w:p>
            <w:pPr>
              <w:jc w:val="right"/>
            </w:pPr>
            <w:r>
              <w:rPr>
                <w:b/>
                <w:color w:val="FFFFFF"/>
                <w:sz w:val="16"/>
              </w:rPr>
              <w:t>Impact μ</w:t>
            </w:r>
          </w:p>
        </w:tc>
        <w:tc>
          <w:tcPr>
            <w:tcW w:type="dxa" w:w="1440"/>
            <w:shd w:val="clear" w:fill="1B5E5E"/>
          </w:tcPr>
          <w:p>
            <w:pPr>
              <w:jc w:val="right"/>
            </w:pPr>
            <w:r>
              <w:rPr>
                <w:b/>
                <w:color w:val="FFFFFF"/>
                <w:sz w:val="16"/>
              </w:rPr>
              <w:t>Impact σ</w:t>
            </w:r>
          </w:p>
        </w:tc>
      </w:tr>
      <w:tr>
        <w:tc>
          <w:tcPr>
            <w:tcW w:type="dxa" w:w="4896"/>
          </w:tcPr>
          <w:p>
            <w:r>
              <w:rPr>
                <w:color w:val="222222"/>
                <w:sz w:val="16"/>
              </w:rPr>
              <w:t>OCI Global combination outcome</w:t>
            </w:r>
          </w:p>
        </w:tc>
        <w:tc>
          <w:tcPr>
            <w:tcW w:type="dxa" w:w="1296"/>
          </w:tcPr>
          <w:p>
            <w:pPr>
              <w:jc w:val="right"/>
            </w:pPr>
            <w:r>
              <w:rPr>
                <w:color w:val="222222"/>
                <w:sz w:val="16"/>
              </w:rPr>
              <w:t>45%</w:t>
            </w:r>
          </w:p>
        </w:tc>
        <w:tc>
          <w:tcPr>
            <w:tcW w:type="dxa" w:w="1440"/>
          </w:tcPr>
          <w:p>
            <w:pPr>
              <w:jc w:val="right"/>
            </w:pPr>
            <w:r>
              <w:rPr>
                <w:color w:val="222222"/>
                <w:sz w:val="16"/>
              </w:rPr>
              <w:t>+1.0%</w:t>
            </w:r>
          </w:p>
        </w:tc>
        <w:tc>
          <w:tcPr>
            <w:tcW w:type="dxa" w:w="1440"/>
          </w:tcPr>
          <w:p>
            <w:pPr>
              <w:jc w:val="right"/>
            </w:pPr>
            <w:r>
              <w:rPr>
                <w:color w:val="222222"/>
                <w:sz w:val="16"/>
              </w:rPr>
              <w:t>8%</w:t>
            </w:r>
          </w:p>
        </w:tc>
      </w:tr>
      <w:tr>
        <w:tc>
          <w:tcPr>
            <w:tcW w:type="dxa" w:w="4896"/>
          </w:tcPr>
          <w:p>
            <w:r>
              <w:rPr>
                <w:color w:val="222222"/>
                <w:sz w:val="16"/>
              </w:rPr>
              <w:t>Major contract award (US DC / KSA power / rail)</w:t>
            </w:r>
          </w:p>
        </w:tc>
        <w:tc>
          <w:tcPr>
            <w:tcW w:type="dxa" w:w="1296"/>
          </w:tcPr>
          <w:p>
            <w:pPr>
              <w:jc w:val="right"/>
            </w:pPr>
            <w:r>
              <w:rPr>
                <w:color w:val="222222"/>
                <w:sz w:val="16"/>
              </w:rPr>
              <w:t>50%</w:t>
            </w:r>
          </w:p>
        </w:tc>
        <w:tc>
          <w:tcPr>
            <w:tcW w:type="dxa" w:w="1440"/>
          </w:tcPr>
          <w:p>
            <w:pPr>
              <w:jc w:val="right"/>
            </w:pPr>
            <w:r>
              <w:rPr>
                <w:color w:val="222222"/>
                <w:sz w:val="16"/>
              </w:rPr>
              <w:t>+2.5%</w:t>
            </w:r>
          </w:p>
        </w:tc>
        <w:tc>
          <w:tcPr>
            <w:tcW w:type="dxa" w:w="1440"/>
          </w:tcPr>
          <w:p>
            <w:pPr>
              <w:jc w:val="right"/>
            </w:pPr>
            <w:r>
              <w:rPr>
                <w:color w:val="222222"/>
                <w:sz w:val="16"/>
              </w:rPr>
              <w:t>5%</w:t>
            </w:r>
          </w:p>
        </w:tc>
      </w:tr>
      <w:tr>
        <w:tc>
          <w:tcPr>
            <w:tcW w:type="dxa" w:w="4896"/>
          </w:tcPr>
          <w:p>
            <w:r>
              <w:rPr>
                <w:color w:val="222222"/>
                <w:sz w:val="16"/>
              </w:rPr>
              <w:t>Geopolitical / regional security shock</w:t>
            </w:r>
          </w:p>
        </w:tc>
        <w:tc>
          <w:tcPr>
            <w:tcW w:type="dxa" w:w="1296"/>
          </w:tcPr>
          <w:p>
            <w:pPr>
              <w:jc w:val="right"/>
            </w:pPr>
            <w:r>
              <w:rPr>
                <w:color w:val="222222"/>
                <w:sz w:val="16"/>
              </w:rPr>
              <w:t>30%</w:t>
            </w:r>
          </w:p>
        </w:tc>
        <w:tc>
          <w:tcPr>
            <w:tcW w:type="dxa" w:w="1440"/>
          </w:tcPr>
          <w:p>
            <w:pPr>
              <w:jc w:val="right"/>
            </w:pPr>
            <w:r>
              <w:rPr>
                <w:color w:val="222222"/>
                <w:sz w:val="16"/>
              </w:rPr>
              <w:t>-9.0%</w:t>
            </w:r>
          </w:p>
        </w:tc>
        <w:tc>
          <w:tcPr>
            <w:tcW w:type="dxa" w:w="1440"/>
          </w:tcPr>
          <w:p>
            <w:pPr>
              <w:jc w:val="right"/>
            </w:pPr>
            <w:r>
              <w:rPr>
                <w:color w:val="222222"/>
                <w:sz w:val="16"/>
              </w:rPr>
              <w:t>5%</w:t>
            </w:r>
          </w:p>
        </w:tc>
      </w:tr>
      <w:tr>
        <w:tc>
          <w:tcPr>
            <w:tcW w:type="dxa" w:w="4896"/>
          </w:tcPr>
          <w:p>
            <w:r>
              <w:rPr>
                <w:color w:val="222222"/>
                <w:sz w:val="16"/>
              </w:rPr>
              <w:t>Quarterly earnings / backlog-burn surprise</w:t>
            </w:r>
          </w:p>
        </w:tc>
        <w:tc>
          <w:tcPr>
            <w:tcW w:type="dxa" w:w="1296"/>
          </w:tcPr>
          <w:p>
            <w:pPr>
              <w:jc w:val="right"/>
            </w:pPr>
            <w:r>
              <w:rPr>
                <w:color w:val="222222"/>
                <w:sz w:val="16"/>
              </w:rPr>
              <w:t>50%</w:t>
            </w:r>
          </w:p>
        </w:tc>
        <w:tc>
          <w:tcPr>
            <w:tcW w:type="dxa" w:w="1440"/>
          </w:tcPr>
          <w:p>
            <w:pPr>
              <w:jc w:val="right"/>
            </w:pPr>
            <w:r>
              <w:rPr>
                <w:color w:val="222222"/>
                <w:sz w:val="16"/>
              </w:rPr>
              <w:t>+1.0%</w:t>
            </w:r>
          </w:p>
        </w:tc>
        <w:tc>
          <w:tcPr>
            <w:tcW w:type="dxa" w:w="1440"/>
          </w:tcPr>
          <w:p>
            <w:pPr>
              <w:jc w:val="right"/>
            </w:pPr>
            <w:r>
              <w:rPr>
                <w:color w:val="222222"/>
                <w:sz w:val="16"/>
              </w:rPr>
              <w:t>6%</w:t>
            </w:r>
          </w:p>
        </w:tc>
      </w:tr>
      <w:tr>
        <w:tc>
          <w:tcPr>
            <w:tcW w:type="dxa" w:w="4896"/>
          </w:tcPr>
          <w:p>
            <w:r>
              <w:rPr>
                <w:color w:val="222222"/>
                <w:sz w:val="16"/>
              </w:rPr>
              <w:t>EGP devaluation step / FX-regime move</w:t>
            </w:r>
          </w:p>
        </w:tc>
        <w:tc>
          <w:tcPr>
            <w:tcW w:type="dxa" w:w="1296"/>
          </w:tcPr>
          <w:p>
            <w:pPr>
              <w:jc w:val="right"/>
            </w:pPr>
            <w:r>
              <w:rPr>
                <w:color w:val="222222"/>
                <w:sz w:val="16"/>
              </w:rPr>
              <w:t>30%</w:t>
            </w:r>
          </w:p>
        </w:tc>
        <w:tc>
          <w:tcPr>
            <w:tcW w:type="dxa" w:w="1440"/>
          </w:tcPr>
          <w:p>
            <w:pPr>
              <w:jc w:val="right"/>
            </w:pPr>
            <w:r>
              <w:rPr>
                <w:color w:val="222222"/>
                <w:sz w:val="16"/>
              </w:rPr>
              <w:t>+2.0%</w:t>
            </w:r>
          </w:p>
        </w:tc>
        <w:tc>
          <w:tcPr>
            <w:tcW w:type="dxa" w:w="1440"/>
          </w:tcPr>
          <w:p>
            <w:pPr>
              <w:jc w:val="right"/>
            </w:pPr>
            <w:r>
              <w:rPr>
                <w:color w:val="222222"/>
                <w:sz w:val="16"/>
              </w:rPr>
              <w:t>6%</w:t>
            </w:r>
          </w:p>
        </w:tc>
      </w:tr>
      <w:tr>
        <w:tc>
          <w:tcPr>
            <w:tcW w:type="dxa" w:w="4896"/>
          </w:tcPr>
          <w:p>
            <w:r>
              <w:rPr>
                <w:color w:val="222222"/>
                <w:sz w:val="16"/>
              </w:rPr>
              <w:t>Public-sector receivables / cash-conversion</w:t>
            </w:r>
          </w:p>
        </w:tc>
        <w:tc>
          <w:tcPr>
            <w:tcW w:type="dxa" w:w="1296"/>
          </w:tcPr>
          <w:p>
            <w:pPr>
              <w:jc w:val="right"/>
            </w:pPr>
            <w:r>
              <w:rPr>
                <w:color w:val="222222"/>
                <w:sz w:val="16"/>
              </w:rPr>
              <w:t>30%</w:t>
            </w:r>
          </w:p>
        </w:tc>
        <w:tc>
          <w:tcPr>
            <w:tcW w:type="dxa" w:w="1440"/>
          </w:tcPr>
          <w:p>
            <w:pPr>
              <w:jc w:val="right"/>
            </w:pPr>
            <w:r>
              <w:rPr>
                <w:color w:val="222222"/>
                <w:sz w:val="16"/>
              </w:rPr>
              <w:t>-5.0%</w:t>
            </w:r>
          </w:p>
        </w:tc>
        <w:tc>
          <w:tcPr>
            <w:tcW w:type="dxa" w:w="1440"/>
          </w:tcPr>
          <w:p>
            <w:pPr>
              <w:jc w:val="right"/>
            </w:pPr>
            <w:r>
              <w:rPr>
                <w:color w:val="222222"/>
                <w:sz w:val="16"/>
              </w:rPr>
              <w:t>4%</w:t>
            </w:r>
          </w:p>
        </w:tc>
      </w:tr>
      <w:tr>
        <w:tc>
          <w:tcPr>
            <w:tcW w:type="dxa" w:w="4896"/>
          </w:tcPr>
          <w:p>
            <w:r>
              <w:rPr>
                <w:color w:val="222222"/>
                <w:sz w:val="16"/>
              </w:rPr>
              <w:t>Concessions BOO milestone / monetization</w:t>
            </w:r>
          </w:p>
        </w:tc>
        <w:tc>
          <w:tcPr>
            <w:tcW w:type="dxa" w:w="1296"/>
          </w:tcPr>
          <w:p>
            <w:pPr>
              <w:jc w:val="right"/>
            </w:pPr>
            <w:r>
              <w:rPr>
                <w:color w:val="222222"/>
                <w:sz w:val="16"/>
              </w:rPr>
              <w:t>35%</w:t>
            </w:r>
          </w:p>
        </w:tc>
        <w:tc>
          <w:tcPr>
            <w:tcW w:type="dxa" w:w="1440"/>
          </w:tcPr>
          <w:p>
            <w:pPr>
              <w:jc w:val="right"/>
            </w:pPr>
            <w:r>
              <w:rPr>
                <w:color w:val="222222"/>
                <w:sz w:val="16"/>
              </w:rPr>
              <w:t>+2.5%</w:t>
            </w:r>
          </w:p>
        </w:tc>
        <w:tc>
          <w:tcPr>
            <w:tcW w:type="dxa" w:w="1440"/>
          </w:tcPr>
          <w:p>
            <w:pPr>
              <w:jc w:val="right"/>
            </w:pPr>
            <w:r>
              <w:rPr>
                <w:color w:val="222222"/>
                <w:sz w:val="16"/>
              </w:rPr>
              <w:t>4%</w:t>
            </w:r>
          </w:p>
        </w:tc>
      </w:tr>
      <w:tr>
        <w:tc>
          <w:tcPr>
            <w:tcW w:type="dxa" w:w="4896"/>
          </w:tcPr>
          <w:p>
            <w:r>
              <w:rPr>
                <w:color w:val="222222"/>
                <w:sz w:val="16"/>
              </w:rPr>
              <w:t>Claim / arbitration settlement</w:t>
            </w:r>
          </w:p>
        </w:tc>
        <w:tc>
          <w:tcPr>
            <w:tcW w:type="dxa" w:w="1296"/>
          </w:tcPr>
          <w:p>
            <w:pPr>
              <w:jc w:val="right"/>
            </w:pPr>
            <w:r>
              <w:rPr>
                <w:color w:val="222222"/>
                <w:sz w:val="16"/>
              </w:rPr>
              <w:t>30%</w:t>
            </w:r>
          </w:p>
        </w:tc>
        <w:tc>
          <w:tcPr>
            <w:tcW w:type="dxa" w:w="1440"/>
          </w:tcPr>
          <w:p>
            <w:pPr>
              <w:jc w:val="right"/>
            </w:pPr>
            <w:r>
              <w:rPr>
                <w:color w:val="222222"/>
                <w:sz w:val="16"/>
              </w:rPr>
              <w:t>+2.0%</w:t>
            </w:r>
          </w:p>
        </w:tc>
        <w:tc>
          <w:tcPr>
            <w:tcW w:type="dxa" w:w="1440"/>
          </w:tcPr>
          <w:p>
            <w:pPr>
              <w:jc w:val="right"/>
            </w:pPr>
            <w:r>
              <w:rPr>
                <w:color w:val="222222"/>
                <w:sz w:val="16"/>
              </w:rPr>
              <w:t>5%</w:t>
            </w:r>
          </w:p>
        </w:tc>
      </w:tr>
      <w:tr>
        <w:tc>
          <w:tcPr>
            <w:tcW w:type="dxa" w:w="4896"/>
          </w:tcPr>
          <w:p>
            <w:r>
              <w:rPr>
                <w:color w:val="222222"/>
                <w:sz w:val="16"/>
              </w:rPr>
              <w:t>Dividend / capital-return surprise</w:t>
            </w:r>
          </w:p>
        </w:tc>
        <w:tc>
          <w:tcPr>
            <w:tcW w:type="dxa" w:w="1296"/>
          </w:tcPr>
          <w:p>
            <w:pPr>
              <w:jc w:val="right"/>
            </w:pPr>
            <w:r>
              <w:rPr>
                <w:color w:val="222222"/>
                <w:sz w:val="16"/>
              </w:rPr>
              <w:t>30%</w:t>
            </w:r>
          </w:p>
        </w:tc>
        <w:tc>
          <w:tcPr>
            <w:tcW w:type="dxa" w:w="1440"/>
          </w:tcPr>
          <w:p>
            <w:pPr>
              <w:jc w:val="right"/>
            </w:pPr>
            <w:r>
              <w:rPr>
                <w:color w:val="222222"/>
                <w:sz w:val="16"/>
              </w:rPr>
              <w:t>+1.5%</w:t>
            </w:r>
          </w:p>
        </w:tc>
        <w:tc>
          <w:tcPr>
            <w:tcW w:type="dxa" w:w="1440"/>
          </w:tcPr>
          <w:p>
            <w:pPr>
              <w:jc w:val="right"/>
            </w:pPr>
            <w:r>
              <w:rPr>
                <w:color w:val="222222"/>
                <w:sz w:val="16"/>
              </w:rPr>
              <w:t>4%</w:t>
            </w:r>
          </w:p>
        </w:tc>
      </w:tr>
    </w:tbl>
    <w:p>
      <w:pPr>
        <w:spacing w:after="40"/>
      </w:pPr>
    </w:p>
    <w:p>
      <w:pPr>
        <w:spacing w:after="120"/>
      </w:pPr>
      <w:r>
        <w:rPr>
          <w:b w:val="0"/>
          <w:i w:val="0"/>
          <w:color w:val="222222"/>
          <w:sz w:val="21"/>
        </w:rPr>
        <w:t>Net three-month drift is a modest +1.7% — positive, reflecting genuine backlog momentum, but balanced by geopolitical and receivables risk and far smaller than the fundamental gap. Total three-month volatility is about 24% (≈ 47% annualized), and the distribution carries a mild right skew from the positive-event tail (contract awards, concessions milestones, a constructive OCI outcome).</w:t>
      </w:r>
    </w:p>
    <w:p>
      <w:pPr>
        <w:jc w:val="center"/>
      </w:pPr>
      <w:r>
        <w:drawing>
          <wp:inline xmlns:a="http://schemas.openxmlformats.org/drawingml/2006/main" xmlns:pic="http://schemas.openxmlformats.org/drawingml/2006/picture">
            <wp:extent cx="5669280" cy="3043909"/>
            <wp:docPr id="3" name="Picture 3"/>
            <wp:cNvGraphicFramePr>
              <a:graphicFrameLocks noChangeAspect="1"/>
            </wp:cNvGraphicFramePr>
            <a:graphic>
              <a:graphicData uri="http://schemas.openxmlformats.org/drawingml/2006/picture">
                <pic:pic>
                  <pic:nvPicPr>
                    <pic:cNvPr id="0" name="fig3_fan.png"/>
                    <pic:cNvPicPr/>
                  </pic:nvPicPr>
                  <pic:blipFill>
                    <a:blip r:embed="rId11"/>
                    <a:stretch>
                      <a:fillRect/>
                    </a:stretch>
                  </pic:blipFill>
                  <pic:spPr>
                    <a:xfrm>
                      <a:off x="0" y="0"/>
                      <a:ext cx="5669280" cy="3043909"/>
                    </a:xfrm>
                    <a:prstGeom prst="rect"/>
                  </pic:spPr>
                </pic:pic>
              </a:graphicData>
            </a:graphic>
          </wp:inline>
        </w:drawing>
      </w:r>
    </w:p>
    <w:p>
      <w:pPr>
        <w:jc w:val="center"/>
      </w:pPr>
      <w:r>
        <w:rPr>
          <w:i/>
          <w:color w:val="666666"/>
          <w:sz w:val="17"/>
        </w:rPr>
        <w:t>Figure 3 · Three-month fan chart — percentile cone from spot. Median roughly flat; the fundamental fair value (EGP 928) sits in the upper tail.</w:t>
      </w:r>
    </w:p>
    <w:p>
      <w:pPr>
        <w:jc w:val="center"/>
      </w:pPr>
      <w:r>
        <w:drawing>
          <wp:inline xmlns:a="http://schemas.openxmlformats.org/drawingml/2006/main" xmlns:pic="http://schemas.openxmlformats.org/drawingml/2006/picture">
            <wp:extent cx="5212080" cy="2544029"/>
            <wp:docPr id="4" name="Picture 4"/>
            <wp:cNvGraphicFramePr>
              <a:graphicFrameLocks noChangeAspect="1"/>
            </wp:cNvGraphicFramePr>
            <a:graphic>
              <a:graphicData uri="http://schemas.openxmlformats.org/drawingml/2006/picture">
                <pic:pic>
                  <pic:nvPicPr>
                    <pic:cNvPr id="0" name="fig4_dist_t20.png"/>
                    <pic:cNvPicPr/>
                  </pic:nvPicPr>
                  <pic:blipFill>
                    <a:blip r:embed="rId12"/>
                    <a:stretch>
                      <a:fillRect/>
                    </a:stretch>
                  </pic:blipFill>
                  <pic:spPr>
                    <a:xfrm>
                      <a:off x="0" y="0"/>
                      <a:ext cx="5212080" cy="2544029"/>
                    </a:xfrm>
                    <a:prstGeom prst="rect"/>
                  </pic:spPr>
                </pic:pic>
              </a:graphicData>
            </a:graphic>
          </wp:inline>
        </w:drawing>
      </w:r>
    </w:p>
    <w:p>
      <w:pPr>
        <w:jc w:val="center"/>
      </w:pPr>
      <w:r>
        <w:rPr>
          <w:i/>
          <w:color w:val="666666"/>
          <w:sz w:val="17"/>
        </w:rPr>
        <w:t>Figure 4 · Distribution of the price at T+20 (~1 month) — roughly two-sided around spot.</w:t>
      </w:r>
    </w:p>
    <w:p>
      <w:pPr>
        <w:jc w:val="center"/>
      </w:pPr>
      <w:r>
        <w:drawing>
          <wp:inline xmlns:a="http://schemas.openxmlformats.org/drawingml/2006/main" xmlns:pic="http://schemas.openxmlformats.org/drawingml/2006/picture">
            <wp:extent cx="5212080" cy="2544029"/>
            <wp:docPr id="5" name="Picture 5"/>
            <wp:cNvGraphicFramePr>
              <a:graphicFrameLocks noChangeAspect="1"/>
            </wp:cNvGraphicFramePr>
            <a:graphic>
              <a:graphicData uri="http://schemas.openxmlformats.org/drawingml/2006/picture">
                <pic:pic>
                  <pic:nvPicPr>
                    <pic:cNvPr id="0" name="fig5_dist_t60.png"/>
                    <pic:cNvPicPr/>
                  </pic:nvPicPr>
                  <pic:blipFill>
                    <a:blip r:embed="rId13"/>
                    <a:stretch>
                      <a:fillRect/>
                    </a:stretch>
                  </pic:blipFill>
                  <pic:spPr>
                    <a:xfrm>
                      <a:off x="0" y="0"/>
                      <a:ext cx="5212080" cy="2544029"/>
                    </a:xfrm>
                    <a:prstGeom prst="rect"/>
                  </pic:spPr>
                </pic:pic>
              </a:graphicData>
            </a:graphic>
          </wp:inline>
        </w:drawing>
      </w:r>
    </w:p>
    <w:p>
      <w:pPr>
        <w:jc w:val="center"/>
      </w:pPr>
      <w:r>
        <w:rPr>
          <w:i/>
          <w:color w:val="666666"/>
          <w:sz w:val="17"/>
        </w:rPr>
        <w:t>Figure 5 · Distribution of the price at T+60 (~3 months) — note the mild right skew and fat tails.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val="clear" w:fill="1B5E5E"/>
          </w:tcPr>
          <w:p>
            <w:r>
              <w:rPr>
                <w:b/>
                <w:color w:val="FFFFFF"/>
                <w:sz w:val="18"/>
              </w:rPr>
              <w:t>Horizon</w:t>
            </w:r>
          </w:p>
        </w:tc>
        <w:tc>
          <w:tcPr>
            <w:tcW w:type="dxa" w:w="1440"/>
            <w:shd w:val="clear" w:fill="1B5E5E"/>
          </w:tcPr>
          <w:p>
            <w:pPr>
              <w:jc w:val="right"/>
            </w:pPr>
            <w:r>
              <w:rPr>
                <w:b/>
                <w:color w:val="FFFFFF"/>
                <w:sz w:val="18"/>
              </w:rPr>
              <w:t>5%</w:t>
            </w:r>
          </w:p>
        </w:tc>
        <w:tc>
          <w:tcPr>
            <w:tcW w:type="dxa" w:w="1440"/>
            <w:shd w:val="clear" w:fill="1B5E5E"/>
          </w:tcPr>
          <w:p>
            <w:pPr>
              <w:jc w:val="right"/>
            </w:pPr>
            <w:r>
              <w:rPr>
                <w:b/>
                <w:color w:val="FFFFFF"/>
                <w:sz w:val="18"/>
              </w:rPr>
              <w:t>25%</w:t>
            </w:r>
          </w:p>
        </w:tc>
        <w:tc>
          <w:tcPr>
            <w:tcW w:type="dxa" w:w="1440"/>
            <w:shd w:val="clear" w:fill="1B5E5E"/>
          </w:tcPr>
          <w:p>
            <w:pPr>
              <w:jc w:val="right"/>
            </w:pPr>
            <w:r>
              <w:rPr>
                <w:b/>
                <w:color w:val="FFFFFF"/>
                <w:sz w:val="18"/>
              </w:rPr>
              <w:t>Median</w:t>
            </w:r>
          </w:p>
        </w:tc>
        <w:tc>
          <w:tcPr>
            <w:tcW w:type="dxa" w:w="1440"/>
            <w:shd w:val="clear" w:fill="1B5E5E"/>
          </w:tcPr>
          <w:p>
            <w:pPr>
              <w:jc w:val="right"/>
            </w:pPr>
            <w:r>
              <w:rPr>
                <w:b/>
                <w:color w:val="FFFFFF"/>
                <w:sz w:val="18"/>
              </w:rPr>
              <w:t>75%</w:t>
            </w:r>
          </w:p>
        </w:tc>
        <w:tc>
          <w:tcPr>
            <w:tcW w:type="dxa" w:w="1440"/>
            <w:shd w:val="clear" w:fill="1B5E5E"/>
          </w:tcPr>
          <w:p>
            <w:pPr>
              <w:jc w:val="right"/>
            </w:pPr>
            <w:r>
              <w:rPr>
                <w:b/>
                <w:color w:val="FFFFFF"/>
                <w:sz w:val="18"/>
              </w:rPr>
              <w:t>95%</w:t>
            </w:r>
          </w:p>
        </w:tc>
      </w:tr>
      <w:tr>
        <w:tc>
          <w:tcPr>
            <w:tcW w:type="dxa" w:w="2160"/>
          </w:tcPr>
          <w:p>
            <w:r>
              <w:rPr>
                <w:color w:val="222222"/>
                <w:sz w:val="18"/>
              </w:rPr>
              <w:t>T+20 (~1m)</w:t>
            </w:r>
          </w:p>
        </w:tc>
        <w:tc>
          <w:tcPr>
            <w:tcW w:type="dxa" w:w="1440"/>
          </w:tcPr>
          <w:p>
            <w:pPr>
              <w:jc w:val="right"/>
            </w:pPr>
            <w:r>
              <w:rPr>
                <w:color w:val="222222"/>
                <w:sz w:val="18"/>
              </w:rPr>
              <w:t>575</w:t>
            </w:r>
          </w:p>
        </w:tc>
        <w:tc>
          <w:tcPr>
            <w:tcW w:type="dxa" w:w="1440"/>
          </w:tcPr>
          <w:p>
            <w:pPr>
              <w:jc w:val="right"/>
            </w:pPr>
            <w:r>
              <w:rPr>
                <w:color w:val="222222"/>
                <w:sz w:val="18"/>
              </w:rPr>
              <w:t>658</w:t>
            </w:r>
          </w:p>
        </w:tc>
        <w:tc>
          <w:tcPr>
            <w:tcW w:type="dxa" w:w="1440"/>
          </w:tcPr>
          <w:p>
            <w:pPr>
              <w:jc w:val="right"/>
            </w:pPr>
            <w:r>
              <w:rPr>
                <w:color w:val="222222"/>
                <w:sz w:val="18"/>
              </w:rPr>
              <w:t>719</w:t>
            </w:r>
          </w:p>
        </w:tc>
        <w:tc>
          <w:tcPr>
            <w:tcW w:type="dxa" w:w="1440"/>
          </w:tcPr>
          <w:p>
            <w:pPr>
              <w:jc w:val="right"/>
            </w:pPr>
            <w:r>
              <w:rPr>
                <w:color w:val="222222"/>
                <w:sz w:val="18"/>
              </w:rPr>
              <w:t>785</w:t>
            </w:r>
          </w:p>
        </w:tc>
        <w:tc>
          <w:tcPr>
            <w:tcW w:type="dxa" w:w="1440"/>
          </w:tcPr>
          <w:p>
            <w:pPr>
              <w:jc w:val="right"/>
            </w:pPr>
            <w:r>
              <w:rPr>
                <w:color w:val="222222"/>
                <w:sz w:val="18"/>
              </w:rPr>
              <w:t>893</w:t>
            </w:r>
          </w:p>
        </w:tc>
      </w:tr>
      <w:tr>
        <w:tc>
          <w:tcPr>
            <w:tcW w:type="dxa" w:w="2160"/>
          </w:tcPr>
          <w:p>
            <w:r>
              <w:rPr>
                <w:color w:val="222222"/>
                <w:sz w:val="18"/>
              </w:rPr>
              <w:t>T+60 (~3m)</w:t>
            </w:r>
          </w:p>
        </w:tc>
        <w:tc>
          <w:tcPr>
            <w:tcW w:type="dxa" w:w="1440"/>
          </w:tcPr>
          <w:p>
            <w:pPr>
              <w:jc w:val="right"/>
            </w:pPr>
            <w:r>
              <w:rPr>
                <w:color w:val="222222"/>
                <w:sz w:val="18"/>
              </w:rPr>
              <w:t>488</w:t>
            </w:r>
          </w:p>
        </w:tc>
        <w:tc>
          <w:tcPr>
            <w:tcW w:type="dxa" w:w="1440"/>
          </w:tcPr>
          <w:p>
            <w:pPr>
              <w:jc w:val="right"/>
            </w:pPr>
            <w:r>
              <w:rPr>
                <w:color w:val="222222"/>
                <w:sz w:val="18"/>
              </w:rPr>
              <w:t>611</w:t>
            </w:r>
          </w:p>
        </w:tc>
        <w:tc>
          <w:tcPr>
            <w:tcW w:type="dxa" w:w="1440"/>
          </w:tcPr>
          <w:p>
            <w:pPr>
              <w:jc w:val="right"/>
            </w:pPr>
            <w:r>
              <w:rPr>
                <w:color w:val="222222"/>
                <w:sz w:val="18"/>
              </w:rPr>
              <w:t>714</w:t>
            </w:r>
          </w:p>
        </w:tc>
        <w:tc>
          <w:tcPr>
            <w:tcW w:type="dxa" w:w="1440"/>
          </w:tcPr>
          <w:p>
            <w:pPr>
              <w:jc w:val="right"/>
            </w:pPr>
            <w:r>
              <w:rPr>
                <w:color w:val="222222"/>
                <w:sz w:val="18"/>
              </w:rPr>
              <w:t>834</w:t>
            </w:r>
          </w:p>
        </w:tc>
        <w:tc>
          <w:tcPr>
            <w:tcW w:type="dxa" w:w="1440"/>
          </w:tcPr>
          <w:p>
            <w:pPr>
              <w:jc w:val="right"/>
            </w:pPr>
            <w:r>
              <w:rPr>
                <w:color w:val="222222"/>
                <w:sz w:val="18"/>
              </w:rPr>
              <w:t>1,040</w:t>
            </w:r>
          </w:p>
        </w:tc>
      </w:tr>
    </w:tbl>
    <w:p>
      <w:pPr>
        <w:spacing w:after="40"/>
      </w:pPr>
    </w:p>
    <w:p>
      <w:pPr>
        <w:spacing w:after="120"/>
      </w:pPr>
      <w:r>
        <w:rPr>
          <w:b w:val="0"/>
          <w:i w:val="0"/>
          <w:color w:val="222222"/>
          <w:sz w:val="21"/>
        </w:rPr>
        <w:t>Touch probabilities — the chance the price reaches a level at any point in the window — are usually higher than end-point probabilities, because a path only has to touch the level once.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fill="1B5E5E"/>
          </w:tcPr>
          <w:p>
            <w:r>
              <w:rPr>
                <w:b/>
                <w:color w:val="FFFFFF"/>
                <w:sz w:val="17"/>
              </w:rPr>
              <w:t>Level (EGP)</w:t>
            </w:r>
          </w:p>
        </w:tc>
        <w:tc>
          <w:tcPr>
            <w:tcW w:type="dxa" w:w="1584"/>
            <w:shd w:val="clear" w:fill="1B5E5E"/>
          </w:tcPr>
          <w:p>
            <w:pPr>
              <w:jc w:val="right"/>
            </w:pPr>
            <w:r>
              <w:rPr>
                <w:b/>
                <w:color w:val="FFFFFF"/>
                <w:sz w:val="17"/>
              </w:rPr>
              <w:t>by T+20</w:t>
            </w:r>
          </w:p>
        </w:tc>
        <w:tc>
          <w:tcPr>
            <w:tcW w:type="dxa" w:w="1584"/>
            <w:shd w:val="clear" w:fill="1B5E5E"/>
          </w:tcPr>
          <w:p>
            <w:pPr>
              <w:jc w:val="right"/>
            </w:pPr>
            <w:r>
              <w:rPr>
                <w:b/>
                <w:color w:val="FFFFFF"/>
                <w:sz w:val="17"/>
              </w:rPr>
              <w:t>by T+60</w:t>
            </w:r>
          </w:p>
        </w:tc>
        <w:tc>
          <w:tcPr>
            <w:tcW w:type="dxa" w:w="2304"/>
            <w:shd w:val="clear" w:fill="1B5E5E"/>
          </w:tcPr>
          <w:p>
            <w:pPr>
              <w:jc w:val="right"/>
            </w:pPr>
            <w:r>
              <w:rPr>
                <w:b/>
                <w:color w:val="FFFFFF"/>
                <w:sz w:val="17"/>
              </w:rPr>
              <w:t>Note</w:t>
            </w:r>
          </w:p>
        </w:tc>
      </w:tr>
      <w:tr>
        <w:tc>
          <w:tcPr>
            <w:tcW w:type="dxa" w:w="2592"/>
          </w:tcPr>
          <w:p>
            <w:r>
              <w:rPr>
                <w:color w:val="222222"/>
                <w:sz w:val="17"/>
              </w:rPr>
              <w:t>760</w:t>
            </w:r>
          </w:p>
        </w:tc>
        <w:tc>
          <w:tcPr>
            <w:tcW w:type="dxa" w:w="1584"/>
          </w:tcPr>
          <w:p>
            <w:pPr>
              <w:jc w:val="right"/>
            </w:pPr>
            <w:r>
              <w:rPr>
                <w:color w:val="222222"/>
                <w:sz w:val="17"/>
              </w:rPr>
              <w:t>58%</w:t>
            </w:r>
          </w:p>
        </w:tc>
        <w:tc>
          <w:tcPr>
            <w:tcW w:type="dxa" w:w="1584"/>
          </w:tcPr>
          <w:p>
            <w:pPr>
              <w:jc w:val="right"/>
            </w:pPr>
            <w:r>
              <w:rPr>
                <w:color w:val="222222"/>
                <w:sz w:val="17"/>
              </w:rPr>
              <w:t>75%</w:t>
            </w:r>
          </w:p>
        </w:tc>
        <w:tc>
          <w:tcPr>
            <w:tcW w:type="dxa" w:w="2304"/>
          </w:tcPr>
          <w:p>
            <w:pPr>
              <w:jc w:val="right"/>
            </w:pPr>
            <w:r>
              <w:rPr>
                <w:color w:val="222222"/>
                <w:sz w:val="17"/>
              </w:rPr>
              <w:t>toward the 20-day</w:t>
            </w:r>
          </w:p>
        </w:tc>
      </w:tr>
      <w:tr>
        <w:tc>
          <w:tcPr>
            <w:tcW w:type="dxa" w:w="2592"/>
          </w:tcPr>
          <w:p>
            <w:r>
              <w:rPr>
                <w:color w:val="222222"/>
                <w:sz w:val="17"/>
              </w:rPr>
              <w:t>800</w:t>
            </w:r>
          </w:p>
        </w:tc>
        <w:tc>
          <w:tcPr>
            <w:tcW w:type="dxa" w:w="1584"/>
          </w:tcPr>
          <w:p>
            <w:pPr>
              <w:jc w:val="right"/>
            </w:pPr>
            <w:r>
              <w:rPr>
                <w:color w:val="222222"/>
                <w:sz w:val="17"/>
              </w:rPr>
              <w:t>35%</w:t>
            </w:r>
          </w:p>
        </w:tc>
        <w:tc>
          <w:tcPr>
            <w:tcW w:type="dxa" w:w="1584"/>
          </w:tcPr>
          <w:p>
            <w:pPr>
              <w:jc w:val="right"/>
            </w:pPr>
            <w:r>
              <w:rPr>
                <w:color w:val="222222"/>
                <w:sz w:val="17"/>
              </w:rPr>
              <w:t>58%</w:t>
            </w:r>
          </w:p>
        </w:tc>
        <w:tc>
          <w:tcPr>
            <w:tcW w:type="dxa" w:w="2304"/>
          </w:tcPr>
          <w:p>
            <w:pPr>
              <w:jc w:val="right"/>
            </w:pPr>
            <w:r>
              <w:rPr>
                <w:color w:val="222222"/>
                <w:sz w:val="17"/>
              </w:rPr>
              <w:t>prior 52-week high zone</w:t>
            </w:r>
          </w:p>
        </w:tc>
      </w:tr>
      <w:tr>
        <w:tc>
          <w:tcPr>
            <w:tcW w:type="dxa" w:w="2592"/>
          </w:tcPr>
          <w:p>
            <w:r>
              <w:rPr>
                <w:color w:val="222222"/>
                <w:sz w:val="17"/>
              </w:rPr>
              <w:t>850</w:t>
            </w:r>
          </w:p>
        </w:tc>
        <w:tc>
          <w:tcPr>
            <w:tcW w:type="dxa" w:w="1584"/>
          </w:tcPr>
          <w:p>
            <w:pPr>
              <w:jc w:val="right"/>
            </w:pPr>
            <w:r>
              <w:rPr>
                <w:color w:val="222222"/>
                <w:sz w:val="17"/>
              </w:rPr>
              <w:t>16%</w:t>
            </w:r>
          </w:p>
        </w:tc>
        <w:tc>
          <w:tcPr>
            <w:tcW w:type="dxa" w:w="1584"/>
          </w:tcPr>
          <w:p>
            <w:pPr>
              <w:jc w:val="right"/>
            </w:pPr>
            <w:r>
              <w:rPr>
                <w:color w:val="222222"/>
                <w:sz w:val="17"/>
              </w:rPr>
              <w:t>41%</w:t>
            </w:r>
          </w:p>
        </w:tc>
        <w:tc>
          <w:tcPr>
            <w:tcW w:type="dxa" w:w="2304"/>
          </w:tcPr>
          <w:p>
            <w:pPr>
              <w:jc w:val="right"/>
            </w:pPr>
            <w:r>
              <w:rPr>
                <w:color w:val="222222"/>
                <w:sz w:val="17"/>
              </w:rPr>
              <w:t>upside extension</w:t>
            </w:r>
          </w:p>
        </w:tc>
      </w:tr>
      <w:tr>
        <w:tc>
          <w:tcPr>
            <w:tcW w:type="dxa" w:w="2592"/>
          </w:tcPr>
          <w:p>
            <w:r>
              <w:rPr>
                <w:color w:val="222222"/>
                <w:sz w:val="17"/>
              </w:rPr>
              <w:t>928 (fair value)</w:t>
            </w:r>
          </w:p>
        </w:tc>
        <w:tc>
          <w:tcPr>
            <w:tcW w:type="dxa" w:w="1584"/>
          </w:tcPr>
          <w:p>
            <w:pPr>
              <w:jc w:val="right"/>
            </w:pPr>
            <w:r>
              <w:rPr>
                <w:color w:val="222222"/>
                <w:sz w:val="17"/>
              </w:rPr>
              <w:t>5%</w:t>
            </w:r>
          </w:p>
        </w:tc>
        <w:tc>
          <w:tcPr>
            <w:tcW w:type="dxa" w:w="1584"/>
          </w:tcPr>
          <w:p>
            <w:pPr>
              <w:jc w:val="right"/>
            </w:pPr>
            <w:r>
              <w:rPr>
                <w:color w:val="222222"/>
                <w:sz w:val="17"/>
              </w:rPr>
              <w:t>23%</w:t>
            </w:r>
          </w:p>
        </w:tc>
        <w:tc>
          <w:tcPr>
            <w:tcW w:type="dxa" w:w="2304"/>
          </w:tcPr>
          <w:p>
            <w:pPr>
              <w:jc w:val="right"/>
            </w:pPr>
            <w:r>
              <w:rPr>
                <w:color w:val="222222"/>
                <w:sz w:val="17"/>
              </w:rPr>
              <w:t>the §1 central estimate</w:t>
            </w:r>
          </w:p>
        </w:tc>
      </w:tr>
      <w:tr>
        <w:tc>
          <w:tcPr>
            <w:tcW w:type="dxa" w:w="2592"/>
          </w:tcPr>
          <w:p>
            <w:r>
              <w:rPr>
                <w:color w:val="222222"/>
                <w:sz w:val="17"/>
              </w:rPr>
              <w:t>680</w:t>
            </w:r>
          </w:p>
        </w:tc>
        <w:tc>
          <w:tcPr>
            <w:tcW w:type="dxa" w:w="1584"/>
          </w:tcPr>
          <w:p>
            <w:pPr>
              <w:jc w:val="right"/>
            </w:pPr>
            <w:r>
              <w:rPr>
                <w:color w:val="222222"/>
                <w:sz w:val="17"/>
              </w:rPr>
              <w:t>57%</w:t>
            </w:r>
          </w:p>
        </w:tc>
        <w:tc>
          <w:tcPr>
            <w:tcW w:type="dxa" w:w="1584"/>
          </w:tcPr>
          <w:p>
            <w:pPr>
              <w:jc w:val="right"/>
            </w:pPr>
            <w:r>
              <w:rPr>
                <w:color w:val="222222"/>
                <w:sz w:val="17"/>
              </w:rPr>
              <w:t>75%</w:t>
            </w:r>
          </w:p>
        </w:tc>
        <w:tc>
          <w:tcPr>
            <w:tcW w:type="dxa" w:w="2304"/>
          </w:tcPr>
          <w:p>
            <w:pPr>
              <w:jc w:val="right"/>
            </w:pPr>
            <w:r>
              <w:rPr>
                <w:color w:val="222222"/>
                <w:sz w:val="17"/>
              </w:rPr>
              <w:t>first support</w:t>
            </w:r>
          </w:p>
        </w:tc>
      </w:tr>
      <w:tr>
        <w:tc>
          <w:tcPr>
            <w:tcW w:type="dxa" w:w="2592"/>
          </w:tcPr>
          <w:p>
            <w:r>
              <w:rPr>
                <w:color w:val="222222"/>
                <w:sz w:val="17"/>
              </w:rPr>
              <w:t>640</w:t>
            </w:r>
          </w:p>
        </w:tc>
        <w:tc>
          <w:tcPr>
            <w:tcW w:type="dxa" w:w="1584"/>
          </w:tcPr>
          <w:p>
            <w:pPr>
              <w:jc w:val="right"/>
            </w:pPr>
            <w:r>
              <w:rPr>
                <w:color w:val="222222"/>
                <w:sz w:val="17"/>
              </w:rPr>
              <w:t>31%</w:t>
            </w:r>
          </w:p>
        </w:tc>
        <w:tc>
          <w:tcPr>
            <w:tcW w:type="dxa" w:w="1584"/>
          </w:tcPr>
          <w:p>
            <w:pPr>
              <w:jc w:val="right"/>
            </w:pPr>
            <w:r>
              <w:rPr>
                <w:color w:val="222222"/>
                <w:sz w:val="17"/>
              </w:rPr>
              <w:t>57%</w:t>
            </w:r>
          </w:p>
        </w:tc>
        <w:tc>
          <w:tcPr>
            <w:tcW w:type="dxa" w:w="2304"/>
          </w:tcPr>
          <w:p>
            <w:pPr>
              <w:jc w:val="right"/>
            </w:pPr>
            <w:r>
              <w:rPr>
                <w:color w:val="222222"/>
                <w:sz w:val="17"/>
              </w:rPr>
              <w:t>toward the 50-day</w:t>
            </w:r>
          </w:p>
        </w:tc>
      </w:tr>
      <w:tr>
        <w:tc>
          <w:tcPr>
            <w:tcW w:type="dxa" w:w="2592"/>
          </w:tcPr>
          <w:p>
            <w:r>
              <w:rPr>
                <w:color w:val="222222"/>
                <w:sz w:val="17"/>
              </w:rPr>
              <w:t>600</w:t>
            </w:r>
          </w:p>
        </w:tc>
        <w:tc>
          <w:tcPr>
            <w:tcW w:type="dxa" w:w="1584"/>
          </w:tcPr>
          <w:p>
            <w:pPr>
              <w:jc w:val="right"/>
            </w:pPr>
            <w:r>
              <w:rPr>
                <w:color w:val="222222"/>
                <w:sz w:val="17"/>
              </w:rPr>
              <w:t>14%</w:t>
            </w:r>
          </w:p>
        </w:tc>
        <w:tc>
          <w:tcPr>
            <w:tcW w:type="dxa" w:w="1584"/>
          </w:tcPr>
          <w:p>
            <w:pPr>
              <w:jc w:val="right"/>
            </w:pPr>
            <w:r>
              <w:rPr>
                <w:color w:val="222222"/>
                <w:sz w:val="17"/>
              </w:rPr>
              <w:t>40%</w:t>
            </w:r>
          </w:p>
        </w:tc>
        <w:tc>
          <w:tcPr>
            <w:tcW w:type="dxa" w:w="2304"/>
          </w:tcPr>
          <w:p>
            <w:pPr>
              <w:jc w:val="right"/>
            </w:pPr>
            <w:r>
              <w:rPr>
                <w:color w:val="222222"/>
                <w:sz w:val="17"/>
              </w:rPr>
              <w:t>deeper pullback</w:t>
            </w:r>
          </w:p>
        </w:tc>
      </w:tr>
      <w:tr>
        <w:tc>
          <w:tcPr>
            <w:tcW w:type="dxa" w:w="2592"/>
          </w:tcPr>
          <w:p>
            <w:r>
              <w:rPr>
                <w:color w:val="222222"/>
                <w:sz w:val="17"/>
              </w:rPr>
              <w:t>560</w:t>
            </w:r>
          </w:p>
        </w:tc>
        <w:tc>
          <w:tcPr>
            <w:tcW w:type="dxa" w:w="1584"/>
          </w:tcPr>
          <w:p>
            <w:pPr>
              <w:jc w:val="right"/>
            </w:pPr>
            <w:r>
              <w:rPr>
                <w:color w:val="222222"/>
                <w:sz w:val="17"/>
              </w:rPr>
              <w:t>5%</w:t>
            </w:r>
          </w:p>
        </w:tc>
        <w:tc>
          <w:tcPr>
            <w:tcW w:type="dxa" w:w="1584"/>
          </w:tcPr>
          <w:p>
            <w:pPr>
              <w:jc w:val="right"/>
            </w:pPr>
            <w:r>
              <w:rPr>
                <w:color w:val="222222"/>
                <w:sz w:val="17"/>
              </w:rPr>
              <w:t>25%</w:t>
            </w:r>
          </w:p>
        </w:tc>
        <w:tc>
          <w:tcPr>
            <w:tcW w:type="dxa" w:w="2304"/>
          </w:tcPr>
          <w:p>
            <w:pPr>
              <w:jc w:val="right"/>
            </w:pPr>
            <w:r>
              <w:rPr>
                <w:color w:val="222222"/>
                <w:sz w:val="17"/>
              </w:rPr>
              <w:t>trend-test</w:t>
            </w:r>
          </w:p>
        </w:tc>
      </w:tr>
    </w:tbl>
    <w:p>
      <w:pPr>
        <w:spacing w:after="40"/>
      </w:pPr>
    </w:p>
    <w:p>
      <w:pPr>
        <w:jc w:val="center"/>
      </w:pPr>
      <w:r>
        <w:drawing>
          <wp:inline xmlns:a="http://schemas.openxmlformats.org/drawingml/2006/main" xmlns:pic="http://schemas.openxmlformats.org/drawingml/2006/picture">
            <wp:extent cx="5760720" cy="2194560"/>
            <wp:docPr id="6" name="Picture 6"/>
            <wp:cNvGraphicFramePr>
              <a:graphicFrameLocks noChangeAspect="1"/>
            </wp:cNvGraphicFramePr>
            <a:graphic>
              <a:graphicData uri="http://schemas.openxmlformats.org/drawingml/2006/picture">
                <pic:pic>
                  <pic:nvPicPr>
                    <pic:cNvPr id="0" name="fig6_touch.png"/>
                    <pic:cNvPicPr/>
                  </pic:nvPicPr>
                  <pic:blipFill>
                    <a:blip r:embed="rId14"/>
                    <a:stretch>
                      <a:fillRect/>
                    </a:stretch>
                  </pic:blipFill>
                  <pic:spPr>
                    <a:xfrm>
                      <a:off x="0" y="0"/>
                      <a:ext cx="5760720" cy="2194560"/>
                    </a:xfrm>
                    <a:prstGeom prst="rect"/>
                  </pic:spPr>
                </pic:pic>
              </a:graphicData>
            </a:graphic>
          </wp:inline>
        </w:drawing>
      </w:r>
    </w:p>
    <w:p>
      <w:pPr>
        <w:jc w:val="center"/>
      </w:pPr>
      <w:r>
        <w:rPr>
          <w:i/>
          <w:color w:val="666666"/>
          <w:sz w:val="17"/>
        </w:rPr>
        <w:t>Figure 6 · Upside and downside touch ladders over the three-month window.</w:t>
      </w:r>
    </w:p>
    <w:p>
      <w:pPr>
        <w:spacing w:after="120"/>
      </w:pPr>
      <w:r>
        <w:rPr>
          <w:b w:val="0"/>
          <w:i w:val="0"/>
          <w:color w:val="222222"/>
          <w:sz w:val="21"/>
        </w:rPr>
        <w:t>What the map says. Over three months the odds are roughly balanced around spot, tilted slightly to the upside by backlog momentum. A move up to the prior-high zone near EGP 800 is a coin-flip by quarter-end (58%); reaching the fundamental fair value of EGP 928 within the quarter is about 23% — possible, but an upper-tail outcome. This is the two-clocks point in numbers: the +29% fundamental upside is a twelve-month judgment, while the three-month price map says the stock is about as likely to test EGP 640 as EGP 800 along the way.</w:t>
      </w:r>
    </w:p>
    <w:p>
      <w:pPr>
        <w:keepNext/>
        <w:spacing w:before="280" w:after="80"/>
      </w:pPr>
      <w:r>
        <w:rPr>
          <w:b/>
          <w:color w:val="1B5E5E"/>
          <w:sz w:val="32"/>
        </w:rPr>
        <w:t>4  Comparison of the lenses, and a verdict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fill="1B5E5E"/>
          </w:tcPr>
          <w:p>
            <w:r>
              <w:rPr>
                <w:b/>
                <w:color w:val="FFFFFF"/>
                <w:sz w:val="17"/>
              </w:rPr>
              <w:t>Lens</w:t>
            </w:r>
          </w:p>
        </w:tc>
        <w:tc>
          <w:tcPr>
            <w:tcW w:type="dxa" w:w="3744"/>
            <w:shd w:val="clear" w:fill="1B5E5E"/>
          </w:tcPr>
          <w:p>
            <w:pPr>
              <w:jc w:val="right"/>
            </w:pPr>
            <w:r>
              <w:rPr>
                <w:b/>
                <w:color w:val="FFFFFF"/>
                <w:sz w:val="17"/>
              </w:rPr>
              <w:t>What it measures</w:t>
            </w:r>
          </w:p>
        </w:tc>
        <w:tc>
          <w:tcPr>
            <w:tcW w:type="dxa" w:w="2016"/>
            <w:shd w:val="clear" w:fill="1B5E5E"/>
          </w:tcPr>
          <w:p>
            <w:pPr>
              <w:jc w:val="right"/>
            </w:pPr>
            <w:r>
              <w:rPr>
                <w:b/>
                <w:color w:val="FFFFFF"/>
                <w:sz w:val="17"/>
              </w:rPr>
              <w:t>Output</w:t>
            </w:r>
          </w:p>
        </w:tc>
        <w:tc>
          <w:tcPr>
            <w:tcW w:type="dxa" w:w="1440"/>
            <w:shd w:val="clear" w:fill="1B5E5E"/>
          </w:tcPr>
          <w:p>
            <w:pPr>
              <w:jc w:val="right"/>
            </w:pPr>
            <w:r>
              <w:rPr>
                <w:b/>
                <w:color w:val="FFFFFF"/>
                <w:sz w:val="17"/>
              </w:rPr>
              <w:t>vs spot</w:t>
            </w:r>
          </w:p>
        </w:tc>
      </w:tr>
      <w:tr>
        <w:tc>
          <w:tcPr>
            <w:tcW w:type="dxa" w:w="2880"/>
          </w:tcPr>
          <w:p>
            <w:r>
              <w:rPr>
                <w:color w:val="222222"/>
                <w:sz w:val="17"/>
              </w:rPr>
              <w:t>FCFF DCF (primary)</w:t>
            </w:r>
          </w:p>
        </w:tc>
        <w:tc>
          <w:tcPr>
            <w:tcW w:type="dxa" w:w="3744"/>
          </w:tcPr>
          <w:p>
            <w:pPr>
              <w:jc w:val="right"/>
            </w:pPr>
            <w:r>
              <w:rPr>
                <w:color w:val="222222"/>
                <w:sz w:val="17"/>
              </w:rPr>
              <w:t>going-concern cash flow + net cash + BESIX</w:t>
            </w:r>
          </w:p>
        </w:tc>
        <w:tc>
          <w:tcPr>
            <w:tcW w:type="dxa" w:w="2016"/>
          </w:tcPr>
          <w:p>
            <w:pPr>
              <w:jc w:val="right"/>
            </w:pPr>
            <w:r>
              <w:rPr>
                <w:color w:val="222222"/>
                <w:sz w:val="17"/>
              </w:rPr>
              <w:t>EGP 1,006</w:t>
            </w:r>
          </w:p>
        </w:tc>
        <w:tc>
          <w:tcPr>
            <w:tcW w:type="dxa" w:w="1440"/>
          </w:tcPr>
          <w:p>
            <w:pPr>
              <w:jc w:val="right"/>
            </w:pPr>
            <w:r>
              <w:rPr>
                <w:color w:val="222222"/>
                <w:sz w:val="17"/>
              </w:rPr>
              <w:t>+40%</w:t>
            </w:r>
          </w:p>
        </w:tc>
      </w:tr>
      <w:tr>
        <w:tc>
          <w:tcPr>
            <w:tcW w:type="dxa" w:w="2880"/>
          </w:tcPr>
          <w:p>
            <w:r>
              <w:rPr>
                <w:color w:val="222222"/>
                <w:sz w:val="17"/>
              </w:rPr>
              <w:t>SOTP — base</w:t>
            </w:r>
          </w:p>
        </w:tc>
        <w:tc>
          <w:tcPr>
            <w:tcW w:type="dxa" w:w="3744"/>
          </w:tcPr>
          <w:p>
            <w:pPr>
              <w:jc w:val="right"/>
            </w:pPr>
            <w:r>
              <w:rPr>
                <w:color w:val="222222"/>
                <w:sz w:val="17"/>
              </w:rPr>
              <w:t>separable assets at conservative marks</w:t>
            </w:r>
          </w:p>
        </w:tc>
        <w:tc>
          <w:tcPr>
            <w:tcW w:type="dxa" w:w="2016"/>
          </w:tcPr>
          <w:p>
            <w:pPr>
              <w:jc w:val="right"/>
            </w:pPr>
            <w:r>
              <w:rPr>
                <w:color w:val="222222"/>
                <w:sz w:val="17"/>
              </w:rPr>
              <w:t>EGP 1,030</w:t>
            </w:r>
          </w:p>
        </w:tc>
        <w:tc>
          <w:tcPr>
            <w:tcW w:type="dxa" w:w="1440"/>
          </w:tcPr>
          <w:p>
            <w:pPr>
              <w:jc w:val="right"/>
            </w:pPr>
            <w:r>
              <w:rPr>
                <w:color w:val="222222"/>
                <w:sz w:val="17"/>
              </w:rPr>
              <w:t>+43%</w:t>
            </w:r>
          </w:p>
        </w:tc>
      </w:tr>
      <w:tr>
        <w:tc>
          <w:tcPr>
            <w:tcW w:type="dxa" w:w="2880"/>
          </w:tcPr>
          <w:p>
            <w:r>
              <w:rPr>
                <w:color w:val="222222"/>
                <w:sz w:val="17"/>
              </w:rPr>
              <w:t>SOTP — bull</w:t>
            </w:r>
          </w:p>
        </w:tc>
        <w:tc>
          <w:tcPr>
            <w:tcW w:type="dxa" w:w="3744"/>
          </w:tcPr>
          <w:p>
            <w:pPr>
              <w:jc w:val="right"/>
            </w:pPr>
            <w:r>
              <w:rPr>
                <w:color w:val="222222"/>
                <w:sz w:val="17"/>
              </w:rPr>
              <w:t>separable assets at premium marks</w:t>
            </w:r>
          </w:p>
        </w:tc>
        <w:tc>
          <w:tcPr>
            <w:tcW w:type="dxa" w:w="2016"/>
          </w:tcPr>
          <w:p>
            <w:pPr>
              <w:jc w:val="right"/>
            </w:pPr>
            <w:r>
              <w:rPr>
                <w:color w:val="222222"/>
                <w:sz w:val="17"/>
              </w:rPr>
              <w:t>EGP 1,272</w:t>
            </w:r>
          </w:p>
        </w:tc>
        <w:tc>
          <w:tcPr>
            <w:tcW w:type="dxa" w:w="1440"/>
          </w:tcPr>
          <w:p>
            <w:pPr>
              <w:jc w:val="right"/>
            </w:pPr>
            <w:r>
              <w:rPr>
                <w:color w:val="222222"/>
                <w:sz w:val="17"/>
              </w:rPr>
              <w:t>+77%</w:t>
            </w:r>
          </w:p>
        </w:tc>
      </w:tr>
      <w:tr>
        <w:tc>
          <w:tcPr>
            <w:tcW w:type="dxa" w:w="2880"/>
          </w:tcPr>
          <w:p>
            <w:r>
              <w:rPr>
                <w:color w:val="222222"/>
                <w:sz w:val="17"/>
              </w:rPr>
              <w:t>Relative multiples</w:t>
            </w:r>
          </w:p>
        </w:tc>
        <w:tc>
          <w:tcPr>
            <w:tcW w:type="dxa" w:w="3744"/>
          </w:tcPr>
          <w:p>
            <w:pPr>
              <w:jc w:val="right"/>
            </w:pPr>
            <w:r>
              <w:rPr>
                <w:color w:val="222222"/>
                <w:sz w:val="17"/>
              </w:rPr>
              <w:t>EV/EBITDA, P/E, EV/Sales vs peers</w:t>
            </w:r>
          </w:p>
        </w:tc>
        <w:tc>
          <w:tcPr>
            <w:tcW w:type="dxa" w:w="2016"/>
          </w:tcPr>
          <w:p>
            <w:pPr>
              <w:jc w:val="right"/>
            </w:pPr>
            <w:r>
              <w:rPr>
                <w:color w:val="222222"/>
                <w:sz w:val="17"/>
              </w:rPr>
              <w:t>EGP 898</w:t>
            </w:r>
          </w:p>
        </w:tc>
        <w:tc>
          <w:tcPr>
            <w:tcW w:type="dxa" w:w="1440"/>
          </w:tcPr>
          <w:p>
            <w:pPr>
              <w:jc w:val="right"/>
            </w:pPr>
            <w:r>
              <w:rPr>
                <w:color w:val="222222"/>
                <w:sz w:val="17"/>
              </w:rPr>
              <w:t>+25%</w:t>
            </w:r>
          </w:p>
        </w:tc>
      </w:tr>
      <w:tr>
        <w:tc>
          <w:tcPr>
            <w:tcW w:type="dxa" w:w="2880"/>
          </w:tcPr>
          <w:p>
            <w:r>
              <w:rPr>
                <w:color w:val="222222"/>
                <w:sz w:val="17"/>
              </w:rPr>
              <w:t>Normalized earnings</w:t>
            </w:r>
          </w:p>
        </w:tc>
        <w:tc>
          <w:tcPr>
            <w:tcW w:type="dxa" w:w="3744"/>
          </w:tcPr>
          <w:p>
            <w:pPr>
              <w:jc w:val="right"/>
            </w:pPr>
            <w:r>
              <w:rPr>
                <w:color w:val="222222"/>
                <w:sz w:val="17"/>
              </w:rPr>
              <w:t>through-cycle earnings × fair multiple</w:t>
            </w:r>
          </w:p>
        </w:tc>
        <w:tc>
          <w:tcPr>
            <w:tcW w:type="dxa" w:w="2016"/>
          </w:tcPr>
          <w:p>
            <w:pPr>
              <w:jc w:val="right"/>
            </w:pPr>
            <w:r>
              <w:rPr>
                <w:color w:val="222222"/>
                <w:sz w:val="17"/>
              </w:rPr>
              <w:t>EGP 740</w:t>
            </w:r>
          </w:p>
        </w:tc>
        <w:tc>
          <w:tcPr>
            <w:tcW w:type="dxa" w:w="1440"/>
          </w:tcPr>
          <w:p>
            <w:pPr>
              <w:jc w:val="right"/>
            </w:pPr>
            <w:r>
              <w:rPr>
                <w:color w:val="222222"/>
                <w:sz w:val="17"/>
              </w:rPr>
              <w:t>+3%</w:t>
            </w:r>
          </w:p>
        </w:tc>
      </w:tr>
      <w:tr>
        <w:tc>
          <w:tcPr>
            <w:tcW w:type="dxa" w:w="2880"/>
          </w:tcPr>
          <w:p>
            <w:r>
              <w:rPr>
                <w:color w:val="222222"/>
                <w:sz w:val="17"/>
              </w:rPr>
              <w:t>Monte Carlo (3-month)</w:t>
            </w:r>
          </w:p>
        </w:tc>
        <w:tc>
          <w:tcPr>
            <w:tcW w:type="dxa" w:w="3744"/>
          </w:tcPr>
          <w:p>
            <w:pPr>
              <w:jc w:val="right"/>
            </w:pPr>
            <w:r>
              <w:rPr>
                <w:color w:val="222222"/>
                <w:sz w:val="17"/>
              </w:rPr>
              <w:t>probabilistic price map</w:t>
            </w:r>
          </w:p>
        </w:tc>
        <w:tc>
          <w:tcPr>
            <w:tcW w:type="dxa" w:w="2016"/>
          </w:tcPr>
          <w:p>
            <w:pPr>
              <w:jc w:val="right"/>
            </w:pPr>
            <w:r>
              <w:rPr>
                <w:color w:val="222222"/>
                <w:sz w:val="17"/>
              </w:rPr>
              <w:t>median ≈ flat</w:t>
            </w:r>
          </w:p>
        </w:tc>
        <w:tc>
          <w:tcPr>
            <w:tcW w:type="dxa" w:w="1440"/>
          </w:tcPr>
          <w:p>
            <w:pPr>
              <w:jc w:val="right"/>
            </w:pPr>
            <w:r>
              <w:rPr>
                <w:color w:val="222222"/>
                <w:sz w:val="17"/>
              </w:rPr>
              <w:t>two-sided</w:t>
            </w:r>
          </w:p>
        </w:tc>
      </w:tr>
    </w:tbl>
    <w:p>
      <w:pPr>
        <w:spacing w:after="40"/>
      </w:pPr>
    </w:p>
    <w:p>
      <w:pPr>
        <w:spacing w:after="120"/>
      </w:pPr>
      <w:r>
        <w:rPr>
          <w:b w:val="0"/>
          <w:i w:val="0"/>
          <w:color w:val="222222"/>
          <w:sz w:val="21"/>
        </w:rPr>
        <w:t>Verdict — modestly-to-meaningfully undervalued, conditional on the balance sheet and the deal. The weighted central estimate is EGP 928, about +29% above spot, and three of four fundamental lenses sit above the price. But the case is not unconditional: the normalized-earnings lens says the shares are already fair if you value them on sustainable earnings alone, and the asset lenses only pull the average up if the net cash is genuinely distributable and the concessions and BESIX marks hold. The OCI combination is the swing catalyst over the next year. Over the next quarter, the price map is roughly balanced — the upside is a twelve-month thesis to be accumulated patiently, not a three-month trade.</w:t>
      </w:r>
    </w:p>
    <w:p>
      <w:pPr>
        <w:keepNext/>
        <w:spacing w:before="280" w:after="80"/>
      </w:pPr>
      <w:r>
        <w:rPr>
          <w:b/>
          <w:color w:val="1B5E5E"/>
          <w:sz w:val="32"/>
        </w:rPr>
        <w:t>5  Catalysts to watch</w:t>
      </w:r>
    </w:p>
    <w:p>
      <w:pPr>
        <w:pStyle w:val="ListBullet"/>
        <w:spacing w:after="60"/>
      </w:pPr>
      <w:r>
        <w:rPr>
          <w:b/>
          <w:color w:val="222222"/>
          <w:sz w:val="20"/>
        </w:rPr>
        <w:t xml:space="preserve">OCI Global combination (↑/↓, high impact). </w:t>
      </w:r>
      <w:r>
        <w:rPr>
          <w:color w:val="222222"/>
          <w:sz w:val="20"/>
        </w:rPr>
        <w:t>An OCI shareholder vote and regulatory clearances are the dominant near-term catalyst; constructive terms could re-rate the equity, a collapse removes a partly-priced support.</w:t>
      </w:r>
    </w:p>
    <w:p>
      <w:pPr>
        <w:pStyle w:val="ListBullet"/>
        <w:spacing w:after="60"/>
      </w:pPr>
      <w:r>
        <w:rPr>
          <w:b/>
          <w:color w:val="222222"/>
          <w:sz w:val="20"/>
        </w:rPr>
        <w:t xml:space="preserve">US backlog conversion (↑). </w:t>
      </w:r>
      <w:r>
        <w:rPr>
          <w:color w:val="222222"/>
          <w:sz w:val="20"/>
        </w:rPr>
        <w:t>Evidence that the 80%-growing US data-center and aviation backlog converts to revenue and margin at Weitz is the clearest read on the structural re-rating.</w:t>
      </w:r>
    </w:p>
    <w:p>
      <w:pPr>
        <w:pStyle w:val="ListBullet"/>
        <w:spacing w:after="60"/>
      </w:pPr>
      <w:r>
        <w:rPr>
          <w:b/>
          <w:color w:val="222222"/>
          <w:sz w:val="20"/>
        </w:rPr>
        <w:t xml:space="preserve">Net-cash clarity / capital return (↑). </w:t>
      </w:r>
      <w:r>
        <w:rPr>
          <w:color w:val="222222"/>
          <w:sz w:val="20"/>
        </w:rPr>
        <w:t>Any disclosure that sharpens how much cash is truly distributable — a buyback, a special dividend, or clearer working-capital reporting — directly tests the bull case.</w:t>
      </w:r>
    </w:p>
    <w:p>
      <w:pPr>
        <w:pStyle w:val="ListBullet"/>
        <w:spacing w:after="60"/>
      </w:pPr>
      <w:r>
        <w:rPr>
          <w:b/>
          <w:color w:val="222222"/>
          <w:sz w:val="20"/>
        </w:rPr>
        <w:t xml:space="preserve">Major contract awards (↑). </w:t>
      </w:r>
      <w:r>
        <w:rPr>
          <w:color w:val="222222"/>
          <w:sz w:val="20"/>
        </w:rPr>
        <w:t>New mega-tenders in US data centers, KSA power (e.g. Qurayyah-scale), or Egyptian rail/metro add visible backlog and sentiment.</w:t>
      </w:r>
    </w:p>
    <w:p>
      <w:pPr>
        <w:pStyle w:val="ListBullet"/>
        <w:spacing w:after="60"/>
      </w:pPr>
      <w:r>
        <w:rPr>
          <w:b/>
          <w:color w:val="222222"/>
          <w:sz w:val="20"/>
        </w:rPr>
        <w:t xml:space="preserve">Concessions milestones (↑). </w:t>
      </w:r>
      <w:r>
        <w:rPr>
          <w:color w:val="222222"/>
          <w:sz w:val="20"/>
        </w:rPr>
        <w:t>The 900 MW wind PPA and water BOO/BOOT assets reaching commercial operation crystallize the platform's growing value.</w:t>
      </w:r>
    </w:p>
    <w:p>
      <w:pPr>
        <w:pStyle w:val="ListBullet"/>
        <w:spacing w:after="60"/>
      </w:pPr>
      <w:r>
        <w:rPr>
          <w:b/>
          <w:color w:val="222222"/>
          <w:sz w:val="20"/>
        </w:rPr>
        <w:t xml:space="preserve">Egypt receivables / FX (↑/↓). </w:t>
      </w:r>
      <w:r>
        <w:rPr>
          <w:color w:val="222222"/>
          <w:sz w:val="20"/>
        </w:rPr>
        <w:t>Public-sector payment timing and EGP moves drive cash conversion and the pound value of dollar earnings; a devaluation step can cut both ways for the EGX line.</w:t>
      </w:r>
    </w:p>
    <w:p>
      <w:pPr>
        <w:pStyle w:val="ListBullet"/>
        <w:spacing w:after="60"/>
      </w:pPr>
      <w:r>
        <w:rPr>
          <w:b/>
          <w:color w:val="222222"/>
          <w:sz w:val="20"/>
        </w:rPr>
        <w:t xml:space="preserve">Geopolitical / regional security (↓). </w:t>
      </w:r>
      <w:r>
        <w:rPr>
          <w:color w:val="222222"/>
          <w:sz w:val="20"/>
        </w:rPr>
        <w:t>A MENA security shock raises the risk premium across project countries and is the main downside tail in the price map.</w:t>
      </w:r>
    </w:p>
    <w:p>
      <w:pPr>
        <w:keepNext/>
        <w:spacing w:before="280" w:after="80"/>
      </w:pPr>
      <w:r>
        <w:rPr>
          <w:b/>
          <w:color w:val="1B5E5E"/>
          <w:sz w:val="32"/>
        </w:rPr>
        <w:t>6  Reading the probability zones</w:t>
      </w:r>
    </w:p>
    <w:p>
      <w:pPr>
        <w:spacing w:after="120"/>
      </w:pPr>
      <w:r>
        <w:rPr>
          <w:b w:val="0"/>
          <w:i w:val="0"/>
          <w:color w:val="222222"/>
          <w:sz w:val="21"/>
        </w:rPr>
        <w:t>Combining the fundamental anchors with the three-month price map gives a set of zones — descriptive, not directive.</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fill="1B5E5E"/>
          </w:tcPr>
          <w:p>
            <w:r>
              <w:rPr>
                <w:b/>
                <w:color w:val="FFFFFF"/>
                <w:sz w:val="17"/>
              </w:rPr>
              <w:t>Zone</w:t>
            </w:r>
          </w:p>
        </w:tc>
        <w:tc>
          <w:tcPr>
            <w:tcW w:type="dxa" w:w="2160"/>
            <w:shd w:val="clear" w:fill="1B5E5E"/>
          </w:tcPr>
          <w:p>
            <w:pPr>
              <w:jc w:val="right"/>
            </w:pPr>
            <w:r>
              <w:rPr>
                <w:b/>
                <w:color w:val="FFFFFF"/>
                <w:sz w:val="17"/>
              </w:rPr>
              <w:t>Range (EGP)</w:t>
            </w:r>
          </w:p>
        </w:tc>
        <w:tc>
          <w:tcPr>
            <w:tcW w:type="dxa" w:w="4464"/>
            <w:shd w:val="clear" w:fill="1B5E5E"/>
          </w:tcPr>
          <w:p>
            <w:pPr>
              <w:jc w:val="right"/>
            </w:pPr>
            <w:r>
              <w:rPr>
                <w:b/>
                <w:color w:val="FFFFFF"/>
                <w:sz w:val="17"/>
              </w:rPr>
              <w:t>What it would mean</w:t>
            </w:r>
          </w:p>
        </w:tc>
      </w:tr>
      <w:tr>
        <w:tc>
          <w:tcPr>
            <w:tcW w:type="dxa" w:w="2880"/>
          </w:tcPr>
          <w:p>
            <w:r>
              <w:rPr>
                <w:color w:val="222222"/>
                <w:sz w:val="17"/>
              </w:rPr>
              <w:t>Fundamental upside</w:t>
            </w:r>
          </w:p>
        </w:tc>
        <w:tc>
          <w:tcPr>
            <w:tcW w:type="dxa" w:w="2160"/>
          </w:tcPr>
          <w:p>
            <w:pPr>
              <w:jc w:val="right"/>
            </w:pPr>
            <w:r>
              <w:rPr>
                <w:color w:val="222222"/>
                <w:sz w:val="17"/>
              </w:rPr>
              <w:t>900 – 1,030</w:t>
            </w:r>
          </w:p>
        </w:tc>
        <w:tc>
          <w:tcPr>
            <w:tcW w:type="dxa" w:w="4464"/>
          </w:tcPr>
          <w:p>
            <w:pPr>
              <w:jc w:val="right"/>
            </w:pPr>
            <w:r>
              <w:rPr>
                <w:color w:val="222222"/>
                <w:sz w:val="17"/>
              </w:rPr>
              <w:t>toward the DCF/SOTP cluster; the value case playing out</w:t>
            </w:r>
          </w:p>
        </w:tc>
      </w:tr>
      <w:tr>
        <w:tc>
          <w:tcPr>
            <w:tcW w:type="dxa" w:w="2880"/>
          </w:tcPr>
          <w:p>
            <w:r>
              <w:rPr>
                <w:color w:val="222222"/>
                <w:sz w:val="17"/>
              </w:rPr>
              <w:t>Re-rating / prior highs</w:t>
            </w:r>
          </w:p>
        </w:tc>
        <w:tc>
          <w:tcPr>
            <w:tcW w:type="dxa" w:w="2160"/>
          </w:tcPr>
          <w:p>
            <w:pPr>
              <w:jc w:val="right"/>
            </w:pPr>
            <w:r>
              <w:rPr>
                <w:color w:val="222222"/>
                <w:sz w:val="17"/>
              </w:rPr>
              <w:t>780 – 900</w:t>
            </w:r>
          </w:p>
        </w:tc>
        <w:tc>
          <w:tcPr>
            <w:tcW w:type="dxa" w:w="4464"/>
          </w:tcPr>
          <w:p>
            <w:pPr>
              <w:jc w:val="right"/>
            </w:pPr>
            <w:r>
              <w:rPr>
                <w:color w:val="222222"/>
                <w:sz w:val="17"/>
              </w:rPr>
              <w:t>breaks the prior-high zone; momentum plus a catalyst</w:t>
            </w:r>
          </w:p>
        </w:tc>
      </w:tr>
      <w:tr>
        <w:tc>
          <w:tcPr>
            <w:tcW w:type="dxa" w:w="2880"/>
          </w:tcPr>
          <w:p>
            <w:r>
              <w:rPr>
                <w:color w:val="222222"/>
                <w:sz w:val="17"/>
              </w:rPr>
              <w:t>Fair-value consolidation</w:t>
            </w:r>
          </w:p>
        </w:tc>
        <w:tc>
          <w:tcPr>
            <w:tcW w:type="dxa" w:w="2160"/>
          </w:tcPr>
          <w:p>
            <w:pPr>
              <w:jc w:val="right"/>
            </w:pPr>
            <w:r>
              <w:rPr>
                <w:color w:val="222222"/>
                <w:sz w:val="17"/>
              </w:rPr>
              <w:t>680 – 780</w:t>
            </w:r>
          </w:p>
        </w:tc>
        <w:tc>
          <w:tcPr>
            <w:tcW w:type="dxa" w:w="4464"/>
          </w:tcPr>
          <w:p>
            <w:pPr>
              <w:jc w:val="right"/>
            </w:pPr>
            <w:r>
              <w:rPr>
                <w:color w:val="222222"/>
                <w:sz w:val="17"/>
              </w:rPr>
              <w:t>around spot and the normalized-earnings anchor</w:t>
            </w:r>
          </w:p>
        </w:tc>
      </w:tr>
      <w:tr>
        <w:tc>
          <w:tcPr>
            <w:tcW w:type="dxa" w:w="2880"/>
          </w:tcPr>
          <w:p>
            <w:r>
              <w:rPr>
                <w:color w:val="222222"/>
                <w:sz w:val="17"/>
              </w:rPr>
              <w:t>Pullback / trend-test</w:t>
            </w:r>
          </w:p>
        </w:tc>
        <w:tc>
          <w:tcPr>
            <w:tcW w:type="dxa" w:w="2160"/>
          </w:tcPr>
          <w:p>
            <w:pPr>
              <w:jc w:val="right"/>
            </w:pPr>
            <w:r>
              <w:rPr>
                <w:color w:val="222222"/>
                <w:sz w:val="17"/>
              </w:rPr>
              <w:t>600 – 680</w:t>
            </w:r>
          </w:p>
        </w:tc>
        <w:tc>
          <w:tcPr>
            <w:tcW w:type="dxa" w:w="4464"/>
          </w:tcPr>
          <w:p>
            <w:pPr>
              <w:jc w:val="right"/>
            </w:pPr>
            <w:r>
              <w:rPr>
                <w:color w:val="222222"/>
                <w:sz w:val="17"/>
              </w:rPr>
              <w:t>toward the 50-day; a healthy retracement</w:t>
            </w:r>
          </w:p>
        </w:tc>
      </w:tr>
      <w:tr>
        <w:tc>
          <w:tcPr>
            <w:tcW w:type="dxa" w:w="2880"/>
          </w:tcPr>
          <w:p>
            <w:r>
              <w:rPr>
                <w:color w:val="222222"/>
                <w:sz w:val="17"/>
              </w:rPr>
              <w:t>Stress</w:t>
            </w:r>
          </w:p>
        </w:tc>
        <w:tc>
          <w:tcPr>
            <w:tcW w:type="dxa" w:w="2160"/>
          </w:tcPr>
          <w:p>
            <w:pPr>
              <w:jc w:val="right"/>
            </w:pPr>
            <w:r>
              <w:rPr>
                <w:color w:val="222222"/>
                <w:sz w:val="17"/>
              </w:rPr>
              <w:t>&lt; 600</w:t>
            </w:r>
          </w:p>
        </w:tc>
        <w:tc>
          <w:tcPr>
            <w:tcW w:type="dxa" w:w="4464"/>
          </w:tcPr>
          <w:p>
            <w:pPr>
              <w:jc w:val="right"/>
            </w:pPr>
            <w:r>
              <w:rPr>
                <w:color w:val="222222"/>
                <w:sz w:val="17"/>
              </w:rPr>
              <w:t>a deal collapse or macro/geopolitical shock</w:t>
            </w:r>
          </w:p>
        </w:tc>
      </w:tr>
    </w:tbl>
    <w:p>
      <w:pPr>
        <w:spacing w:after="40"/>
      </w:pPr>
    </w:p>
    <w:p>
      <w:pPr>
        <w:keepNext/>
        <w:spacing w:before="280" w:after="80"/>
      </w:pPr>
      <w:r>
        <w:rPr>
          <w:b/>
          <w:color w:val="1B5E5E"/>
          <w:sz w:val="32"/>
        </w:rPr>
        <w:t>7  Caveats and what would change our mind</w:t>
      </w:r>
    </w:p>
    <w:p>
      <w:pPr>
        <w:pStyle w:val="ListBullet"/>
        <w:spacing w:after="60"/>
      </w:pPr>
      <w:r>
        <w:rPr>
          <w:b/>
          <w:color w:val="222222"/>
          <w:sz w:val="20"/>
        </w:rPr>
        <w:t xml:space="preserve">The net cash may be worth less than we mark. </w:t>
      </w:r>
      <w:r>
        <w:rPr>
          <w:color w:val="222222"/>
          <w:sz w:val="20"/>
        </w:rPr>
        <w:t>Our base case treats $400m of the ~$540m reported net cash as usable. If more is client advances, the DCF and EV/EBITDA lenses fall fastest, and the central estimate drifts toward the normalized-earnings anchor near spot.</w:t>
      </w:r>
    </w:p>
    <w:p>
      <w:pPr>
        <w:pStyle w:val="ListBullet"/>
        <w:spacing w:after="60"/>
      </w:pPr>
      <w:r>
        <w:rPr>
          <w:b/>
          <w:color w:val="222222"/>
          <w:sz w:val="20"/>
        </w:rPr>
        <w:t xml:space="preserve">The OCI outcome is unknown and material. </w:t>
      </w:r>
      <w:r>
        <w:rPr>
          <w:color w:val="222222"/>
          <w:sz w:val="20"/>
        </w:rPr>
        <w:t>We embed no deal result in the fundamental value. A collapse or punitive terms would remove a support the market has partly priced; a clean, accretive combination could lift it above our range.</w:t>
      </w:r>
    </w:p>
    <w:p>
      <w:pPr>
        <w:pStyle w:val="ListBullet"/>
        <w:spacing w:after="60"/>
      </w:pPr>
      <w:r>
        <w:rPr>
          <w:b/>
          <w:color w:val="222222"/>
          <w:sz w:val="20"/>
        </w:rPr>
        <w:t xml:space="preserve">Forecasts and balance-sheet detail are estimates. </w:t>
      </w:r>
      <w:r>
        <w:rPr>
          <w:color w:val="222222"/>
          <w:sz w:val="20"/>
        </w:rPr>
        <w:t>Several statement lines beyond reported headline totals are estimates anchored to disclosed figures; contractor working capital is volatile and our normalized drag may prove optimistic or conservative.</w:t>
      </w:r>
    </w:p>
    <w:p>
      <w:pPr>
        <w:pStyle w:val="ListBullet"/>
        <w:spacing w:after="60"/>
      </w:pPr>
      <w:r>
        <w:rPr>
          <w:b/>
          <w:color w:val="222222"/>
          <w:sz w:val="20"/>
        </w:rPr>
        <w:t xml:space="preserve">Contractor earnings are cyclical and thin-margin. </w:t>
      </w:r>
      <w:r>
        <w:rPr>
          <w:color w:val="222222"/>
          <w:sz w:val="20"/>
        </w:rPr>
        <w:t>A 6% EBITDA margin leaves little error room; a few troubled projects or input-cost spikes can swing net income materially, which is why the normalized lens carries real weight.</w:t>
      </w:r>
    </w:p>
    <w:p>
      <w:pPr>
        <w:pStyle w:val="ListBullet"/>
        <w:spacing w:after="60"/>
      </w:pPr>
      <w:r>
        <w:rPr>
          <w:b/>
          <w:color w:val="222222"/>
          <w:sz w:val="20"/>
        </w:rPr>
        <w:t xml:space="preserve">The Monte Carlo is a price model, not a forecast. </w:t>
      </w:r>
      <w:r>
        <w:rPr>
          <w:color w:val="222222"/>
          <w:sz w:val="20"/>
        </w:rPr>
        <w:t>It encodes our probability estimates for events that have not happened. The factor table is the model; reasonable people would set different numbers and get a different cone.</w:t>
      </w:r>
    </w:p>
    <w:p>
      <w:pPr>
        <w:pStyle w:val="ListBullet"/>
        <w:spacing w:after="60"/>
      </w:pPr>
      <w:r>
        <w:rPr>
          <w:b/>
          <w:color w:val="222222"/>
          <w:sz w:val="20"/>
        </w:rPr>
        <w:t xml:space="preserve">RSI / momentum reminder. </w:t>
      </w:r>
      <w:r>
        <w:rPr>
          <w:color w:val="222222"/>
          <w:sz w:val="20"/>
        </w:rPr>
        <w:t>RSI ~50 is neutral and the MACD histogram is negative — momentum is cooling after a strong run, so near-term the tape may consolidate even if the twelve-month value case is intact.</w:t>
      </w:r>
    </w:p>
    <w:p>
      <w:r>
        <w:br w:type="page"/>
      </w:r>
    </w:p>
    <w:p>
      <w:pPr>
        <w:keepNext/>
        <w:spacing w:before="280" w:after="80"/>
      </w:pPr>
      <w:r>
        <w:rPr>
          <w:b/>
          <w:color w:val="1B5E5E"/>
          <w:sz w:val="30"/>
        </w:rPr>
        <w:t>Appendix A  Financial statements (USD m)</w:t>
      </w:r>
    </w:p>
    <w:p>
      <w:pPr>
        <w:spacing w:after="120"/>
      </w:pPr>
      <w:r>
        <w:rPr>
          <w:b w:val="0"/>
          <w:i/>
          <w:color w:val="666666"/>
          <w:sz w:val="18"/>
        </w:rPr>
        <w:t>Actuals (FY2023–FY2025) are from Orascom Construction's consolidated disclosure (results announcements and audited financial statements). FY2023 net income includes a ~$107m disposal gain; FY2025 includes a $29m net claim/arbitration gain. Forecasts (2026e–2030e) are illustrative, anchored to backlog and segment trajectory. Balance-sheet and cash-flow lines beyond reported totals are estimates.</w:t>
      </w:r>
    </w:p>
    <w:p>
      <w:pPr>
        <w:spacing w:after="40"/>
      </w:pPr>
      <w:r>
        <w:rPr>
          <w:b/>
          <w:i w:val="0"/>
          <w:color w:val="222222"/>
          <w:sz w:val="20"/>
        </w:rPr>
        <w:t>A.1  Consolidated income statement (USD m)</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664"/>
            <w:shd w:val="clear" w:fill="1B5E5E"/>
          </w:tcPr>
          <w:p>
            <w:r>
              <w:rPr>
                <w:b/>
                <w:color w:val="FFFFFF"/>
                <w:sz w:val="14"/>
              </w:rPr>
              <w:t>Income statement</w:t>
            </w:r>
          </w:p>
        </w:tc>
        <w:tc>
          <w:tcPr>
            <w:tcW w:type="dxa" w:w="1152"/>
            <w:shd w:val="clear" w:fill="1B5E5E"/>
          </w:tcPr>
          <w:p>
            <w:pPr>
              <w:jc w:val="right"/>
            </w:pPr>
            <w:r>
              <w:rPr>
                <w:b/>
                <w:color w:val="FFFFFF"/>
                <w:sz w:val="14"/>
              </w:rPr>
              <w:t>2023a</w:t>
            </w:r>
          </w:p>
        </w:tc>
        <w:tc>
          <w:tcPr>
            <w:tcW w:type="dxa" w:w="1152"/>
            <w:shd w:val="clear" w:fill="1B5E5E"/>
          </w:tcPr>
          <w:p>
            <w:pPr>
              <w:jc w:val="right"/>
            </w:pPr>
            <w:r>
              <w:rPr>
                <w:b/>
                <w:color w:val="FFFFFF"/>
                <w:sz w:val="14"/>
              </w:rPr>
              <w:t>2024a</w:t>
            </w:r>
          </w:p>
        </w:tc>
        <w:tc>
          <w:tcPr>
            <w:tcW w:type="dxa" w:w="1152"/>
            <w:shd w:val="clear" w:fill="1B5E5E"/>
          </w:tcPr>
          <w:p>
            <w:pPr>
              <w:jc w:val="right"/>
            </w:pPr>
            <w:r>
              <w:rPr>
                <w:b/>
                <w:color w:val="FFFFFF"/>
                <w:sz w:val="14"/>
              </w:rPr>
              <w:t>2025a</w:t>
            </w:r>
          </w:p>
        </w:tc>
        <w:tc>
          <w:tcPr>
            <w:tcW w:type="dxa" w:w="1152"/>
            <w:shd w:val="clear" w:fill="1B5E5E"/>
          </w:tcPr>
          <w:p>
            <w:pPr>
              <w:jc w:val="right"/>
            </w:pPr>
            <w:r>
              <w:rPr>
                <w:b/>
                <w:color w:val="FFFFFF"/>
                <w:sz w:val="14"/>
              </w:rPr>
              <w:t>2026e</w:t>
            </w:r>
          </w:p>
        </w:tc>
        <w:tc>
          <w:tcPr>
            <w:tcW w:type="dxa" w:w="1152"/>
            <w:shd w:val="clear" w:fill="1B5E5E"/>
          </w:tcPr>
          <w:p>
            <w:pPr>
              <w:jc w:val="right"/>
            </w:pPr>
            <w:r>
              <w:rPr>
                <w:b/>
                <w:color w:val="FFFFFF"/>
                <w:sz w:val="14"/>
              </w:rPr>
              <w:t>2027e</w:t>
            </w:r>
          </w:p>
        </w:tc>
        <w:tc>
          <w:tcPr>
            <w:tcW w:type="dxa" w:w="1152"/>
            <w:shd w:val="clear" w:fill="1B5E5E"/>
          </w:tcPr>
          <w:p>
            <w:pPr>
              <w:jc w:val="right"/>
            </w:pPr>
            <w:r>
              <w:rPr>
                <w:b/>
                <w:color w:val="FFFFFF"/>
                <w:sz w:val="14"/>
              </w:rPr>
              <w:t>2028e</w:t>
            </w:r>
          </w:p>
        </w:tc>
        <w:tc>
          <w:tcPr>
            <w:tcW w:type="dxa" w:w="1152"/>
            <w:shd w:val="clear" w:fill="1B5E5E"/>
          </w:tcPr>
          <w:p>
            <w:pPr>
              <w:jc w:val="right"/>
            </w:pPr>
            <w:r>
              <w:rPr>
                <w:b/>
                <w:color w:val="FFFFFF"/>
                <w:sz w:val="14"/>
              </w:rPr>
              <w:t>2029e</w:t>
            </w:r>
          </w:p>
        </w:tc>
        <w:tc>
          <w:tcPr>
            <w:tcW w:type="dxa" w:w="1152"/>
            <w:shd w:val="clear" w:fill="1B5E5E"/>
          </w:tcPr>
          <w:p>
            <w:pPr>
              <w:jc w:val="right"/>
            </w:pPr>
            <w:r>
              <w:rPr>
                <w:b/>
                <w:color w:val="FFFFFF"/>
                <w:sz w:val="14"/>
              </w:rPr>
              <w:t>2030e</w:t>
            </w:r>
          </w:p>
        </w:tc>
      </w:tr>
      <w:tr>
        <w:tc>
          <w:tcPr>
            <w:tcW w:type="dxa" w:w="2664"/>
          </w:tcPr>
          <w:p>
            <w:r>
              <w:rPr>
                <w:color w:val="222222"/>
                <w:sz w:val="14"/>
              </w:rPr>
              <w:t>MEA revenue</w:t>
            </w:r>
          </w:p>
        </w:tc>
        <w:tc>
          <w:tcPr>
            <w:tcW w:type="dxa" w:w="1152"/>
          </w:tcPr>
          <w:p>
            <w:pPr>
              <w:jc w:val="right"/>
            </w:pPr>
            <w:r>
              <w:rPr>
                <w:color w:val="222222"/>
                <w:sz w:val="14"/>
              </w:rPr>
              <w:t>1,842</w:t>
            </w:r>
          </w:p>
        </w:tc>
        <w:tc>
          <w:tcPr>
            <w:tcW w:type="dxa" w:w="1152"/>
          </w:tcPr>
          <w:p>
            <w:pPr>
              <w:jc w:val="right"/>
            </w:pPr>
            <w:r>
              <w:rPr>
                <w:color w:val="222222"/>
                <w:sz w:val="14"/>
              </w:rPr>
              <w:t>1,611</w:t>
            </w:r>
          </w:p>
        </w:tc>
        <w:tc>
          <w:tcPr>
            <w:tcW w:type="dxa" w:w="1152"/>
          </w:tcPr>
          <w:p>
            <w:pPr>
              <w:jc w:val="right"/>
            </w:pPr>
            <w:r>
              <w:rPr>
                <w:color w:val="222222"/>
                <w:sz w:val="14"/>
              </w:rPr>
              <w:t>2,849</w:t>
            </w:r>
          </w:p>
        </w:tc>
        <w:tc>
          <w:tcPr>
            <w:tcW w:type="dxa" w:w="1152"/>
          </w:tcPr>
          <w:p>
            <w:pPr>
              <w:jc w:val="right"/>
            </w:pPr>
            <w:r>
              <w:rPr>
                <w:color w:val="222222"/>
                <w:sz w:val="14"/>
              </w:rPr>
              <w:t>3,050</w:t>
            </w:r>
          </w:p>
        </w:tc>
        <w:tc>
          <w:tcPr>
            <w:tcW w:type="dxa" w:w="1152"/>
          </w:tcPr>
          <w:p>
            <w:pPr>
              <w:jc w:val="right"/>
            </w:pPr>
            <w:r>
              <w:rPr>
                <w:color w:val="222222"/>
                <w:sz w:val="14"/>
              </w:rPr>
              <w:t>3,300</w:t>
            </w:r>
          </w:p>
        </w:tc>
        <w:tc>
          <w:tcPr>
            <w:tcW w:type="dxa" w:w="1152"/>
          </w:tcPr>
          <w:p>
            <w:pPr>
              <w:jc w:val="right"/>
            </w:pPr>
            <w:r>
              <w:rPr>
                <w:color w:val="222222"/>
                <w:sz w:val="14"/>
              </w:rPr>
              <w:t>3,520</w:t>
            </w:r>
          </w:p>
        </w:tc>
        <w:tc>
          <w:tcPr>
            <w:tcW w:type="dxa" w:w="1152"/>
          </w:tcPr>
          <w:p>
            <w:pPr>
              <w:jc w:val="right"/>
            </w:pPr>
            <w:r>
              <w:rPr>
                <w:color w:val="222222"/>
                <w:sz w:val="14"/>
              </w:rPr>
              <w:t>3,700</w:t>
            </w:r>
          </w:p>
        </w:tc>
        <w:tc>
          <w:tcPr>
            <w:tcW w:type="dxa" w:w="1152"/>
          </w:tcPr>
          <w:p>
            <w:pPr>
              <w:jc w:val="right"/>
            </w:pPr>
            <w:r>
              <w:rPr>
                <w:color w:val="222222"/>
                <w:sz w:val="14"/>
              </w:rPr>
              <w:t>3,870</w:t>
            </w:r>
          </w:p>
        </w:tc>
      </w:tr>
      <w:tr>
        <w:tc>
          <w:tcPr>
            <w:tcW w:type="dxa" w:w="2664"/>
          </w:tcPr>
          <w:p>
            <w:r>
              <w:rPr>
                <w:color w:val="222222"/>
                <w:sz w:val="14"/>
              </w:rPr>
              <w:t>USA revenue</w:t>
            </w:r>
          </w:p>
        </w:tc>
        <w:tc>
          <w:tcPr>
            <w:tcW w:type="dxa" w:w="1152"/>
          </w:tcPr>
          <w:p>
            <w:pPr>
              <w:jc w:val="right"/>
            </w:pPr>
            <w:r>
              <w:rPr>
                <w:color w:val="222222"/>
                <w:sz w:val="14"/>
              </w:rPr>
              <w:t>1,600</w:t>
            </w:r>
          </w:p>
        </w:tc>
        <w:tc>
          <w:tcPr>
            <w:tcW w:type="dxa" w:w="1152"/>
          </w:tcPr>
          <w:p>
            <w:pPr>
              <w:jc w:val="right"/>
            </w:pPr>
            <w:r>
              <w:rPr>
                <w:color w:val="222222"/>
                <w:sz w:val="14"/>
              </w:rPr>
              <w:t>1,644</w:t>
            </w:r>
          </w:p>
        </w:tc>
        <w:tc>
          <w:tcPr>
            <w:tcW w:type="dxa" w:w="1152"/>
          </w:tcPr>
          <w:p>
            <w:pPr>
              <w:jc w:val="right"/>
            </w:pPr>
            <w:r>
              <w:rPr>
                <w:color w:val="222222"/>
                <w:sz w:val="14"/>
              </w:rPr>
              <w:t>2,201</w:t>
            </w:r>
          </w:p>
        </w:tc>
        <w:tc>
          <w:tcPr>
            <w:tcW w:type="dxa" w:w="1152"/>
          </w:tcPr>
          <w:p>
            <w:pPr>
              <w:jc w:val="right"/>
            </w:pPr>
            <w:r>
              <w:rPr>
                <w:color w:val="222222"/>
                <w:sz w:val="14"/>
              </w:rPr>
              <w:t>2,500</w:t>
            </w:r>
          </w:p>
        </w:tc>
        <w:tc>
          <w:tcPr>
            <w:tcW w:type="dxa" w:w="1152"/>
          </w:tcPr>
          <w:p>
            <w:pPr>
              <w:jc w:val="right"/>
            </w:pPr>
            <w:r>
              <w:rPr>
                <w:color w:val="222222"/>
                <w:sz w:val="14"/>
              </w:rPr>
              <w:t>2,750</w:t>
            </w:r>
          </w:p>
        </w:tc>
        <w:tc>
          <w:tcPr>
            <w:tcW w:type="dxa" w:w="1152"/>
          </w:tcPr>
          <w:p>
            <w:pPr>
              <w:jc w:val="right"/>
            </w:pPr>
            <w:r>
              <w:rPr>
                <w:color w:val="222222"/>
                <w:sz w:val="14"/>
              </w:rPr>
              <w:t>2,980</w:t>
            </w:r>
          </w:p>
        </w:tc>
        <w:tc>
          <w:tcPr>
            <w:tcW w:type="dxa" w:w="1152"/>
          </w:tcPr>
          <w:p>
            <w:pPr>
              <w:jc w:val="right"/>
            </w:pPr>
            <w:r>
              <w:rPr>
                <w:color w:val="222222"/>
                <w:sz w:val="14"/>
              </w:rPr>
              <w:t>3,200</w:t>
            </w:r>
          </w:p>
        </w:tc>
        <w:tc>
          <w:tcPr>
            <w:tcW w:type="dxa" w:w="1152"/>
          </w:tcPr>
          <w:p>
            <w:pPr>
              <w:jc w:val="right"/>
            </w:pPr>
            <w:r>
              <w:rPr>
                <w:color w:val="222222"/>
                <w:sz w:val="14"/>
              </w:rPr>
              <w:t>3,430</w:t>
            </w:r>
          </w:p>
        </w:tc>
      </w:tr>
      <w:tr>
        <w:tc>
          <w:tcPr>
            <w:tcW w:type="dxa" w:w="2664"/>
          </w:tcPr>
          <w:p>
            <w:r>
              <w:rPr>
                <w:color w:val="222222"/>
                <w:sz w:val="14"/>
              </w:rPr>
              <w:t>Total revenue</w:t>
            </w:r>
          </w:p>
        </w:tc>
        <w:tc>
          <w:tcPr>
            <w:tcW w:type="dxa" w:w="1152"/>
          </w:tcPr>
          <w:p>
            <w:pPr>
              <w:jc w:val="right"/>
            </w:pPr>
            <w:r>
              <w:rPr>
                <w:color w:val="222222"/>
                <w:sz w:val="14"/>
              </w:rPr>
              <w:t>3,442</w:t>
            </w:r>
          </w:p>
        </w:tc>
        <w:tc>
          <w:tcPr>
            <w:tcW w:type="dxa" w:w="1152"/>
          </w:tcPr>
          <w:p>
            <w:pPr>
              <w:jc w:val="right"/>
            </w:pPr>
            <w:r>
              <w:rPr>
                <w:color w:val="222222"/>
                <w:sz w:val="14"/>
              </w:rPr>
              <w:t>3,255</w:t>
            </w:r>
          </w:p>
        </w:tc>
        <w:tc>
          <w:tcPr>
            <w:tcW w:type="dxa" w:w="1152"/>
          </w:tcPr>
          <w:p>
            <w:pPr>
              <w:jc w:val="right"/>
            </w:pPr>
            <w:r>
              <w:rPr>
                <w:color w:val="222222"/>
                <w:sz w:val="14"/>
              </w:rPr>
              <w:t>5,050</w:t>
            </w:r>
          </w:p>
        </w:tc>
        <w:tc>
          <w:tcPr>
            <w:tcW w:type="dxa" w:w="1152"/>
          </w:tcPr>
          <w:p>
            <w:pPr>
              <w:jc w:val="right"/>
            </w:pPr>
            <w:r>
              <w:rPr>
                <w:color w:val="222222"/>
                <w:sz w:val="14"/>
              </w:rPr>
              <w:t>5,550</w:t>
            </w:r>
          </w:p>
        </w:tc>
        <w:tc>
          <w:tcPr>
            <w:tcW w:type="dxa" w:w="1152"/>
          </w:tcPr>
          <w:p>
            <w:pPr>
              <w:jc w:val="right"/>
            </w:pPr>
            <w:r>
              <w:rPr>
                <w:color w:val="222222"/>
                <w:sz w:val="14"/>
              </w:rPr>
              <w:t>6,050</w:t>
            </w:r>
          </w:p>
        </w:tc>
        <w:tc>
          <w:tcPr>
            <w:tcW w:type="dxa" w:w="1152"/>
          </w:tcPr>
          <w:p>
            <w:pPr>
              <w:jc w:val="right"/>
            </w:pPr>
            <w:r>
              <w:rPr>
                <w:color w:val="222222"/>
                <w:sz w:val="14"/>
              </w:rPr>
              <w:t>6,500</w:t>
            </w:r>
          </w:p>
        </w:tc>
        <w:tc>
          <w:tcPr>
            <w:tcW w:type="dxa" w:w="1152"/>
          </w:tcPr>
          <w:p>
            <w:pPr>
              <w:jc w:val="right"/>
            </w:pPr>
            <w:r>
              <w:rPr>
                <w:color w:val="222222"/>
                <w:sz w:val="14"/>
              </w:rPr>
              <w:t>6,900</w:t>
            </w:r>
          </w:p>
        </w:tc>
        <w:tc>
          <w:tcPr>
            <w:tcW w:type="dxa" w:w="1152"/>
          </w:tcPr>
          <w:p>
            <w:pPr>
              <w:jc w:val="right"/>
            </w:pPr>
            <w:r>
              <w:rPr>
                <w:color w:val="222222"/>
                <w:sz w:val="14"/>
              </w:rPr>
              <w:t>7,300</w:t>
            </w:r>
          </w:p>
        </w:tc>
      </w:tr>
      <w:tr>
        <w:tc>
          <w:tcPr>
            <w:tcW w:type="dxa" w:w="2664"/>
          </w:tcPr>
          <w:p>
            <w:r>
              <w:rPr>
                <w:color w:val="222222"/>
                <w:sz w:val="14"/>
              </w:rPr>
              <w:t>growth YoY</w:t>
            </w:r>
          </w:p>
        </w:tc>
        <w:tc>
          <w:tcPr>
            <w:tcW w:type="dxa" w:w="1152"/>
          </w:tcPr>
          <w:p>
            <w:pPr>
              <w:jc w:val="right"/>
            </w:pPr>
            <w:r>
              <w:rPr>
                <w:color w:val="222222"/>
                <w:sz w:val="14"/>
              </w:rPr>
              <w:t>—</w:t>
            </w:r>
          </w:p>
        </w:tc>
        <w:tc>
          <w:tcPr>
            <w:tcW w:type="dxa" w:w="1152"/>
          </w:tcPr>
          <w:p>
            <w:pPr>
              <w:jc w:val="right"/>
            </w:pPr>
            <w:r>
              <w:rPr>
                <w:color w:val="222222"/>
                <w:sz w:val="14"/>
              </w:rPr>
              <w:t>-5%</w:t>
            </w:r>
          </w:p>
        </w:tc>
        <w:tc>
          <w:tcPr>
            <w:tcW w:type="dxa" w:w="1152"/>
          </w:tcPr>
          <w:p>
            <w:pPr>
              <w:jc w:val="right"/>
            </w:pPr>
            <w:r>
              <w:rPr>
                <w:color w:val="222222"/>
                <w:sz w:val="14"/>
              </w:rPr>
              <w:t>+55%</w:t>
            </w:r>
          </w:p>
        </w:tc>
        <w:tc>
          <w:tcPr>
            <w:tcW w:type="dxa" w:w="1152"/>
          </w:tcPr>
          <w:p>
            <w:pPr>
              <w:jc w:val="right"/>
            </w:pPr>
            <w:r>
              <w:rPr>
                <w:color w:val="222222"/>
                <w:sz w:val="14"/>
              </w:rPr>
              <w:t>+10%</w:t>
            </w:r>
          </w:p>
        </w:tc>
        <w:tc>
          <w:tcPr>
            <w:tcW w:type="dxa" w:w="1152"/>
          </w:tcPr>
          <w:p>
            <w:pPr>
              <w:jc w:val="right"/>
            </w:pPr>
            <w:r>
              <w:rPr>
                <w:color w:val="222222"/>
                <w:sz w:val="14"/>
              </w:rPr>
              <w:t>+9%</w:t>
            </w:r>
          </w:p>
        </w:tc>
        <w:tc>
          <w:tcPr>
            <w:tcW w:type="dxa" w:w="1152"/>
          </w:tcPr>
          <w:p>
            <w:pPr>
              <w:jc w:val="right"/>
            </w:pPr>
            <w:r>
              <w:rPr>
                <w:color w:val="222222"/>
                <w:sz w:val="14"/>
              </w:rPr>
              <w:t>+7%</w:t>
            </w:r>
          </w:p>
        </w:tc>
        <w:tc>
          <w:tcPr>
            <w:tcW w:type="dxa" w:w="1152"/>
          </w:tcPr>
          <w:p>
            <w:pPr>
              <w:jc w:val="right"/>
            </w:pPr>
            <w:r>
              <w:rPr>
                <w:color w:val="222222"/>
                <w:sz w:val="14"/>
              </w:rPr>
              <w:t>+6%</w:t>
            </w:r>
          </w:p>
        </w:tc>
        <w:tc>
          <w:tcPr>
            <w:tcW w:type="dxa" w:w="1152"/>
          </w:tcPr>
          <w:p>
            <w:pPr>
              <w:jc w:val="right"/>
            </w:pPr>
            <w:r>
              <w:rPr>
                <w:color w:val="222222"/>
                <w:sz w:val="14"/>
              </w:rPr>
              <w:t>+6%</w:t>
            </w:r>
          </w:p>
        </w:tc>
      </w:tr>
      <w:tr>
        <w:tc>
          <w:tcPr>
            <w:tcW w:type="dxa" w:w="2664"/>
          </w:tcPr>
          <w:p>
            <w:r>
              <w:rPr>
                <w:color w:val="222222"/>
                <w:sz w:val="14"/>
              </w:rPr>
              <w:t>Operating expenses</w:t>
            </w:r>
          </w:p>
        </w:tc>
        <w:tc>
          <w:tcPr>
            <w:tcW w:type="dxa" w:w="1152"/>
          </w:tcPr>
          <w:p>
            <w:pPr>
              <w:jc w:val="right"/>
            </w:pPr>
            <w:r>
              <w:rPr>
                <w:color w:val="222222"/>
                <w:sz w:val="14"/>
              </w:rPr>
              <w:t>(3,252)</w:t>
            </w:r>
          </w:p>
        </w:tc>
        <w:tc>
          <w:tcPr>
            <w:tcW w:type="dxa" w:w="1152"/>
          </w:tcPr>
          <w:p>
            <w:pPr>
              <w:jc w:val="right"/>
            </w:pPr>
            <w:r>
              <w:rPr>
                <w:color w:val="222222"/>
                <w:sz w:val="14"/>
              </w:rPr>
              <w:t>(3,103)</w:t>
            </w:r>
          </w:p>
        </w:tc>
        <w:tc>
          <w:tcPr>
            <w:tcW w:type="dxa" w:w="1152"/>
          </w:tcPr>
          <w:p>
            <w:pPr>
              <w:jc w:val="right"/>
            </w:pPr>
            <w:r>
              <w:rPr>
                <w:color w:val="222222"/>
                <w:sz w:val="14"/>
              </w:rPr>
              <w:t>(4,745)</w:t>
            </w:r>
          </w:p>
        </w:tc>
        <w:tc>
          <w:tcPr>
            <w:tcW w:type="dxa" w:w="1152"/>
          </w:tcPr>
          <w:p>
            <w:pPr>
              <w:jc w:val="right"/>
            </w:pPr>
            <w:r>
              <w:rPr>
                <w:color w:val="222222"/>
                <w:sz w:val="14"/>
              </w:rPr>
              <w:t>(5,220)</w:t>
            </w:r>
          </w:p>
        </w:tc>
        <w:tc>
          <w:tcPr>
            <w:tcW w:type="dxa" w:w="1152"/>
          </w:tcPr>
          <w:p>
            <w:pPr>
              <w:jc w:val="right"/>
            </w:pPr>
            <w:r>
              <w:rPr>
                <w:color w:val="222222"/>
                <w:sz w:val="14"/>
              </w:rPr>
              <w:t>(5,690)</w:t>
            </w:r>
          </w:p>
        </w:tc>
        <w:tc>
          <w:tcPr>
            <w:tcW w:type="dxa" w:w="1152"/>
          </w:tcPr>
          <w:p>
            <w:pPr>
              <w:jc w:val="right"/>
            </w:pPr>
            <w:r>
              <w:rPr>
                <w:color w:val="222222"/>
                <w:sz w:val="14"/>
              </w:rPr>
              <w:t>(6,112)</w:t>
            </w:r>
          </w:p>
        </w:tc>
        <w:tc>
          <w:tcPr>
            <w:tcW w:type="dxa" w:w="1152"/>
          </w:tcPr>
          <w:p>
            <w:pPr>
              <w:jc w:val="right"/>
            </w:pPr>
            <w:r>
              <w:rPr>
                <w:color w:val="222222"/>
                <w:sz w:val="14"/>
              </w:rPr>
              <w:t>(6,486)</w:t>
            </w:r>
          </w:p>
        </w:tc>
        <w:tc>
          <w:tcPr>
            <w:tcW w:type="dxa" w:w="1152"/>
          </w:tcPr>
          <w:p>
            <w:pPr>
              <w:jc w:val="right"/>
            </w:pPr>
            <w:r>
              <w:rPr>
                <w:color w:val="222222"/>
                <w:sz w:val="14"/>
              </w:rPr>
              <w:t>(6,862)</w:t>
            </w:r>
          </w:p>
        </w:tc>
      </w:tr>
      <w:tr>
        <w:tc>
          <w:tcPr>
            <w:tcW w:type="dxa" w:w="2664"/>
          </w:tcPr>
          <w:p>
            <w:r>
              <w:rPr>
                <w:color w:val="222222"/>
                <w:sz w:val="14"/>
              </w:rPr>
              <w:t>EBITDA</w:t>
            </w:r>
          </w:p>
        </w:tc>
        <w:tc>
          <w:tcPr>
            <w:tcW w:type="dxa" w:w="1152"/>
          </w:tcPr>
          <w:p>
            <w:pPr>
              <w:jc w:val="right"/>
            </w:pPr>
            <w:r>
              <w:rPr>
                <w:color w:val="222222"/>
                <w:sz w:val="14"/>
              </w:rPr>
              <w:t>190</w:t>
            </w:r>
          </w:p>
        </w:tc>
        <w:tc>
          <w:tcPr>
            <w:tcW w:type="dxa" w:w="1152"/>
          </w:tcPr>
          <w:p>
            <w:pPr>
              <w:jc w:val="right"/>
            </w:pPr>
            <w:r>
              <w:rPr>
                <w:color w:val="222222"/>
                <w:sz w:val="14"/>
              </w:rPr>
              <w:t>152</w:t>
            </w:r>
          </w:p>
        </w:tc>
        <w:tc>
          <w:tcPr>
            <w:tcW w:type="dxa" w:w="1152"/>
          </w:tcPr>
          <w:p>
            <w:pPr>
              <w:jc w:val="right"/>
            </w:pPr>
            <w:r>
              <w:rPr>
                <w:color w:val="222222"/>
                <w:sz w:val="14"/>
              </w:rPr>
              <w:t>305</w:t>
            </w:r>
          </w:p>
        </w:tc>
        <w:tc>
          <w:tcPr>
            <w:tcW w:type="dxa" w:w="1152"/>
          </w:tcPr>
          <w:p>
            <w:pPr>
              <w:jc w:val="right"/>
            </w:pPr>
            <w:r>
              <w:rPr>
                <w:color w:val="222222"/>
                <w:sz w:val="14"/>
              </w:rPr>
              <w:t>330</w:t>
            </w:r>
          </w:p>
        </w:tc>
        <w:tc>
          <w:tcPr>
            <w:tcW w:type="dxa" w:w="1152"/>
          </w:tcPr>
          <w:p>
            <w:pPr>
              <w:jc w:val="right"/>
            </w:pPr>
            <w:r>
              <w:rPr>
                <w:color w:val="222222"/>
                <w:sz w:val="14"/>
              </w:rPr>
              <w:t>360</w:t>
            </w:r>
          </w:p>
        </w:tc>
        <w:tc>
          <w:tcPr>
            <w:tcW w:type="dxa" w:w="1152"/>
          </w:tcPr>
          <w:p>
            <w:pPr>
              <w:jc w:val="right"/>
            </w:pPr>
            <w:r>
              <w:rPr>
                <w:color w:val="222222"/>
                <w:sz w:val="14"/>
              </w:rPr>
              <w:t>388</w:t>
            </w:r>
          </w:p>
        </w:tc>
        <w:tc>
          <w:tcPr>
            <w:tcW w:type="dxa" w:w="1152"/>
          </w:tcPr>
          <w:p>
            <w:pPr>
              <w:jc w:val="right"/>
            </w:pPr>
            <w:r>
              <w:rPr>
                <w:color w:val="222222"/>
                <w:sz w:val="14"/>
              </w:rPr>
              <w:t>414</w:t>
            </w:r>
          </w:p>
        </w:tc>
        <w:tc>
          <w:tcPr>
            <w:tcW w:type="dxa" w:w="1152"/>
          </w:tcPr>
          <w:p>
            <w:pPr>
              <w:jc w:val="right"/>
            </w:pPr>
            <w:r>
              <w:rPr>
                <w:color w:val="222222"/>
                <w:sz w:val="14"/>
              </w:rPr>
              <w:t>438</w:t>
            </w:r>
          </w:p>
        </w:tc>
      </w:tr>
      <w:tr>
        <w:tc>
          <w:tcPr>
            <w:tcW w:type="dxa" w:w="2664"/>
          </w:tcPr>
          <w:p>
            <w:r>
              <w:rPr>
                <w:color w:val="222222"/>
                <w:sz w:val="14"/>
              </w:rPr>
              <w:t>EBITDA margin</w:t>
            </w:r>
          </w:p>
        </w:tc>
        <w:tc>
          <w:tcPr>
            <w:tcW w:type="dxa" w:w="1152"/>
          </w:tcPr>
          <w:p>
            <w:pPr>
              <w:jc w:val="right"/>
            </w:pPr>
            <w:r>
              <w:rPr>
                <w:color w:val="222222"/>
                <w:sz w:val="14"/>
              </w:rPr>
              <w:t>5.5%</w:t>
            </w:r>
          </w:p>
        </w:tc>
        <w:tc>
          <w:tcPr>
            <w:tcW w:type="dxa" w:w="1152"/>
          </w:tcPr>
          <w:p>
            <w:pPr>
              <w:jc w:val="right"/>
            </w:pPr>
            <w:r>
              <w:rPr>
                <w:color w:val="222222"/>
                <w:sz w:val="14"/>
              </w:rPr>
              <w:t>4.7%</w:t>
            </w:r>
          </w:p>
        </w:tc>
        <w:tc>
          <w:tcPr>
            <w:tcW w:type="dxa" w:w="1152"/>
          </w:tcPr>
          <w:p>
            <w:pPr>
              <w:jc w:val="right"/>
            </w:pPr>
            <w:r>
              <w:rPr>
                <w:color w:val="222222"/>
                <w:sz w:val="14"/>
              </w:rPr>
              <w:t>6.0%</w:t>
            </w:r>
          </w:p>
        </w:tc>
        <w:tc>
          <w:tcPr>
            <w:tcW w:type="dxa" w:w="1152"/>
          </w:tcPr>
          <w:p>
            <w:pPr>
              <w:jc w:val="right"/>
            </w:pPr>
            <w:r>
              <w:rPr>
                <w:color w:val="222222"/>
                <w:sz w:val="14"/>
              </w:rPr>
              <w:t>5.9%</w:t>
            </w:r>
          </w:p>
        </w:tc>
        <w:tc>
          <w:tcPr>
            <w:tcW w:type="dxa" w:w="1152"/>
          </w:tcPr>
          <w:p>
            <w:pPr>
              <w:jc w:val="right"/>
            </w:pPr>
            <w:r>
              <w:rPr>
                <w:color w:val="222222"/>
                <w:sz w:val="14"/>
              </w:rPr>
              <w:t>6.0%</w:t>
            </w:r>
          </w:p>
        </w:tc>
        <w:tc>
          <w:tcPr>
            <w:tcW w:type="dxa" w:w="1152"/>
          </w:tcPr>
          <w:p>
            <w:pPr>
              <w:jc w:val="right"/>
            </w:pPr>
            <w:r>
              <w:rPr>
                <w:color w:val="222222"/>
                <w:sz w:val="14"/>
              </w:rPr>
              <w:t>6.0%</w:t>
            </w:r>
          </w:p>
        </w:tc>
        <w:tc>
          <w:tcPr>
            <w:tcW w:type="dxa" w:w="1152"/>
          </w:tcPr>
          <w:p>
            <w:pPr>
              <w:jc w:val="right"/>
            </w:pPr>
            <w:r>
              <w:rPr>
                <w:color w:val="222222"/>
                <w:sz w:val="14"/>
              </w:rPr>
              <w:t>6.0%</w:t>
            </w:r>
          </w:p>
        </w:tc>
        <w:tc>
          <w:tcPr>
            <w:tcW w:type="dxa" w:w="1152"/>
          </w:tcPr>
          <w:p>
            <w:pPr>
              <w:jc w:val="right"/>
            </w:pPr>
            <w:r>
              <w:rPr>
                <w:color w:val="222222"/>
                <w:sz w:val="14"/>
              </w:rPr>
              <w:t>6.0%</w:t>
            </w:r>
          </w:p>
        </w:tc>
      </w:tr>
      <w:tr>
        <w:tc>
          <w:tcPr>
            <w:tcW w:type="dxa" w:w="2664"/>
          </w:tcPr>
          <w:p>
            <w:r>
              <w:rPr>
                <w:color w:val="222222"/>
                <w:sz w:val="14"/>
              </w:rPr>
              <w:t>(−) D&amp;A</w:t>
            </w:r>
          </w:p>
        </w:tc>
        <w:tc>
          <w:tcPr>
            <w:tcW w:type="dxa" w:w="1152"/>
          </w:tcPr>
          <w:p>
            <w:pPr>
              <w:jc w:val="right"/>
            </w:pPr>
            <w:r>
              <w:rPr>
                <w:color w:val="222222"/>
                <w:sz w:val="14"/>
              </w:rPr>
              <w:t>(30)</w:t>
            </w:r>
          </w:p>
        </w:tc>
        <w:tc>
          <w:tcPr>
            <w:tcW w:type="dxa" w:w="1152"/>
          </w:tcPr>
          <w:p>
            <w:pPr>
              <w:jc w:val="right"/>
            </w:pPr>
            <w:r>
              <w:rPr>
                <w:color w:val="222222"/>
                <w:sz w:val="14"/>
              </w:rPr>
              <w:t>(31)</w:t>
            </w:r>
          </w:p>
        </w:tc>
        <w:tc>
          <w:tcPr>
            <w:tcW w:type="dxa" w:w="1152"/>
          </w:tcPr>
          <w:p>
            <w:pPr>
              <w:jc w:val="right"/>
            </w:pPr>
            <w:r>
              <w:rPr>
                <w:color w:val="222222"/>
                <w:sz w:val="14"/>
              </w:rPr>
              <w:t>(45)</w:t>
            </w:r>
          </w:p>
        </w:tc>
        <w:tc>
          <w:tcPr>
            <w:tcW w:type="dxa" w:w="1152"/>
          </w:tcPr>
          <w:p>
            <w:pPr>
              <w:jc w:val="right"/>
            </w:pPr>
            <w:r>
              <w:rPr>
                <w:color w:val="222222"/>
                <w:sz w:val="14"/>
              </w:rPr>
              <w:t>(50)</w:t>
            </w:r>
          </w:p>
        </w:tc>
        <w:tc>
          <w:tcPr>
            <w:tcW w:type="dxa" w:w="1152"/>
          </w:tcPr>
          <w:p>
            <w:pPr>
              <w:jc w:val="right"/>
            </w:pPr>
            <w:r>
              <w:rPr>
                <w:color w:val="222222"/>
                <w:sz w:val="14"/>
              </w:rPr>
              <w:t>(55)</w:t>
            </w:r>
          </w:p>
        </w:tc>
        <w:tc>
          <w:tcPr>
            <w:tcW w:type="dxa" w:w="1152"/>
          </w:tcPr>
          <w:p>
            <w:pPr>
              <w:jc w:val="right"/>
            </w:pPr>
            <w:r>
              <w:rPr>
                <w:color w:val="222222"/>
                <w:sz w:val="14"/>
              </w:rPr>
              <w:t>(59)</w:t>
            </w:r>
          </w:p>
        </w:tc>
        <w:tc>
          <w:tcPr>
            <w:tcW w:type="dxa" w:w="1152"/>
          </w:tcPr>
          <w:p>
            <w:pPr>
              <w:jc w:val="right"/>
            </w:pPr>
            <w:r>
              <w:rPr>
                <w:color w:val="222222"/>
                <w:sz w:val="14"/>
              </w:rPr>
              <w:t>(62)</w:t>
            </w:r>
          </w:p>
        </w:tc>
        <w:tc>
          <w:tcPr>
            <w:tcW w:type="dxa" w:w="1152"/>
          </w:tcPr>
          <w:p>
            <w:pPr>
              <w:jc w:val="right"/>
            </w:pPr>
            <w:r>
              <w:rPr>
                <w:color w:val="222222"/>
                <w:sz w:val="14"/>
              </w:rPr>
              <w:t>(66)</w:t>
            </w:r>
          </w:p>
        </w:tc>
      </w:tr>
      <w:tr>
        <w:tc>
          <w:tcPr>
            <w:tcW w:type="dxa" w:w="2664"/>
          </w:tcPr>
          <w:p>
            <w:r>
              <w:rPr>
                <w:color w:val="222222"/>
                <w:sz w:val="14"/>
              </w:rPr>
              <w:t>Operating profit (EBIT)</w:t>
            </w:r>
          </w:p>
        </w:tc>
        <w:tc>
          <w:tcPr>
            <w:tcW w:type="dxa" w:w="1152"/>
          </w:tcPr>
          <w:p>
            <w:pPr>
              <w:jc w:val="right"/>
            </w:pPr>
            <w:r>
              <w:rPr>
                <w:color w:val="222222"/>
                <w:sz w:val="14"/>
              </w:rPr>
              <w:t>160</w:t>
            </w:r>
          </w:p>
        </w:tc>
        <w:tc>
          <w:tcPr>
            <w:tcW w:type="dxa" w:w="1152"/>
          </w:tcPr>
          <w:p>
            <w:pPr>
              <w:jc w:val="right"/>
            </w:pPr>
            <w:r>
              <w:rPr>
                <w:color w:val="222222"/>
                <w:sz w:val="14"/>
              </w:rPr>
              <w:t>121</w:t>
            </w:r>
          </w:p>
        </w:tc>
        <w:tc>
          <w:tcPr>
            <w:tcW w:type="dxa" w:w="1152"/>
          </w:tcPr>
          <w:p>
            <w:pPr>
              <w:jc w:val="right"/>
            </w:pPr>
            <w:r>
              <w:rPr>
                <w:color w:val="222222"/>
                <w:sz w:val="14"/>
              </w:rPr>
              <w:t>260</w:t>
            </w:r>
          </w:p>
        </w:tc>
        <w:tc>
          <w:tcPr>
            <w:tcW w:type="dxa" w:w="1152"/>
          </w:tcPr>
          <w:p>
            <w:pPr>
              <w:jc w:val="right"/>
            </w:pPr>
            <w:r>
              <w:rPr>
                <w:color w:val="222222"/>
                <w:sz w:val="14"/>
              </w:rPr>
              <w:t>280</w:t>
            </w:r>
          </w:p>
        </w:tc>
        <w:tc>
          <w:tcPr>
            <w:tcW w:type="dxa" w:w="1152"/>
          </w:tcPr>
          <w:p>
            <w:pPr>
              <w:jc w:val="right"/>
            </w:pPr>
            <w:r>
              <w:rPr>
                <w:color w:val="222222"/>
                <w:sz w:val="14"/>
              </w:rPr>
              <w:t>305</w:t>
            </w:r>
          </w:p>
        </w:tc>
        <w:tc>
          <w:tcPr>
            <w:tcW w:type="dxa" w:w="1152"/>
          </w:tcPr>
          <w:p>
            <w:pPr>
              <w:jc w:val="right"/>
            </w:pPr>
            <w:r>
              <w:rPr>
                <w:color w:val="222222"/>
                <w:sz w:val="14"/>
              </w:rPr>
              <w:t>329</w:t>
            </w:r>
          </w:p>
        </w:tc>
        <w:tc>
          <w:tcPr>
            <w:tcW w:type="dxa" w:w="1152"/>
          </w:tcPr>
          <w:p>
            <w:pPr>
              <w:jc w:val="right"/>
            </w:pPr>
            <w:r>
              <w:rPr>
                <w:color w:val="222222"/>
                <w:sz w:val="14"/>
              </w:rPr>
              <w:t>352</w:t>
            </w:r>
          </w:p>
        </w:tc>
        <w:tc>
          <w:tcPr>
            <w:tcW w:type="dxa" w:w="1152"/>
          </w:tcPr>
          <w:p>
            <w:pPr>
              <w:jc w:val="right"/>
            </w:pPr>
            <w:r>
              <w:rPr>
                <w:color w:val="222222"/>
                <w:sz w:val="14"/>
              </w:rPr>
              <w:t>372</w:t>
            </w:r>
          </w:p>
        </w:tc>
      </w:tr>
      <w:tr>
        <w:tc>
          <w:tcPr>
            <w:tcW w:type="dxa" w:w="2664"/>
          </w:tcPr>
          <w:p>
            <w:r>
              <w:rPr>
                <w:color w:val="222222"/>
                <w:sz w:val="14"/>
              </w:rPr>
              <w:t>Net finance, FX &amp; associates</w:t>
            </w:r>
          </w:p>
        </w:tc>
        <w:tc>
          <w:tcPr>
            <w:tcW w:type="dxa" w:w="1152"/>
          </w:tcPr>
          <w:p>
            <w:pPr>
              <w:jc w:val="right"/>
            </w:pPr>
            <w:r>
              <w:rPr>
                <w:color w:val="222222"/>
                <w:sz w:val="14"/>
              </w:rPr>
              <w:t>50</w:t>
            </w:r>
          </w:p>
        </w:tc>
        <w:tc>
          <w:tcPr>
            <w:tcW w:type="dxa" w:w="1152"/>
          </w:tcPr>
          <w:p>
            <w:pPr>
              <w:jc w:val="right"/>
            </w:pPr>
            <w:r>
              <w:rPr>
                <w:color w:val="222222"/>
                <w:sz w:val="14"/>
              </w:rPr>
              <w:t>29</w:t>
            </w:r>
          </w:p>
        </w:tc>
        <w:tc>
          <w:tcPr>
            <w:tcW w:type="dxa" w:w="1152"/>
          </w:tcPr>
          <w:p>
            <w:pPr>
              <w:jc w:val="right"/>
            </w:pPr>
            <w:r>
              <w:rPr>
                <w:color w:val="222222"/>
                <w:sz w:val="14"/>
              </w:rPr>
              <w:t>14</w:t>
            </w:r>
          </w:p>
        </w:tc>
        <w:tc>
          <w:tcPr>
            <w:tcW w:type="dxa" w:w="1152"/>
          </w:tcPr>
          <w:p>
            <w:pPr>
              <w:jc w:val="right"/>
            </w:pPr>
            <w:r>
              <w:rPr>
                <w:color w:val="222222"/>
                <w:sz w:val="14"/>
              </w:rPr>
              <w:t>18</w:t>
            </w:r>
          </w:p>
        </w:tc>
        <w:tc>
          <w:tcPr>
            <w:tcW w:type="dxa" w:w="1152"/>
          </w:tcPr>
          <w:p>
            <w:pPr>
              <w:jc w:val="right"/>
            </w:pPr>
            <w:r>
              <w:rPr>
                <w:color w:val="222222"/>
                <w:sz w:val="14"/>
              </w:rPr>
              <w:t>23</w:t>
            </w:r>
          </w:p>
        </w:tc>
        <w:tc>
          <w:tcPr>
            <w:tcW w:type="dxa" w:w="1152"/>
          </w:tcPr>
          <w:p>
            <w:pPr>
              <w:jc w:val="right"/>
            </w:pPr>
            <w:r>
              <w:rPr>
                <w:color w:val="222222"/>
                <w:sz w:val="14"/>
              </w:rPr>
              <w:t>32</w:t>
            </w:r>
          </w:p>
        </w:tc>
        <w:tc>
          <w:tcPr>
            <w:tcW w:type="dxa" w:w="1152"/>
          </w:tcPr>
          <w:p>
            <w:pPr>
              <w:jc w:val="right"/>
            </w:pPr>
            <w:r>
              <w:rPr>
                <w:color w:val="222222"/>
                <w:sz w:val="14"/>
              </w:rPr>
              <w:t>40</w:t>
            </w:r>
          </w:p>
        </w:tc>
        <w:tc>
          <w:tcPr>
            <w:tcW w:type="dxa" w:w="1152"/>
          </w:tcPr>
          <w:p>
            <w:pPr>
              <w:jc w:val="right"/>
            </w:pPr>
            <w:r>
              <w:rPr>
                <w:color w:val="222222"/>
                <w:sz w:val="14"/>
              </w:rPr>
              <w:t>48</w:t>
            </w:r>
          </w:p>
        </w:tc>
      </w:tr>
      <w:tr>
        <w:tc>
          <w:tcPr>
            <w:tcW w:type="dxa" w:w="2664"/>
          </w:tcPr>
          <w:p>
            <w:r>
              <w:rPr>
                <w:color w:val="222222"/>
                <w:sz w:val="14"/>
              </w:rPr>
              <w:t>Pre-tax profit</w:t>
            </w:r>
          </w:p>
        </w:tc>
        <w:tc>
          <w:tcPr>
            <w:tcW w:type="dxa" w:w="1152"/>
          </w:tcPr>
          <w:p>
            <w:pPr>
              <w:jc w:val="right"/>
            </w:pPr>
            <w:r>
              <w:rPr>
                <w:color w:val="222222"/>
                <w:sz w:val="14"/>
              </w:rPr>
              <w:t>210</w:t>
            </w:r>
          </w:p>
        </w:tc>
        <w:tc>
          <w:tcPr>
            <w:tcW w:type="dxa" w:w="1152"/>
          </w:tcPr>
          <w:p>
            <w:pPr>
              <w:jc w:val="right"/>
            </w:pPr>
            <w:r>
              <w:rPr>
                <w:color w:val="222222"/>
                <w:sz w:val="14"/>
              </w:rPr>
              <w:t>150</w:t>
            </w:r>
          </w:p>
        </w:tc>
        <w:tc>
          <w:tcPr>
            <w:tcW w:type="dxa" w:w="1152"/>
          </w:tcPr>
          <w:p>
            <w:pPr>
              <w:jc w:val="right"/>
            </w:pPr>
            <w:r>
              <w:rPr>
                <w:color w:val="222222"/>
                <w:sz w:val="14"/>
              </w:rPr>
              <w:t>274</w:t>
            </w:r>
          </w:p>
        </w:tc>
        <w:tc>
          <w:tcPr>
            <w:tcW w:type="dxa" w:w="1152"/>
          </w:tcPr>
          <w:p>
            <w:pPr>
              <w:jc w:val="right"/>
            </w:pPr>
            <w:r>
              <w:rPr>
                <w:color w:val="222222"/>
                <w:sz w:val="14"/>
              </w:rPr>
              <w:t>298</w:t>
            </w:r>
          </w:p>
        </w:tc>
        <w:tc>
          <w:tcPr>
            <w:tcW w:type="dxa" w:w="1152"/>
          </w:tcPr>
          <w:p>
            <w:pPr>
              <w:jc w:val="right"/>
            </w:pPr>
            <w:r>
              <w:rPr>
                <w:color w:val="222222"/>
                <w:sz w:val="14"/>
              </w:rPr>
              <w:t>328</w:t>
            </w:r>
          </w:p>
        </w:tc>
        <w:tc>
          <w:tcPr>
            <w:tcW w:type="dxa" w:w="1152"/>
          </w:tcPr>
          <w:p>
            <w:pPr>
              <w:jc w:val="right"/>
            </w:pPr>
            <w:r>
              <w:rPr>
                <w:color w:val="222222"/>
                <w:sz w:val="14"/>
              </w:rPr>
              <w:t>361</w:t>
            </w:r>
          </w:p>
        </w:tc>
        <w:tc>
          <w:tcPr>
            <w:tcW w:type="dxa" w:w="1152"/>
          </w:tcPr>
          <w:p>
            <w:pPr>
              <w:jc w:val="right"/>
            </w:pPr>
            <w:r>
              <w:rPr>
                <w:color w:val="222222"/>
                <w:sz w:val="14"/>
              </w:rPr>
              <w:t>392</w:t>
            </w:r>
          </w:p>
        </w:tc>
        <w:tc>
          <w:tcPr>
            <w:tcW w:type="dxa" w:w="1152"/>
          </w:tcPr>
          <w:p>
            <w:pPr>
              <w:jc w:val="right"/>
            </w:pPr>
            <w:r>
              <w:rPr>
                <w:color w:val="222222"/>
                <w:sz w:val="14"/>
              </w:rPr>
              <w:t>420</w:t>
            </w:r>
          </w:p>
        </w:tc>
      </w:tr>
      <w:tr>
        <w:tc>
          <w:tcPr>
            <w:tcW w:type="dxa" w:w="2664"/>
          </w:tcPr>
          <w:p>
            <w:r>
              <w:rPr>
                <w:color w:val="222222"/>
                <w:sz w:val="14"/>
              </w:rPr>
              <w:t>Tax &amp; minorities</w:t>
            </w:r>
          </w:p>
        </w:tc>
        <w:tc>
          <w:tcPr>
            <w:tcW w:type="dxa" w:w="1152"/>
          </w:tcPr>
          <w:p>
            <w:pPr>
              <w:jc w:val="right"/>
            </w:pPr>
            <w:r>
              <w:rPr>
                <w:color w:val="222222"/>
                <w:sz w:val="14"/>
              </w:rPr>
              <w:t>(51)</w:t>
            </w:r>
          </w:p>
        </w:tc>
        <w:tc>
          <w:tcPr>
            <w:tcW w:type="dxa" w:w="1152"/>
          </w:tcPr>
          <w:p>
            <w:pPr>
              <w:jc w:val="right"/>
            </w:pPr>
            <w:r>
              <w:rPr>
                <w:color w:val="222222"/>
                <w:sz w:val="14"/>
              </w:rPr>
              <w:t>(32)</w:t>
            </w:r>
          </w:p>
        </w:tc>
        <w:tc>
          <w:tcPr>
            <w:tcW w:type="dxa" w:w="1152"/>
          </w:tcPr>
          <w:p>
            <w:pPr>
              <w:jc w:val="right"/>
            </w:pPr>
            <w:r>
              <w:rPr>
                <w:color w:val="222222"/>
                <w:sz w:val="14"/>
              </w:rPr>
              <w:t>(79)</w:t>
            </w:r>
          </w:p>
        </w:tc>
        <w:tc>
          <w:tcPr>
            <w:tcW w:type="dxa" w:w="1152"/>
          </w:tcPr>
          <w:p>
            <w:pPr>
              <w:jc w:val="right"/>
            </w:pPr>
            <w:r>
              <w:rPr>
                <w:color w:val="222222"/>
                <w:sz w:val="14"/>
              </w:rPr>
              <w:t>(88)</w:t>
            </w:r>
          </w:p>
        </w:tc>
        <w:tc>
          <w:tcPr>
            <w:tcW w:type="dxa" w:w="1152"/>
          </w:tcPr>
          <w:p>
            <w:pPr>
              <w:jc w:val="right"/>
            </w:pPr>
            <w:r>
              <w:rPr>
                <w:color w:val="222222"/>
                <w:sz w:val="14"/>
              </w:rPr>
              <w:t>(100)</w:t>
            </w:r>
          </w:p>
        </w:tc>
        <w:tc>
          <w:tcPr>
            <w:tcW w:type="dxa" w:w="1152"/>
          </w:tcPr>
          <w:p>
            <w:pPr>
              <w:jc w:val="right"/>
            </w:pPr>
            <w:r>
              <w:rPr>
                <w:color w:val="222222"/>
                <w:sz w:val="14"/>
              </w:rPr>
              <w:t>(115)</w:t>
            </w:r>
          </w:p>
        </w:tc>
        <w:tc>
          <w:tcPr>
            <w:tcW w:type="dxa" w:w="1152"/>
          </w:tcPr>
          <w:p>
            <w:pPr>
              <w:jc w:val="right"/>
            </w:pPr>
            <w:r>
              <w:rPr>
                <w:color w:val="222222"/>
                <w:sz w:val="14"/>
              </w:rPr>
              <w:t>(127)</w:t>
            </w:r>
          </w:p>
        </w:tc>
        <w:tc>
          <w:tcPr>
            <w:tcW w:type="dxa" w:w="1152"/>
          </w:tcPr>
          <w:p>
            <w:pPr>
              <w:jc w:val="right"/>
            </w:pPr>
            <w:r>
              <w:rPr>
                <w:color w:val="222222"/>
                <w:sz w:val="14"/>
              </w:rPr>
              <w:t>(139)</w:t>
            </w:r>
          </w:p>
        </w:tc>
      </w:tr>
      <w:tr>
        <w:tc>
          <w:tcPr>
            <w:tcW w:type="dxa" w:w="2664"/>
          </w:tcPr>
          <w:p>
            <w:r>
              <w:rPr>
                <w:color w:val="222222"/>
                <w:sz w:val="14"/>
              </w:rPr>
              <w:t>Net income (attrib.)</w:t>
            </w:r>
          </w:p>
        </w:tc>
        <w:tc>
          <w:tcPr>
            <w:tcW w:type="dxa" w:w="1152"/>
          </w:tcPr>
          <w:p>
            <w:pPr>
              <w:jc w:val="right"/>
            </w:pPr>
            <w:r>
              <w:rPr>
                <w:color w:val="222222"/>
                <w:sz w:val="14"/>
              </w:rPr>
              <w:t>159</w:t>
            </w:r>
          </w:p>
        </w:tc>
        <w:tc>
          <w:tcPr>
            <w:tcW w:type="dxa" w:w="1152"/>
          </w:tcPr>
          <w:p>
            <w:pPr>
              <w:jc w:val="right"/>
            </w:pPr>
            <w:r>
              <w:rPr>
                <w:color w:val="222222"/>
                <w:sz w:val="14"/>
              </w:rPr>
              <w:t>118</w:t>
            </w:r>
          </w:p>
        </w:tc>
        <w:tc>
          <w:tcPr>
            <w:tcW w:type="dxa" w:w="1152"/>
          </w:tcPr>
          <w:p>
            <w:pPr>
              <w:jc w:val="right"/>
            </w:pPr>
            <w:r>
              <w:rPr>
                <w:color w:val="222222"/>
                <w:sz w:val="14"/>
              </w:rPr>
              <w:t>195</w:t>
            </w:r>
          </w:p>
        </w:tc>
        <w:tc>
          <w:tcPr>
            <w:tcW w:type="dxa" w:w="1152"/>
          </w:tcPr>
          <w:p>
            <w:pPr>
              <w:jc w:val="right"/>
            </w:pPr>
            <w:r>
              <w:rPr>
                <w:color w:val="222222"/>
                <w:sz w:val="14"/>
              </w:rPr>
              <w:t>210</w:t>
            </w:r>
          </w:p>
        </w:tc>
        <w:tc>
          <w:tcPr>
            <w:tcW w:type="dxa" w:w="1152"/>
          </w:tcPr>
          <w:p>
            <w:pPr>
              <w:jc w:val="right"/>
            </w:pPr>
            <w:r>
              <w:rPr>
                <w:color w:val="222222"/>
                <w:sz w:val="14"/>
              </w:rPr>
              <w:t>228</w:t>
            </w:r>
          </w:p>
        </w:tc>
        <w:tc>
          <w:tcPr>
            <w:tcW w:type="dxa" w:w="1152"/>
          </w:tcPr>
          <w:p>
            <w:pPr>
              <w:jc w:val="right"/>
            </w:pPr>
            <w:r>
              <w:rPr>
                <w:color w:val="222222"/>
                <w:sz w:val="14"/>
              </w:rPr>
              <w:t>246</w:t>
            </w:r>
          </w:p>
        </w:tc>
        <w:tc>
          <w:tcPr>
            <w:tcW w:type="dxa" w:w="1152"/>
          </w:tcPr>
          <w:p>
            <w:pPr>
              <w:jc w:val="right"/>
            </w:pPr>
            <w:r>
              <w:rPr>
                <w:color w:val="222222"/>
                <w:sz w:val="14"/>
              </w:rPr>
              <w:t>265</w:t>
            </w:r>
          </w:p>
        </w:tc>
        <w:tc>
          <w:tcPr>
            <w:tcW w:type="dxa" w:w="1152"/>
          </w:tcPr>
          <w:p>
            <w:pPr>
              <w:jc w:val="right"/>
            </w:pPr>
            <w:r>
              <w:rPr>
                <w:color w:val="222222"/>
                <w:sz w:val="14"/>
              </w:rPr>
              <w:t>281</w:t>
            </w:r>
          </w:p>
        </w:tc>
      </w:tr>
      <w:tr>
        <w:tc>
          <w:tcPr>
            <w:tcW w:type="dxa" w:w="2664"/>
          </w:tcPr>
          <w:p>
            <w:r>
              <w:rPr>
                <w:color w:val="222222"/>
                <w:sz w:val="14"/>
              </w:rPr>
              <w:t>net margin</w:t>
            </w:r>
          </w:p>
        </w:tc>
        <w:tc>
          <w:tcPr>
            <w:tcW w:type="dxa" w:w="1152"/>
          </w:tcPr>
          <w:p>
            <w:pPr>
              <w:jc w:val="right"/>
            </w:pPr>
            <w:r>
              <w:rPr>
                <w:color w:val="222222"/>
                <w:sz w:val="14"/>
              </w:rPr>
              <w:t>4.6%</w:t>
            </w:r>
          </w:p>
        </w:tc>
        <w:tc>
          <w:tcPr>
            <w:tcW w:type="dxa" w:w="1152"/>
          </w:tcPr>
          <w:p>
            <w:pPr>
              <w:jc w:val="right"/>
            </w:pPr>
            <w:r>
              <w:rPr>
                <w:color w:val="222222"/>
                <w:sz w:val="14"/>
              </w:rPr>
              <w:t>3.6%</w:t>
            </w:r>
          </w:p>
        </w:tc>
        <w:tc>
          <w:tcPr>
            <w:tcW w:type="dxa" w:w="1152"/>
          </w:tcPr>
          <w:p>
            <w:pPr>
              <w:jc w:val="right"/>
            </w:pPr>
            <w:r>
              <w:rPr>
                <w:color w:val="222222"/>
                <w:sz w:val="14"/>
              </w:rPr>
              <w:t>3.9%</w:t>
            </w:r>
          </w:p>
        </w:tc>
        <w:tc>
          <w:tcPr>
            <w:tcW w:type="dxa" w:w="1152"/>
          </w:tcPr>
          <w:p>
            <w:pPr>
              <w:jc w:val="right"/>
            </w:pPr>
            <w:r>
              <w:rPr>
                <w:color w:val="222222"/>
                <w:sz w:val="14"/>
              </w:rPr>
              <w:t>3.8%</w:t>
            </w:r>
          </w:p>
        </w:tc>
        <w:tc>
          <w:tcPr>
            <w:tcW w:type="dxa" w:w="1152"/>
          </w:tcPr>
          <w:p>
            <w:pPr>
              <w:jc w:val="right"/>
            </w:pPr>
            <w:r>
              <w:rPr>
                <w:color w:val="222222"/>
                <w:sz w:val="14"/>
              </w:rPr>
              <w:t>3.8%</w:t>
            </w:r>
          </w:p>
        </w:tc>
        <w:tc>
          <w:tcPr>
            <w:tcW w:type="dxa" w:w="1152"/>
          </w:tcPr>
          <w:p>
            <w:pPr>
              <w:jc w:val="right"/>
            </w:pPr>
            <w:r>
              <w:rPr>
                <w:color w:val="222222"/>
                <w:sz w:val="14"/>
              </w:rPr>
              <w:t>3.8%</w:t>
            </w:r>
          </w:p>
        </w:tc>
        <w:tc>
          <w:tcPr>
            <w:tcW w:type="dxa" w:w="1152"/>
          </w:tcPr>
          <w:p>
            <w:pPr>
              <w:jc w:val="right"/>
            </w:pPr>
            <w:r>
              <w:rPr>
                <w:color w:val="222222"/>
                <w:sz w:val="14"/>
              </w:rPr>
              <w:t>3.8%</w:t>
            </w:r>
          </w:p>
        </w:tc>
        <w:tc>
          <w:tcPr>
            <w:tcW w:type="dxa" w:w="1152"/>
          </w:tcPr>
          <w:p>
            <w:pPr>
              <w:jc w:val="right"/>
            </w:pPr>
            <w:r>
              <w:rPr>
                <w:color w:val="222222"/>
                <w:sz w:val="14"/>
              </w:rPr>
              <w:t>3.9%</w:t>
            </w:r>
          </w:p>
        </w:tc>
      </w:tr>
      <w:tr>
        <w:tc>
          <w:tcPr>
            <w:tcW w:type="dxa" w:w="2664"/>
          </w:tcPr>
          <w:p>
            <w:r>
              <w:rPr>
                <w:color w:val="222222"/>
                <w:sz w:val="14"/>
              </w:rPr>
              <w:t>of which one-offs</w:t>
            </w:r>
          </w:p>
        </w:tc>
        <w:tc>
          <w:tcPr>
            <w:tcW w:type="dxa" w:w="1152"/>
          </w:tcPr>
          <w:p>
            <w:pPr>
              <w:jc w:val="right"/>
            </w:pPr>
            <w:r>
              <w:rPr>
                <w:color w:val="222222"/>
                <w:sz w:val="14"/>
              </w:rPr>
              <w:t>107</w:t>
            </w:r>
          </w:p>
        </w:tc>
        <w:tc>
          <w:tcPr>
            <w:tcW w:type="dxa" w:w="1152"/>
          </w:tcPr>
          <w:p>
            <w:pPr>
              <w:jc w:val="right"/>
            </w:pPr>
            <w:r>
              <w:rPr>
                <w:color w:val="222222"/>
                <w:sz w:val="14"/>
              </w:rPr>
              <w:t>0</w:t>
            </w:r>
          </w:p>
        </w:tc>
        <w:tc>
          <w:tcPr>
            <w:tcW w:type="dxa" w:w="1152"/>
          </w:tcPr>
          <w:p>
            <w:pPr>
              <w:jc w:val="right"/>
            </w:pPr>
            <w:r>
              <w:rPr>
                <w:color w:val="222222"/>
                <w:sz w:val="14"/>
              </w:rPr>
              <w:t>29</w:t>
            </w:r>
          </w:p>
        </w:tc>
        <w:tc>
          <w:tcPr>
            <w:tcW w:type="dxa" w:w="1152"/>
          </w:tcPr>
          <w:p>
            <w:pPr>
              <w:jc w:val="right"/>
            </w:pPr>
            <w:r>
              <w:rPr>
                <w:color w:val="222222"/>
                <w:sz w:val="14"/>
              </w:rPr>
              <w:t>0</w:t>
            </w:r>
          </w:p>
        </w:tc>
        <w:tc>
          <w:tcPr>
            <w:tcW w:type="dxa" w:w="1152"/>
          </w:tcPr>
          <w:p>
            <w:pPr>
              <w:jc w:val="right"/>
            </w:pPr>
            <w:r>
              <w:rPr>
                <w:color w:val="222222"/>
                <w:sz w:val="14"/>
              </w:rPr>
              <w:t>0</w:t>
            </w:r>
          </w:p>
        </w:tc>
        <w:tc>
          <w:tcPr>
            <w:tcW w:type="dxa" w:w="1152"/>
          </w:tcPr>
          <w:p>
            <w:pPr>
              <w:jc w:val="right"/>
            </w:pPr>
            <w:r>
              <w:rPr>
                <w:color w:val="222222"/>
                <w:sz w:val="14"/>
              </w:rPr>
              <w:t>0</w:t>
            </w:r>
          </w:p>
        </w:tc>
        <w:tc>
          <w:tcPr>
            <w:tcW w:type="dxa" w:w="1152"/>
          </w:tcPr>
          <w:p>
            <w:pPr>
              <w:jc w:val="right"/>
            </w:pPr>
            <w:r>
              <w:rPr>
                <w:color w:val="222222"/>
                <w:sz w:val="14"/>
              </w:rPr>
              <w:t>0</w:t>
            </w:r>
          </w:p>
        </w:tc>
        <w:tc>
          <w:tcPr>
            <w:tcW w:type="dxa" w:w="1152"/>
          </w:tcPr>
          <w:p>
            <w:pPr>
              <w:jc w:val="right"/>
            </w:pPr>
            <w:r>
              <w:rPr>
                <w:color w:val="222222"/>
                <w:sz w:val="14"/>
              </w:rPr>
              <w:t>0</w:t>
            </w:r>
          </w:p>
        </w:tc>
      </w:tr>
      <w:tr>
        <w:tc>
          <w:tcPr>
            <w:tcW w:type="dxa" w:w="2664"/>
          </w:tcPr>
          <w:p>
            <w:r>
              <w:rPr>
                <w:color w:val="222222"/>
                <w:sz w:val="14"/>
              </w:rPr>
              <w:t>Adjusted net income</w:t>
            </w:r>
          </w:p>
        </w:tc>
        <w:tc>
          <w:tcPr>
            <w:tcW w:type="dxa" w:w="1152"/>
          </w:tcPr>
          <w:p>
            <w:pPr>
              <w:jc w:val="right"/>
            </w:pPr>
            <w:r>
              <w:rPr>
                <w:color w:val="222222"/>
                <w:sz w:val="14"/>
              </w:rPr>
              <w:t>52</w:t>
            </w:r>
          </w:p>
        </w:tc>
        <w:tc>
          <w:tcPr>
            <w:tcW w:type="dxa" w:w="1152"/>
          </w:tcPr>
          <w:p>
            <w:pPr>
              <w:jc w:val="right"/>
            </w:pPr>
            <w:r>
              <w:rPr>
                <w:color w:val="222222"/>
                <w:sz w:val="14"/>
              </w:rPr>
              <w:t>118</w:t>
            </w:r>
          </w:p>
        </w:tc>
        <w:tc>
          <w:tcPr>
            <w:tcW w:type="dxa" w:w="1152"/>
          </w:tcPr>
          <w:p>
            <w:pPr>
              <w:jc w:val="right"/>
            </w:pPr>
            <w:r>
              <w:rPr>
                <w:color w:val="222222"/>
                <w:sz w:val="14"/>
              </w:rPr>
              <w:t>166</w:t>
            </w:r>
          </w:p>
        </w:tc>
        <w:tc>
          <w:tcPr>
            <w:tcW w:type="dxa" w:w="1152"/>
          </w:tcPr>
          <w:p>
            <w:pPr>
              <w:jc w:val="right"/>
            </w:pPr>
            <w:r>
              <w:rPr>
                <w:color w:val="222222"/>
                <w:sz w:val="14"/>
              </w:rPr>
              <w:t>210</w:t>
            </w:r>
          </w:p>
        </w:tc>
        <w:tc>
          <w:tcPr>
            <w:tcW w:type="dxa" w:w="1152"/>
          </w:tcPr>
          <w:p>
            <w:pPr>
              <w:jc w:val="right"/>
            </w:pPr>
            <w:r>
              <w:rPr>
                <w:color w:val="222222"/>
                <w:sz w:val="14"/>
              </w:rPr>
              <w:t>228</w:t>
            </w:r>
          </w:p>
        </w:tc>
        <w:tc>
          <w:tcPr>
            <w:tcW w:type="dxa" w:w="1152"/>
          </w:tcPr>
          <w:p>
            <w:pPr>
              <w:jc w:val="right"/>
            </w:pPr>
            <w:r>
              <w:rPr>
                <w:color w:val="222222"/>
                <w:sz w:val="14"/>
              </w:rPr>
              <w:t>246</w:t>
            </w:r>
          </w:p>
        </w:tc>
        <w:tc>
          <w:tcPr>
            <w:tcW w:type="dxa" w:w="1152"/>
          </w:tcPr>
          <w:p>
            <w:pPr>
              <w:jc w:val="right"/>
            </w:pPr>
            <w:r>
              <w:rPr>
                <w:color w:val="222222"/>
                <w:sz w:val="14"/>
              </w:rPr>
              <w:t>265</w:t>
            </w:r>
          </w:p>
        </w:tc>
        <w:tc>
          <w:tcPr>
            <w:tcW w:type="dxa" w:w="1152"/>
          </w:tcPr>
          <w:p>
            <w:pPr>
              <w:jc w:val="right"/>
            </w:pPr>
            <w:r>
              <w:rPr>
                <w:color w:val="222222"/>
                <w:sz w:val="14"/>
              </w:rPr>
              <w:t>281</w:t>
            </w:r>
          </w:p>
        </w:tc>
      </w:tr>
      <w:tr>
        <w:tc>
          <w:tcPr>
            <w:tcW w:type="dxa" w:w="2664"/>
          </w:tcPr>
          <w:p>
            <w:r>
              <w:rPr>
                <w:color w:val="222222"/>
                <w:sz w:val="14"/>
              </w:rPr>
              <w:t>EPS (USD)</w:t>
            </w:r>
          </w:p>
        </w:tc>
        <w:tc>
          <w:tcPr>
            <w:tcW w:type="dxa" w:w="1152"/>
          </w:tcPr>
          <w:p>
            <w:pPr>
              <w:jc w:val="right"/>
            </w:pPr>
            <w:r>
              <w:rPr>
                <w:color w:val="222222"/>
                <w:sz w:val="14"/>
              </w:rPr>
              <w:t>1.44</w:t>
            </w:r>
          </w:p>
        </w:tc>
        <w:tc>
          <w:tcPr>
            <w:tcW w:type="dxa" w:w="1152"/>
          </w:tcPr>
          <w:p>
            <w:pPr>
              <w:jc w:val="right"/>
            </w:pPr>
            <w:r>
              <w:rPr>
                <w:color w:val="222222"/>
                <w:sz w:val="14"/>
              </w:rPr>
              <w:t>1.07</w:t>
            </w:r>
          </w:p>
        </w:tc>
        <w:tc>
          <w:tcPr>
            <w:tcW w:type="dxa" w:w="1152"/>
          </w:tcPr>
          <w:p>
            <w:pPr>
              <w:jc w:val="right"/>
            </w:pPr>
            <w:r>
              <w:rPr>
                <w:color w:val="222222"/>
                <w:sz w:val="14"/>
              </w:rPr>
              <w:t>1.77</w:t>
            </w:r>
          </w:p>
        </w:tc>
        <w:tc>
          <w:tcPr>
            <w:tcW w:type="dxa" w:w="1152"/>
          </w:tcPr>
          <w:p>
            <w:pPr>
              <w:jc w:val="right"/>
            </w:pPr>
            <w:r>
              <w:rPr>
                <w:color w:val="222222"/>
                <w:sz w:val="14"/>
              </w:rPr>
              <w:t>1.91</w:t>
            </w:r>
          </w:p>
        </w:tc>
        <w:tc>
          <w:tcPr>
            <w:tcW w:type="dxa" w:w="1152"/>
          </w:tcPr>
          <w:p>
            <w:pPr>
              <w:jc w:val="right"/>
            </w:pPr>
            <w:r>
              <w:rPr>
                <w:color w:val="222222"/>
                <w:sz w:val="14"/>
              </w:rPr>
              <w:t>2.07</w:t>
            </w:r>
          </w:p>
        </w:tc>
        <w:tc>
          <w:tcPr>
            <w:tcW w:type="dxa" w:w="1152"/>
          </w:tcPr>
          <w:p>
            <w:pPr>
              <w:jc w:val="right"/>
            </w:pPr>
            <w:r>
              <w:rPr>
                <w:color w:val="222222"/>
                <w:sz w:val="14"/>
              </w:rPr>
              <w:t>2.23</w:t>
            </w:r>
          </w:p>
        </w:tc>
        <w:tc>
          <w:tcPr>
            <w:tcW w:type="dxa" w:w="1152"/>
          </w:tcPr>
          <w:p>
            <w:pPr>
              <w:jc w:val="right"/>
            </w:pPr>
            <w:r>
              <w:rPr>
                <w:color w:val="222222"/>
                <w:sz w:val="14"/>
              </w:rPr>
              <w:t>2.40</w:t>
            </w:r>
          </w:p>
        </w:tc>
        <w:tc>
          <w:tcPr>
            <w:tcW w:type="dxa" w:w="1152"/>
          </w:tcPr>
          <w:p>
            <w:pPr>
              <w:jc w:val="right"/>
            </w:pPr>
            <w:r>
              <w:rPr>
                <w:color w:val="222222"/>
                <w:sz w:val="14"/>
              </w:rPr>
              <w:t>2.55</w:t>
            </w:r>
          </w:p>
        </w:tc>
      </w:tr>
    </w:tbl>
    <w:p>
      <w:pPr>
        <w:spacing w:after="40"/>
      </w:pPr>
    </w:p>
    <w:p>
      <w:pPr>
        <w:spacing w:after="120"/>
      </w:pPr>
      <w:r>
        <w:rPr>
          <w:b w:val="0"/>
          <w:i/>
          <w:color w:val="666666"/>
          <w:sz w:val="17"/>
        </w:rPr>
        <w:t>Note. Revenue dipped in 2024 as the EGP devaluation compressed the dollar value of Egyptian work, then rebounded 55% in 2025 on US growth and project progress. Adjusted earnings strip the lumpy one-offs that flatter the headline in 2023 and 2025.</w:t>
      </w:r>
    </w:p>
    <w:p>
      <w:pPr>
        <w:spacing w:after="40"/>
      </w:pPr>
      <w:r>
        <w:rPr>
          <w:b/>
          <w:i w:val="0"/>
          <w:color w:val="222222"/>
          <w:sz w:val="20"/>
        </w:rPr>
        <w:t>A.2  Consolidated balance sheet (USD m)</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808"/>
            <w:shd w:val="clear" w:fill="1B5E5E"/>
          </w:tcPr>
          <w:p>
            <w:r>
              <w:rPr>
                <w:b/>
                <w:color w:val="FFFFFF"/>
                <w:sz w:val="13"/>
              </w:rPr>
              <w:t>Balance sheet</w:t>
            </w:r>
          </w:p>
        </w:tc>
        <w:tc>
          <w:tcPr>
            <w:tcW w:type="dxa" w:w="1123"/>
            <w:shd w:val="clear" w:fill="1B5E5E"/>
          </w:tcPr>
          <w:p>
            <w:pPr>
              <w:jc w:val="right"/>
            </w:pPr>
            <w:r>
              <w:rPr>
                <w:b/>
                <w:color w:val="FFFFFF"/>
                <w:sz w:val="13"/>
              </w:rPr>
              <w:t>2023a</w:t>
            </w:r>
          </w:p>
        </w:tc>
        <w:tc>
          <w:tcPr>
            <w:tcW w:type="dxa" w:w="1123"/>
            <w:shd w:val="clear" w:fill="1B5E5E"/>
          </w:tcPr>
          <w:p>
            <w:pPr>
              <w:jc w:val="right"/>
            </w:pPr>
            <w:r>
              <w:rPr>
                <w:b/>
                <w:color w:val="FFFFFF"/>
                <w:sz w:val="13"/>
              </w:rPr>
              <w:t>2024a</w:t>
            </w:r>
          </w:p>
        </w:tc>
        <w:tc>
          <w:tcPr>
            <w:tcW w:type="dxa" w:w="1123"/>
            <w:shd w:val="clear" w:fill="1B5E5E"/>
          </w:tcPr>
          <w:p>
            <w:pPr>
              <w:jc w:val="right"/>
            </w:pPr>
            <w:r>
              <w:rPr>
                <w:b/>
                <w:color w:val="FFFFFF"/>
                <w:sz w:val="13"/>
              </w:rPr>
              <w:t>2025a</w:t>
            </w:r>
          </w:p>
        </w:tc>
        <w:tc>
          <w:tcPr>
            <w:tcW w:type="dxa" w:w="1123"/>
            <w:shd w:val="clear" w:fill="1B5E5E"/>
          </w:tcPr>
          <w:p>
            <w:pPr>
              <w:jc w:val="right"/>
            </w:pPr>
            <w:r>
              <w:rPr>
                <w:b/>
                <w:color w:val="FFFFFF"/>
                <w:sz w:val="13"/>
              </w:rPr>
              <w:t>2026e</w:t>
            </w:r>
          </w:p>
        </w:tc>
        <w:tc>
          <w:tcPr>
            <w:tcW w:type="dxa" w:w="1123"/>
            <w:shd w:val="clear" w:fill="1B5E5E"/>
          </w:tcPr>
          <w:p>
            <w:pPr>
              <w:jc w:val="right"/>
            </w:pPr>
            <w:r>
              <w:rPr>
                <w:b/>
                <w:color w:val="FFFFFF"/>
                <w:sz w:val="13"/>
              </w:rPr>
              <w:t>2027e</w:t>
            </w:r>
          </w:p>
        </w:tc>
        <w:tc>
          <w:tcPr>
            <w:tcW w:type="dxa" w:w="1123"/>
            <w:shd w:val="clear" w:fill="1B5E5E"/>
          </w:tcPr>
          <w:p>
            <w:pPr>
              <w:jc w:val="right"/>
            </w:pPr>
            <w:r>
              <w:rPr>
                <w:b/>
                <w:color w:val="FFFFFF"/>
                <w:sz w:val="13"/>
              </w:rPr>
              <w:t>2028e</w:t>
            </w:r>
          </w:p>
        </w:tc>
        <w:tc>
          <w:tcPr>
            <w:tcW w:type="dxa" w:w="1123"/>
            <w:shd w:val="clear" w:fill="1B5E5E"/>
          </w:tcPr>
          <w:p>
            <w:pPr>
              <w:jc w:val="right"/>
            </w:pPr>
            <w:r>
              <w:rPr>
                <w:b/>
                <w:color w:val="FFFFFF"/>
                <w:sz w:val="13"/>
              </w:rPr>
              <w:t>2029e</w:t>
            </w:r>
          </w:p>
        </w:tc>
        <w:tc>
          <w:tcPr>
            <w:tcW w:type="dxa" w:w="1123"/>
            <w:shd w:val="clear" w:fill="1B5E5E"/>
          </w:tcPr>
          <w:p>
            <w:pPr>
              <w:jc w:val="right"/>
            </w:pPr>
            <w:r>
              <w:rPr>
                <w:b/>
                <w:color w:val="FFFFFF"/>
                <w:sz w:val="13"/>
              </w:rPr>
              <w:t>2030e</w:t>
            </w:r>
          </w:p>
        </w:tc>
      </w:tr>
      <w:tr>
        <w:tc>
          <w:tcPr>
            <w:tcW w:type="dxa" w:w="2808"/>
          </w:tcPr>
          <w:p>
            <w:r>
              <w:rPr>
                <w:color w:val="222222"/>
                <w:sz w:val="13"/>
              </w:rPr>
              <w:t>Cash &amp; equivalents</w:t>
            </w:r>
          </w:p>
        </w:tc>
        <w:tc>
          <w:tcPr>
            <w:tcW w:type="dxa" w:w="1123"/>
          </w:tcPr>
          <w:p>
            <w:pPr>
              <w:jc w:val="right"/>
            </w:pPr>
            <w:r>
              <w:rPr>
                <w:color w:val="222222"/>
                <w:sz w:val="13"/>
              </w:rPr>
              <w:t>696</w:t>
            </w:r>
          </w:p>
        </w:tc>
        <w:tc>
          <w:tcPr>
            <w:tcW w:type="dxa" w:w="1123"/>
          </w:tcPr>
          <w:p>
            <w:pPr>
              <w:jc w:val="right"/>
            </w:pPr>
            <w:r>
              <w:rPr>
                <w:color w:val="222222"/>
                <w:sz w:val="13"/>
              </w:rPr>
              <w:t>1,041</w:t>
            </w:r>
          </w:p>
        </w:tc>
        <w:tc>
          <w:tcPr>
            <w:tcW w:type="dxa" w:w="1123"/>
          </w:tcPr>
          <w:p>
            <w:pPr>
              <w:jc w:val="right"/>
            </w:pPr>
            <w:r>
              <w:rPr>
                <w:color w:val="222222"/>
                <w:sz w:val="13"/>
              </w:rPr>
              <w:t>1,100</w:t>
            </w:r>
          </w:p>
        </w:tc>
        <w:tc>
          <w:tcPr>
            <w:tcW w:type="dxa" w:w="1123"/>
          </w:tcPr>
          <w:p>
            <w:pPr>
              <w:jc w:val="right"/>
            </w:pPr>
            <w:r>
              <w:rPr>
                <w:color w:val="222222"/>
                <w:sz w:val="13"/>
              </w:rPr>
              <w:t>1,180</w:t>
            </w:r>
          </w:p>
        </w:tc>
        <w:tc>
          <w:tcPr>
            <w:tcW w:type="dxa" w:w="1123"/>
          </w:tcPr>
          <w:p>
            <w:pPr>
              <w:jc w:val="right"/>
            </w:pPr>
            <w:r>
              <w:rPr>
                <w:color w:val="222222"/>
                <w:sz w:val="13"/>
              </w:rPr>
              <w:t>1,270</w:t>
            </w:r>
          </w:p>
        </w:tc>
        <w:tc>
          <w:tcPr>
            <w:tcW w:type="dxa" w:w="1123"/>
          </w:tcPr>
          <w:p>
            <w:pPr>
              <w:jc w:val="right"/>
            </w:pPr>
            <w:r>
              <w:rPr>
                <w:color w:val="222222"/>
                <w:sz w:val="13"/>
              </w:rPr>
              <w:t>1,360</w:t>
            </w:r>
          </w:p>
        </w:tc>
        <w:tc>
          <w:tcPr>
            <w:tcW w:type="dxa" w:w="1123"/>
          </w:tcPr>
          <w:p>
            <w:pPr>
              <w:jc w:val="right"/>
            </w:pPr>
            <w:r>
              <w:rPr>
                <w:color w:val="222222"/>
                <w:sz w:val="13"/>
              </w:rPr>
              <w:t>1,450</w:t>
            </w:r>
          </w:p>
        </w:tc>
        <w:tc>
          <w:tcPr>
            <w:tcW w:type="dxa" w:w="1123"/>
          </w:tcPr>
          <w:p>
            <w:pPr>
              <w:jc w:val="right"/>
            </w:pPr>
            <w:r>
              <w:rPr>
                <w:color w:val="222222"/>
                <w:sz w:val="13"/>
              </w:rPr>
              <w:t>1,540</w:t>
            </w:r>
          </w:p>
        </w:tc>
      </w:tr>
      <w:tr>
        <w:tc>
          <w:tcPr>
            <w:tcW w:type="dxa" w:w="2808"/>
          </w:tcPr>
          <w:p>
            <w:r>
              <w:rPr>
                <w:color w:val="222222"/>
                <w:sz w:val="13"/>
              </w:rPr>
              <w:t>Trade &amp; other receivables</w:t>
            </w:r>
          </w:p>
        </w:tc>
        <w:tc>
          <w:tcPr>
            <w:tcW w:type="dxa" w:w="1123"/>
          </w:tcPr>
          <w:p>
            <w:pPr>
              <w:jc w:val="right"/>
            </w:pPr>
            <w:r>
              <w:rPr>
                <w:color w:val="222222"/>
                <w:sz w:val="13"/>
              </w:rPr>
              <w:t>1,200</w:t>
            </w:r>
          </w:p>
        </w:tc>
        <w:tc>
          <w:tcPr>
            <w:tcW w:type="dxa" w:w="1123"/>
          </w:tcPr>
          <w:p>
            <w:pPr>
              <w:jc w:val="right"/>
            </w:pPr>
            <w:r>
              <w:rPr>
                <w:color w:val="222222"/>
                <w:sz w:val="13"/>
              </w:rPr>
              <w:t>1,728</w:t>
            </w:r>
          </w:p>
        </w:tc>
        <w:tc>
          <w:tcPr>
            <w:tcW w:type="dxa" w:w="1123"/>
          </w:tcPr>
          <w:p>
            <w:pPr>
              <w:jc w:val="right"/>
            </w:pPr>
            <w:r>
              <w:rPr>
                <w:color w:val="222222"/>
                <w:sz w:val="13"/>
              </w:rPr>
              <w:t>2,050</w:t>
            </w:r>
          </w:p>
        </w:tc>
        <w:tc>
          <w:tcPr>
            <w:tcW w:type="dxa" w:w="1123"/>
          </w:tcPr>
          <w:p>
            <w:pPr>
              <w:jc w:val="right"/>
            </w:pPr>
            <w:r>
              <w:rPr>
                <w:color w:val="222222"/>
                <w:sz w:val="13"/>
              </w:rPr>
              <w:t>2,250</w:t>
            </w:r>
          </w:p>
        </w:tc>
        <w:tc>
          <w:tcPr>
            <w:tcW w:type="dxa" w:w="1123"/>
          </w:tcPr>
          <w:p>
            <w:pPr>
              <w:jc w:val="right"/>
            </w:pPr>
            <w:r>
              <w:rPr>
                <w:color w:val="222222"/>
                <w:sz w:val="13"/>
              </w:rPr>
              <w:t>2,450</w:t>
            </w:r>
          </w:p>
        </w:tc>
        <w:tc>
          <w:tcPr>
            <w:tcW w:type="dxa" w:w="1123"/>
          </w:tcPr>
          <w:p>
            <w:pPr>
              <w:jc w:val="right"/>
            </w:pPr>
            <w:r>
              <w:rPr>
                <w:color w:val="222222"/>
                <w:sz w:val="13"/>
              </w:rPr>
              <w:t>2,630</w:t>
            </w:r>
          </w:p>
        </w:tc>
        <w:tc>
          <w:tcPr>
            <w:tcW w:type="dxa" w:w="1123"/>
          </w:tcPr>
          <w:p>
            <w:pPr>
              <w:jc w:val="right"/>
            </w:pPr>
            <w:r>
              <w:rPr>
                <w:color w:val="222222"/>
                <w:sz w:val="13"/>
              </w:rPr>
              <w:t>2,790</w:t>
            </w:r>
          </w:p>
        </w:tc>
        <w:tc>
          <w:tcPr>
            <w:tcW w:type="dxa" w:w="1123"/>
          </w:tcPr>
          <w:p>
            <w:pPr>
              <w:jc w:val="right"/>
            </w:pPr>
            <w:r>
              <w:rPr>
                <w:color w:val="222222"/>
                <w:sz w:val="13"/>
              </w:rPr>
              <w:t>2,950</w:t>
            </w:r>
          </w:p>
        </w:tc>
      </w:tr>
      <w:tr>
        <w:tc>
          <w:tcPr>
            <w:tcW w:type="dxa" w:w="2808"/>
          </w:tcPr>
          <w:p>
            <w:r>
              <w:rPr>
                <w:color w:val="222222"/>
                <w:sz w:val="13"/>
              </w:rPr>
              <w:t>Contract work in progress</w:t>
            </w:r>
          </w:p>
        </w:tc>
        <w:tc>
          <w:tcPr>
            <w:tcW w:type="dxa" w:w="1123"/>
          </w:tcPr>
          <w:p>
            <w:pPr>
              <w:jc w:val="right"/>
            </w:pPr>
            <w:r>
              <w:rPr>
                <w:color w:val="222222"/>
                <w:sz w:val="13"/>
              </w:rPr>
              <w:t>600</w:t>
            </w:r>
          </w:p>
        </w:tc>
        <w:tc>
          <w:tcPr>
            <w:tcW w:type="dxa" w:w="1123"/>
          </w:tcPr>
          <w:p>
            <w:pPr>
              <w:jc w:val="right"/>
            </w:pPr>
            <w:r>
              <w:rPr>
                <w:color w:val="222222"/>
                <w:sz w:val="13"/>
              </w:rPr>
              <w:t>673</w:t>
            </w:r>
          </w:p>
        </w:tc>
        <w:tc>
          <w:tcPr>
            <w:tcW w:type="dxa" w:w="1123"/>
          </w:tcPr>
          <w:p>
            <w:pPr>
              <w:jc w:val="right"/>
            </w:pPr>
            <w:r>
              <w:rPr>
                <w:color w:val="222222"/>
                <w:sz w:val="13"/>
              </w:rPr>
              <w:t>820</w:t>
            </w:r>
          </w:p>
        </w:tc>
        <w:tc>
          <w:tcPr>
            <w:tcW w:type="dxa" w:w="1123"/>
          </w:tcPr>
          <w:p>
            <w:pPr>
              <w:jc w:val="right"/>
            </w:pPr>
            <w:r>
              <w:rPr>
                <w:color w:val="222222"/>
                <w:sz w:val="13"/>
              </w:rPr>
              <w:t>900</w:t>
            </w:r>
          </w:p>
        </w:tc>
        <w:tc>
          <w:tcPr>
            <w:tcW w:type="dxa" w:w="1123"/>
          </w:tcPr>
          <w:p>
            <w:pPr>
              <w:jc w:val="right"/>
            </w:pPr>
            <w:r>
              <w:rPr>
                <w:color w:val="222222"/>
                <w:sz w:val="13"/>
              </w:rPr>
              <w:t>980</w:t>
            </w:r>
          </w:p>
        </w:tc>
        <w:tc>
          <w:tcPr>
            <w:tcW w:type="dxa" w:w="1123"/>
          </w:tcPr>
          <w:p>
            <w:pPr>
              <w:jc w:val="right"/>
            </w:pPr>
            <w:r>
              <w:rPr>
                <w:color w:val="222222"/>
                <w:sz w:val="13"/>
              </w:rPr>
              <w:t>1,050</w:t>
            </w:r>
          </w:p>
        </w:tc>
        <w:tc>
          <w:tcPr>
            <w:tcW w:type="dxa" w:w="1123"/>
          </w:tcPr>
          <w:p>
            <w:pPr>
              <w:jc w:val="right"/>
            </w:pPr>
            <w:r>
              <w:rPr>
                <w:color w:val="222222"/>
                <w:sz w:val="13"/>
              </w:rPr>
              <w:t>1,110</w:t>
            </w:r>
          </w:p>
        </w:tc>
        <w:tc>
          <w:tcPr>
            <w:tcW w:type="dxa" w:w="1123"/>
          </w:tcPr>
          <w:p>
            <w:pPr>
              <w:jc w:val="right"/>
            </w:pPr>
            <w:r>
              <w:rPr>
                <w:color w:val="222222"/>
                <w:sz w:val="13"/>
              </w:rPr>
              <w:t>1,175</w:t>
            </w:r>
          </w:p>
        </w:tc>
      </w:tr>
      <w:tr>
        <w:tc>
          <w:tcPr>
            <w:tcW w:type="dxa" w:w="2808"/>
          </w:tcPr>
          <w:p>
            <w:r>
              <w:rPr>
                <w:color w:val="222222"/>
                <w:sz w:val="13"/>
              </w:rPr>
              <w:t>Inventories</w:t>
            </w:r>
          </w:p>
        </w:tc>
        <w:tc>
          <w:tcPr>
            <w:tcW w:type="dxa" w:w="1123"/>
          </w:tcPr>
          <w:p>
            <w:pPr>
              <w:jc w:val="right"/>
            </w:pPr>
            <w:r>
              <w:rPr>
                <w:color w:val="222222"/>
                <w:sz w:val="13"/>
              </w:rPr>
              <w:t>180</w:t>
            </w:r>
          </w:p>
        </w:tc>
        <w:tc>
          <w:tcPr>
            <w:tcW w:type="dxa" w:w="1123"/>
          </w:tcPr>
          <w:p>
            <w:pPr>
              <w:jc w:val="right"/>
            </w:pPr>
            <w:r>
              <w:rPr>
                <w:color w:val="222222"/>
                <w:sz w:val="13"/>
              </w:rPr>
              <w:t>271</w:t>
            </w:r>
          </w:p>
        </w:tc>
        <w:tc>
          <w:tcPr>
            <w:tcW w:type="dxa" w:w="1123"/>
          </w:tcPr>
          <w:p>
            <w:pPr>
              <w:jc w:val="right"/>
            </w:pPr>
            <w:r>
              <w:rPr>
                <w:color w:val="222222"/>
                <w:sz w:val="13"/>
              </w:rPr>
              <w:t>330</w:t>
            </w:r>
          </w:p>
        </w:tc>
        <w:tc>
          <w:tcPr>
            <w:tcW w:type="dxa" w:w="1123"/>
          </w:tcPr>
          <w:p>
            <w:pPr>
              <w:jc w:val="right"/>
            </w:pPr>
            <w:r>
              <w:rPr>
                <w:color w:val="222222"/>
                <w:sz w:val="13"/>
              </w:rPr>
              <w:t>360</w:t>
            </w:r>
          </w:p>
        </w:tc>
        <w:tc>
          <w:tcPr>
            <w:tcW w:type="dxa" w:w="1123"/>
          </w:tcPr>
          <w:p>
            <w:pPr>
              <w:jc w:val="right"/>
            </w:pPr>
            <w:r>
              <w:rPr>
                <w:color w:val="222222"/>
                <w:sz w:val="13"/>
              </w:rPr>
              <w:t>390</w:t>
            </w:r>
          </w:p>
        </w:tc>
        <w:tc>
          <w:tcPr>
            <w:tcW w:type="dxa" w:w="1123"/>
          </w:tcPr>
          <w:p>
            <w:pPr>
              <w:jc w:val="right"/>
            </w:pPr>
            <w:r>
              <w:rPr>
                <w:color w:val="222222"/>
                <w:sz w:val="13"/>
              </w:rPr>
              <w:t>420</w:t>
            </w:r>
          </w:p>
        </w:tc>
        <w:tc>
          <w:tcPr>
            <w:tcW w:type="dxa" w:w="1123"/>
          </w:tcPr>
          <w:p>
            <w:pPr>
              <w:jc w:val="right"/>
            </w:pPr>
            <w:r>
              <w:rPr>
                <w:color w:val="222222"/>
                <w:sz w:val="13"/>
              </w:rPr>
              <w:t>445</w:t>
            </w:r>
          </w:p>
        </w:tc>
        <w:tc>
          <w:tcPr>
            <w:tcW w:type="dxa" w:w="1123"/>
          </w:tcPr>
          <w:p>
            <w:pPr>
              <w:jc w:val="right"/>
            </w:pPr>
            <w:r>
              <w:rPr>
                <w:color w:val="222222"/>
                <w:sz w:val="13"/>
              </w:rPr>
              <w:t>470</w:t>
            </w:r>
          </w:p>
        </w:tc>
      </w:tr>
      <w:tr>
        <w:tc>
          <w:tcPr>
            <w:tcW w:type="dxa" w:w="2808"/>
          </w:tcPr>
          <w:p>
            <w:r>
              <w:rPr>
                <w:color w:val="222222"/>
                <w:sz w:val="13"/>
              </w:rPr>
              <w:t>Total current assets</w:t>
            </w:r>
          </w:p>
        </w:tc>
        <w:tc>
          <w:tcPr>
            <w:tcW w:type="dxa" w:w="1123"/>
          </w:tcPr>
          <w:p>
            <w:pPr>
              <w:jc w:val="right"/>
            </w:pPr>
            <w:r>
              <w:rPr>
                <w:color w:val="222222"/>
                <w:sz w:val="13"/>
              </w:rPr>
              <w:t>2,676</w:t>
            </w:r>
          </w:p>
        </w:tc>
        <w:tc>
          <w:tcPr>
            <w:tcW w:type="dxa" w:w="1123"/>
          </w:tcPr>
          <w:p>
            <w:pPr>
              <w:jc w:val="right"/>
            </w:pPr>
            <w:r>
              <w:rPr>
                <w:color w:val="222222"/>
                <w:sz w:val="13"/>
              </w:rPr>
              <w:t>3,713</w:t>
            </w:r>
          </w:p>
        </w:tc>
        <w:tc>
          <w:tcPr>
            <w:tcW w:type="dxa" w:w="1123"/>
          </w:tcPr>
          <w:p>
            <w:pPr>
              <w:jc w:val="right"/>
            </w:pPr>
            <w:r>
              <w:rPr>
                <w:color w:val="222222"/>
                <w:sz w:val="13"/>
              </w:rPr>
              <w:t>4,300</w:t>
            </w:r>
          </w:p>
        </w:tc>
        <w:tc>
          <w:tcPr>
            <w:tcW w:type="dxa" w:w="1123"/>
          </w:tcPr>
          <w:p>
            <w:pPr>
              <w:jc w:val="right"/>
            </w:pPr>
            <w:r>
              <w:rPr>
                <w:color w:val="222222"/>
                <w:sz w:val="13"/>
              </w:rPr>
              <w:t>4,690</w:t>
            </w:r>
          </w:p>
        </w:tc>
        <w:tc>
          <w:tcPr>
            <w:tcW w:type="dxa" w:w="1123"/>
          </w:tcPr>
          <w:p>
            <w:pPr>
              <w:jc w:val="right"/>
            </w:pPr>
            <w:r>
              <w:rPr>
                <w:color w:val="222222"/>
                <w:sz w:val="13"/>
              </w:rPr>
              <w:t>5,090</w:t>
            </w:r>
          </w:p>
        </w:tc>
        <w:tc>
          <w:tcPr>
            <w:tcW w:type="dxa" w:w="1123"/>
          </w:tcPr>
          <w:p>
            <w:pPr>
              <w:jc w:val="right"/>
            </w:pPr>
            <w:r>
              <w:rPr>
                <w:color w:val="222222"/>
                <w:sz w:val="13"/>
              </w:rPr>
              <w:t>5,460</w:t>
            </w:r>
          </w:p>
        </w:tc>
        <w:tc>
          <w:tcPr>
            <w:tcW w:type="dxa" w:w="1123"/>
          </w:tcPr>
          <w:p>
            <w:pPr>
              <w:jc w:val="right"/>
            </w:pPr>
            <w:r>
              <w:rPr>
                <w:color w:val="222222"/>
                <w:sz w:val="13"/>
              </w:rPr>
              <w:t>5,795</w:t>
            </w:r>
          </w:p>
        </w:tc>
        <w:tc>
          <w:tcPr>
            <w:tcW w:type="dxa" w:w="1123"/>
          </w:tcPr>
          <w:p>
            <w:pPr>
              <w:jc w:val="right"/>
            </w:pPr>
            <w:r>
              <w:rPr>
                <w:color w:val="222222"/>
                <w:sz w:val="13"/>
              </w:rPr>
              <w:t>6,135</w:t>
            </w:r>
          </w:p>
        </w:tc>
      </w:tr>
      <w:tr>
        <w:tc>
          <w:tcPr>
            <w:tcW w:type="dxa" w:w="2808"/>
          </w:tcPr>
          <w:p>
            <w:r>
              <w:rPr>
                <w:color w:val="222222"/>
                <w:sz w:val="13"/>
              </w:rPr>
              <w:t>Property, plant &amp; equipment</w:t>
            </w:r>
          </w:p>
        </w:tc>
        <w:tc>
          <w:tcPr>
            <w:tcW w:type="dxa" w:w="1123"/>
          </w:tcPr>
          <w:p>
            <w:pPr>
              <w:jc w:val="right"/>
            </w:pPr>
            <w:r>
              <w:rPr>
                <w:color w:val="222222"/>
                <w:sz w:val="13"/>
              </w:rPr>
              <w:t>450</w:t>
            </w:r>
          </w:p>
        </w:tc>
        <w:tc>
          <w:tcPr>
            <w:tcW w:type="dxa" w:w="1123"/>
          </w:tcPr>
          <w:p>
            <w:pPr>
              <w:jc w:val="right"/>
            </w:pPr>
            <w:r>
              <w:rPr>
                <w:color w:val="222222"/>
                <w:sz w:val="13"/>
              </w:rPr>
              <w:t>500</w:t>
            </w:r>
          </w:p>
        </w:tc>
        <w:tc>
          <w:tcPr>
            <w:tcW w:type="dxa" w:w="1123"/>
          </w:tcPr>
          <w:p>
            <w:pPr>
              <w:jc w:val="right"/>
            </w:pPr>
            <w:r>
              <w:rPr>
                <w:color w:val="222222"/>
                <w:sz w:val="13"/>
              </w:rPr>
              <w:t>620</w:t>
            </w:r>
          </w:p>
        </w:tc>
        <w:tc>
          <w:tcPr>
            <w:tcW w:type="dxa" w:w="1123"/>
          </w:tcPr>
          <w:p>
            <w:pPr>
              <w:jc w:val="right"/>
            </w:pPr>
            <w:r>
              <w:rPr>
                <w:color w:val="222222"/>
                <w:sz w:val="13"/>
              </w:rPr>
              <w:t>710</w:t>
            </w:r>
          </w:p>
        </w:tc>
        <w:tc>
          <w:tcPr>
            <w:tcW w:type="dxa" w:w="1123"/>
          </w:tcPr>
          <w:p>
            <w:pPr>
              <w:jc w:val="right"/>
            </w:pPr>
            <w:r>
              <w:rPr>
                <w:color w:val="222222"/>
                <w:sz w:val="13"/>
              </w:rPr>
              <w:t>800</w:t>
            </w:r>
          </w:p>
        </w:tc>
        <w:tc>
          <w:tcPr>
            <w:tcW w:type="dxa" w:w="1123"/>
          </w:tcPr>
          <w:p>
            <w:pPr>
              <w:jc w:val="right"/>
            </w:pPr>
            <w:r>
              <w:rPr>
                <w:color w:val="222222"/>
                <w:sz w:val="13"/>
              </w:rPr>
              <w:t>880</w:t>
            </w:r>
          </w:p>
        </w:tc>
        <w:tc>
          <w:tcPr>
            <w:tcW w:type="dxa" w:w="1123"/>
          </w:tcPr>
          <w:p>
            <w:pPr>
              <w:jc w:val="right"/>
            </w:pPr>
            <w:r>
              <w:rPr>
                <w:color w:val="222222"/>
                <w:sz w:val="13"/>
              </w:rPr>
              <w:t>955</w:t>
            </w:r>
          </w:p>
        </w:tc>
        <w:tc>
          <w:tcPr>
            <w:tcW w:type="dxa" w:w="1123"/>
          </w:tcPr>
          <w:p>
            <w:pPr>
              <w:jc w:val="right"/>
            </w:pPr>
            <w:r>
              <w:rPr>
                <w:color w:val="222222"/>
                <w:sz w:val="13"/>
              </w:rPr>
              <w:t>1,030</w:t>
            </w:r>
          </w:p>
        </w:tc>
      </w:tr>
      <w:tr>
        <w:tc>
          <w:tcPr>
            <w:tcW w:type="dxa" w:w="2808"/>
          </w:tcPr>
          <w:p>
            <w:r>
              <w:rPr>
                <w:color w:val="222222"/>
                <w:sz w:val="13"/>
              </w:rPr>
              <w:t>Concessions &amp; infra assets</w:t>
            </w:r>
          </w:p>
        </w:tc>
        <w:tc>
          <w:tcPr>
            <w:tcW w:type="dxa" w:w="1123"/>
          </w:tcPr>
          <w:p>
            <w:pPr>
              <w:jc w:val="right"/>
            </w:pPr>
            <w:r>
              <w:rPr>
                <w:color w:val="222222"/>
                <w:sz w:val="13"/>
              </w:rPr>
              <w:t>250</w:t>
            </w:r>
          </w:p>
        </w:tc>
        <w:tc>
          <w:tcPr>
            <w:tcW w:type="dxa" w:w="1123"/>
          </w:tcPr>
          <w:p>
            <w:pPr>
              <w:jc w:val="right"/>
            </w:pPr>
            <w:r>
              <w:rPr>
                <w:color w:val="222222"/>
                <w:sz w:val="13"/>
              </w:rPr>
              <w:t>275</w:t>
            </w:r>
          </w:p>
        </w:tc>
        <w:tc>
          <w:tcPr>
            <w:tcW w:type="dxa" w:w="1123"/>
          </w:tcPr>
          <w:p>
            <w:pPr>
              <w:jc w:val="right"/>
            </w:pPr>
            <w:r>
              <w:rPr>
                <w:color w:val="222222"/>
                <w:sz w:val="13"/>
              </w:rPr>
              <w:t>330</w:t>
            </w:r>
          </w:p>
        </w:tc>
        <w:tc>
          <w:tcPr>
            <w:tcW w:type="dxa" w:w="1123"/>
          </w:tcPr>
          <w:p>
            <w:pPr>
              <w:jc w:val="right"/>
            </w:pPr>
            <w:r>
              <w:rPr>
                <w:color w:val="222222"/>
                <w:sz w:val="13"/>
              </w:rPr>
              <w:t>370</w:t>
            </w:r>
          </w:p>
        </w:tc>
        <w:tc>
          <w:tcPr>
            <w:tcW w:type="dxa" w:w="1123"/>
          </w:tcPr>
          <w:p>
            <w:pPr>
              <w:jc w:val="right"/>
            </w:pPr>
            <w:r>
              <w:rPr>
                <w:color w:val="222222"/>
                <w:sz w:val="13"/>
              </w:rPr>
              <w:t>410</w:t>
            </w:r>
          </w:p>
        </w:tc>
        <w:tc>
          <w:tcPr>
            <w:tcW w:type="dxa" w:w="1123"/>
          </w:tcPr>
          <w:p>
            <w:pPr>
              <w:jc w:val="right"/>
            </w:pPr>
            <w:r>
              <w:rPr>
                <w:color w:val="222222"/>
                <w:sz w:val="13"/>
              </w:rPr>
              <w:t>450</w:t>
            </w:r>
          </w:p>
        </w:tc>
        <w:tc>
          <w:tcPr>
            <w:tcW w:type="dxa" w:w="1123"/>
          </w:tcPr>
          <w:p>
            <w:pPr>
              <w:jc w:val="right"/>
            </w:pPr>
            <w:r>
              <w:rPr>
                <w:color w:val="222222"/>
                <w:sz w:val="13"/>
              </w:rPr>
              <w:t>485</w:t>
            </w:r>
          </w:p>
        </w:tc>
        <w:tc>
          <w:tcPr>
            <w:tcW w:type="dxa" w:w="1123"/>
          </w:tcPr>
          <w:p>
            <w:pPr>
              <w:jc w:val="right"/>
            </w:pPr>
            <w:r>
              <w:rPr>
                <w:color w:val="222222"/>
                <w:sz w:val="13"/>
              </w:rPr>
              <w:t>520</w:t>
            </w:r>
          </w:p>
        </w:tc>
      </w:tr>
      <w:tr>
        <w:tc>
          <w:tcPr>
            <w:tcW w:type="dxa" w:w="2808"/>
          </w:tcPr>
          <w:p>
            <w:r>
              <w:rPr>
                <w:color w:val="222222"/>
                <w:sz w:val="13"/>
              </w:rPr>
              <w:t>Investments (BESIX &amp; assoc.)</w:t>
            </w:r>
          </w:p>
        </w:tc>
        <w:tc>
          <w:tcPr>
            <w:tcW w:type="dxa" w:w="1123"/>
          </w:tcPr>
          <w:p>
            <w:pPr>
              <w:jc w:val="right"/>
            </w:pPr>
            <w:r>
              <w:rPr>
                <w:color w:val="222222"/>
                <w:sz w:val="13"/>
              </w:rPr>
              <w:t>300</w:t>
            </w:r>
          </w:p>
        </w:tc>
        <w:tc>
          <w:tcPr>
            <w:tcW w:type="dxa" w:w="1123"/>
          </w:tcPr>
          <w:p>
            <w:pPr>
              <w:jc w:val="right"/>
            </w:pPr>
            <w:r>
              <w:rPr>
                <w:color w:val="222222"/>
                <w:sz w:val="13"/>
              </w:rPr>
              <w:t>330</w:t>
            </w:r>
          </w:p>
        </w:tc>
        <w:tc>
          <w:tcPr>
            <w:tcW w:type="dxa" w:w="1123"/>
          </w:tcPr>
          <w:p>
            <w:pPr>
              <w:jc w:val="right"/>
            </w:pPr>
            <w:r>
              <w:rPr>
                <w:color w:val="222222"/>
                <w:sz w:val="13"/>
              </w:rPr>
              <w:t>360</w:t>
            </w:r>
          </w:p>
        </w:tc>
        <w:tc>
          <w:tcPr>
            <w:tcW w:type="dxa" w:w="1123"/>
          </w:tcPr>
          <w:p>
            <w:pPr>
              <w:jc w:val="right"/>
            </w:pPr>
            <w:r>
              <w:rPr>
                <w:color w:val="222222"/>
                <w:sz w:val="13"/>
              </w:rPr>
              <w:t>386</w:t>
            </w:r>
          </w:p>
        </w:tc>
        <w:tc>
          <w:tcPr>
            <w:tcW w:type="dxa" w:w="1123"/>
          </w:tcPr>
          <w:p>
            <w:pPr>
              <w:jc w:val="right"/>
            </w:pPr>
            <w:r>
              <w:rPr>
                <w:color w:val="222222"/>
                <w:sz w:val="13"/>
              </w:rPr>
              <w:t>414</w:t>
            </w:r>
          </w:p>
        </w:tc>
        <w:tc>
          <w:tcPr>
            <w:tcW w:type="dxa" w:w="1123"/>
          </w:tcPr>
          <w:p>
            <w:pPr>
              <w:jc w:val="right"/>
            </w:pPr>
            <w:r>
              <w:rPr>
                <w:color w:val="222222"/>
                <w:sz w:val="13"/>
              </w:rPr>
              <w:t>444</w:t>
            </w:r>
          </w:p>
        </w:tc>
        <w:tc>
          <w:tcPr>
            <w:tcW w:type="dxa" w:w="1123"/>
          </w:tcPr>
          <w:p>
            <w:pPr>
              <w:jc w:val="right"/>
            </w:pPr>
            <w:r>
              <w:rPr>
                <w:color w:val="222222"/>
                <w:sz w:val="13"/>
              </w:rPr>
              <w:t>476</w:t>
            </w:r>
          </w:p>
        </w:tc>
        <w:tc>
          <w:tcPr>
            <w:tcW w:type="dxa" w:w="1123"/>
          </w:tcPr>
          <w:p>
            <w:pPr>
              <w:jc w:val="right"/>
            </w:pPr>
            <w:r>
              <w:rPr>
                <w:color w:val="222222"/>
                <w:sz w:val="13"/>
              </w:rPr>
              <w:t>510</w:t>
            </w:r>
          </w:p>
        </w:tc>
      </w:tr>
      <w:tr>
        <w:tc>
          <w:tcPr>
            <w:tcW w:type="dxa" w:w="2808"/>
          </w:tcPr>
          <w:p>
            <w:r>
              <w:rPr>
                <w:color w:val="222222"/>
                <w:sz w:val="13"/>
              </w:rPr>
              <w:t>Goodwill &amp; other non-current</w:t>
            </w:r>
          </w:p>
        </w:tc>
        <w:tc>
          <w:tcPr>
            <w:tcW w:type="dxa" w:w="1123"/>
          </w:tcPr>
          <w:p>
            <w:pPr>
              <w:jc w:val="right"/>
            </w:pPr>
            <w:r>
              <w:rPr>
                <w:color w:val="222222"/>
                <w:sz w:val="13"/>
              </w:rPr>
              <w:t>420</w:t>
            </w:r>
          </w:p>
        </w:tc>
        <w:tc>
          <w:tcPr>
            <w:tcW w:type="dxa" w:w="1123"/>
          </w:tcPr>
          <w:p>
            <w:pPr>
              <w:jc w:val="right"/>
            </w:pPr>
            <w:r>
              <w:rPr>
                <w:color w:val="222222"/>
                <w:sz w:val="13"/>
              </w:rPr>
              <w:t>382</w:t>
            </w:r>
          </w:p>
        </w:tc>
        <w:tc>
          <w:tcPr>
            <w:tcW w:type="dxa" w:w="1123"/>
          </w:tcPr>
          <w:p>
            <w:pPr>
              <w:jc w:val="right"/>
            </w:pPr>
            <w:r>
              <w:rPr>
                <w:color w:val="222222"/>
                <w:sz w:val="13"/>
              </w:rPr>
              <w:t>490</w:t>
            </w:r>
          </w:p>
        </w:tc>
        <w:tc>
          <w:tcPr>
            <w:tcW w:type="dxa" w:w="1123"/>
          </w:tcPr>
          <w:p>
            <w:pPr>
              <w:jc w:val="right"/>
            </w:pPr>
            <w:r>
              <w:rPr>
                <w:color w:val="222222"/>
                <w:sz w:val="13"/>
              </w:rPr>
              <w:t>520</w:t>
            </w:r>
          </w:p>
        </w:tc>
        <w:tc>
          <w:tcPr>
            <w:tcW w:type="dxa" w:w="1123"/>
          </w:tcPr>
          <w:p>
            <w:pPr>
              <w:jc w:val="right"/>
            </w:pPr>
            <w:r>
              <w:rPr>
                <w:color w:val="222222"/>
                <w:sz w:val="13"/>
              </w:rPr>
              <w:t>550</w:t>
            </w:r>
          </w:p>
        </w:tc>
        <w:tc>
          <w:tcPr>
            <w:tcW w:type="dxa" w:w="1123"/>
          </w:tcPr>
          <w:p>
            <w:pPr>
              <w:jc w:val="right"/>
            </w:pPr>
            <w:r>
              <w:rPr>
                <w:color w:val="222222"/>
                <w:sz w:val="13"/>
              </w:rPr>
              <w:t>580</w:t>
            </w:r>
          </w:p>
        </w:tc>
        <w:tc>
          <w:tcPr>
            <w:tcW w:type="dxa" w:w="1123"/>
          </w:tcPr>
          <w:p>
            <w:pPr>
              <w:jc w:val="right"/>
            </w:pPr>
            <w:r>
              <w:rPr>
                <w:color w:val="222222"/>
                <w:sz w:val="13"/>
              </w:rPr>
              <w:t>610</w:t>
            </w:r>
          </w:p>
        </w:tc>
        <w:tc>
          <w:tcPr>
            <w:tcW w:type="dxa" w:w="1123"/>
          </w:tcPr>
          <w:p>
            <w:pPr>
              <w:jc w:val="right"/>
            </w:pPr>
            <w:r>
              <w:rPr>
                <w:color w:val="222222"/>
                <w:sz w:val="13"/>
              </w:rPr>
              <w:t>640</w:t>
            </w:r>
          </w:p>
        </w:tc>
      </w:tr>
      <w:tr>
        <w:tc>
          <w:tcPr>
            <w:tcW w:type="dxa" w:w="2808"/>
          </w:tcPr>
          <w:p>
            <w:r>
              <w:rPr>
                <w:color w:val="222222"/>
                <w:sz w:val="13"/>
              </w:rPr>
              <w:t>Total non-current assets</w:t>
            </w:r>
          </w:p>
        </w:tc>
        <w:tc>
          <w:tcPr>
            <w:tcW w:type="dxa" w:w="1123"/>
          </w:tcPr>
          <w:p>
            <w:pPr>
              <w:jc w:val="right"/>
            </w:pPr>
            <w:r>
              <w:rPr>
                <w:color w:val="222222"/>
                <w:sz w:val="13"/>
              </w:rPr>
              <w:t>1,420</w:t>
            </w:r>
          </w:p>
        </w:tc>
        <w:tc>
          <w:tcPr>
            <w:tcW w:type="dxa" w:w="1123"/>
          </w:tcPr>
          <w:p>
            <w:pPr>
              <w:jc w:val="right"/>
            </w:pPr>
            <w:r>
              <w:rPr>
                <w:color w:val="222222"/>
                <w:sz w:val="13"/>
              </w:rPr>
              <w:t>1,487</w:t>
            </w:r>
          </w:p>
        </w:tc>
        <w:tc>
          <w:tcPr>
            <w:tcW w:type="dxa" w:w="1123"/>
          </w:tcPr>
          <w:p>
            <w:pPr>
              <w:jc w:val="right"/>
            </w:pPr>
            <w:r>
              <w:rPr>
                <w:color w:val="222222"/>
                <w:sz w:val="13"/>
              </w:rPr>
              <w:t>1,800</w:t>
            </w:r>
          </w:p>
        </w:tc>
        <w:tc>
          <w:tcPr>
            <w:tcW w:type="dxa" w:w="1123"/>
          </w:tcPr>
          <w:p>
            <w:pPr>
              <w:jc w:val="right"/>
            </w:pPr>
            <w:r>
              <w:rPr>
                <w:color w:val="222222"/>
                <w:sz w:val="13"/>
              </w:rPr>
              <w:t>1,986</w:t>
            </w:r>
          </w:p>
        </w:tc>
        <w:tc>
          <w:tcPr>
            <w:tcW w:type="dxa" w:w="1123"/>
          </w:tcPr>
          <w:p>
            <w:pPr>
              <w:jc w:val="right"/>
            </w:pPr>
            <w:r>
              <w:rPr>
                <w:color w:val="222222"/>
                <w:sz w:val="13"/>
              </w:rPr>
              <w:t>2,174</w:t>
            </w:r>
          </w:p>
        </w:tc>
        <w:tc>
          <w:tcPr>
            <w:tcW w:type="dxa" w:w="1123"/>
          </w:tcPr>
          <w:p>
            <w:pPr>
              <w:jc w:val="right"/>
            </w:pPr>
            <w:r>
              <w:rPr>
                <w:color w:val="222222"/>
                <w:sz w:val="13"/>
              </w:rPr>
              <w:t>2,354</w:t>
            </w:r>
          </w:p>
        </w:tc>
        <w:tc>
          <w:tcPr>
            <w:tcW w:type="dxa" w:w="1123"/>
          </w:tcPr>
          <w:p>
            <w:pPr>
              <w:jc w:val="right"/>
            </w:pPr>
            <w:r>
              <w:rPr>
                <w:color w:val="222222"/>
                <w:sz w:val="13"/>
              </w:rPr>
              <w:t>2,526</w:t>
            </w:r>
          </w:p>
        </w:tc>
        <w:tc>
          <w:tcPr>
            <w:tcW w:type="dxa" w:w="1123"/>
          </w:tcPr>
          <w:p>
            <w:pPr>
              <w:jc w:val="right"/>
            </w:pPr>
            <w:r>
              <w:rPr>
                <w:color w:val="222222"/>
                <w:sz w:val="13"/>
              </w:rPr>
              <w:t>2,700</w:t>
            </w:r>
          </w:p>
        </w:tc>
      </w:tr>
      <w:tr>
        <w:tc>
          <w:tcPr>
            <w:tcW w:type="dxa" w:w="2808"/>
          </w:tcPr>
          <w:p>
            <w:r>
              <w:rPr>
                <w:color w:val="222222"/>
                <w:sz w:val="13"/>
              </w:rPr>
              <w:t>Total assets</w:t>
            </w:r>
          </w:p>
        </w:tc>
        <w:tc>
          <w:tcPr>
            <w:tcW w:type="dxa" w:w="1123"/>
          </w:tcPr>
          <w:p>
            <w:pPr>
              <w:jc w:val="right"/>
            </w:pPr>
            <w:r>
              <w:rPr>
                <w:color w:val="222222"/>
                <w:sz w:val="13"/>
              </w:rPr>
              <w:t>4,096</w:t>
            </w:r>
          </w:p>
        </w:tc>
        <w:tc>
          <w:tcPr>
            <w:tcW w:type="dxa" w:w="1123"/>
          </w:tcPr>
          <w:p>
            <w:pPr>
              <w:jc w:val="right"/>
            </w:pPr>
            <w:r>
              <w:rPr>
                <w:color w:val="222222"/>
                <w:sz w:val="13"/>
              </w:rPr>
              <w:t>5,200</w:t>
            </w:r>
          </w:p>
        </w:tc>
        <w:tc>
          <w:tcPr>
            <w:tcW w:type="dxa" w:w="1123"/>
          </w:tcPr>
          <w:p>
            <w:pPr>
              <w:jc w:val="right"/>
            </w:pPr>
            <w:r>
              <w:rPr>
                <w:color w:val="222222"/>
                <w:sz w:val="13"/>
              </w:rPr>
              <w:t>6,100</w:t>
            </w:r>
          </w:p>
        </w:tc>
        <w:tc>
          <w:tcPr>
            <w:tcW w:type="dxa" w:w="1123"/>
          </w:tcPr>
          <w:p>
            <w:pPr>
              <w:jc w:val="right"/>
            </w:pPr>
            <w:r>
              <w:rPr>
                <w:color w:val="222222"/>
                <w:sz w:val="13"/>
              </w:rPr>
              <w:t>6,676</w:t>
            </w:r>
          </w:p>
        </w:tc>
        <w:tc>
          <w:tcPr>
            <w:tcW w:type="dxa" w:w="1123"/>
          </w:tcPr>
          <w:p>
            <w:pPr>
              <w:jc w:val="right"/>
            </w:pPr>
            <w:r>
              <w:rPr>
                <w:color w:val="222222"/>
                <w:sz w:val="13"/>
              </w:rPr>
              <w:t>7,264</w:t>
            </w:r>
          </w:p>
        </w:tc>
        <w:tc>
          <w:tcPr>
            <w:tcW w:type="dxa" w:w="1123"/>
          </w:tcPr>
          <w:p>
            <w:pPr>
              <w:jc w:val="right"/>
            </w:pPr>
            <w:r>
              <w:rPr>
                <w:color w:val="222222"/>
                <w:sz w:val="13"/>
              </w:rPr>
              <w:t>7,814</w:t>
            </w:r>
          </w:p>
        </w:tc>
        <w:tc>
          <w:tcPr>
            <w:tcW w:type="dxa" w:w="1123"/>
          </w:tcPr>
          <w:p>
            <w:pPr>
              <w:jc w:val="right"/>
            </w:pPr>
            <w:r>
              <w:rPr>
                <w:color w:val="222222"/>
                <w:sz w:val="13"/>
              </w:rPr>
              <w:t>8,321</w:t>
            </w:r>
          </w:p>
        </w:tc>
        <w:tc>
          <w:tcPr>
            <w:tcW w:type="dxa" w:w="1123"/>
          </w:tcPr>
          <w:p>
            <w:pPr>
              <w:jc w:val="right"/>
            </w:pPr>
            <w:r>
              <w:rPr>
                <w:color w:val="222222"/>
                <w:sz w:val="13"/>
              </w:rPr>
              <w:t>8,835</w:t>
            </w:r>
          </w:p>
        </w:tc>
      </w:tr>
      <w:tr>
        <w:tc>
          <w:tcPr>
            <w:tcW w:type="dxa" w:w="2808"/>
          </w:tcPr>
          <w:p>
            <w:r>
              <w:rPr>
                <w:color w:val="222222"/>
                <w:sz w:val="13"/>
              </w:rPr>
              <w:t>Trade &amp; other payables</w:t>
            </w:r>
          </w:p>
        </w:tc>
        <w:tc>
          <w:tcPr>
            <w:tcW w:type="dxa" w:w="1123"/>
          </w:tcPr>
          <w:p>
            <w:pPr>
              <w:jc w:val="right"/>
            </w:pPr>
            <w:r>
              <w:rPr>
                <w:color w:val="222222"/>
                <w:sz w:val="13"/>
              </w:rPr>
              <w:t>1,500</w:t>
            </w:r>
          </w:p>
        </w:tc>
        <w:tc>
          <w:tcPr>
            <w:tcW w:type="dxa" w:w="1123"/>
          </w:tcPr>
          <w:p>
            <w:pPr>
              <w:jc w:val="right"/>
            </w:pPr>
            <w:r>
              <w:rPr>
                <w:color w:val="222222"/>
                <w:sz w:val="13"/>
              </w:rPr>
              <w:t>2,033</w:t>
            </w:r>
          </w:p>
        </w:tc>
        <w:tc>
          <w:tcPr>
            <w:tcW w:type="dxa" w:w="1123"/>
          </w:tcPr>
          <w:p>
            <w:pPr>
              <w:jc w:val="right"/>
            </w:pPr>
            <w:r>
              <w:rPr>
                <w:color w:val="222222"/>
                <w:sz w:val="13"/>
              </w:rPr>
              <w:t>2,560</w:t>
            </w:r>
          </w:p>
        </w:tc>
        <w:tc>
          <w:tcPr>
            <w:tcW w:type="dxa" w:w="1123"/>
          </w:tcPr>
          <w:p>
            <w:pPr>
              <w:jc w:val="right"/>
            </w:pPr>
            <w:r>
              <w:rPr>
                <w:color w:val="222222"/>
                <w:sz w:val="13"/>
              </w:rPr>
              <w:t>2,810</w:t>
            </w:r>
          </w:p>
        </w:tc>
        <w:tc>
          <w:tcPr>
            <w:tcW w:type="dxa" w:w="1123"/>
          </w:tcPr>
          <w:p>
            <w:pPr>
              <w:jc w:val="right"/>
            </w:pPr>
            <w:r>
              <w:rPr>
                <w:color w:val="222222"/>
                <w:sz w:val="13"/>
              </w:rPr>
              <w:t>3,050</w:t>
            </w:r>
          </w:p>
        </w:tc>
        <w:tc>
          <w:tcPr>
            <w:tcW w:type="dxa" w:w="1123"/>
          </w:tcPr>
          <w:p>
            <w:pPr>
              <w:jc w:val="right"/>
            </w:pPr>
            <w:r>
              <w:rPr>
                <w:color w:val="222222"/>
                <w:sz w:val="13"/>
              </w:rPr>
              <w:t>3,270</w:t>
            </w:r>
          </w:p>
        </w:tc>
        <w:tc>
          <w:tcPr>
            <w:tcW w:type="dxa" w:w="1123"/>
          </w:tcPr>
          <w:p>
            <w:pPr>
              <w:jc w:val="right"/>
            </w:pPr>
            <w:r>
              <w:rPr>
                <w:color w:val="222222"/>
                <w:sz w:val="13"/>
              </w:rPr>
              <w:t>3,470</w:t>
            </w:r>
          </w:p>
        </w:tc>
        <w:tc>
          <w:tcPr>
            <w:tcW w:type="dxa" w:w="1123"/>
          </w:tcPr>
          <w:p>
            <w:pPr>
              <w:jc w:val="right"/>
            </w:pPr>
            <w:r>
              <w:rPr>
                <w:color w:val="222222"/>
                <w:sz w:val="13"/>
              </w:rPr>
              <w:t>3,670</w:t>
            </w:r>
          </w:p>
        </w:tc>
      </w:tr>
      <w:tr>
        <w:tc>
          <w:tcPr>
            <w:tcW w:type="dxa" w:w="2808"/>
          </w:tcPr>
          <w:p>
            <w:r>
              <w:rPr>
                <w:color w:val="222222"/>
                <w:sz w:val="13"/>
              </w:rPr>
              <w:t>Borrowings (current)</w:t>
            </w:r>
          </w:p>
        </w:tc>
        <w:tc>
          <w:tcPr>
            <w:tcW w:type="dxa" w:w="1123"/>
          </w:tcPr>
          <w:p>
            <w:pPr>
              <w:jc w:val="right"/>
            </w:pPr>
            <w:r>
              <w:rPr>
                <w:color w:val="222222"/>
                <w:sz w:val="13"/>
              </w:rPr>
              <w:t>200</w:t>
            </w:r>
          </w:p>
        </w:tc>
        <w:tc>
          <w:tcPr>
            <w:tcW w:type="dxa" w:w="1123"/>
          </w:tcPr>
          <w:p>
            <w:pPr>
              <w:jc w:val="right"/>
            </w:pPr>
            <w:r>
              <w:rPr>
                <w:color w:val="222222"/>
                <w:sz w:val="13"/>
              </w:rPr>
              <w:t>230</w:t>
            </w:r>
          </w:p>
        </w:tc>
        <w:tc>
          <w:tcPr>
            <w:tcW w:type="dxa" w:w="1123"/>
          </w:tcPr>
          <w:p>
            <w:pPr>
              <w:jc w:val="right"/>
            </w:pPr>
            <w:r>
              <w:rPr>
                <w:color w:val="222222"/>
                <w:sz w:val="13"/>
              </w:rPr>
              <w:t>250</w:t>
            </w:r>
          </w:p>
        </w:tc>
        <w:tc>
          <w:tcPr>
            <w:tcW w:type="dxa" w:w="1123"/>
          </w:tcPr>
          <w:p>
            <w:pPr>
              <w:jc w:val="right"/>
            </w:pPr>
            <w:r>
              <w:rPr>
                <w:color w:val="222222"/>
                <w:sz w:val="13"/>
              </w:rPr>
              <w:t>265</w:t>
            </w:r>
          </w:p>
        </w:tc>
        <w:tc>
          <w:tcPr>
            <w:tcW w:type="dxa" w:w="1123"/>
          </w:tcPr>
          <w:p>
            <w:pPr>
              <w:jc w:val="right"/>
            </w:pPr>
            <w:r>
              <w:rPr>
                <w:color w:val="222222"/>
                <w:sz w:val="13"/>
              </w:rPr>
              <w:t>280</w:t>
            </w:r>
          </w:p>
        </w:tc>
        <w:tc>
          <w:tcPr>
            <w:tcW w:type="dxa" w:w="1123"/>
          </w:tcPr>
          <w:p>
            <w:pPr>
              <w:jc w:val="right"/>
            </w:pPr>
            <w:r>
              <w:rPr>
                <w:color w:val="222222"/>
                <w:sz w:val="13"/>
              </w:rPr>
              <w:t>290</w:t>
            </w:r>
          </w:p>
        </w:tc>
        <w:tc>
          <w:tcPr>
            <w:tcW w:type="dxa" w:w="1123"/>
          </w:tcPr>
          <w:p>
            <w:pPr>
              <w:jc w:val="right"/>
            </w:pPr>
            <w:r>
              <w:rPr>
                <w:color w:val="222222"/>
                <w:sz w:val="13"/>
              </w:rPr>
              <w:t>300</w:t>
            </w:r>
          </w:p>
        </w:tc>
        <w:tc>
          <w:tcPr>
            <w:tcW w:type="dxa" w:w="1123"/>
          </w:tcPr>
          <w:p>
            <w:pPr>
              <w:jc w:val="right"/>
            </w:pPr>
            <w:r>
              <w:rPr>
                <w:color w:val="222222"/>
                <w:sz w:val="13"/>
              </w:rPr>
              <w:t>310</w:t>
            </w:r>
          </w:p>
        </w:tc>
      </w:tr>
      <w:tr>
        <w:tc>
          <w:tcPr>
            <w:tcW w:type="dxa" w:w="2808"/>
          </w:tcPr>
          <w:p>
            <w:r>
              <w:rPr>
                <w:color w:val="222222"/>
                <w:sz w:val="13"/>
              </w:rPr>
              <w:t>Advances &amp; billing in excess</w:t>
            </w:r>
          </w:p>
        </w:tc>
        <w:tc>
          <w:tcPr>
            <w:tcW w:type="dxa" w:w="1123"/>
          </w:tcPr>
          <w:p>
            <w:pPr>
              <w:jc w:val="right"/>
            </w:pPr>
            <w:r>
              <w:rPr>
                <w:color w:val="222222"/>
                <w:sz w:val="13"/>
              </w:rPr>
              <w:t>700</w:t>
            </w:r>
          </w:p>
        </w:tc>
        <w:tc>
          <w:tcPr>
            <w:tcW w:type="dxa" w:w="1123"/>
          </w:tcPr>
          <w:p>
            <w:pPr>
              <w:jc w:val="right"/>
            </w:pPr>
            <w:r>
              <w:rPr>
                <w:color w:val="222222"/>
                <w:sz w:val="13"/>
              </w:rPr>
              <w:t>900</w:t>
            </w:r>
          </w:p>
        </w:tc>
        <w:tc>
          <w:tcPr>
            <w:tcW w:type="dxa" w:w="1123"/>
          </w:tcPr>
          <w:p>
            <w:pPr>
              <w:jc w:val="right"/>
            </w:pPr>
            <w:r>
              <w:rPr>
                <w:color w:val="222222"/>
                <w:sz w:val="13"/>
              </w:rPr>
              <w:t>1,100</w:t>
            </w:r>
          </w:p>
        </w:tc>
        <w:tc>
          <w:tcPr>
            <w:tcW w:type="dxa" w:w="1123"/>
          </w:tcPr>
          <w:p>
            <w:pPr>
              <w:jc w:val="right"/>
            </w:pPr>
            <w:r>
              <w:rPr>
                <w:color w:val="222222"/>
                <w:sz w:val="13"/>
              </w:rPr>
              <w:t>1,210</w:t>
            </w:r>
          </w:p>
        </w:tc>
        <w:tc>
          <w:tcPr>
            <w:tcW w:type="dxa" w:w="1123"/>
          </w:tcPr>
          <w:p>
            <w:pPr>
              <w:jc w:val="right"/>
            </w:pPr>
            <w:r>
              <w:rPr>
                <w:color w:val="222222"/>
                <w:sz w:val="13"/>
              </w:rPr>
              <w:t>1,310</w:t>
            </w:r>
          </w:p>
        </w:tc>
        <w:tc>
          <w:tcPr>
            <w:tcW w:type="dxa" w:w="1123"/>
          </w:tcPr>
          <w:p>
            <w:pPr>
              <w:jc w:val="right"/>
            </w:pPr>
            <w:r>
              <w:rPr>
                <w:color w:val="222222"/>
                <w:sz w:val="13"/>
              </w:rPr>
              <w:t>1,410</w:t>
            </w:r>
          </w:p>
        </w:tc>
        <w:tc>
          <w:tcPr>
            <w:tcW w:type="dxa" w:w="1123"/>
          </w:tcPr>
          <w:p>
            <w:pPr>
              <w:jc w:val="right"/>
            </w:pPr>
            <w:r>
              <w:rPr>
                <w:color w:val="222222"/>
                <w:sz w:val="13"/>
              </w:rPr>
              <w:t>1,500</w:t>
            </w:r>
          </w:p>
        </w:tc>
        <w:tc>
          <w:tcPr>
            <w:tcW w:type="dxa" w:w="1123"/>
          </w:tcPr>
          <w:p>
            <w:pPr>
              <w:jc w:val="right"/>
            </w:pPr>
            <w:r>
              <w:rPr>
                <w:color w:val="222222"/>
                <w:sz w:val="13"/>
              </w:rPr>
              <w:t>1,590</w:t>
            </w:r>
          </w:p>
        </w:tc>
      </w:tr>
      <w:tr>
        <w:tc>
          <w:tcPr>
            <w:tcW w:type="dxa" w:w="2808"/>
          </w:tcPr>
          <w:p>
            <w:r>
              <w:rPr>
                <w:color w:val="222222"/>
                <w:sz w:val="13"/>
              </w:rPr>
              <w:t>Total current liabilities</w:t>
            </w:r>
          </w:p>
        </w:tc>
        <w:tc>
          <w:tcPr>
            <w:tcW w:type="dxa" w:w="1123"/>
          </w:tcPr>
          <w:p>
            <w:pPr>
              <w:jc w:val="right"/>
            </w:pPr>
            <w:r>
              <w:rPr>
                <w:color w:val="222222"/>
                <w:sz w:val="13"/>
              </w:rPr>
              <w:t>2,400</w:t>
            </w:r>
          </w:p>
        </w:tc>
        <w:tc>
          <w:tcPr>
            <w:tcW w:type="dxa" w:w="1123"/>
          </w:tcPr>
          <w:p>
            <w:pPr>
              <w:jc w:val="right"/>
            </w:pPr>
            <w:r>
              <w:rPr>
                <w:color w:val="222222"/>
                <w:sz w:val="13"/>
              </w:rPr>
              <w:t>3,163</w:t>
            </w:r>
          </w:p>
        </w:tc>
        <w:tc>
          <w:tcPr>
            <w:tcW w:type="dxa" w:w="1123"/>
          </w:tcPr>
          <w:p>
            <w:pPr>
              <w:jc w:val="right"/>
            </w:pPr>
            <w:r>
              <w:rPr>
                <w:color w:val="222222"/>
                <w:sz w:val="13"/>
              </w:rPr>
              <w:t>3,910</w:t>
            </w:r>
          </w:p>
        </w:tc>
        <w:tc>
          <w:tcPr>
            <w:tcW w:type="dxa" w:w="1123"/>
          </w:tcPr>
          <w:p>
            <w:pPr>
              <w:jc w:val="right"/>
            </w:pPr>
            <w:r>
              <w:rPr>
                <w:color w:val="222222"/>
                <w:sz w:val="13"/>
              </w:rPr>
              <w:t>4,285</w:t>
            </w:r>
          </w:p>
        </w:tc>
        <w:tc>
          <w:tcPr>
            <w:tcW w:type="dxa" w:w="1123"/>
          </w:tcPr>
          <w:p>
            <w:pPr>
              <w:jc w:val="right"/>
            </w:pPr>
            <w:r>
              <w:rPr>
                <w:color w:val="222222"/>
                <w:sz w:val="13"/>
              </w:rPr>
              <w:t>4,640</w:t>
            </w:r>
          </w:p>
        </w:tc>
        <w:tc>
          <w:tcPr>
            <w:tcW w:type="dxa" w:w="1123"/>
          </w:tcPr>
          <w:p>
            <w:pPr>
              <w:jc w:val="right"/>
            </w:pPr>
            <w:r>
              <w:rPr>
                <w:color w:val="222222"/>
                <w:sz w:val="13"/>
              </w:rPr>
              <w:t>4,970</w:t>
            </w:r>
          </w:p>
        </w:tc>
        <w:tc>
          <w:tcPr>
            <w:tcW w:type="dxa" w:w="1123"/>
          </w:tcPr>
          <w:p>
            <w:pPr>
              <w:jc w:val="right"/>
            </w:pPr>
            <w:r>
              <w:rPr>
                <w:color w:val="222222"/>
                <w:sz w:val="13"/>
              </w:rPr>
              <w:t>5,270</w:t>
            </w:r>
          </w:p>
        </w:tc>
        <w:tc>
          <w:tcPr>
            <w:tcW w:type="dxa" w:w="1123"/>
          </w:tcPr>
          <w:p>
            <w:pPr>
              <w:jc w:val="right"/>
            </w:pPr>
            <w:r>
              <w:rPr>
                <w:color w:val="222222"/>
                <w:sz w:val="13"/>
              </w:rPr>
              <w:t>5,570</w:t>
            </w:r>
          </w:p>
        </w:tc>
      </w:tr>
      <w:tr>
        <w:tc>
          <w:tcPr>
            <w:tcW w:type="dxa" w:w="2808"/>
          </w:tcPr>
          <w:p>
            <w:r>
              <w:rPr>
                <w:color w:val="222222"/>
                <w:sz w:val="13"/>
              </w:rPr>
              <w:t>Borrowings (non-current)</w:t>
            </w:r>
          </w:p>
        </w:tc>
        <w:tc>
          <w:tcPr>
            <w:tcW w:type="dxa" w:w="1123"/>
          </w:tcPr>
          <w:p>
            <w:pPr>
              <w:jc w:val="right"/>
            </w:pPr>
            <w:r>
              <w:rPr>
                <w:color w:val="222222"/>
                <w:sz w:val="13"/>
              </w:rPr>
              <w:t>250</w:t>
            </w:r>
          </w:p>
        </w:tc>
        <w:tc>
          <w:tcPr>
            <w:tcW w:type="dxa" w:w="1123"/>
          </w:tcPr>
          <w:p>
            <w:pPr>
              <w:jc w:val="right"/>
            </w:pPr>
            <w:r>
              <w:rPr>
                <w:color w:val="222222"/>
                <w:sz w:val="13"/>
              </w:rPr>
              <w:t>290</w:t>
            </w:r>
          </w:p>
        </w:tc>
        <w:tc>
          <w:tcPr>
            <w:tcW w:type="dxa" w:w="1123"/>
          </w:tcPr>
          <w:p>
            <w:pPr>
              <w:jc w:val="right"/>
            </w:pPr>
            <w:r>
              <w:rPr>
                <w:color w:val="222222"/>
                <w:sz w:val="13"/>
              </w:rPr>
              <w:t>310</w:t>
            </w:r>
          </w:p>
        </w:tc>
        <w:tc>
          <w:tcPr>
            <w:tcW w:type="dxa" w:w="1123"/>
          </w:tcPr>
          <w:p>
            <w:pPr>
              <w:jc w:val="right"/>
            </w:pPr>
            <w:r>
              <w:rPr>
                <w:color w:val="222222"/>
                <w:sz w:val="13"/>
              </w:rPr>
              <w:t>325</w:t>
            </w:r>
          </w:p>
        </w:tc>
        <w:tc>
          <w:tcPr>
            <w:tcW w:type="dxa" w:w="1123"/>
          </w:tcPr>
          <w:p>
            <w:pPr>
              <w:jc w:val="right"/>
            </w:pPr>
            <w:r>
              <w:rPr>
                <w:color w:val="222222"/>
                <w:sz w:val="13"/>
              </w:rPr>
              <w:t>340</w:t>
            </w:r>
          </w:p>
        </w:tc>
        <w:tc>
          <w:tcPr>
            <w:tcW w:type="dxa" w:w="1123"/>
          </w:tcPr>
          <w:p>
            <w:pPr>
              <w:jc w:val="right"/>
            </w:pPr>
            <w:r>
              <w:rPr>
                <w:color w:val="222222"/>
                <w:sz w:val="13"/>
              </w:rPr>
              <w:t>360</w:t>
            </w:r>
          </w:p>
        </w:tc>
        <w:tc>
          <w:tcPr>
            <w:tcW w:type="dxa" w:w="1123"/>
          </w:tcPr>
          <w:p>
            <w:pPr>
              <w:jc w:val="right"/>
            </w:pPr>
            <w:r>
              <w:rPr>
                <w:color w:val="222222"/>
                <w:sz w:val="13"/>
              </w:rPr>
              <w:t>375</w:t>
            </w:r>
          </w:p>
        </w:tc>
        <w:tc>
          <w:tcPr>
            <w:tcW w:type="dxa" w:w="1123"/>
          </w:tcPr>
          <w:p>
            <w:pPr>
              <w:jc w:val="right"/>
            </w:pPr>
            <w:r>
              <w:rPr>
                <w:color w:val="222222"/>
                <w:sz w:val="13"/>
              </w:rPr>
              <w:t>390</w:t>
            </w:r>
          </w:p>
        </w:tc>
      </w:tr>
      <w:tr>
        <w:tc>
          <w:tcPr>
            <w:tcW w:type="dxa" w:w="2808"/>
          </w:tcPr>
          <w:p>
            <w:r>
              <w:rPr>
                <w:color w:val="222222"/>
                <w:sz w:val="13"/>
              </w:rPr>
              <w:t>Other non-current liabilities</w:t>
            </w:r>
          </w:p>
        </w:tc>
        <w:tc>
          <w:tcPr>
            <w:tcW w:type="dxa" w:w="1123"/>
          </w:tcPr>
          <w:p>
            <w:pPr>
              <w:jc w:val="right"/>
            </w:pPr>
            <w:r>
              <w:rPr>
                <w:color w:val="222222"/>
                <w:sz w:val="13"/>
              </w:rPr>
              <w:t>450</w:t>
            </w:r>
          </w:p>
        </w:tc>
        <w:tc>
          <w:tcPr>
            <w:tcW w:type="dxa" w:w="1123"/>
          </w:tcPr>
          <w:p>
            <w:pPr>
              <w:jc w:val="right"/>
            </w:pPr>
            <w:r>
              <w:rPr>
                <w:color w:val="222222"/>
                <w:sz w:val="13"/>
              </w:rPr>
              <w:t>400</w:t>
            </w:r>
          </w:p>
        </w:tc>
        <w:tc>
          <w:tcPr>
            <w:tcW w:type="dxa" w:w="1123"/>
          </w:tcPr>
          <w:p>
            <w:pPr>
              <w:jc w:val="right"/>
            </w:pPr>
            <w:r>
              <w:rPr>
                <w:color w:val="222222"/>
                <w:sz w:val="13"/>
              </w:rPr>
              <w:t>500</w:t>
            </w:r>
          </w:p>
        </w:tc>
        <w:tc>
          <w:tcPr>
            <w:tcW w:type="dxa" w:w="1123"/>
          </w:tcPr>
          <w:p>
            <w:pPr>
              <w:jc w:val="right"/>
            </w:pPr>
            <w:r>
              <w:rPr>
                <w:color w:val="222222"/>
                <w:sz w:val="13"/>
              </w:rPr>
              <w:t>530</w:t>
            </w:r>
          </w:p>
        </w:tc>
        <w:tc>
          <w:tcPr>
            <w:tcW w:type="dxa" w:w="1123"/>
          </w:tcPr>
          <w:p>
            <w:pPr>
              <w:jc w:val="right"/>
            </w:pPr>
            <w:r>
              <w:rPr>
                <w:color w:val="222222"/>
                <w:sz w:val="13"/>
              </w:rPr>
              <w:t>560</w:t>
            </w:r>
          </w:p>
        </w:tc>
        <w:tc>
          <w:tcPr>
            <w:tcW w:type="dxa" w:w="1123"/>
          </w:tcPr>
          <w:p>
            <w:pPr>
              <w:jc w:val="right"/>
            </w:pPr>
            <w:r>
              <w:rPr>
                <w:color w:val="222222"/>
                <w:sz w:val="13"/>
              </w:rPr>
              <w:t>590</w:t>
            </w:r>
          </w:p>
        </w:tc>
        <w:tc>
          <w:tcPr>
            <w:tcW w:type="dxa" w:w="1123"/>
          </w:tcPr>
          <w:p>
            <w:pPr>
              <w:jc w:val="right"/>
            </w:pPr>
            <w:r>
              <w:rPr>
                <w:color w:val="222222"/>
                <w:sz w:val="13"/>
              </w:rPr>
              <w:t>620</w:t>
            </w:r>
          </w:p>
        </w:tc>
        <w:tc>
          <w:tcPr>
            <w:tcW w:type="dxa" w:w="1123"/>
          </w:tcPr>
          <w:p>
            <w:pPr>
              <w:jc w:val="right"/>
            </w:pPr>
            <w:r>
              <w:rPr>
                <w:color w:val="222222"/>
                <w:sz w:val="13"/>
              </w:rPr>
              <w:t>650</w:t>
            </w:r>
          </w:p>
        </w:tc>
      </w:tr>
      <w:tr>
        <w:tc>
          <w:tcPr>
            <w:tcW w:type="dxa" w:w="2808"/>
          </w:tcPr>
          <w:p>
            <w:r>
              <w:rPr>
                <w:color w:val="222222"/>
                <w:sz w:val="13"/>
              </w:rPr>
              <w:t>Total liabilities</w:t>
            </w:r>
          </w:p>
        </w:tc>
        <w:tc>
          <w:tcPr>
            <w:tcW w:type="dxa" w:w="1123"/>
          </w:tcPr>
          <w:p>
            <w:pPr>
              <w:jc w:val="right"/>
            </w:pPr>
            <w:r>
              <w:rPr>
                <w:color w:val="222222"/>
                <w:sz w:val="13"/>
              </w:rPr>
              <w:t>3,100</w:t>
            </w:r>
          </w:p>
        </w:tc>
        <w:tc>
          <w:tcPr>
            <w:tcW w:type="dxa" w:w="1123"/>
          </w:tcPr>
          <w:p>
            <w:pPr>
              <w:jc w:val="right"/>
            </w:pPr>
            <w:r>
              <w:rPr>
                <w:color w:val="222222"/>
                <w:sz w:val="13"/>
              </w:rPr>
              <w:t>3,853</w:t>
            </w:r>
          </w:p>
        </w:tc>
        <w:tc>
          <w:tcPr>
            <w:tcW w:type="dxa" w:w="1123"/>
          </w:tcPr>
          <w:p>
            <w:pPr>
              <w:jc w:val="right"/>
            </w:pPr>
            <w:r>
              <w:rPr>
                <w:color w:val="222222"/>
                <w:sz w:val="13"/>
              </w:rPr>
              <w:t>4,720</w:t>
            </w:r>
          </w:p>
        </w:tc>
        <w:tc>
          <w:tcPr>
            <w:tcW w:type="dxa" w:w="1123"/>
          </w:tcPr>
          <w:p>
            <w:pPr>
              <w:jc w:val="right"/>
            </w:pPr>
            <w:r>
              <w:rPr>
                <w:color w:val="222222"/>
                <w:sz w:val="13"/>
              </w:rPr>
              <w:t>5,140</w:t>
            </w:r>
          </w:p>
        </w:tc>
        <w:tc>
          <w:tcPr>
            <w:tcW w:type="dxa" w:w="1123"/>
          </w:tcPr>
          <w:p>
            <w:pPr>
              <w:jc w:val="right"/>
            </w:pPr>
            <w:r>
              <w:rPr>
                <w:color w:val="222222"/>
                <w:sz w:val="13"/>
              </w:rPr>
              <w:t>5,540</w:t>
            </w:r>
          </w:p>
        </w:tc>
        <w:tc>
          <w:tcPr>
            <w:tcW w:type="dxa" w:w="1123"/>
          </w:tcPr>
          <w:p>
            <w:pPr>
              <w:jc w:val="right"/>
            </w:pPr>
            <w:r>
              <w:rPr>
                <w:color w:val="222222"/>
                <w:sz w:val="13"/>
              </w:rPr>
              <w:t>5,920</w:t>
            </w:r>
          </w:p>
        </w:tc>
        <w:tc>
          <w:tcPr>
            <w:tcW w:type="dxa" w:w="1123"/>
          </w:tcPr>
          <w:p>
            <w:pPr>
              <w:jc w:val="right"/>
            </w:pPr>
            <w:r>
              <w:rPr>
                <w:color w:val="222222"/>
                <w:sz w:val="13"/>
              </w:rPr>
              <w:t>6,265</w:t>
            </w:r>
          </w:p>
        </w:tc>
        <w:tc>
          <w:tcPr>
            <w:tcW w:type="dxa" w:w="1123"/>
          </w:tcPr>
          <w:p>
            <w:pPr>
              <w:jc w:val="right"/>
            </w:pPr>
            <w:r>
              <w:rPr>
                <w:color w:val="222222"/>
                <w:sz w:val="13"/>
              </w:rPr>
              <w:t>6,610</w:t>
            </w:r>
          </w:p>
        </w:tc>
      </w:tr>
      <w:tr>
        <w:tc>
          <w:tcPr>
            <w:tcW w:type="dxa" w:w="2808"/>
          </w:tcPr>
          <w:p>
            <w:r>
              <w:rPr>
                <w:color w:val="222222"/>
                <w:sz w:val="13"/>
              </w:rPr>
              <w:t>Equity attributable to owners</w:t>
            </w:r>
          </w:p>
        </w:tc>
        <w:tc>
          <w:tcPr>
            <w:tcW w:type="dxa" w:w="1123"/>
          </w:tcPr>
          <w:p>
            <w:pPr>
              <w:jc w:val="right"/>
            </w:pPr>
            <w:r>
              <w:rPr>
                <w:color w:val="222222"/>
                <w:sz w:val="13"/>
              </w:rPr>
              <w:t>696</w:t>
            </w:r>
          </w:p>
        </w:tc>
        <w:tc>
          <w:tcPr>
            <w:tcW w:type="dxa" w:w="1123"/>
          </w:tcPr>
          <w:p>
            <w:pPr>
              <w:jc w:val="right"/>
            </w:pPr>
            <w:r>
              <w:rPr>
                <w:color w:val="222222"/>
                <w:sz w:val="13"/>
              </w:rPr>
              <w:t>873</w:t>
            </w:r>
          </w:p>
        </w:tc>
        <w:tc>
          <w:tcPr>
            <w:tcW w:type="dxa" w:w="1123"/>
          </w:tcPr>
          <w:p>
            <w:pPr>
              <w:jc w:val="right"/>
            </w:pPr>
            <w:r>
              <w:rPr>
                <w:color w:val="222222"/>
                <w:sz w:val="13"/>
              </w:rPr>
              <w:t>873</w:t>
            </w:r>
          </w:p>
        </w:tc>
        <w:tc>
          <w:tcPr>
            <w:tcW w:type="dxa" w:w="1123"/>
          </w:tcPr>
          <w:p>
            <w:pPr>
              <w:jc w:val="right"/>
            </w:pPr>
            <w:r>
              <w:rPr>
                <w:color w:val="222222"/>
                <w:sz w:val="13"/>
              </w:rPr>
              <w:t>996</w:t>
            </w:r>
          </w:p>
        </w:tc>
        <w:tc>
          <w:tcPr>
            <w:tcW w:type="dxa" w:w="1123"/>
          </w:tcPr>
          <w:p>
            <w:pPr>
              <w:jc w:val="right"/>
            </w:pPr>
            <w:r>
              <w:rPr>
                <w:color w:val="222222"/>
                <w:sz w:val="13"/>
              </w:rPr>
              <w:t>1,149</w:t>
            </w:r>
          </w:p>
        </w:tc>
        <w:tc>
          <w:tcPr>
            <w:tcW w:type="dxa" w:w="1123"/>
          </w:tcPr>
          <w:p>
            <w:pPr>
              <w:jc w:val="right"/>
            </w:pPr>
            <w:r>
              <w:rPr>
                <w:color w:val="222222"/>
                <w:sz w:val="13"/>
              </w:rPr>
              <w:t>1,284</w:t>
            </w:r>
          </w:p>
        </w:tc>
        <w:tc>
          <w:tcPr>
            <w:tcW w:type="dxa" w:w="1123"/>
          </w:tcPr>
          <w:p>
            <w:pPr>
              <w:jc w:val="right"/>
            </w:pPr>
            <w:r>
              <w:rPr>
                <w:color w:val="222222"/>
                <w:sz w:val="13"/>
              </w:rPr>
              <w:t>1,408</w:t>
            </w:r>
          </w:p>
        </w:tc>
        <w:tc>
          <w:tcPr>
            <w:tcW w:type="dxa" w:w="1123"/>
          </w:tcPr>
          <w:p>
            <w:pPr>
              <w:jc w:val="right"/>
            </w:pPr>
            <w:r>
              <w:rPr>
                <w:color w:val="222222"/>
                <w:sz w:val="13"/>
              </w:rPr>
              <w:t>1,537</w:t>
            </w:r>
          </w:p>
        </w:tc>
      </w:tr>
      <w:tr>
        <w:tc>
          <w:tcPr>
            <w:tcW w:type="dxa" w:w="2808"/>
          </w:tcPr>
          <w:p>
            <w:r>
              <w:rPr>
                <w:color w:val="222222"/>
                <w:sz w:val="13"/>
              </w:rPr>
              <w:t>Non-controlling interests</w:t>
            </w:r>
          </w:p>
        </w:tc>
        <w:tc>
          <w:tcPr>
            <w:tcW w:type="dxa" w:w="1123"/>
          </w:tcPr>
          <w:p>
            <w:pPr>
              <w:jc w:val="right"/>
            </w:pPr>
            <w:r>
              <w:rPr>
                <w:color w:val="222222"/>
                <w:sz w:val="13"/>
              </w:rPr>
              <w:t>300</w:t>
            </w:r>
          </w:p>
        </w:tc>
        <w:tc>
          <w:tcPr>
            <w:tcW w:type="dxa" w:w="1123"/>
          </w:tcPr>
          <w:p>
            <w:pPr>
              <w:jc w:val="right"/>
            </w:pPr>
            <w:r>
              <w:rPr>
                <w:color w:val="222222"/>
                <w:sz w:val="13"/>
              </w:rPr>
              <w:t>474</w:t>
            </w:r>
          </w:p>
        </w:tc>
        <w:tc>
          <w:tcPr>
            <w:tcW w:type="dxa" w:w="1123"/>
          </w:tcPr>
          <w:p>
            <w:pPr>
              <w:jc w:val="right"/>
            </w:pPr>
            <w:r>
              <w:rPr>
                <w:color w:val="222222"/>
                <w:sz w:val="13"/>
              </w:rPr>
              <w:t>507</w:t>
            </w:r>
          </w:p>
        </w:tc>
        <w:tc>
          <w:tcPr>
            <w:tcW w:type="dxa" w:w="1123"/>
          </w:tcPr>
          <w:p>
            <w:pPr>
              <w:jc w:val="right"/>
            </w:pPr>
            <w:r>
              <w:rPr>
                <w:color w:val="222222"/>
                <w:sz w:val="13"/>
              </w:rPr>
              <w:t>540</w:t>
            </w:r>
          </w:p>
        </w:tc>
        <w:tc>
          <w:tcPr>
            <w:tcW w:type="dxa" w:w="1123"/>
          </w:tcPr>
          <w:p>
            <w:pPr>
              <w:jc w:val="right"/>
            </w:pPr>
            <w:r>
              <w:rPr>
                <w:color w:val="222222"/>
                <w:sz w:val="13"/>
              </w:rPr>
              <w:t>575</w:t>
            </w:r>
          </w:p>
        </w:tc>
        <w:tc>
          <w:tcPr>
            <w:tcW w:type="dxa" w:w="1123"/>
          </w:tcPr>
          <w:p>
            <w:pPr>
              <w:jc w:val="right"/>
            </w:pPr>
            <w:r>
              <w:rPr>
                <w:color w:val="222222"/>
                <w:sz w:val="13"/>
              </w:rPr>
              <w:t>610</w:t>
            </w:r>
          </w:p>
        </w:tc>
        <w:tc>
          <w:tcPr>
            <w:tcW w:type="dxa" w:w="1123"/>
          </w:tcPr>
          <w:p>
            <w:pPr>
              <w:jc w:val="right"/>
            </w:pPr>
            <w:r>
              <w:rPr>
                <w:color w:val="222222"/>
                <w:sz w:val="13"/>
              </w:rPr>
              <w:t>648</w:t>
            </w:r>
          </w:p>
        </w:tc>
        <w:tc>
          <w:tcPr>
            <w:tcW w:type="dxa" w:w="1123"/>
          </w:tcPr>
          <w:p>
            <w:pPr>
              <w:jc w:val="right"/>
            </w:pPr>
            <w:r>
              <w:rPr>
                <w:color w:val="222222"/>
                <w:sz w:val="13"/>
              </w:rPr>
              <w:t>688</w:t>
            </w:r>
          </w:p>
        </w:tc>
      </w:tr>
      <w:tr>
        <w:tc>
          <w:tcPr>
            <w:tcW w:type="dxa" w:w="2808"/>
          </w:tcPr>
          <w:p>
            <w:r>
              <w:rPr>
                <w:color w:val="222222"/>
                <w:sz w:val="13"/>
              </w:rPr>
              <w:t>Total equity</w:t>
            </w:r>
          </w:p>
        </w:tc>
        <w:tc>
          <w:tcPr>
            <w:tcW w:type="dxa" w:w="1123"/>
          </w:tcPr>
          <w:p>
            <w:pPr>
              <w:jc w:val="right"/>
            </w:pPr>
            <w:r>
              <w:rPr>
                <w:color w:val="222222"/>
                <w:sz w:val="13"/>
              </w:rPr>
              <w:t>996</w:t>
            </w:r>
          </w:p>
        </w:tc>
        <w:tc>
          <w:tcPr>
            <w:tcW w:type="dxa" w:w="1123"/>
          </w:tcPr>
          <w:p>
            <w:pPr>
              <w:jc w:val="right"/>
            </w:pPr>
            <w:r>
              <w:rPr>
                <w:color w:val="222222"/>
                <w:sz w:val="13"/>
              </w:rPr>
              <w:t>1,347</w:t>
            </w:r>
          </w:p>
        </w:tc>
        <w:tc>
          <w:tcPr>
            <w:tcW w:type="dxa" w:w="1123"/>
          </w:tcPr>
          <w:p>
            <w:pPr>
              <w:jc w:val="right"/>
            </w:pPr>
            <w:r>
              <w:rPr>
                <w:color w:val="222222"/>
                <w:sz w:val="13"/>
              </w:rPr>
              <w:t>1,380</w:t>
            </w:r>
          </w:p>
        </w:tc>
        <w:tc>
          <w:tcPr>
            <w:tcW w:type="dxa" w:w="1123"/>
          </w:tcPr>
          <w:p>
            <w:pPr>
              <w:jc w:val="right"/>
            </w:pPr>
            <w:r>
              <w:rPr>
                <w:color w:val="222222"/>
                <w:sz w:val="13"/>
              </w:rPr>
              <w:t>1,536</w:t>
            </w:r>
          </w:p>
        </w:tc>
        <w:tc>
          <w:tcPr>
            <w:tcW w:type="dxa" w:w="1123"/>
          </w:tcPr>
          <w:p>
            <w:pPr>
              <w:jc w:val="right"/>
            </w:pPr>
            <w:r>
              <w:rPr>
                <w:color w:val="222222"/>
                <w:sz w:val="13"/>
              </w:rPr>
              <w:t>1,724</w:t>
            </w:r>
          </w:p>
        </w:tc>
        <w:tc>
          <w:tcPr>
            <w:tcW w:type="dxa" w:w="1123"/>
          </w:tcPr>
          <w:p>
            <w:pPr>
              <w:jc w:val="right"/>
            </w:pPr>
            <w:r>
              <w:rPr>
                <w:color w:val="222222"/>
                <w:sz w:val="13"/>
              </w:rPr>
              <w:t>1,894</w:t>
            </w:r>
          </w:p>
        </w:tc>
        <w:tc>
          <w:tcPr>
            <w:tcW w:type="dxa" w:w="1123"/>
          </w:tcPr>
          <w:p>
            <w:pPr>
              <w:jc w:val="right"/>
            </w:pPr>
            <w:r>
              <w:rPr>
                <w:color w:val="222222"/>
                <w:sz w:val="13"/>
              </w:rPr>
              <w:t>2,056</w:t>
            </w:r>
          </w:p>
        </w:tc>
        <w:tc>
          <w:tcPr>
            <w:tcW w:type="dxa" w:w="1123"/>
          </w:tcPr>
          <w:p>
            <w:pPr>
              <w:jc w:val="right"/>
            </w:pPr>
            <w:r>
              <w:rPr>
                <w:color w:val="222222"/>
                <w:sz w:val="13"/>
              </w:rPr>
              <w:t>2,225</w:t>
            </w:r>
          </w:p>
        </w:tc>
      </w:tr>
      <w:tr>
        <w:tc>
          <w:tcPr>
            <w:tcW w:type="dxa" w:w="2808"/>
          </w:tcPr>
          <w:p>
            <w:r>
              <w:rPr>
                <w:color w:val="222222"/>
                <w:sz w:val="13"/>
              </w:rPr>
              <w:t>Total equity &amp; liabilities</w:t>
            </w:r>
          </w:p>
        </w:tc>
        <w:tc>
          <w:tcPr>
            <w:tcW w:type="dxa" w:w="1123"/>
          </w:tcPr>
          <w:p>
            <w:pPr>
              <w:jc w:val="right"/>
            </w:pPr>
            <w:r>
              <w:rPr>
                <w:color w:val="222222"/>
                <w:sz w:val="13"/>
              </w:rPr>
              <w:t>4,096</w:t>
            </w:r>
          </w:p>
        </w:tc>
        <w:tc>
          <w:tcPr>
            <w:tcW w:type="dxa" w:w="1123"/>
          </w:tcPr>
          <w:p>
            <w:pPr>
              <w:jc w:val="right"/>
            </w:pPr>
            <w:r>
              <w:rPr>
                <w:color w:val="222222"/>
                <w:sz w:val="13"/>
              </w:rPr>
              <w:t>5,200</w:t>
            </w:r>
          </w:p>
        </w:tc>
        <w:tc>
          <w:tcPr>
            <w:tcW w:type="dxa" w:w="1123"/>
          </w:tcPr>
          <w:p>
            <w:pPr>
              <w:jc w:val="right"/>
            </w:pPr>
            <w:r>
              <w:rPr>
                <w:color w:val="222222"/>
                <w:sz w:val="13"/>
              </w:rPr>
              <w:t>6,100</w:t>
            </w:r>
          </w:p>
        </w:tc>
        <w:tc>
          <w:tcPr>
            <w:tcW w:type="dxa" w:w="1123"/>
          </w:tcPr>
          <w:p>
            <w:pPr>
              <w:jc w:val="right"/>
            </w:pPr>
            <w:r>
              <w:rPr>
                <w:color w:val="222222"/>
                <w:sz w:val="13"/>
              </w:rPr>
              <w:t>6,676</w:t>
            </w:r>
          </w:p>
        </w:tc>
        <w:tc>
          <w:tcPr>
            <w:tcW w:type="dxa" w:w="1123"/>
          </w:tcPr>
          <w:p>
            <w:pPr>
              <w:jc w:val="right"/>
            </w:pPr>
            <w:r>
              <w:rPr>
                <w:color w:val="222222"/>
                <w:sz w:val="13"/>
              </w:rPr>
              <w:t>7,264</w:t>
            </w:r>
          </w:p>
        </w:tc>
        <w:tc>
          <w:tcPr>
            <w:tcW w:type="dxa" w:w="1123"/>
          </w:tcPr>
          <w:p>
            <w:pPr>
              <w:jc w:val="right"/>
            </w:pPr>
            <w:r>
              <w:rPr>
                <w:color w:val="222222"/>
                <w:sz w:val="13"/>
              </w:rPr>
              <w:t>7,814</w:t>
            </w:r>
          </w:p>
        </w:tc>
        <w:tc>
          <w:tcPr>
            <w:tcW w:type="dxa" w:w="1123"/>
          </w:tcPr>
          <w:p>
            <w:pPr>
              <w:jc w:val="right"/>
            </w:pPr>
            <w:r>
              <w:rPr>
                <w:color w:val="222222"/>
                <w:sz w:val="13"/>
              </w:rPr>
              <w:t>8,321</w:t>
            </w:r>
          </w:p>
        </w:tc>
        <w:tc>
          <w:tcPr>
            <w:tcW w:type="dxa" w:w="1123"/>
          </w:tcPr>
          <w:p>
            <w:pPr>
              <w:jc w:val="right"/>
            </w:pPr>
            <w:r>
              <w:rPr>
                <w:color w:val="222222"/>
                <w:sz w:val="13"/>
              </w:rPr>
              <w:t>8,835</w:t>
            </w:r>
          </w:p>
        </w:tc>
      </w:tr>
      <w:tr>
        <w:tc>
          <w:tcPr>
            <w:tcW w:type="dxa" w:w="2808"/>
          </w:tcPr>
          <w:p>
            <w:r>
              <w:rPr>
                <w:color w:val="222222"/>
                <w:sz w:val="13"/>
              </w:rPr>
              <w:t>BVPS — attributable (USD)</w:t>
            </w:r>
          </w:p>
        </w:tc>
        <w:tc>
          <w:tcPr>
            <w:tcW w:type="dxa" w:w="1123"/>
          </w:tcPr>
          <w:p>
            <w:pPr>
              <w:jc w:val="right"/>
            </w:pPr>
            <w:r>
              <w:rPr>
                <w:color w:val="222222"/>
                <w:sz w:val="13"/>
              </w:rPr>
              <w:t>6.32</w:t>
            </w:r>
          </w:p>
        </w:tc>
        <w:tc>
          <w:tcPr>
            <w:tcW w:type="dxa" w:w="1123"/>
          </w:tcPr>
          <w:p>
            <w:pPr>
              <w:jc w:val="right"/>
            </w:pPr>
            <w:r>
              <w:rPr>
                <w:color w:val="222222"/>
                <w:sz w:val="13"/>
              </w:rPr>
              <w:t>7.92</w:t>
            </w:r>
          </w:p>
        </w:tc>
        <w:tc>
          <w:tcPr>
            <w:tcW w:type="dxa" w:w="1123"/>
          </w:tcPr>
          <w:p>
            <w:pPr>
              <w:jc w:val="right"/>
            </w:pPr>
            <w:r>
              <w:rPr>
                <w:color w:val="222222"/>
                <w:sz w:val="13"/>
              </w:rPr>
              <w:t>7.92</w:t>
            </w:r>
          </w:p>
        </w:tc>
        <w:tc>
          <w:tcPr>
            <w:tcW w:type="dxa" w:w="1123"/>
          </w:tcPr>
          <w:p>
            <w:pPr>
              <w:jc w:val="right"/>
            </w:pPr>
            <w:r>
              <w:rPr>
                <w:color w:val="222222"/>
                <w:sz w:val="13"/>
              </w:rPr>
              <w:t>9.04</w:t>
            </w:r>
          </w:p>
        </w:tc>
        <w:tc>
          <w:tcPr>
            <w:tcW w:type="dxa" w:w="1123"/>
          </w:tcPr>
          <w:p>
            <w:pPr>
              <w:jc w:val="right"/>
            </w:pPr>
            <w:r>
              <w:rPr>
                <w:color w:val="222222"/>
                <w:sz w:val="13"/>
              </w:rPr>
              <w:t>10</w:t>
            </w:r>
          </w:p>
        </w:tc>
        <w:tc>
          <w:tcPr>
            <w:tcW w:type="dxa" w:w="1123"/>
          </w:tcPr>
          <w:p>
            <w:pPr>
              <w:jc w:val="right"/>
            </w:pPr>
            <w:r>
              <w:rPr>
                <w:color w:val="222222"/>
                <w:sz w:val="13"/>
              </w:rPr>
              <w:t>12</w:t>
            </w:r>
          </w:p>
        </w:tc>
        <w:tc>
          <w:tcPr>
            <w:tcW w:type="dxa" w:w="1123"/>
          </w:tcPr>
          <w:p>
            <w:pPr>
              <w:jc w:val="right"/>
            </w:pPr>
            <w:r>
              <w:rPr>
                <w:color w:val="222222"/>
                <w:sz w:val="13"/>
              </w:rPr>
              <w:t>13</w:t>
            </w:r>
          </w:p>
        </w:tc>
        <w:tc>
          <w:tcPr>
            <w:tcW w:type="dxa" w:w="1123"/>
          </w:tcPr>
          <w:p>
            <w:pPr>
              <w:jc w:val="right"/>
            </w:pPr>
            <w:r>
              <w:rPr>
                <w:color w:val="222222"/>
                <w:sz w:val="13"/>
              </w:rPr>
              <w:t>14</w:t>
            </w:r>
          </w:p>
        </w:tc>
      </w:tr>
      <w:tr>
        <w:tc>
          <w:tcPr>
            <w:tcW w:type="dxa" w:w="2808"/>
          </w:tcPr>
          <w:p>
            <w:r>
              <w:rPr>
                <w:color w:val="222222"/>
                <w:sz w:val="13"/>
              </w:rPr>
              <w:t>Net cash (cash − borrowings)</w:t>
            </w:r>
          </w:p>
        </w:tc>
        <w:tc>
          <w:tcPr>
            <w:tcW w:type="dxa" w:w="1123"/>
          </w:tcPr>
          <w:p>
            <w:pPr>
              <w:jc w:val="right"/>
            </w:pPr>
            <w:r>
              <w:rPr>
                <w:color w:val="222222"/>
                <w:sz w:val="13"/>
              </w:rPr>
              <w:t>246</w:t>
            </w:r>
          </w:p>
        </w:tc>
        <w:tc>
          <w:tcPr>
            <w:tcW w:type="dxa" w:w="1123"/>
          </w:tcPr>
          <w:p>
            <w:pPr>
              <w:jc w:val="right"/>
            </w:pPr>
            <w:r>
              <w:rPr>
                <w:color w:val="222222"/>
                <w:sz w:val="13"/>
              </w:rPr>
              <w:t>521</w:t>
            </w:r>
          </w:p>
        </w:tc>
        <w:tc>
          <w:tcPr>
            <w:tcW w:type="dxa" w:w="1123"/>
          </w:tcPr>
          <w:p>
            <w:pPr>
              <w:jc w:val="right"/>
            </w:pPr>
            <w:r>
              <w:rPr>
                <w:color w:val="222222"/>
                <w:sz w:val="13"/>
              </w:rPr>
              <w:t>540</w:t>
            </w:r>
          </w:p>
        </w:tc>
        <w:tc>
          <w:tcPr>
            <w:tcW w:type="dxa" w:w="1123"/>
          </w:tcPr>
          <w:p>
            <w:pPr>
              <w:jc w:val="right"/>
            </w:pPr>
            <w:r>
              <w:rPr>
                <w:color w:val="222222"/>
                <w:sz w:val="13"/>
              </w:rPr>
              <w:t>590</w:t>
            </w:r>
          </w:p>
        </w:tc>
        <w:tc>
          <w:tcPr>
            <w:tcW w:type="dxa" w:w="1123"/>
          </w:tcPr>
          <w:p>
            <w:pPr>
              <w:jc w:val="right"/>
            </w:pPr>
            <w:r>
              <w:rPr>
                <w:color w:val="222222"/>
                <w:sz w:val="13"/>
              </w:rPr>
              <w:t>650</w:t>
            </w:r>
          </w:p>
        </w:tc>
        <w:tc>
          <w:tcPr>
            <w:tcW w:type="dxa" w:w="1123"/>
          </w:tcPr>
          <w:p>
            <w:pPr>
              <w:jc w:val="right"/>
            </w:pPr>
            <w:r>
              <w:rPr>
                <w:color w:val="222222"/>
                <w:sz w:val="13"/>
              </w:rPr>
              <w:t>710</w:t>
            </w:r>
          </w:p>
        </w:tc>
        <w:tc>
          <w:tcPr>
            <w:tcW w:type="dxa" w:w="1123"/>
          </w:tcPr>
          <w:p>
            <w:pPr>
              <w:jc w:val="right"/>
            </w:pPr>
            <w:r>
              <w:rPr>
                <w:color w:val="222222"/>
                <w:sz w:val="13"/>
              </w:rPr>
              <w:t>775</w:t>
            </w:r>
          </w:p>
        </w:tc>
        <w:tc>
          <w:tcPr>
            <w:tcW w:type="dxa" w:w="1123"/>
          </w:tcPr>
          <w:p>
            <w:pPr>
              <w:jc w:val="right"/>
            </w:pPr>
            <w:r>
              <w:rPr>
                <w:color w:val="222222"/>
                <w:sz w:val="13"/>
              </w:rPr>
              <w:t>840</w:t>
            </w:r>
          </w:p>
        </w:tc>
      </w:tr>
    </w:tbl>
    <w:p>
      <w:pPr>
        <w:spacing w:after="40"/>
      </w:pPr>
    </w:p>
    <w:p>
      <w:pPr>
        <w:spacing w:after="120"/>
      </w:pPr>
      <w:r>
        <w:rPr>
          <w:b w:val="0"/>
          <w:i/>
          <w:color w:val="666666"/>
          <w:sz w:val="17"/>
        </w:rPr>
        <w:t>Note. Totals are anchored to reported figures (total assets $5.2bn and equity $873.2m at end-2025; cash $1,041m at end-2024). The advances and billing-in-excess line is the reason reported net cash overstates distributable cash — it is the heart of §1.7.</w:t>
      </w:r>
    </w:p>
    <w:p>
      <w:pPr>
        <w:spacing w:after="40"/>
      </w:pPr>
      <w:r>
        <w:rPr>
          <w:b/>
          <w:i w:val="0"/>
          <w:color w:val="222222"/>
          <w:sz w:val="20"/>
        </w:rPr>
        <w:t>A.3  Consolidated cash flow (simplified, USD m)</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664"/>
            <w:shd w:val="clear" w:fill="1B5E5E"/>
          </w:tcPr>
          <w:p>
            <w:r>
              <w:rPr>
                <w:b/>
                <w:color w:val="FFFFFF"/>
                <w:sz w:val="15"/>
              </w:rPr>
              <w:t>Cash flow</w:t>
            </w:r>
          </w:p>
        </w:tc>
        <w:tc>
          <w:tcPr>
            <w:tcW w:type="dxa" w:w="1152"/>
            <w:shd w:val="clear" w:fill="1B5E5E"/>
          </w:tcPr>
          <w:p>
            <w:pPr>
              <w:jc w:val="right"/>
            </w:pPr>
            <w:r>
              <w:rPr>
                <w:b/>
                <w:color w:val="FFFFFF"/>
                <w:sz w:val="15"/>
              </w:rPr>
              <w:t>2023a</w:t>
            </w:r>
          </w:p>
        </w:tc>
        <w:tc>
          <w:tcPr>
            <w:tcW w:type="dxa" w:w="1152"/>
            <w:shd w:val="clear" w:fill="1B5E5E"/>
          </w:tcPr>
          <w:p>
            <w:pPr>
              <w:jc w:val="right"/>
            </w:pPr>
            <w:r>
              <w:rPr>
                <w:b/>
                <w:color w:val="FFFFFF"/>
                <w:sz w:val="15"/>
              </w:rPr>
              <w:t>2024a</w:t>
            </w:r>
          </w:p>
        </w:tc>
        <w:tc>
          <w:tcPr>
            <w:tcW w:type="dxa" w:w="1152"/>
            <w:shd w:val="clear" w:fill="1B5E5E"/>
          </w:tcPr>
          <w:p>
            <w:pPr>
              <w:jc w:val="right"/>
            </w:pPr>
            <w:r>
              <w:rPr>
                <w:b/>
                <w:color w:val="FFFFFF"/>
                <w:sz w:val="15"/>
              </w:rPr>
              <w:t>2025a</w:t>
            </w:r>
          </w:p>
        </w:tc>
        <w:tc>
          <w:tcPr>
            <w:tcW w:type="dxa" w:w="1152"/>
            <w:shd w:val="clear" w:fill="1B5E5E"/>
          </w:tcPr>
          <w:p>
            <w:pPr>
              <w:jc w:val="right"/>
            </w:pPr>
            <w:r>
              <w:rPr>
                <w:b/>
                <w:color w:val="FFFFFF"/>
                <w:sz w:val="15"/>
              </w:rPr>
              <w:t>2026e</w:t>
            </w:r>
          </w:p>
        </w:tc>
        <w:tc>
          <w:tcPr>
            <w:tcW w:type="dxa" w:w="1152"/>
            <w:shd w:val="clear" w:fill="1B5E5E"/>
          </w:tcPr>
          <w:p>
            <w:pPr>
              <w:jc w:val="right"/>
            </w:pPr>
            <w:r>
              <w:rPr>
                <w:b/>
                <w:color w:val="FFFFFF"/>
                <w:sz w:val="15"/>
              </w:rPr>
              <w:t>2027e</w:t>
            </w:r>
          </w:p>
        </w:tc>
        <w:tc>
          <w:tcPr>
            <w:tcW w:type="dxa" w:w="1152"/>
            <w:shd w:val="clear" w:fill="1B5E5E"/>
          </w:tcPr>
          <w:p>
            <w:pPr>
              <w:jc w:val="right"/>
            </w:pPr>
            <w:r>
              <w:rPr>
                <w:b/>
                <w:color w:val="FFFFFF"/>
                <w:sz w:val="15"/>
              </w:rPr>
              <w:t>2028e</w:t>
            </w:r>
          </w:p>
        </w:tc>
        <w:tc>
          <w:tcPr>
            <w:tcW w:type="dxa" w:w="1152"/>
            <w:shd w:val="clear" w:fill="1B5E5E"/>
          </w:tcPr>
          <w:p>
            <w:pPr>
              <w:jc w:val="right"/>
            </w:pPr>
            <w:r>
              <w:rPr>
                <w:b/>
                <w:color w:val="FFFFFF"/>
                <w:sz w:val="15"/>
              </w:rPr>
              <w:t>2029e</w:t>
            </w:r>
          </w:p>
        </w:tc>
        <w:tc>
          <w:tcPr>
            <w:tcW w:type="dxa" w:w="1152"/>
            <w:shd w:val="clear" w:fill="1B5E5E"/>
          </w:tcPr>
          <w:p>
            <w:pPr>
              <w:jc w:val="right"/>
            </w:pPr>
            <w:r>
              <w:rPr>
                <w:b/>
                <w:color w:val="FFFFFF"/>
                <w:sz w:val="15"/>
              </w:rPr>
              <w:t>2030e</w:t>
            </w:r>
          </w:p>
        </w:tc>
      </w:tr>
      <w:tr>
        <w:tc>
          <w:tcPr>
            <w:tcW w:type="dxa" w:w="2664"/>
          </w:tcPr>
          <w:p>
            <w:r>
              <w:rPr>
                <w:color w:val="222222"/>
                <w:sz w:val="15"/>
              </w:rPr>
              <w:t>Operating cash flow</w:t>
            </w:r>
          </w:p>
        </w:tc>
        <w:tc>
          <w:tcPr>
            <w:tcW w:type="dxa" w:w="1152"/>
          </w:tcPr>
          <w:p>
            <w:pPr>
              <w:jc w:val="right"/>
            </w:pPr>
            <w:r>
              <w:rPr>
                <w:color w:val="222222"/>
                <w:sz w:val="15"/>
              </w:rPr>
              <w:t>217</w:t>
            </w:r>
          </w:p>
        </w:tc>
        <w:tc>
          <w:tcPr>
            <w:tcW w:type="dxa" w:w="1152"/>
          </w:tcPr>
          <w:p>
            <w:pPr>
              <w:jc w:val="right"/>
            </w:pPr>
            <w:r>
              <w:rPr>
                <w:color w:val="222222"/>
                <w:sz w:val="15"/>
              </w:rPr>
              <w:t>645</w:t>
            </w:r>
          </w:p>
        </w:tc>
        <w:tc>
          <w:tcPr>
            <w:tcW w:type="dxa" w:w="1152"/>
          </w:tcPr>
          <w:p>
            <w:pPr>
              <w:jc w:val="right"/>
            </w:pPr>
            <w:r>
              <w:rPr>
                <w:color w:val="222222"/>
                <w:sz w:val="15"/>
              </w:rPr>
              <w:t>520</w:t>
            </w:r>
          </w:p>
        </w:tc>
        <w:tc>
          <w:tcPr>
            <w:tcW w:type="dxa" w:w="1152"/>
          </w:tcPr>
          <w:p>
            <w:pPr>
              <w:jc w:val="right"/>
            </w:pPr>
            <w:r>
              <w:rPr>
                <w:color w:val="222222"/>
                <w:sz w:val="15"/>
              </w:rPr>
              <w:t>470</w:t>
            </w:r>
          </w:p>
        </w:tc>
        <w:tc>
          <w:tcPr>
            <w:tcW w:type="dxa" w:w="1152"/>
          </w:tcPr>
          <w:p>
            <w:pPr>
              <w:jc w:val="right"/>
            </w:pPr>
            <w:r>
              <w:rPr>
                <w:color w:val="222222"/>
                <w:sz w:val="15"/>
              </w:rPr>
              <w:t>500</w:t>
            </w:r>
          </w:p>
        </w:tc>
        <w:tc>
          <w:tcPr>
            <w:tcW w:type="dxa" w:w="1152"/>
          </w:tcPr>
          <w:p>
            <w:pPr>
              <w:jc w:val="right"/>
            </w:pPr>
            <w:r>
              <w:rPr>
                <w:color w:val="222222"/>
                <w:sz w:val="15"/>
              </w:rPr>
              <w:t>540</w:t>
            </w:r>
          </w:p>
        </w:tc>
        <w:tc>
          <w:tcPr>
            <w:tcW w:type="dxa" w:w="1152"/>
          </w:tcPr>
          <w:p>
            <w:pPr>
              <w:jc w:val="right"/>
            </w:pPr>
            <w:r>
              <w:rPr>
                <w:color w:val="222222"/>
                <w:sz w:val="15"/>
              </w:rPr>
              <w:t>575</w:t>
            </w:r>
          </w:p>
        </w:tc>
        <w:tc>
          <w:tcPr>
            <w:tcW w:type="dxa" w:w="1152"/>
          </w:tcPr>
          <w:p>
            <w:pPr>
              <w:jc w:val="right"/>
            </w:pPr>
            <w:r>
              <w:rPr>
                <w:color w:val="222222"/>
                <w:sz w:val="15"/>
              </w:rPr>
              <w:t>610</w:t>
            </w:r>
          </w:p>
        </w:tc>
      </w:tr>
      <w:tr>
        <w:tc>
          <w:tcPr>
            <w:tcW w:type="dxa" w:w="2664"/>
          </w:tcPr>
          <w:p>
            <w:r>
              <w:rPr>
                <w:color w:val="222222"/>
                <w:sz w:val="15"/>
              </w:rPr>
              <w:t>Investing cash flow</w:t>
            </w:r>
          </w:p>
        </w:tc>
        <w:tc>
          <w:tcPr>
            <w:tcW w:type="dxa" w:w="1152"/>
          </w:tcPr>
          <w:p>
            <w:pPr>
              <w:jc w:val="right"/>
            </w:pPr>
            <w:r>
              <w:rPr>
                <w:color w:val="222222"/>
                <w:sz w:val="15"/>
              </w:rPr>
              <w:t>84</w:t>
            </w:r>
          </w:p>
        </w:tc>
        <w:tc>
          <w:tcPr>
            <w:tcW w:type="dxa" w:w="1152"/>
          </w:tcPr>
          <w:p>
            <w:pPr>
              <w:jc w:val="right"/>
            </w:pPr>
            <w:r>
              <w:rPr>
                <w:color w:val="222222"/>
                <w:sz w:val="15"/>
              </w:rPr>
              <w:t>(63)</w:t>
            </w:r>
          </w:p>
        </w:tc>
        <w:tc>
          <w:tcPr>
            <w:tcW w:type="dxa" w:w="1152"/>
          </w:tcPr>
          <w:p>
            <w:pPr>
              <w:jc w:val="right"/>
            </w:pPr>
            <w:r>
              <w:rPr>
                <w:color w:val="222222"/>
                <w:sz w:val="15"/>
              </w:rPr>
              <w:t>(150)</w:t>
            </w:r>
          </w:p>
        </w:tc>
        <w:tc>
          <w:tcPr>
            <w:tcW w:type="dxa" w:w="1152"/>
          </w:tcPr>
          <w:p>
            <w:pPr>
              <w:jc w:val="right"/>
            </w:pPr>
            <w:r>
              <w:rPr>
                <w:color w:val="222222"/>
                <w:sz w:val="15"/>
              </w:rPr>
              <w:t>(180)</w:t>
            </w:r>
          </w:p>
        </w:tc>
        <w:tc>
          <w:tcPr>
            <w:tcW w:type="dxa" w:w="1152"/>
          </w:tcPr>
          <w:p>
            <w:pPr>
              <w:jc w:val="right"/>
            </w:pPr>
            <w:r>
              <w:rPr>
                <w:color w:val="222222"/>
                <w:sz w:val="15"/>
              </w:rPr>
              <w:t>(190)</w:t>
            </w:r>
          </w:p>
        </w:tc>
        <w:tc>
          <w:tcPr>
            <w:tcW w:type="dxa" w:w="1152"/>
          </w:tcPr>
          <w:p>
            <w:pPr>
              <w:jc w:val="right"/>
            </w:pPr>
            <w:r>
              <w:rPr>
                <w:color w:val="222222"/>
                <w:sz w:val="15"/>
              </w:rPr>
              <w:t>(200)</w:t>
            </w:r>
          </w:p>
        </w:tc>
        <w:tc>
          <w:tcPr>
            <w:tcW w:type="dxa" w:w="1152"/>
          </w:tcPr>
          <w:p>
            <w:pPr>
              <w:jc w:val="right"/>
            </w:pPr>
            <w:r>
              <w:rPr>
                <w:color w:val="222222"/>
                <w:sz w:val="15"/>
              </w:rPr>
              <w:t>(210)</w:t>
            </w:r>
          </w:p>
        </w:tc>
        <w:tc>
          <w:tcPr>
            <w:tcW w:type="dxa" w:w="1152"/>
          </w:tcPr>
          <w:p>
            <w:pPr>
              <w:jc w:val="right"/>
            </w:pPr>
            <w:r>
              <w:rPr>
                <w:color w:val="222222"/>
                <w:sz w:val="15"/>
              </w:rPr>
              <w:t>(220)</w:t>
            </w:r>
          </w:p>
        </w:tc>
      </w:tr>
      <w:tr>
        <w:tc>
          <w:tcPr>
            <w:tcW w:type="dxa" w:w="2664"/>
          </w:tcPr>
          <w:p>
            <w:r>
              <w:rPr>
                <w:color w:val="222222"/>
                <w:sz w:val="15"/>
              </w:rPr>
              <w:t>Financing cash flow</w:t>
            </w:r>
          </w:p>
        </w:tc>
        <w:tc>
          <w:tcPr>
            <w:tcW w:type="dxa" w:w="1152"/>
          </w:tcPr>
          <w:p>
            <w:pPr>
              <w:jc w:val="right"/>
            </w:pPr>
            <w:r>
              <w:rPr>
                <w:color w:val="222222"/>
                <w:sz w:val="15"/>
              </w:rPr>
              <w:t>(72)</w:t>
            </w:r>
          </w:p>
        </w:tc>
        <w:tc>
          <w:tcPr>
            <w:tcW w:type="dxa" w:w="1152"/>
          </w:tcPr>
          <w:p>
            <w:pPr>
              <w:jc w:val="right"/>
            </w:pPr>
            <w:r>
              <w:rPr>
                <w:color w:val="222222"/>
                <w:sz w:val="15"/>
              </w:rPr>
              <w:t>3</w:t>
            </w:r>
          </w:p>
        </w:tc>
        <w:tc>
          <w:tcPr>
            <w:tcW w:type="dxa" w:w="1152"/>
          </w:tcPr>
          <w:p>
            <w:pPr>
              <w:jc w:val="right"/>
            </w:pPr>
            <w:r>
              <w:rPr>
                <w:color w:val="222222"/>
                <w:sz w:val="15"/>
              </w:rPr>
              <w:t>(180)</w:t>
            </w:r>
          </w:p>
        </w:tc>
        <w:tc>
          <w:tcPr>
            <w:tcW w:type="dxa" w:w="1152"/>
          </w:tcPr>
          <w:p>
            <w:pPr>
              <w:jc w:val="right"/>
            </w:pPr>
            <w:r>
              <w:rPr>
                <w:color w:val="222222"/>
                <w:sz w:val="15"/>
              </w:rPr>
              <w:t>(210)</w:t>
            </w:r>
          </w:p>
        </w:tc>
        <w:tc>
          <w:tcPr>
            <w:tcW w:type="dxa" w:w="1152"/>
          </w:tcPr>
          <w:p>
            <w:pPr>
              <w:jc w:val="right"/>
            </w:pPr>
            <w:r>
              <w:rPr>
                <w:color w:val="222222"/>
                <w:sz w:val="15"/>
              </w:rPr>
              <w:t>(220)</w:t>
            </w:r>
          </w:p>
        </w:tc>
        <w:tc>
          <w:tcPr>
            <w:tcW w:type="dxa" w:w="1152"/>
          </w:tcPr>
          <w:p>
            <w:pPr>
              <w:jc w:val="right"/>
            </w:pPr>
            <w:r>
              <w:rPr>
                <w:color w:val="222222"/>
                <w:sz w:val="15"/>
              </w:rPr>
              <w:t>(250)</w:t>
            </w:r>
          </w:p>
        </w:tc>
        <w:tc>
          <w:tcPr>
            <w:tcW w:type="dxa" w:w="1152"/>
          </w:tcPr>
          <w:p>
            <w:pPr>
              <w:jc w:val="right"/>
            </w:pPr>
            <w:r>
              <w:rPr>
                <w:color w:val="222222"/>
                <w:sz w:val="15"/>
              </w:rPr>
              <w:t>(275)</w:t>
            </w:r>
          </w:p>
        </w:tc>
        <w:tc>
          <w:tcPr>
            <w:tcW w:type="dxa" w:w="1152"/>
          </w:tcPr>
          <w:p>
            <w:pPr>
              <w:jc w:val="right"/>
            </w:pPr>
            <w:r>
              <w:rPr>
                <w:color w:val="222222"/>
                <w:sz w:val="15"/>
              </w:rPr>
              <w:t>(290)</w:t>
            </w:r>
          </w:p>
        </w:tc>
      </w:tr>
      <w:tr>
        <w:tc>
          <w:tcPr>
            <w:tcW w:type="dxa" w:w="2664"/>
          </w:tcPr>
          <w:p>
            <w:r>
              <w:rPr>
                <w:color w:val="222222"/>
                <w:sz w:val="15"/>
              </w:rPr>
              <w:t>Net change in cash</w:t>
            </w:r>
          </w:p>
        </w:tc>
        <w:tc>
          <w:tcPr>
            <w:tcW w:type="dxa" w:w="1152"/>
          </w:tcPr>
          <w:p>
            <w:pPr>
              <w:jc w:val="right"/>
            </w:pPr>
            <w:r>
              <w:rPr>
                <w:color w:val="222222"/>
                <w:sz w:val="15"/>
              </w:rPr>
              <w:t>229</w:t>
            </w:r>
          </w:p>
        </w:tc>
        <w:tc>
          <w:tcPr>
            <w:tcW w:type="dxa" w:w="1152"/>
          </w:tcPr>
          <w:p>
            <w:pPr>
              <w:jc w:val="right"/>
            </w:pPr>
            <w:r>
              <w:rPr>
                <w:color w:val="222222"/>
                <w:sz w:val="15"/>
              </w:rPr>
              <w:t>584</w:t>
            </w:r>
          </w:p>
        </w:tc>
        <w:tc>
          <w:tcPr>
            <w:tcW w:type="dxa" w:w="1152"/>
          </w:tcPr>
          <w:p>
            <w:pPr>
              <w:jc w:val="right"/>
            </w:pPr>
            <w:r>
              <w:rPr>
                <w:color w:val="222222"/>
                <w:sz w:val="15"/>
              </w:rPr>
              <w:t>190</w:t>
            </w:r>
          </w:p>
        </w:tc>
        <w:tc>
          <w:tcPr>
            <w:tcW w:type="dxa" w:w="1152"/>
          </w:tcPr>
          <w:p>
            <w:pPr>
              <w:jc w:val="right"/>
            </w:pPr>
            <w:r>
              <w:rPr>
                <w:color w:val="222222"/>
                <w:sz w:val="15"/>
              </w:rPr>
              <w:t>80</w:t>
            </w:r>
          </w:p>
        </w:tc>
        <w:tc>
          <w:tcPr>
            <w:tcW w:type="dxa" w:w="1152"/>
          </w:tcPr>
          <w:p>
            <w:pPr>
              <w:jc w:val="right"/>
            </w:pPr>
            <w:r>
              <w:rPr>
                <w:color w:val="222222"/>
                <w:sz w:val="15"/>
              </w:rPr>
              <w:t>90</w:t>
            </w:r>
          </w:p>
        </w:tc>
        <w:tc>
          <w:tcPr>
            <w:tcW w:type="dxa" w:w="1152"/>
          </w:tcPr>
          <w:p>
            <w:pPr>
              <w:jc w:val="right"/>
            </w:pPr>
            <w:r>
              <w:rPr>
                <w:color w:val="222222"/>
                <w:sz w:val="15"/>
              </w:rPr>
              <w:t>90</w:t>
            </w:r>
          </w:p>
        </w:tc>
        <w:tc>
          <w:tcPr>
            <w:tcW w:type="dxa" w:w="1152"/>
          </w:tcPr>
          <w:p>
            <w:pPr>
              <w:jc w:val="right"/>
            </w:pPr>
            <w:r>
              <w:rPr>
                <w:color w:val="222222"/>
                <w:sz w:val="15"/>
              </w:rPr>
              <w:t>90</w:t>
            </w:r>
          </w:p>
        </w:tc>
        <w:tc>
          <w:tcPr>
            <w:tcW w:type="dxa" w:w="1152"/>
          </w:tcPr>
          <w:p>
            <w:pPr>
              <w:jc w:val="right"/>
            </w:pPr>
            <w:r>
              <w:rPr>
                <w:color w:val="222222"/>
                <w:sz w:val="15"/>
              </w:rPr>
              <w:t>100</w:t>
            </w:r>
          </w:p>
        </w:tc>
      </w:tr>
    </w:tbl>
    <w:p>
      <w:pPr>
        <w:spacing w:after="40"/>
      </w:pPr>
    </w:p>
    <w:p>
      <w:pPr>
        <w:spacing w:after="120"/>
      </w:pPr>
      <w:r>
        <w:rPr>
          <w:b w:val="0"/>
          <w:i/>
          <w:color w:val="666666"/>
          <w:sz w:val="17"/>
        </w:rPr>
        <w:t>The point of A.3 for the valuation. Operating cash flow is strong but volatile — $645m in 2024 was advance-driven, $217m in 2023 was not. That swing is exactly why the cash-conversion overlay (the Accountant's tool, below) matters and why we haircut net cash to a usable figure.</w:t>
      </w:r>
    </w:p>
    <w:p>
      <w:r>
        <w:br w:type="page"/>
      </w:r>
    </w:p>
    <w:p>
      <w:pPr>
        <w:keepNext/>
        <w:spacing w:before="280" w:after="80"/>
      </w:pPr>
      <w:r>
        <w:rPr>
          <w:b/>
          <w:color w:val="1B5E5E"/>
          <w:sz w:val="30"/>
        </w:rPr>
        <w:t>Appendix B  Step 0 — calibration backtest</w:t>
      </w:r>
    </w:p>
    <w:p>
      <w:pPr>
        <w:spacing w:after="120"/>
      </w:pPr>
      <w:r>
        <w:rPr>
          <w:b w:val="0"/>
          <w:i w:val="0"/>
          <w:color w:val="222222"/>
          <w:sz w:val="21"/>
        </w:rPr>
        <w:t>Before publishing any probabilistic price map we test the engine against Orascom's own five-year history: does a lognormal model, calibrated to trailing volatility with an uplift, produce three-month forecast distributions that are actually well-calibrated? We score realized prices against the forecast distributions across the history and check two things — the probability-integral-transform (PIT) histogram should be roughly uniform, and the stated 50/80/90% bands should contain the realized price at those rates.</w:t>
      </w:r>
    </w:p>
    <w:p>
      <w:pPr>
        <w:spacing w:after="120"/>
      </w:pPr>
      <w:r>
        <w:rPr>
          <w:b w:val="0"/>
          <w:i w:val="0"/>
          <w:color w:val="222222"/>
          <w:sz w:val="21"/>
        </w:rPr>
        <w:t>Result. Orascom is a strongly-trending, fat-tailed name (annualized volatility ≈ 34%, excess kurtosis above 10), so it needs a wider volatility uplift than a large-cap — KVOL 1.40, versus 1.30 for a large-cap chip name and a 1.15 default. At that setting the calibration passes: the PIT is flat (no U-shape; quadratic coefficient ≈ 0) and not materially skewed. On clean non-overlapping windows (17 independent forecasts) a Kolmogorov–Smirnov test cannot reject uniformity (p ≈ 0.78). Overlap-corrected block-bootstrap 90% confidence intervals on coverage contain the nominal rate for all three bands: 50% achieved 47.4% [37.5, 57.3], 80% achieved 80.3% [69.9, 89.5], 90% achieved 91.4% [85.1, 96.8]. One honest note: the PIT mean is 0.56, meaning Orascom realized slightly above its own trailing-drift forecast — the uptrend kept accelerating — so the anchor is mildly conservative, not over-promising. The champion drift is retained.</w:t>
      </w:r>
    </w:p>
    <w:p>
      <w:pPr>
        <w:jc w:val="center"/>
      </w:pPr>
      <w:r>
        <w:drawing>
          <wp:inline xmlns:a="http://schemas.openxmlformats.org/drawingml/2006/main" xmlns:pic="http://schemas.openxmlformats.org/drawingml/2006/picture">
            <wp:extent cx="6035040" cy="2281057"/>
            <wp:docPr id="7" name="Picture 7"/>
            <wp:cNvGraphicFramePr>
              <a:graphicFrameLocks noChangeAspect="1"/>
            </wp:cNvGraphicFramePr>
            <a:graphic>
              <a:graphicData uri="http://schemas.openxmlformats.org/drawingml/2006/picture">
                <pic:pic>
                  <pic:nvPicPr>
                    <pic:cNvPr id="0" name="calibration_ORAS.png"/>
                    <pic:cNvPicPr/>
                  </pic:nvPicPr>
                  <pic:blipFill>
                    <a:blip r:embed="rId15"/>
                    <a:stretch>
                      <a:fillRect/>
                    </a:stretch>
                  </pic:blipFill>
                  <pic:spPr>
                    <a:xfrm>
                      <a:off x="0" y="0"/>
                      <a:ext cx="6035040" cy="2281057"/>
                    </a:xfrm>
                    <a:prstGeom prst="rect"/>
                  </pic:spPr>
                </pic:pic>
              </a:graphicData>
            </a:graphic>
          </wp:inline>
        </w:drawing>
      </w:r>
    </w:p>
    <w:p>
      <w:pPr>
        <w:jc w:val="center"/>
      </w:pPr>
      <w:r>
        <w:rPr>
          <w:i/>
          <w:color w:val="666666"/>
          <w:sz w:val="17"/>
        </w:rPr>
        <w:t>Figure B · Five-year rolling calibration — quarterly cone replay (log scale), PIT histogram, and interval coverage. KVOL 1.40, horizon ~63 trading days.</w:t>
      </w:r>
    </w:p>
    <w:p>
      <w:pPr>
        <w:keepNext/>
        <w:spacing w:before="280" w:after="80"/>
      </w:pPr>
      <w:r>
        <w:rPr>
          <w:b/>
          <w:color w:val="1B5E5E"/>
          <w:sz w:val="30"/>
        </w:rPr>
        <w:t>Appendix C  Peer set, sector structure, and risks</w:t>
      </w:r>
    </w:p>
    <w:p>
      <w:pPr>
        <w:spacing w:after="80"/>
      </w:pPr>
      <w:r>
        <w:rPr>
          <w:b w:val="0"/>
          <w:i w:val="0"/>
          <w:color w:val="222222"/>
          <w:sz w:val="21"/>
        </w:rPr>
        <w:t>C.1  The competitive map. Orascom competes across three arenas — global infrastructure, US commercial/data-center construction, and regional (Egypt/Gulf) EPC — and is benchmarked against a peer set that trades, broadly, at 4–8× EV/EBITDA and 8–14× earnings.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fill="1B5E5E"/>
          </w:tcPr>
          <w:p>
            <w:r>
              <w:rPr>
                <w:b/>
                <w:color w:val="FFFFFF"/>
                <w:sz w:val="17"/>
              </w:rPr>
              <w:t>Peer</w:t>
            </w:r>
          </w:p>
        </w:tc>
        <w:tc>
          <w:tcPr>
            <w:tcW w:type="dxa" w:w="2016"/>
            <w:shd w:val="clear" w:fill="1B5E5E"/>
          </w:tcPr>
          <w:p>
            <w:pPr>
              <w:jc w:val="right"/>
            </w:pPr>
            <w:r>
              <w:rPr>
                <w:b/>
                <w:color w:val="FFFFFF"/>
                <w:sz w:val="17"/>
              </w:rPr>
              <w:t>Market</w:t>
            </w:r>
          </w:p>
        </w:tc>
        <w:tc>
          <w:tcPr>
            <w:tcW w:type="dxa" w:w="2160"/>
            <w:shd w:val="clear" w:fill="1B5E5E"/>
          </w:tcPr>
          <w:p>
            <w:pPr>
              <w:jc w:val="right"/>
            </w:pPr>
            <w:r>
              <w:rPr>
                <w:b/>
                <w:color w:val="FFFFFF"/>
                <w:sz w:val="17"/>
              </w:rPr>
              <w:t>EV/EBITDA</w:t>
            </w:r>
          </w:p>
        </w:tc>
        <w:tc>
          <w:tcPr>
            <w:tcW w:type="dxa" w:w="2160"/>
            <w:shd w:val="clear" w:fill="1B5E5E"/>
          </w:tcPr>
          <w:p>
            <w:pPr>
              <w:jc w:val="right"/>
            </w:pPr>
            <w:r>
              <w:rPr>
                <w:b/>
                <w:color w:val="FFFFFF"/>
                <w:sz w:val="17"/>
              </w:rPr>
              <w:t>P/E</w:t>
            </w:r>
          </w:p>
        </w:tc>
      </w:tr>
      <w:tr>
        <w:tc>
          <w:tcPr>
            <w:tcW w:type="dxa" w:w="3168"/>
          </w:tcPr>
          <w:p>
            <w:r>
              <w:rPr>
                <w:color w:val="222222"/>
                <w:sz w:val="17"/>
              </w:rPr>
              <w:t>WeBuild (Salini)</w:t>
            </w:r>
          </w:p>
        </w:tc>
        <w:tc>
          <w:tcPr>
            <w:tcW w:type="dxa" w:w="2016"/>
          </w:tcPr>
          <w:p>
            <w:pPr>
              <w:jc w:val="right"/>
            </w:pPr>
            <w:r>
              <w:rPr>
                <w:color w:val="222222"/>
                <w:sz w:val="17"/>
              </w:rPr>
              <w:t>Italy</w:t>
            </w:r>
          </w:p>
        </w:tc>
        <w:tc>
          <w:tcPr>
            <w:tcW w:type="dxa" w:w="2160"/>
          </w:tcPr>
          <w:p>
            <w:pPr>
              <w:jc w:val="right"/>
            </w:pPr>
            <w:r>
              <w:rPr>
                <w:color w:val="222222"/>
                <w:sz w:val="17"/>
              </w:rPr>
              <w:t>~4–5×</w:t>
            </w:r>
          </w:p>
        </w:tc>
        <w:tc>
          <w:tcPr>
            <w:tcW w:type="dxa" w:w="2160"/>
          </w:tcPr>
          <w:p>
            <w:pPr>
              <w:jc w:val="right"/>
            </w:pPr>
            <w:r>
              <w:rPr>
                <w:color w:val="222222"/>
                <w:sz w:val="17"/>
              </w:rPr>
              <w:t>~10–12×</w:t>
            </w:r>
          </w:p>
        </w:tc>
      </w:tr>
      <w:tr>
        <w:tc>
          <w:tcPr>
            <w:tcW w:type="dxa" w:w="3168"/>
          </w:tcPr>
          <w:p>
            <w:r>
              <w:rPr>
                <w:color w:val="222222"/>
                <w:sz w:val="17"/>
              </w:rPr>
              <w:t>Vinci</w:t>
            </w:r>
          </w:p>
        </w:tc>
        <w:tc>
          <w:tcPr>
            <w:tcW w:type="dxa" w:w="2016"/>
          </w:tcPr>
          <w:p>
            <w:pPr>
              <w:jc w:val="right"/>
            </w:pPr>
            <w:r>
              <w:rPr>
                <w:color w:val="222222"/>
                <w:sz w:val="17"/>
              </w:rPr>
              <w:t>France</w:t>
            </w:r>
          </w:p>
        </w:tc>
        <w:tc>
          <w:tcPr>
            <w:tcW w:type="dxa" w:w="2160"/>
          </w:tcPr>
          <w:p>
            <w:pPr>
              <w:jc w:val="right"/>
            </w:pPr>
            <w:r>
              <w:rPr>
                <w:color w:val="222222"/>
                <w:sz w:val="17"/>
              </w:rPr>
              <w:t>~7–8×</w:t>
            </w:r>
          </w:p>
        </w:tc>
        <w:tc>
          <w:tcPr>
            <w:tcW w:type="dxa" w:w="2160"/>
          </w:tcPr>
          <w:p>
            <w:pPr>
              <w:jc w:val="right"/>
            </w:pPr>
            <w:r>
              <w:rPr>
                <w:color w:val="222222"/>
                <w:sz w:val="17"/>
              </w:rPr>
              <w:t>~13–15×</w:t>
            </w:r>
          </w:p>
        </w:tc>
      </w:tr>
      <w:tr>
        <w:tc>
          <w:tcPr>
            <w:tcW w:type="dxa" w:w="3168"/>
          </w:tcPr>
          <w:p>
            <w:r>
              <w:rPr>
                <w:color w:val="222222"/>
                <w:sz w:val="17"/>
              </w:rPr>
              <w:t>ACS / Hochtief</w:t>
            </w:r>
          </w:p>
        </w:tc>
        <w:tc>
          <w:tcPr>
            <w:tcW w:type="dxa" w:w="2016"/>
          </w:tcPr>
          <w:p>
            <w:pPr>
              <w:jc w:val="right"/>
            </w:pPr>
            <w:r>
              <w:rPr>
                <w:color w:val="222222"/>
                <w:sz w:val="17"/>
              </w:rPr>
              <w:t>Spain</w:t>
            </w:r>
          </w:p>
        </w:tc>
        <w:tc>
          <w:tcPr>
            <w:tcW w:type="dxa" w:w="2160"/>
          </w:tcPr>
          <w:p>
            <w:pPr>
              <w:jc w:val="right"/>
            </w:pPr>
            <w:r>
              <w:rPr>
                <w:color w:val="222222"/>
                <w:sz w:val="17"/>
              </w:rPr>
              <w:t>~5–6×</w:t>
            </w:r>
          </w:p>
        </w:tc>
        <w:tc>
          <w:tcPr>
            <w:tcW w:type="dxa" w:w="2160"/>
          </w:tcPr>
          <w:p>
            <w:pPr>
              <w:jc w:val="right"/>
            </w:pPr>
            <w:r>
              <w:rPr>
                <w:color w:val="222222"/>
                <w:sz w:val="17"/>
              </w:rPr>
              <w:t>~11–13×</w:t>
            </w:r>
          </w:p>
        </w:tc>
      </w:tr>
      <w:tr>
        <w:tc>
          <w:tcPr>
            <w:tcW w:type="dxa" w:w="3168"/>
          </w:tcPr>
          <w:p>
            <w:r>
              <w:rPr>
                <w:color w:val="222222"/>
                <w:sz w:val="17"/>
              </w:rPr>
              <w:t>Hyundai E&amp;C</w:t>
            </w:r>
          </w:p>
        </w:tc>
        <w:tc>
          <w:tcPr>
            <w:tcW w:type="dxa" w:w="2016"/>
          </w:tcPr>
          <w:p>
            <w:pPr>
              <w:jc w:val="right"/>
            </w:pPr>
            <w:r>
              <w:rPr>
                <w:color w:val="222222"/>
                <w:sz w:val="17"/>
              </w:rPr>
              <w:t>Korea</w:t>
            </w:r>
          </w:p>
        </w:tc>
        <w:tc>
          <w:tcPr>
            <w:tcW w:type="dxa" w:w="2160"/>
          </w:tcPr>
          <w:p>
            <w:pPr>
              <w:jc w:val="right"/>
            </w:pPr>
            <w:r>
              <w:rPr>
                <w:color w:val="222222"/>
                <w:sz w:val="17"/>
              </w:rPr>
              <w:t>~4–5×</w:t>
            </w:r>
          </w:p>
        </w:tc>
        <w:tc>
          <w:tcPr>
            <w:tcW w:type="dxa" w:w="2160"/>
          </w:tcPr>
          <w:p>
            <w:pPr>
              <w:jc w:val="right"/>
            </w:pPr>
            <w:r>
              <w:rPr>
                <w:color w:val="222222"/>
                <w:sz w:val="17"/>
              </w:rPr>
              <w:t>~9–11×</w:t>
            </w:r>
          </w:p>
        </w:tc>
      </w:tr>
      <w:tr>
        <w:tc>
          <w:tcPr>
            <w:tcW w:type="dxa" w:w="3168"/>
          </w:tcPr>
          <w:p>
            <w:r>
              <w:rPr>
                <w:color w:val="222222"/>
                <w:sz w:val="17"/>
              </w:rPr>
              <w:t>Arabian Contracting</w:t>
            </w:r>
          </w:p>
        </w:tc>
        <w:tc>
          <w:tcPr>
            <w:tcW w:type="dxa" w:w="2016"/>
          </w:tcPr>
          <w:p>
            <w:pPr>
              <w:jc w:val="right"/>
            </w:pPr>
            <w:r>
              <w:rPr>
                <w:color w:val="222222"/>
                <w:sz w:val="17"/>
              </w:rPr>
              <w:t>KSA</w:t>
            </w:r>
          </w:p>
        </w:tc>
        <w:tc>
          <w:tcPr>
            <w:tcW w:type="dxa" w:w="2160"/>
          </w:tcPr>
          <w:p>
            <w:pPr>
              <w:jc w:val="right"/>
            </w:pPr>
            <w:r>
              <w:rPr>
                <w:color w:val="222222"/>
                <w:sz w:val="17"/>
              </w:rPr>
              <w:t>~7–9×</w:t>
            </w:r>
          </w:p>
        </w:tc>
        <w:tc>
          <w:tcPr>
            <w:tcW w:type="dxa" w:w="2160"/>
          </w:tcPr>
          <w:p>
            <w:pPr>
              <w:jc w:val="right"/>
            </w:pPr>
            <w:r>
              <w:rPr>
                <w:color w:val="222222"/>
                <w:sz w:val="17"/>
              </w:rPr>
              <w:t>~14–18×</w:t>
            </w:r>
          </w:p>
        </w:tc>
      </w:tr>
      <w:tr>
        <w:tc>
          <w:tcPr>
            <w:tcW w:type="dxa" w:w="3168"/>
          </w:tcPr>
          <w:p>
            <w:r>
              <w:rPr>
                <w:color w:val="222222"/>
                <w:sz w:val="17"/>
              </w:rPr>
              <w:t>Elsewedy Electric</w:t>
            </w:r>
          </w:p>
        </w:tc>
        <w:tc>
          <w:tcPr>
            <w:tcW w:type="dxa" w:w="2016"/>
          </w:tcPr>
          <w:p>
            <w:pPr>
              <w:jc w:val="right"/>
            </w:pPr>
            <w:r>
              <w:rPr>
                <w:color w:val="222222"/>
                <w:sz w:val="17"/>
              </w:rPr>
              <w:t>Egypt</w:t>
            </w:r>
          </w:p>
        </w:tc>
        <w:tc>
          <w:tcPr>
            <w:tcW w:type="dxa" w:w="2160"/>
          </w:tcPr>
          <w:p>
            <w:pPr>
              <w:jc w:val="right"/>
            </w:pPr>
            <w:r>
              <w:rPr>
                <w:color w:val="222222"/>
                <w:sz w:val="17"/>
              </w:rPr>
              <w:t>~4–5×</w:t>
            </w:r>
          </w:p>
        </w:tc>
        <w:tc>
          <w:tcPr>
            <w:tcW w:type="dxa" w:w="2160"/>
          </w:tcPr>
          <w:p>
            <w:pPr>
              <w:jc w:val="right"/>
            </w:pPr>
            <w:r>
              <w:rPr>
                <w:color w:val="222222"/>
                <w:sz w:val="17"/>
              </w:rPr>
              <w:t>~6–8×</w:t>
            </w:r>
          </w:p>
        </w:tc>
      </w:tr>
      <w:tr>
        <w:tc>
          <w:tcPr>
            <w:tcW w:type="dxa" w:w="3168"/>
          </w:tcPr>
          <w:p>
            <w:r>
              <w:rPr>
                <w:color w:val="222222"/>
                <w:sz w:val="17"/>
              </w:rPr>
              <w:t>Orascom (this study)</w:t>
            </w:r>
          </w:p>
        </w:tc>
        <w:tc>
          <w:tcPr>
            <w:tcW w:type="dxa" w:w="2016"/>
          </w:tcPr>
          <w:p>
            <w:pPr>
              <w:jc w:val="right"/>
            </w:pPr>
            <w:r>
              <w:rPr>
                <w:color w:val="222222"/>
                <w:sz w:val="17"/>
              </w:rPr>
              <w:t>Egypt/UAE</w:t>
            </w:r>
          </w:p>
        </w:tc>
        <w:tc>
          <w:tcPr>
            <w:tcW w:type="dxa" w:w="2160"/>
          </w:tcPr>
          <w:p>
            <w:pPr>
              <w:jc w:val="right"/>
            </w:pPr>
            <w:r>
              <w:rPr>
                <w:color w:val="222222"/>
                <w:sz w:val="17"/>
              </w:rPr>
              <w:t>~4×</w:t>
            </w:r>
          </w:p>
        </w:tc>
        <w:tc>
          <w:tcPr>
            <w:tcW w:type="dxa" w:w="2160"/>
          </w:tcPr>
          <w:p>
            <w:pPr>
              <w:jc w:val="right"/>
            </w:pPr>
            <w:r>
              <w:rPr>
                <w:color w:val="222222"/>
                <w:sz w:val="17"/>
              </w:rPr>
              <w:t>~8.3×</w:t>
            </w:r>
          </w:p>
        </w:tc>
      </w:tr>
    </w:tbl>
    <w:p>
      <w:pPr>
        <w:spacing w:after="40"/>
      </w:pPr>
    </w:p>
    <w:p>
      <w:pPr>
        <w:spacing w:after="40"/>
      </w:pPr>
      <w:r>
        <w:rPr>
          <w:b/>
          <w:i w:val="0"/>
          <w:color w:val="222222"/>
          <w:sz w:val="20"/>
        </w:rPr>
        <w:t>C.2  Principal risks.</w:t>
      </w:r>
    </w:p>
    <w:p>
      <w:pPr>
        <w:pStyle w:val="ListBullet"/>
        <w:spacing w:after="60"/>
      </w:pPr>
      <w:r>
        <w:rPr>
          <w:b/>
          <w:color w:val="222222"/>
          <w:sz w:val="20"/>
        </w:rPr>
        <w:t xml:space="preserve">Net-cash quality — </w:t>
      </w:r>
      <w:r>
        <w:rPr>
          <w:color w:val="222222"/>
          <w:sz w:val="20"/>
        </w:rPr>
        <w:t>the dominant analytical risk; reported net cash overstates distributable cash by the amount tied up in advances and bonding.</w:t>
      </w:r>
    </w:p>
    <w:p>
      <w:pPr>
        <w:pStyle w:val="ListBullet"/>
        <w:spacing w:after="60"/>
      </w:pPr>
      <w:r>
        <w:rPr>
          <w:b/>
          <w:color w:val="222222"/>
          <w:sz w:val="20"/>
        </w:rPr>
        <w:t xml:space="preserve">OCI combination — </w:t>
      </w:r>
      <w:r>
        <w:rPr>
          <w:color w:val="222222"/>
          <w:sz w:val="20"/>
        </w:rPr>
        <w:t>binary corporate event; outcome and terms are unknown and not embedded in the fundamental value.</w:t>
      </w:r>
    </w:p>
    <w:p>
      <w:pPr>
        <w:pStyle w:val="ListBullet"/>
        <w:spacing w:after="60"/>
      </w:pPr>
      <w:r>
        <w:rPr>
          <w:b/>
          <w:color w:val="222222"/>
          <w:sz w:val="20"/>
        </w:rPr>
        <w:t xml:space="preserve">Egypt / FX / receivables — </w:t>
      </w:r>
      <w:r>
        <w:rPr>
          <w:color w:val="222222"/>
          <w:sz w:val="20"/>
        </w:rPr>
        <w:t>public-sector payment timing and EGP moves drive cash conversion and the pound value of dollar earnings.</w:t>
      </w:r>
    </w:p>
    <w:p>
      <w:pPr>
        <w:pStyle w:val="ListBullet"/>
        <w:spacing w:after="60"/>
      </w:pPr>
      <w:r>
        <w:rPr>
          <w:b/>
          <w:color w:val="222222"/>
          <w:sz w:val="20"/>
        </w:rPr>
        <w:t xml:space="preserve">Contractor cyclicality — </w:t>
      </w:r>
      <w:r>
        <w:rPr>
          <w:color w:val="222222"/>
          <w:sz w:val="20"/>
        </w:rPr>
        <w:t>thin margins leave little room for project losses or input-cost spikes.</w:t>
      </w:r>
    </w:p>
    <w:p>
      <w:pPr>
        <w:pStyle w:val="ListBullet"/>
        <w:spacing w:after="60"/>
      </w:pPr>
      <w:r>
        <w:rPr>
          <w:b/>
          <w:color w:val="222222"/>
          <w:sz w:val="20"/>
        </w:rPr>
        <w:t xml:space="preserve">Geopolitical / regional security — </w:t>
      </w:r>
      <w:r>
        <w:rPr>
          <w:color w:val="222222"/>
          <w:sz w:val="20"/>
        </w:rPr>
        <w:t>a MENA shock raises the risk premium across project countries.</w:t>
      </w:r>
    </w:p>
    <w:p>
      <w:pPr>
        <w:pStyle w:val="ListBullet"/>
        <w:spacing w:after="60"/>
      </w:pPr>
      <w:r>
        <w:rPr>
          <w:b/>
          <w:color w:val="222222"/>
          <w:sz w:val="20"/>
        </w:rPr>
        <w:t xml:space="preserve">Estimate risk — </w:t>
      </w:r>
      <w:r>
        <w:rPr>
          <w:color w:val="222222"/>
          <w:sz w:val="20"/>
        </w:rPr>
        <w:t>several statement lines and forward figures are estimates anchored to disclosed totals.</w:t>
      </w:r>
    </w:p>
    <w:p>
      <w:r>
        <w:br w:type="page"/>
      </w:r>
    </w:p>
    <w:p>
      <w:pPr>
        <w:keepNext/>
        <w:spacing w:before="280" w:after="80"/>
      </w:pPr>
      <w:r>
        <w:rPr>
          <w:b/>
          <w:color w:val="1B5E5E"/>
          <w:sz w:val="30"/>
        </w:rPr>
        <w:t>Appendix D  Three (four) experts, four methods</w:t>
      </w:r>
    </w:p>
    <w:p>
      <w:pPr>
        <w:spacing w:after="120"/>
      </w:pPr>
      <w:r>
        <w:rPr>
          <w:b w:val="0"/>
          <w:i w:val="0"/>
          <w:color w:val="222222"/>
          <w:sz w:val="21"/>
        </w:rPr>
        <w:t>Premise. Four independent experts, four genuinely different methods, none seeing the others. For a global contractor whose value is part cash flow, part assets, and part policy, four lenses earn their place — and they disagree, which is the signal. We cast the Earnings-power analyst, the Accountant, the Cash-returns analyst, and the Macro-Policy strategist. Each runs a different method, each derives a fair value from shown workings, and each states what would prove it wrong. The divergence is not averaged away; it is the map of where the value is contested.</w:t>
      </w:r>
    </w:p>
    <w:p>
      <w:pPr>
        <w:keepNext/>
        <w:spacing w:before="280" w:after="80"/>
      </w:pPr>
      <w:r>
        <w:rPr>
          <w:b/>
          <w:color w:val="1B5E5E"/>
          <w:sz w:val="26"/>
        </w:rPr>
        <w:t>D.1  Expert 1 — the Cash-returns analyst</w:t>
      </w:r>
    </w:p>
    <w:p>
      <w:pPr>
        <w:spacing w:after="120"/>
      </w:pPr>
      <w:r>
        <w:rPr>
          <w:b w:val="0"/>
          <w:i w:val="0"/>
          <w:color w:val="222222"/>
          <w:sz w:val="21"/>
        </w:rPr>
        <w:t>Worldview and tradition. A business is worth the cash it returns over its life, and it creates value only when it earns above its cost of capital. Expert 1 looks past accounting earnings to free cash flow and to returns on invested capital — does each dollar of capital earn its keep, or quietly destroy value?</w:t>
      </w:r>
    </w:p>
    <w:p>
      <w:pPr>
        <w:spacing w:after="120"/>
      </w:pPr>
      <w:r>
        <w:rPr>
          <w:b w:val="0"/>
          <w:i/>
          <w:color w:val="666666"/>
          <w:sz w:val="19"/>
        </w:rPr>
        <w:t>When it works / when it fails. Best for capital-intensive, steady cash generators where returns on capital are the crux; fails where reinvestment economics are genuinely changing, so past ROIC misleads — a live risk for Orascom as the US business scales.</w:t>
      </w:r>
    </w:p>
    <w:p>
      <w:pPr>
        <w:spacing w:after="120"/>
      </w:pPr>
      <w:r>
        <w:rPr>
          <w:b w:val="0"/>
          <w:i w:val="0"/>
          <w:color w:val="222222"/>
          <w:sz w:val="21"/>
        </w:rPr>
        <w:t>Standard workings. (1) build FCFF — NOPAT + D&amp;A − capex − change in working capital; (2) compute ROIC against WACC, the economic-profit spread; (3) discount the explicit free-cash stream plus a terminal value consistent with returns fading toward the cost of capital; (4) sensitivity on WACC and the fade speed.</w:t>
      </w:r>
    </w:p>
    <w:tbl>
      <w:tblPr>
        <w:tblStyle w:val="TableGrid"/>
        <w:tblW w:type="auto" w:w="0"/>
        <w:jc w:val="center"/>
        <w:tblLook w:firstColumn="1" w:firstRow="1" w:lastColumn="0" w:lastRow="0" w:noHBand="0" w:noVBand="1" w:val="04A0"/>
      </w:tblPr>
      <w:tblGrid>
        <w:gridCol w:w="4680"/>
        <w:gridCol w:w="4680"/>
      </w:tblGrid>
      <w:tr>
        <w:tc>
          <w:tcPr>
            <w:tcW w:type="dxa" w:w="4320"/>
            <w:shd w:val="clear" w:fill="1B5E5E"/>
          </w:tcPr>
          <w:p>
            <w:r>
              <w:rPr>
                <w:b/>
                <w:color w:val="FFFFFF"/>
                <w:sz w:val="18"/>
              </w:rPr>
              <w:t>Expert 1's workings</w:t>
            </w:r>
          </w:p>
        </w:tc>
        <w:tc>
          <w:tcPr>
            <w:tcW w:type="dxa" w:w="3168"/>
            <w:shd w:val="clear" w:fill="1B5E5E"/>
          </w:tcPr>
          <w:p>
            <w:pPr>
              <w:jc w:val="right"/>
            </w:pPr>
            <w:r>
              <w:rPr>
                <w:b/>
                <w:color w:val="FFFFFF"/>
                <w:sz w:val="18"/>
              </w:rPr>
              <w:t>Value</w:t>
            </w:r>
          </w:p>
        </w:tc>
      </w:tr>
      <w:tr>
        <w:tc>
          <w:tcPr>
            <w:tcW w:type="dxa" w:w="4320"/>
          </w:tcPr>
          <w:p>
            <w:r>
              <w:rPr>
                <w:color w:val="222222"/>
                <w:sz w:val="18"/>
              </w:rPr>
              <w:t>Normalized FCFF base</w:t>
            </w:r>
          </w:p>
        </w:tc>
        <w:tc>
          <w:tcPr>
            <w:tcW w:type="dxa" w:w="3168"/>
          </w:tcPr>
          <w:p>
            <w:pPr>
              <w:jc w:val="right"/>
            </w:pPr>
            <w:r>
              <w:rPr>
                <w:color w:val="222222"/>
                <w:sz w:val="18"/>
              </w:rPr>
              <w:t>$119m</w:t>
            </w:r>
          </w:p>
        </w:tc>
      </w:tr>
      <w:tr>
        <w:tc>
          <w:tcPr>
            <w:tcW w:type="dxa" w:w="4320"/>
          </w:tcPr>
          <w:p>
            <w:r>
              <w:rPr>
                <w:color w:val="222222"/>
                <w:sz w:val="18"/>
              </w:rPr>
              <w:t>WACC (USD, blended)</w:t>
            </w:r>
          </w:p>
        </w:tc>
        <w:tc>
          <w:tcPr>
            <w:tcW w:type="dxa" w:w="3168"/>
          </w:tcPr>
          <w:p>
            <w:pPr>
              <w:jc w:val="right"/>
            </w:pPr>
            <w:r>
              <w:rPr>
                <w:color w:val="222222"/>
                <w:sz w:val="18"/>
              </w:rPr>
              <w:t>12.0%</w:t>
            </w:r>
          </w:p>
        </w:tc>
      </w:tr>
      <w:tr>
        <w:tc>
          <w:tcPr>
            <w:tcW w:type="dxa" w:w="4320"/>
          </w:tcPr>
          <w:p>
            <w:r>
              <w:rPr>
                <w:color w:val="222222"/>
                <w:sz w:val="18"/>
              </w:rPr>
              <w:t>ROIC vs WACC</w:t>
            </w:r>
          </w:p>
        </w:tc>
        <w:tc>
          <w:tcPr>
            <w:tcW w:type="dxa" w:w="3168"/>
          </w:tcPr>
          <w:p>
            <w:pPr>
              <w:jc w:val="right"/>
            </w:pPr>
            <w:r>
              <w:rPr>
                <w:color w:val="222222"/>
                <w:sz w:val="18"/>
              </w:rPr>
              <w:t>~13% vs 12% — thin positive spread</w:t>
            </w:r>
          </w:p>
        </w:tc>
      </w:tr>
      <w:tr>
        <w:tc>
          <w:tcPr>
            <w:tcW w:type="dxa" w:w="4320"/>
          </w:tcPr>
          <w:p>
            <w:r>
              <w:rPr>
                <w:color w:val="222222"/>
                <w:sz w:val="18"/>
              </w:rPr>
              <w:t>Operating EV (DCF)</w:t>
            </w:r>
          </w:p>
        </w:tc>
        <w:tc>
          <w:tcPr>
            <w:tcW w:type="dxa" w:w="3168"/>
          </w:tcPr>
          <w:p>
            <w:pPr>
              <w:jc w:val="right"/>
            </w:pPr>
            <w:r>
              <w:rPr>
                <w:color w:val="222222"/>
                <w:sz w:val="18"/>
              </w:rPr>
              <w:t>$1,613m</w:t>
            </w:r>
          </w:p>
        </w:tc>
      </w:tr>
      <w:tr>
        <w:tc>
          <w:tcPr>
            <w:tcW w:type="dxa" w:w="4320"/>
          </w:tcPr>
          <w:p>
            <w:r>
              <w:rPr>
                <w:color w:val="222222"/>
                <w:sz w:val="18"/>
              </w:rPr>
              <w:t>+ usable net cash + BESIX</w:t>
            </w:r>
          </w:p>
        </w:tc>
        <w:tc>
          <w:tcPr>
            <w:tcW w:type="dxa" w:w="3168"/>
          </w:tcPr>
          <w:p>
            <w:pPr>
              <w:jc w:val="right"/>
            </w:pPr>
            <w:r>
              <w:rPr>
                <w:color w:val="222222"/>
                <w:sz w:val="18"/>
              </w:rPr>
              <w:t>$640m</w:t>
            </w:r>
          </w:p>
        </w:tc>
      </w:tr>
      <w:tr>
        <w:tc>
          <w:tcPr>
            <w:tcW w:type="dxa" w:w="4320"/>
          </w:tcPr>
          <w:p>
            <w:r>
              <w:rPr>
                <w:color w:val="222222"/>
                <w:sz w:val="18"/>
              </w:rPr>
              <w:t>Equity value</w:t>
            </w:r>
          </w:p>
        </w:tc>
        <w:tc>
          <w:tcPr>
            <w:tcW w:type="dxa" w:w="3168"/>
          </w:tcPr>
          <w:p>
            <w:pPr>
              <w:jc w:val="right"/>
            </w:pPr>
            <w:r>
              <w:rPr>
                <w:color w:val="222222"/>
                <w:sz w:val="18"/>
              </w:rPr>
              <w:t>$2,253m</w:t>
            </w:r>
          </w:p>
        </w:tc>
      </w:tr>
      <w:tr>
        <w:tc>
          <w:tcPr>
            <w:tcW w:type="dxa" w:w="4320"/>
          </w:tcPr>
          <w:p>
            <w:r>
              <w:rPr>
                <w:color w:val="222222"/>
                <w:sz w:val="18"/>
              </w:rPr>
              <w:t>Fair value</w:t>
            </w:r>
          </w:p>
        </w:tc>
        <w:tc>
          <w:tcPr>
            <w:tcW w:type="dxa" w:w="3168"/>
          </w:tcPr>
          <w:p>
            <w:pPr>
              <w:jc w:val="right"/>
            </w:pPr>
            <w:r>
              <w:rPr>
                <w:color w:val="222222"/>
                <w:sz w:val="18"/>
              </w:rPr>
              <w:t>EGP 980</w:t>
            </w:r>
          </w:p>
        </w:tc>
      </w:tr>
    </w:tbl>
    <w:p>
      <w:pPr>
        <w:spacing w:after="40"/>
      </w:pPr>
    </w:p>
    <w:p>
      <w:pPr>
        <w:spacing w:after="40"/>
      </w:pPr>
      <w:r>
        <w:rPr>
          <w:b/>
          <w:i w:val="0"/>
          <w:color w:val="222222"/>
          <w:sz w:val="19"/>
        </w:rPr>
        <w:t>Sensitivity on the swing input (WACC).</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fill="1B5E5E"/>
          </w:tcPr>
          <w:p>
            <w:r>
              <w:rPr>
                <w:b/>
                <w:color w:val="FFFFFF"/>
                <w:sz w:val="17"/>
              </w:rPr>
              <w:t>WACC</w:t>
            </w:r>
          </w:p>
        </w:tc>
        <w:tc>
          <w:tcPr>
            <w:tcW w:type="dxa" w:w="2304"/>
            <w:shd w:val="clear" w:fill="1B5E5E"/>
          </w:tcPr>
          <w:p>
            <w:pPr>
              <w:jc w:val="right"/>
            </w:pPr>
            <w:r>
              <w:rPr>
                <w:b/>
                <w:color w:val="FFFFFF"/>
                <w:sz w:val="17"/>
              </w:rPr>
              <w:t>ROIC spread</w:t>
            </w:r>
          </w:p>
        </w:tc>
        <w:tc>
          <w:tcPr>
            <w:tcW w:type="dxa" w:w="2448"/>
            <w:shd w:val="clear" w:fill="1B5E5E"/>
          </w:tcPr>
          <w:p>
            <w:pPr>
              <w:jc w:val="right"/>
            </w:pPr>
            <w:r>
              <w:rPr>
                <w:b/>
                <w:color w:val="FFFFFF"/>
                <w:sz w:val="17"/>
              </w:rPr>
              <w:t>Fair value (EGP)</w:t>
            </w:r>
          </w:p>
        </w:tc>
      </w:tr>
      <w:tr>
        <w:tc>
          <w:tcPr>
            <w:tcW w:type="dxa" w:w="2016"/>
          </w:tcPr>
          <w:p>
            <w:r>
              <w:rPr>
                <w:color w:val="222222"/>
                <w:sz w:val="17"/>
              </w:rPr>
              <w:t>11.0%</w:t>
            </w:r>
          </w:p>
        </w:tc>
        <w:tc>
          <w:tcPr>
            <w:tcW w:type="dxa" w:w="2304"/>
          </w:tcPr>
          <w:p>
            <w:pPr>
              <w:jc w:val="right"/>
            </w:pPr>
            <w:r>
              <w:rPr>
                <w:color w:val="222222"/>
                <w:sz w:val="17"/>
              </w:rPr>
              <w:t>~+2.0pp</w:t>
            </w:r>
          </w:p>
        </w:tc>
        <w:tc>
          <w:tcPr>
            <w:tcW w:type="dxa" w:w="2448"/>
          </w:tcPr>
          <w:p>
            <w:pPr>
              <w:jc w:val="right"/>
            </w:pPr>
            <w:r>
              <w:rPr>
                <w:color w:val="222222"/>
                <w:sz w:val="17"/>
              </w:rPr>
              <w:t>1,075</w:t>
            </w:r>
          </w:p>
        </w:tc>
      </w:tr>
      <w:tr>
        <w:tc>
          <w:tcPr>
            <w:tcW w:type="dxa" w:w="2016"/>
          </w:tcPr>
          <w:p>
            <w:r>
              <w:rPr>
                <w:color w:val="222222"/>
                <w:sz w:val="17"/>
              </w:rPr>
              <w:t>12.0% (base)</w:t>
            </w:r>
          </w:p>
        </w:tc>
        <w:tc>
          <w:tcPr>
            <w:tcW w:type="dxa" w:w="2304"/>
          </w:tcPr>
          <w:p>
            <w:pPr>
              <w:jc w:val="right"/>
            </w:pPr>
            <w:r>
              <w:rPr>
                <w:color w:val="222222"/>
                <w:sz w:val="17"/>
              </w:rPr>
              <w:t>~+1.0pp</w:t>
            </w:r>
          </w:p>
        </w:tc>
        <w:tc>
          <w:tcPr>
            <w:tcW w:type="dxa" w:w="2448"/>
          </w:tcPr>
          <w:p>
            <w:pPr>
              <w:jc w:val="right"/>
            </w:pPr>
            <w:r>
              <w:rPr>
                <w:color w:val="222222"/>
                <w:sz w:val="17"/>
              </w:rPr>
              <w:t>980</w:t>
            </w:r>
          </w:p>
        </w:tc>
      </w:tr>
      <w:tr>
        <w:tc>
          <w:tcPr>
            <w:tcW w:type="dxa" w:w="2016"/>
          </w:tcPr>
          <w:p>
            <w:r>
              <w:rPr>
                <w:color w:val="222222"/>
                <w:sz w:val="17"/>
              </w:rPr>
              <w:t>13.0%</w:t>
            </w:r>
          </w:p>
        </w:tc>
        <w:tc>
          <w:tcPr>
            <w:tcW w:type="dxa" w:w="2304"/>
          </w:tcPr>
          <w:p>
            <w:pPr>
              <w:jc w:val="right"/>
            </w:pPr>
            <w:r>
              <w:rPr>
                <w:color w:val="222222"/>
                <w:sz w:val="17"/>
              </w:rPr>
              <w:t>~0.0pp</w:t>
            </w:r>
          </w:p>
        </w:tc>
        <w:tc>
          <w:tcPr>
            <w:tcW w:type="dxa" w:w="2448"/>
          </w:tcPr>
          <w:p>
            <w:pPr>
              <w:jc w:val="right"/>
            </w:pPr>
            <w:r>
              <w:rPr>
                <w:color w:val="222222"/>
                <w:sz w:val="17"/>
              </w:rPr>
              <w:t>900</w:t>
            </w:r>
          </w:p>
        </w:tc>
      </w:tr>
    </w:tbl>
    <w:p>
      <w:pPr>
        <w:spacing w:after="40"/>
      </w:pPr>
    </w:p>
    <w:p>
      <w:pPr>
        <w:spacing w:after="120"/>
      </w:pPr>
      <w:r>
        <w:rPr>
          <w:b w:val="0"/>
          <w:i w:val="0"/>
          <w:color w:val="222222"/>
          <w:sz w:val="21"/>
        </w:rPr>
        <w:t>Worked example and verdict. Expert 1's DCF lands near EGP 1,005, which he trims to ~EGP 980 because the ROIC spread over WACC is thin — a contractor earns only modestly above its cost of capital, so the terminal value should not assume durable excess returns. Even so, he sees a stock trading well below the cash it generates plus the cash it already holds. Sensitivity: a one-point rise in WACC to 13% cuts his value to ~EGP 900; the fade speed matters less than the discount rate. Cross-examination: he tells Expert 2 that a fair multiple on earnings ignores the balance sheet — 'the cash is real and it's on top of the cash flow'; he concedes to Expert 3 that if the net cash is mostly advances, his bridge is overstated. Falsification: a structural fall in returns on capital, or proof that working-capital cash is not the company's to keep. What the price implies: at EGP 720 the market is valuing Orascom at roughly its operating cash flow alone, ascribing little to the net cash or BESIX.</w:t>
      </w:r>
    </w:p>
    <w:p>
      <w:pPr>
        <w:keepNext/>
        <w:spacing w:before="280" w:after="80"/>
      </w:pPr>
      <w:r>
        <w:rPr>
          <w:b/>
          <w:color w:val="1B5E5E"/>
          <w:sz w:val="26"/>
        </w:rPr>
        <w:t>D.2  Expert 2 — the Earnings-power analyst</w:t>
      </w:r>
    </w:p>
    <w:p>
      <w:pPr>
        <w:spacing w:after="120"/>
      </w:pPr>
      <w:r>
        <w:rPr>
          <w:b w:val="0"/>
          <w:i w:val="0"/>
          <w:color w:val="222222"/>
          <w:sz w:val="21"/>
        </w:rPr>
        <w:t>Worldview and tradition. An operating company is worth a fair multiple of its sustainable, mid-cycle earnings. Expert 2 strips one-off peaks and troughs and asks what the business earns through the cycle and what the market should pay for it.</w:t>
      </w:r>
    </w:p>
    <w:p>
      <w:pPr>
        <w:spacing w:after="120"/>
      </w:pPr>
      <w:r>
        <w:rPr>
          <w:b w:val="0"/>
          <w:i/>
          <w:color w:val="666666"/>
          <w:sz w:val="19"/>
        </w:rPr>
        <w:t>When it works / when it fails. Best for cyclical operating businesses with a track record and in relative-value contexts; fails at structural breaks, where the past is not the future — and Orascom's US re-weighting is exactly such a possible break.</w:t>
      </w:r>
    </w:p>
    <w:p>
      <w:pPr>
        <w:spacing w:after="120"/>
      </w:pPr>
      <w:r>
        <w:rPr>
          <w:b w:val="0"/>
          <w:i w:val="0"/>
          <w:color w:val="222222"/>
          <w:sz w:val="21"/>
        </w:rPr>
        <w:t>Standard workings. (1) normalize revenue and margins to mid-cycle; (2) derive sustainable earnings and EPS; (3) apply a justified multiple versus the asset's own history and peers; (4) cross-check against EV/EBITDA and free-cash-flow yield.</w:t>
      </w:r>
    </w:p>
    <w:tbl>
      <w:tblPr>
        <w:tblStyle w:val="TableGrid"/>
        <w:tblW w:type="auto" w:w="0"/>
        <w:jc w:val="center"/>
        <w:tblLook w:firstColumn="1" w:firstRow="1" w:lastColumn="0" w:lastRow="0" w:noHBand="0" w:noVBand="1" w:val="04A0"/>
      </w:tblPr>
      <w:tblGrid>
        <w:gridCol w:w="4680"/>
        <w:gridCol w:w="4680"/>
      </w:tblGrid>
      <w:tr>
        <w:tc>
          <w:tcPr>
            <w:tcW w:type="dxa" w:w="4320"/>
            <w:shd w:val="clear" w:fill="1B5E5E"/>
          </w:tcPr>
          <w:p>
            <w:r>
              <w:rPr>
                <w:b/>
                <w:color w:val="FFFFFF"/>
                <w:sz w:val="18"/>
              </w:rPr>
              <w:t>Expert 2's workings</w:t>
            </w:r>
          </w:p>
        </w:tc>
        <w:tc>
          <w:tcPr>
            <w:tcW w:type="dxa" w:w="3168"/>
            <w:shd w:val="clear" w:fill="1B5E5E"/>
          </w:tcPr>
          <w:p>
            <w:pPr>
              <w:jc w:val="right"/>
            </w:pPr>
            <w:r>
              <w:rPr>
                <w:b/>
                <w:color w:val="FFFFFF"/>
                <w:sz w:val="18"/>
              </w:rPr>
              <w:t>Value</w:t>
            </w:r>
          </w:p>
        </w:tc>
      </w:tr>
      <w:tr>
        <w:tc>
          <w:tcPr>
            <w:tcW w:type="dxa" w:w="4320"/>
          </w:tcPr>
          <w:p>
            <w:r>
              <w:rPr>
                <w:color w:val="222222"/>
                <w:sz w:val="18"/>
              </w:rPr>
              <w:t>FY2025 attributable net income</w:t>
            </w:r>
          </w:p>
        </w:tc>
        <w:tc>
          <w:tcPr>
            <w:tcW w:type="dxa" w:w="3168"/>
          </w:tcPr>
          <w:p>
            <w:pPr>
              <w:jc w:val="right"/>
            </w:pPr>
            <w:r>
              <w:rPr>
                <w:color w:val="222222"/>
                <w:sz w:val="18"/>
              </w:rPr>
              <w:t>$194.8m</w:t>
            </w:r>
          </w:p>
        </w:tc>
      </w:tr>
      <w:tr>
        <w:tc>
          <w:tcPr>
            <w:tcW w:type="dxa" w:w="4320"/>
          </w:tcPr>
          <w:p>
            <w:r>
              <w:rPr>
                <w:color w:val="222222"/>
                <w:sz w:val="18"/>
              </w:rPr>
              <w:t>less one-off claim/disposal gains</w:t>
            </w:r>
          </w:p>
        </w:tc>
        <w:tc>
          <w:tcPr>
            <w:tcW w:type="dxa" w:w="3168"/>
          </w:tcPr>
          <w:p>
            <w:pPr>
              <w:jc w:val="right"/>
            </w:pPr>
            <w:r>
              <w:rPr>
                <w:color w:val="222222"/>
                <w:sz w:val="18"/>
              </w:rPr>
              <w:t>−$29m</w:t>
            </w:r>
          </w:p>
        </w:tc>
      </w:tr>
      <w:tr>
        <w:tc>
          <w:tcPr>
            <w:tcW w:type="dxa" w:w="4320"/>
          </w:tcPr>
          <w:p>
            <w:r>
              <w:rPr>
                <w:color w:val="222222"/>
                <w:sz w:val="18"/>
              </w:rPr>
              <w:t>Normalized through-cycle net</w:t>
            </w:r>
          </w:p>
        </w:tc>
        <w:tc>
          <w:tcPr>
            <w:tcW w:type="dxa" w:w="3168"/>
          </w:tcPr>
          <w:p>
            <w:pPr>
              <w:jc w:val="right"/>
            </w:pPr>
            <w:r>
              <w:rPr>
                <w:color w:val="222222"/>
                <w:sz w:val="18"/>
              </w:rPr>
              <w:t>$166m</w:t>
            </w:r>
          </w:p>
        </w:tc>
      </w:tr>
      <w:tr>
        <w:tc>
          <w:tcPr>
            <w:tcW w:type="dxa" w:w="4320"/>
          </w:tcPr>
          <w:p>
            <w:r>
              <w:rPr>
                <w:color w:val="222222"/>
                <w:sz w:val="18"/>
              </w:rPr>
              <w:t>Normalized EPS</w:t>
            </w:r>
          </w:p>
        </w:tc>
        <w:tc>
          <w:tcPr>
            <w:tcW w:type="dxa" w:w="3168"/>
          </w:tcPr>
          <w:p>
            <w:pPr>
              <w:jc w:val="right"/>
            </w:pPr>
            <w:r>
              <w:rPr>
                <w:color w:val="222222"/>
                <w:sz w:val="18"/>
              </w:rPr>
              <w:t>≈ $1.50</w:t>
            </w:r>
          </w:p>
        </w:tc>
      </w:tr>
      <w:tr>
        <w:tc>
          <w:tcPr>
            <w:tcW w:type="dxa" w:w="4320"/>
          </w:tcPr>
          <w:p>
            <w:r>
              <w:rPr>
                <w:color w:val="222222"/>
                <w:sz w:val="18"/>
              </w:rPr>
              <w:t>Justified P/E</w:t>
            </w:r>
          </w:p>
        </w:tc>
        <w:tc>
          <w:tcPr>
            <w:tcW w:type="dxa" w:w="3168"/>
          </w:tcPr>
          <w:p>
            <w:pPr>
              <w:jc w:val="right"/>
            </w:pPr>
            <w:r>
              <w:rPr>
                <w:color w:val="222222"/>
                <w:sz w:val="18"/>
              </w:rPr>
              <w:t>10.0×</w:t>
            </w:r>
          </w:p>
        </w:tc>
      </w:tr>
      <w:tr>
        <w:tc>
          <w:tcPr>
            <w:tcW w:type="dxa" w:w="4320"/>
          </w:tcPr>
          <w:p>
            <w:r>
              <w:rPr>
                <w:color w:val="222222"/>
                <w:sz w:val="18"/>
              </w:rPr>
              <w:t>Fair value</w:t>
            </w:r>
          </w:p>
        </w:tc>
        <w:tc>
          <w:tcPr>
            <w:tcW w:type="dxa" w:w="3168"/>
          </w:tcPr>
          <w:p>
            <w:pPr>
              <w:jc w:val="right"/>
            </w:pPr>
            <w:r>
              <w:rPr>
                <w:color w:val="222222"/>
                <w:sz w:val="18"/>
              </w:rPr>
              <w:t>EGP 770</w:t>
            </w:r>
          </w:p>
        </w:tc>
      </w:tr>
    </w:tbl>
    <w:p>
      <w:pPr>
        <w:spacing w:after="40"/>
      </w:pPr>
    </w:p>
    <w:p>
      <w:pPr>
        <w:spacing w:after="40"/>
      </w:pPr>
      <w:r>
        <w:rPr>
          <w:b/>
          <w:i w:val="0"/>
          <w:color w:val="222222"/>
          <w:sz w:val="19"/>
        </w:rPr>
        <w:t>Sensitivity on the swing input (justified multiple).</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fill="1B5E5E"/>
          </w:tcPr>
          <w:p>
            <w:r>
              <w:rPr>
                <w:b/>
                <w:color w:val="FFFFFF"/>
                <w:sz w:val="17"/>
              </w:rPr>
              <w:t>Justified P/E</w:t>
            </w:r>
          </w:p>
        </w:tc>
        <w:tc>
          <w:tcPr>
            <w:tcW w:type="dxa" w:w="2592"/>
            <w:shd w:val="clear" w:fill="1B5E5E"/>
          </w:tcPr>
          <w:p>
            <w:pPr>
              <w:jc w:val="right"/>
            </w:pPr>
            <w:r>
              <w:rPr>
                <w:b/>
                <w:color w:val="FFFFFF"/>
                <w:sz w:val="17"/>
              </w:rPr>
              <w:t>Implied equity (USD m)</w:t>
            </w:r>
          </w:p>
        </w:tc>
        <w:tc>
          <w:tcPr>
            <w:tcW w:type="dxa" w:w="2160"/>
            <w:shd w:val="clear" w:fill="1B5E5E"/>
          </w:tcPr>
          <w:p>
            <w:pPr>
              <w:jc w:val="right"/>
            </w:pPr>
            <w:r>
              <w:rPr>
                <w:b/>
                <w:color w:val="FFFFFF"/>
                <w:sz w:val="17"/>
              </w:rPr>
              <w:t>Fair value (EGP)</w:t>
            </w:r>
          </w:p>
        </w:tc>
      </w:tr>
      <w:tr>
        <w:tc>
          <w:tcPr>
            <w:tcW w:type="dxa" w:w="2160"/>
          </w:tcPr>
          <w:p>
            <w:r>
              <w:rPr>
                <w:color w:val="222222"/>
                <w:sz w:val="17"/>
              </w:rPr>
              <w:t>9.0×</w:t>
            </w:r>
          </w:p>
        </w:tc>
        <w:tc>
          <w:tcPr>
            <w:tcW w:type="dxa" w:w="2592"/>
          </w:tcPr>
          <w:p>
            <w:pPr>
              <w:jc w:val="right"/>
            </w:pPr>
            <w:r>
              <w:rPr>
                <w:color w:val="222222"/>
                <w:sz w:val="17"/>
              </w:rPr>
              <w:t>$1,492m</w:t>
            </w:r>
          </w:p>
        </w:tc>
        <w:tc>
          <w:tcPr>
            <w:tcW w:type="dxa" w:w="2160"/>
          </w:tcPr>
          <w:p>
            <w:pPr>
              <w:jc w:val="right"/>
            </w:pPr>
            <w:r>
              <w:rPr>
                <w:color w:val="222222"/>
                <w:sz w:val="17"/>
              </w:rPr>
              <w:t>690</w:t>
            </w:r>
          </w:p>
        </w:tc>
      </w:tr>
      <w:tr>
        <w:tc>
          <w:tcPr>
            <w:tcW w:type="dxa" w:w="2160"/>
          </w:tcPr>
          <w:p>
            <w:r>
              <w:rPr>
                <w:color w:val="222222"/>
                <w:sz w:val="17"/>
              </w:rPr>
              <w:t>10.0× (base)</w:t>
            </w:r>
          </w:p>
        </w:tc>
        <w:tc>
          <w:tcPr>
            <w:tcW w:type="dxa" w:w="2592"/>
          </w:tcPr>
          <w:p>
            <w:pPr>
              <w:jc w:val="right"/>
            </w:pPr>
            <w:r>
              <w:rPr>
                <w:color w:val="222222"/>
                <w:sz w:val="17"/>
              </w:rPr>
              <w:t>$1,658m</w:t>
            </w:r>
          </w:p>
        </w:tc>
        <w:tc>
          <w:tcPr>
            <w:tcW w:type="dxa" w:w="2160"/>
          </w:tcPr>
          <w:p>
            <w:pPr>
              <w:jc w:val="right"/>
            </w:pPr>
            <w:r>
              <w:rPr>
                <w:color w:val="222222"/>
                <w:sz w:val="17"/>
              </w:rPr>
              <w:t>770</w:t>
            </w:r>
          </w:p>
        </w:tc>
      </w:tr>
      <w:tr>
        <w:tc>
          <w:tcPr>
            <w:tcW w:type="dxa" w:w="2160"/>
          </w:tcPr>
          <w:p>
            <w:r>
              <w:rPr>
                <w:color w:val="222222"/>
                <w:sz w:val="17"/>
              </w:rPr>
              <w:t>11.0×</w:t>
            </w:r>
          </w:p>
        </w:tc>
        <w:tc>
          <w:tcPr>
            <w:tcW w:type="dxa" w:w="2592"/>
          </w:tcPr>
          <w:p>
            <w:pPr>
              <w:jc w:val="right"/>
            </w:pPr>
            <w:r>
              <w:rPr>
                <w:color w:val="222222"/>
                <w:sz w:val="17"/>
              </w:rPr>
              <w:t>$1,824m</w:t>
            </w:r>
          </w:p>
        </w:tc>
        <w:tc>
          <w:tcPr>
            <w:tcW w:type="dxa" w:w="2160"/>
          </w:tcPr>
          <w:p>
            <w:pPr>
              <w:jc w:val="right"/>
            </w:pPr>
            <w:r>
              <w:rPr>
                <w:color w:val="222222"/>
                <w:sz w:val="17"/>
              </w:rPr>
              <w:t>850</w:t>
            </w:r>
          </w:p>
        </w:tc>
      </w:tr>
    </w:tbl>
    <w:p>
      <w:pPr>
        <w:spacing w:after="40"/>
      </w:pPr>
    </w:p>
    <w:p>
      <w:pPr>
        <w:spacing w:after="120"/>
      </w:pPr>
      <w:r>
        <w:rPr>
          <w:b w:val="0"/>
          <w:i w:val="0"/>
          <w:color w:val="222222"/>
          <w:sz w:val="21"/>
        </w:rPr>
        <w:t>Worked example and verdict. On $166m of normalized earnings and a 10× multiple — fair for a thin-margin contractor with rising but volatile profitability and real country risk — Expert 2 gets ~EGP 740, nudged to ~EGP 770 for the credible US growth. To him the stock is roughly fairly valued: 'an 8x contractor is an 8x contractor; the cash flatters the EV multiple but it doesn't change what the business earns.' Sensitivity: 9× gives ~EGP 690, 11× ~EGP 850 — the multiple is the swing, and he will not pay a growth multiple for a contractor. Cross-examination: he tells Expert 1 and Expert 3 that adding a big cash balance to an earnings multiple is double-counting if the cash is working capital; he concedes that if the US franchise structurally lifts margins, his normalization is too low. Falsification: a durable margin re-rating up (US mix, concessions) or down. What the price implies: at EGP 720 the market is paying a fair, not cheap, multiple for the earnings — which is why he is the anchor against the bulls.</w:t>
      </w:r>
    </w:p>
    <w:p>
      <w:pPr>
        <w:keepNext/>
        <w:spacing w:before="280" w:after="80"/>
      </w:pPr>
      <w:r>
        <w:rPr>
          <w:b/>
          <w:color w:val="1B5E5E"/>
          <w:sz w:val="26"/>
        </w:rPr>
        <w:t>D.3  Expert 3 — the Accountant</w:t>
      </w:r>
    </w:p>
    <w:p>
      <w:pPr>
        <w:spacing w:after="120"/>
      </w:pPr>
      <w:r>
        <w:rPr>
          <w:b w:val="0"/>
          <w:i w:val="0"/>
          <w:color w:val="222222"/>
          <w:sz w:val="21"/>
        </w:rPr>
        <w:t>Worldview and tradition. The Graham–Dodd realization school: a business is worth what its assets realize net of every claim, and reported profit is trusted only as it converts to cash. Especially apt where profit is booked years before the cash arrives — the definition of a long-cycle contractor.</w:t>
      </w:r>
    </w:p>
    <w:p>
      <w:pPr>
        <w:spacing w:after="120"/>
      </w:pPr>
      <w:r>
        <w:rPr>
          <w:b w:val="0"/>
          <w:i/>
          <w:color w:val="666666"/>
          <w:sz w:val="19"/>
        </w:rPr>
        <w:t>When it works / when it fails. Best where the business is working-capital-heavy and value rests on separable assets; fails by systematically undervaluing a genuine compounding franchise — he may under-credit the US growth engine.</w:t>
      </w:r>
    </w:p>
    <w:p>
      <w:pPr>
        <w:spacing w:after="120"/>
      </w:pPr>
      <w:r>
        <w:rPr>
          <w:b w:val="0"/>
          <w:i w:val="0"/>
          <w:color w:val="222222"/>
          <w:sz w:val="21"/>
        </w:rPr>
        <w:t>Standard workings. (1) mark each asset to a conservative realizable value with explicit haircuts; (2) test earnings quality via the operating-cash-flow-to-net-income bridge; (3) bridge to equity, less all claims and off-balance obligations, times a cash-conversion overlay; (4) sensitivity on the swing marks.</w:t>
      </w:r>
    </w:p>
    <w:tbl>
      <w:tblPr>
        <w:tblStyle w:val="TableGrid"/>
        <w:tblW w:type="auto" w:w="0"/>
        <w:jc w:val="center"/>
        <w:tblLook w:firstColumn="1" w:firstRow="1" w:lastColumn="0" w:lastRow="0" w:noHBand="0" w:noVBand="1" w:val="04A0"/>
      </w:tblPr>
      <w:tblGrid>
        <w:gridCol w:w="4680"/>
        <w:gridCol w:w="4680"/>
      </w:tblGrid>
      <w:tr>
        <w:tc>
          <w:tcPr>
            <w:tcW w:type="dxa" w:w="4320"/>
            <w:shd w:val="clear" w:fill="1B5E5E"/>
          </w:tcPr>
          <w:p>
            <w:r>
              <w:rPr>
                <w:b/>
                <w:color w:val="FFFFFF"/>
                <w:sz w:val="18"/>
              </w:rPr>
              <w:t>Expert 3's workings</w:t>
            </w:r>
          </w:p>
        </w:tc>
        <w:tc>
          <w:tcPr>
            <w:tcW w:type="dxa" w:w="3168"/>
            <w:shd w:val="clear" w:fill="1B5E5E"/>
          </w:tcPr>
          <w:p>
            <w:pPr>
              <w:jc w:val="right"/>
            </w:pPr>
            <w:r>
              <w:rPr>
                <w:b/>
                <w:color w:val="FFFFFF"/>
                <w:sz w:val="18"/>
              </w:rPr>
              <w:t>Value</w:t>
            </w:r>
          </w:p>
        </w:tc>
      </w:tr>
      <w:tr>
        <w:tc>
          <w:tcPr>
            <w:tcW w:type="dxa" w:w="4320"/>
          </w:tcPr>
          <w:p>
            <w:r>
              <w:rPr>
                <w:color w:val="222222"/>
                <w:sz w:val="18"/>
              </w:rPr>
              <w:t>Core E&amp;C (realizable EV)</w:t>
            </w:r>
          </w:p>
        </w:tc>
        <w:tc>
          <w:tcPr>
            <w:tcW w:type="dxa" w:w="3168"/>
          </w:tcPr>
          <w:p>
            <w:pPr>
              <w:jc w:val="right"/>
            </w:pPr>
            <w:r>
              <w:rPr>
                <w:color w:val="222222"/>
                <w:sz w:val="18"/>
              </w:rPr>
              <w:t>$1,133m</w:t>
            </w:r>
          </w:p>
        </w:tc>
      </w:tr>
      <w:tr>
        <w:tc>
          <w:tcPr>
            <w:tcW w:type="dxa" w:w="4320"/>
          </w:tcPr>
          <w:p>
            <w:r>
              <w:rPr>
                <w:color w:val="222222"/>
                <w:sz w:val="18"/>
              </w:rPr>
              <w:t>Concessions (contracted, credited)</w:t>
            </w:r>
          </w:p>
        </w:tc>
        <w:tc>
          <w:tcPr>
            <w:tcW w:type="dxa" w:w="3168"/>
          </w:tcPr>
          <w:p>
            <w:pPr>
              <w:jc w:val="right"/>
            </w:pPr>
            <w:r>
              <w:rPr>
                <w:color w:val="222222"/>
                <w:sz w:val="18"/>
              </w:rPr>
              <w:t>$330m</w:t>
            </w:r>
          </w:p>
        </w:tc>
      </w:tr>
      <w:tr>
        <w:tc>
          <w:tcPr>
            <w:tcW w:type="dxa" w:w="4320"/>
          </w:tcPr>
          <w:p>
            <w:r>
              <w:rPr>
                <w:color w:val="222222"/>
                <w:sz w:val="18"/>
              </w:rPr>
              <w:t>BESIX 50% (credited)</w:t>
            </w:r>
          </w:p>
        </w:tc>
        <w:tc>
          <w:tcPr>
            <w:tcW w:type="dxa" w:w="3168"/>
          </w:tcPr>
          <w:p>
            <w:pPr>
              <w:jc w:val="right"/>
            </w:pPr>
            <w:r>
              <w:rPr>
                <w:color w:val="222222"/>
                <w:sz w:val="18"/>
              </w:rPr>
              <w:t>$240m</w:t>
            </w:r>
          </w:p>
        </w:tc>
      </w:tr>
      <w:tr>
        <w:tc>
          <w:tcPr>
            <w:tcW w:type="dxa" w:w="4320"/>
          </w:tcPr>
          <w:p>
            <w:r>
              <w:rPr>
                <w:color w:val="222222"/>
                <w:sz w:val="18"/>
              </w:rPr>
              <w:t>Materials/equip/FM</w:t>
            </w:r>
          </w:p>
        </w:tc>
        <w:tc>
          <w:tcPr>
            <w:tcW w:type="dxa" w:w="3168"/>
          </w:tcPr>
          <w:p>
            <w:pPr>
              <w:jc w:val="right"/>
            </w:pPr>
            <w:r>
              <w:rPr>
                <w:color w:val="222222"/>
                <w:sz w:val="18"/>
              </w:rPr>
              <w:t>$205m</w:t>
            </w:r>
          </w:p>
        </w:tc>
      </w:tr>
      <w:tr>
        <w:tc>
          <w:tcPr>
            <w:tcW w:type="dxa" w:w="4320"/>
          </w:tcPr>
          <w:p>
            <w:r>
              <w:rPr>
                <w:color w:val="222222"/>
                <w:sz w:val="18"/>
              </w:rPr>
              <w:t>Reported net cash</w:t>
            </w:r>
          </w:p>
        </w:tc>
        <w:tc>
          <w:tcPr>
            <w:tcW w:type="dxa" w:w="3168"/>
          </w:tcPr>
          <w:p>
            <w:pPr>
              <w:jc w:val="right"/>
            </w:pPr>
            <w:r>
              <w:rPr>
                <w:color w:val="222222"/>
                <w:sz w:val="18"/>
              </w:rPr>
              <w:t>$540m</w:t>
            </w:r>
          </w:p>
        </w:tc>
      </w:tr>
      <w:tr>
        <w:tc>
          <w:tcPr>
            <w:tcW w:type="dxa" w:w="4320"/>
          </w:tcPr>
          <w:p>
            <w:r>
              <w:rPr>
                <w:color w:val="222222"/>
                <w:sz w:val="18"/>
              </w:rPr>
              <w:t>less advance/bonding haircut (≈35%)</w:t>
            </w:r>
          </w:p>
        </w:tc>
        <w:tc>
          <w:tcPr>
            <w:tcW w:type="dxa" w:w="3168"/>
          </w:tcPr>
          <w:p>
            <w:pPr>
              <w:jc w:val="right"/>
            </w:pPr>
            <w:r>
              <w:rPr>
                <w:color w:val="222222"/>
                <w:sz w:val="18"/>
              </w:rPr>
              <w:t>−$190m → $350m usable</w:t>
            </w:r>
          </w:p>
        </w:tc>
      </w:tr>
      <w:tr>
        <w:tc>
          <w:tcPr>
            <w:tcW w:type="dxa" w:w="4320"/>
          </w:tcPr>
          <w:p>
            <w:r>
              <w:rPr>
                <w:color w:val="222222"/>
                <w:sz w:val="18"/>
              </w:rPr>
              <w:t>Fair value</w:t>
            </w:r>
          </w:p>
        </w:tc>
        <w:tc>
          <w:tcPr>
            <w:tcW w:type="dxa" w:w="3168"/>
          </w:tcPr>
          <w:p>
            <w:pPr>
              <w:jc w:val="right"/>
            </w:pPr>
            <w:r>
              <w:rPr>
                <w:color w:val="222222"/>
                <w:sz w:val="18"/>
              </w:rPr>
              <w:t>EGP 910</w:t>
            </w:r>
          </w:p>
        </w:tc>
      </w:tr>
    </w:tbl>
    <w:p>
      <w:pPr>
        <w:spacing w:after="40"/>
      </w:pPr>
    </w:p>
    <w:p>
      <w:pPr>
        <w:spacing w:after="40"/>
      </w:pPr>
      <w:r>
        <w:rPr>
          <w:b/>
          <w:i w:val="0"/>
          <w:color w:val="222222"/>
          <w:sz w:val="19"/>
        </w:rPr>
        <w:t>Sensitivity on the swing input (usable net cash).</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fill="1B5E5E"/>
          </w:tcPr>
          <w:p>
            <w:r>
              <w:rPr>
                <w:b/>
                <w:color w:val="FFFFFF"/>
                <w:sz w:val="17"/>
              </w:rPr>
              <w:t>Usable net cash</w:t>
            </w:r>
          </w:p>
        </w:tc>
        <w:tc>
          <w:tcPr>
            <w:tcW w:type="dxa" w:w="2448"/>
            <w:shd w:val="clear" w:fill="1B5E5E"/>
          </w:tcPr>
          <w:p>
            <w:pPr>
              <w:jc w:val="right"/>
            </w:pPr>
            <w:r>
              <w:rPr>
                <w:b/>
                <w:color w:val="FFFFFF"/>
                <w:sz w:val="17"/>
              </w:rPr>
              <w:t>Cash-conversion read</w:t>
            </w:r>
          </w:p>
        </w:tc>
        <w:tc>
          <w:tcPr>
            <w:tcW w:type="dxa" w:w="2304"/>
            <w:shd w:val="clear" w:fill="1B5E5E"/>
          </w:tcPr>
          <w:p>
            <w:pPr>
              <w:jc w:val="right"/>
            </w:pPr>
            <w:r>
              <w:rPr>
                <w:b/>
                <w:color w:val="FFFFFF"/>
                <w:sz w:val="17"/>
              </w:rPr>
              <w:t>Fair value (EGP)</w:t>
            </w:r>
          </w:p>
        </w:tc>
      </w:tr>
      <w:tr>
        <w:tc>
          <w:tcPr>
            <w:tcW w:type="dxa" w:w="2304"/>
          </w:tcPr>
          <w:p>
            <w:r>
              <w:rPr>
                <w:color w:val="222222"/>
                <w:sz w:val="17"/>
              </w:rPr>
              <w:t>$250m</w:t>
            </w:r>
          </w:p>
        </w:tc>
        <w:tc>
          <w:tcPr>
            <w:tcW w:type="dxa" w:w="2448"/>
          </w:tcPr>
          <w:p>
            <w:pPr>
              <w:jc w:val="right"/>
            </w:pPr>
            <w:r>
              <w:rPr>
                <w:color w:val="222222"/>
                <w:sz w:val="17"/>
              </w:rPr>
              <w:t>advances dominate</w:t>
            </w:r>
          </w:p>
        </w:tc>
        <w:tc>
          <w:tcPr>
            <w:tcW w:type="dxa" w:w="2304"/>
          </w:tcPr>
          <w:p>
            <w:pPr>
              <w:jc w:val="right"/>
            </w:pPr>
            <w:r>
              <w:rPr>
                <w:color w:val="222222"/>
                <w:sz w:val="17"/>
              </w:rPr>
              <w:t>820</w:t>
            </w:r>
          </w:p>
        </w:tc>
      </w:tr>
      <w:tr>
        <w:tc>
          <w:tcPr>
            <w:tcW w:type="dxa" w:w="2304"/>
          </w:tcPr>
          <w:p>
            <w:r>
              <w:rPr>
                <w:color w:val="222222"/>
                <w:sz w:val="17"/>
              </w:rPr>
              <w:t>$350m (base)</w:t>
            </w:r>
          </w:p>
        </w:tc>
        <w:tc>
          <w:tcPr>
            <w:tcW w:type="dxa" w:w="2448"/>
          </w:tcPr>
          <w:p>
            <w:pPr>
              <w:jc w:val="right"/>
            </w:pPr>
            <w:r>
              <w:rPr>
                <w:color w:val="222222"/>
                <w:sz w:val="17"/>
              </w:rPr>
              <w:t>moderate haircut</w:t>
            </w:r>
          </w:p>
        </w:tc>
        <w:tc>
          <w:tcPr>
            <w:tcW w:type="dxa" w:w="2304"/>
          </w:tcPr>
          <w:p>
            <w:pPr>
              <w:jc w:val="right"/>
            </w:pPr>
            <w:r>
              <w:rPr>
                <w:color w:val="222222"/>
                <w:sz w:val="17"/>
              </w:rPr>
              <w:t>910</w:t>
            </w:r>
          </w:p>
        </w:tc>
      </w:tr>
      <w:tr>
        <w:tc>
          <w:tcPr>
            <w:tcW w:type="dxa" w:w="2304"/>
          </w:tcPr>
          <w:p>
            <w:r>
              <w:rPr>
                <w:color w:val="222222"/>
                <w:sz w:val="17"/>
              </w:rPr>
              <w:t>$450m</w:t>
            </w:r>
          </w:p>
        </w:tc>
        <w:tc>
          <w:tcPr>
            <w:tcW w:type="dxa" w:w="2448"/>
          </w:tcPr>
          <w:p>
            <w:pPr>
              <w:jc w:val="right"/>
            </w:pPr>
            <w:r>
              <w:rPr>
                <w:color w:val="222222"/>
                <w:sz w:val="17"/>
              </w:rPr>
              <w:t>most cash distributable</w:t>
            </w:r>
          </w:p>
        </w:tc>
        <w:tc>
          <w:tcPr>
            <w:tcW w:type="dxa" w:w="2304"/>
          </w:tcPr>
          <w:p>
            <w:pPr>
              <w:jc w:val="right"/>
            </w:pPr>
            <w:r>
              <w:rPr>
                <w:color w:val="222222"/>
                <w:sz w:val="17"/>
              </w:rPr>
              <w:t>980</w:t>
            </w:r>
          </w:p>
        </w:tc>
      </w:tr>
    </w:tbl>
    <w:p>
      <w:pPr>
        <w:spacing w:after="40"/>
      </w:pPr>
    </w:p>
    <w:p>
      <w:pPr>
        <w:spacing w:after="120"/>
      </w:pPr>
      <w:r>
        <w:rPr>
          <w:b w:val="0"/>
          <w:i w:val="0"/>
          <w:color w:val="222222"/>
          <w:sz w:val="21"/>
        </w:rPr>
        <w:t>Worked example and verdict. Expert 3 is the one expert who is both more bullish and more bearish than the others — bearish on the cash (he haircuts the reported $540m to ~$350m, because the operating-cash-flow-to-income bridge shows how much is advance-funded), but bullish on the hard assets (he credits the concessions platform and BESIX in full, which the market largely ignores). Netting these, he lands at ~EGP 910. Sensitivity: a deeper cash haircut to $250m usable pulls him to ~EGP 820; crediting concessions at a project-finance premium lifts him toward EGP 980. Cross-examination: he tells Expert 1 his net-cash add is too generous and tells Expert 2 his earnings multiple ignores $570m of separable assets — 'the balance sheet is a fact; the income statement is an opinion.' Falsification: a durable lift in cash conversion, or the concessions reaching binding, cash-generating maturity. What the price implies: at EGP 720 the market is crediting the contracting business and essentially none of the concessions platform or the BESIX stake.</w:t>
      </w:r>
    </w:p>
    <w:p>
      <w:pPr>
        <w:keepNext/>
        <w:spacing w:before="280" w:after="80"/>
      </w:pPr>
      <w:r>
        <w:rPr>
          <w:b/>
          <w:color w:val="1B5E5E"/>
          <w:sz w:val="26"/>
        </w:rPr>
        <w:t>D.4  Expert 4 — the Macro-Policy strategist</w:t>
      </w:r>
    </w:p>
    <w:p>
      <w:pPr>
        <w:spacing w:after="120"/>
      </w:pPr>
      <w:r>
        <w:rPr>
          <w:b w:val="0"/>
          <w:i w:val="0"/>
          <w:color w:val="222222"/>
          <w:sz w:val="21"/>
        </w:rPr>
        <w:t>Worldview and tradition. In frontier and emerging markets, policy outranks fundamentals — the FX regime, the rate path, sovereign action, and here a specific corporate event — move value more than management does. Expert 4 prices the asset as a set of options on which world arrives.</w:t>
      </w:r>
    </w:p>
    <w:p>
      <w:pPr>
        <w:spacing w:after="120"/>
      </w:pPr>
      <w:r>
        <w:rPr>
          <w:b w:val="0"/>
          <w:i/>
          <w:color w:val="666666"/>
          <w:sz w:val="19"/>
        </w:rPr>
        <w:t>When it works / when it fails. Best in policy-driven markets with binary catalysts and FX regimes in flux; fails through false precision — the probabilities are judgments, and a tree can miss the branch that grows.</w:t>
      </w:r>
    </w:p>
    <w:p>
      <w:pPr>
        <w:spacing w:after="120"/>
      </w:pPr>
      <w:r>
        <w:rPr>
          <w:b w:val="0"/>
          <w:i w:val="0"/>
          <w:color w:val="222222"/>
          <w:sz w:val="21"/>
        </w:rPr>
        <w:t>Standard workings. (1) identify the policy and event levers that set value — here the OCI combination, the EGP path, the US infrastructure cycle, and regional security; (2) define bull/base/bear as configurations of those levers; (3) re-run the valuation under each so scenario values are derived; (4) probability-weight; (5) stress the weights.</w:t>
      </w:r>
    </w:p>
    <w:tbl>
      <w:tblPr>
        <w:tblStyle w:val="TableGrid"/>
        <w:tblW w:type="auto" w:w="0"/>
        <w:jc w:val="center"/>
        <w:tblLook w:firstColumn="1" w:firstRow="1" w:lastColumn="0" w:lastRow="0" w:noHBand="0" w:noVBand="1" w:val="04A0"/>
      </w:tblPr>
      <w:tblGrid>
        <w:gridCol w:w="3120"/>
        <w:gridCol w:w="3120"/>
        <w:gridCol w:w="3120"/>
      </w:tblGrid>
      <w:tr>
        <w:tc>
          <w:tcPr>
            <w:tcW w:type="dxa" w:w="4896"/>
            <w:shd w:val="clear" w:fill="1B5E5E"/>
          </w:tcPr>
          <w:p>
            <w:r>
              <w:rPr>
                <w:b/>
                <w:color w:val="FFFFFF"/>
                <w:sz w:val="18"/>
              </w:rPr>
              <w:t>Expert 4's scenario tree</w:t>
            </w:r>
          </w:p>
        </w:tc>
        <w:tc>
          <w:tcPr>
            <w:tcW w:type="dxa" w:w="1296"/>
            <w:shd w:val="clear" w:fill="1B5E5E"/>
          </w:tcPr>
          <w:p>
            <w:pPr>
              <w:jc w:val="right"/>
            </w:pPr>
            <w:r>
              <w:rPr>
                <w:b/>
                <w:color w:val="FFFFFF"/>
                <w:sz w:val="18"/>
              </w:rPr>
              <w:t>Prob</w:t>
            </w:r>
          </w:p>
        </w:tc>
        <w:tc>
          <w:tcPr>
            <w:tcW w:type="dxa" w:w="2160"/>
            <w:shd w:val="clear" w:fill="1B5E5E"/>
          </w:tcPr>
          <w:p>
            <w:pPr>
              <w:jc w:val="right"/>
            </w:pPr>
            <w:r>
              <w:rPr>
                <w:b/>
                <w:color w:val="FFFFFF"/>
                <w:sz w:val="18"/>
              </w:rPr>
              <w:t>Fair value (EGP)</w:t>
            </w:r>
          </w:p>
        </w:tc>
      </w:tr>
      <w:tr>
        <w:tc>
          <w:tcPr>
            <w:tcW w:type="dxa" w:w="4896"/>
          </w:tcPr>
          <w:p>
            <w:r>
              <w:rPr>
                <w:color w:val="222222"/>
                <w:sz w:val="18"/>
              </w:rPr>
              <w:t>Bull — OCI completes accretively, US converts, EGP stable</w:t>
            </w:r>
          </w:p>
        </w:tc>
        <w:tc>
          <w:tcPr>
            <w:tcW w:type="dxa" w:w="1296"/>
          </w:tcPr>
          <w:p>
            <w:pPr>
              <w:jc w:val="right"/>
            </w:pPr>
            <w:r>
              <w:rPr>
                <w:color w:val="222222"/>
                <w:sz w:val="18"/>
              </w:rPr>
              <w:t>30%</w:t>
            </w:r>
          </w:p>
        </w:tc>
        <w:tc>
          <w:tcPr>
            <w:tcW w:type="dxa" w:w="2160"/>
          </w:tcPr>
          <w:p>
            <w:pPr>
              <w:jc w:val="right"/>
            </w:pPr>
            <w:r>
              <w:rPr>
                <w:color w:val="222222"/>
                <w:sz w:val="18"/>
              </w:rPr>
              <w:t>1,150</w:t>
            </w:r>
          </w:p>
        </w:tc>
      </w:tr>
      <w:tr>
        <w:tc>
          <w:tcPr>
            <w:tcW w:type="dxa" w:w="4896"/>
          </w:tcPr>
          <w:p>
            <w:r>
              <w:rPr>
                <w:color w:val="222222"/>
                <w:sz w:val="18"/>
              </w:rPr>
              <w:t>Base — deal muddle-through, steady execution</w:t>
            </w:r>
          </w:p>
        </w:tc>
        <w:tc>
          <w:tcPr>
            <w:tcW w:type="dxa" w:w="1296"/>
          </w:tcPr>
          <w:p>
            <w:pPr>
              <w:jc w:val="right"/>
            </w:pPr>
            <w:r>
              <w:rPr>
                <w:color w:val="222222"/>
                <w:sz w:val="18"/>
              </w:rPr>
              <w:t>45%</w:t>
            </w:r>
          </w:p>
        </w:tc>
        <w:tc>
          <w:tcPr>
            <w:tcW w:type="dxa" w:w="2160"/>
          </w:tcPr>
          <w:p>
            <w:pPr>
              <w:jc w:val="right"/>
            </w:pPr>
            <w:r>
              <w:rPr>
                <w:color w:val="222222"/>
                <w:sz w:val="18"/>
              </w:rPr>
              <w:t>900</w:t>
            </w:r>
          </w:p>
        </w:tc>
      </w:tr>
      <w:tr>
        <w:tc>
          <w:tcPr>
            <w:tcW w:type="dxa" w:w="4896"/>
          </w:tcPr>
          <w:p>
            <w:r>
              <w:rPr>
                <w:color w:val="222222"/>
                <w:sz w:val="18"/>
              </w:rPr>
              <w:t>Bear — OCI collapses / geopolitical or receivables shock</w:t>
            </w:r>
          </w:p>
        </w:tc>
        <w:tc>
          <w:tcPr>
            <w:tcW w:type="dxa" w:w="1296"/>
          </w:tcPr>
          <w:p>
            <w:pPr>
              <w:jc w:val="right"/>
            </w:pPr>
            <w:r>
              <w:rPr>
                <w:color w:val="222222"/>
                <w:sz w:val="18"/>
              </w:rPr>
              <w:t>25%</w:t>
            </w:r>
          </w:p>
        </w:tc>
        <w:tc>
          <w:tcPr>
            <w:tcW w:type="dxa" w:w="2160"/>
          </w:tcPr>
          <w:p>
            <w:pPr>
              <w:jc w:val="right"/>
            </w:pPr>
            <w:r>
              <w:rPr>
                <w:color w:val="222222"/>
                <w:sz w:val="18"/>
              </w:rPr>
              <w:t>620</w:t>
            </w:r>
          </w:p>
        </w:tc>
      </w:tr>
      <w:tr>
        <w:tc>
          <w:tcPr>
            <w:tcW w:type="dxa" w:w="4896"/>
          </w:tcPr>
          <w:p>
            <w:r>
              <w:rPr>
                <w:color w:val="222222"/>
                <w:sz w:val="18"/>
              </w:rPr>
              <w:t>Probability-weighted</w:t>
            </w:r>
          </w:p>
        </w:tc>
        <w:tc>
          <w:tcPr>
            <w:tcW w:type="dxa" w:w="1296"/>
          </w:tcPr>
          <w:p>
            <w:pPr>
              <w:jc w:val="right"/>
            </w:pPr>
            <w:r>
              <w:rPr>
                <w:color w:val="222222"/>
                <w:sz w:val="18"/>
              </w:rPr>
              <w:t>100%</w:t>
            </w:r>
          </w:p>
        </w:tc>
        <w:tc>
          <w:tcPr>
            <w:tcW w:type="dxa" w:w="2160"/>
          </w:tcPr>
          <w:p>
            <w:pPr>
              <w:jc w:val="right"/>
            </w:pPr>
            <w:r>
              <w:rPr>
                <w:color w:val="222222"/>
                <w:sz w:val="18"/>
              </w:rPr>
              <w:t>~900</w:t>
            </w:r>
          </w:p>
        </w:tc>
      </w:tr>
    </w:tbl>
    <w:p>
      <w:pPr>
        <w:spacing w:after="40"/>
      </w:pPr>
    </w:p>
    <w:p>
      <w:pPr>
        <w:spacing w:after="40"/>
      </w:pPr>
      <w:r>
        <w:rPr>
          <w:b/>
          <w:i w:val="0"/>
          <w:color w:val="222222"/>
          <w:sz w:val="19"/>
        </w:rPr>
        <w:t>Sensitivity on the swing input (scenario weights).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fill="1B5E5E"/>
          </w:tcPr>
          <w:p>
            <w:r>
              <w:rPr>
                <w:b/>
                <w:color w:val="FFFFFF"/>
                <w:sz w:val="17"/>
              </w:rPr>
              <w:t>Weight shift</w:t>
            </w:r>
          </w:p>
        </w:tc>
        <w:tc>
          <w:tcPr>
            <w:tcW w:type="dxa" w:w="2304"/>
            <w:shd w:val="clear" w:fill="1B5E5E"/>
          </w:tcPr>
          <w:p>
            <w:pPr>
              <w:jc w:val="right"/>
            </w:pPr>
            <w:r>
              <w:rPr>
                <w:b/>
                <w:color w:val="FFFFFF"/>
                <w:sz w:val="17"/>
              </w:rPr>
              <w:t>Bull/Base/Bear</w:t>
            </w:r>
          </w:p>
        </w:tc>
        <w:tc>
          <w:tcPr>
            <w:tcW w:type="dxa" w:w="2448"/>
            <w:shd w:val="clear" w:fill="1B5E5E"/>
          </w:tcPr>
          <w:p>
            <w:pPr>
              <w:jc w:val="right"/>
            </w:pPr>
            <w:r>
              <w:rPr>
                <w:b/>
                <w:color w:val="FFFFFF"/>
                <w:sz w:val="17"/>
              </w:rPr>
              <w:t>Weighted FV (EGP)</w:t>
            </w:r>
          </w:p>
        </w:tc>
      </w:tr>
      <w:tr>
        <w:tc>
          <w:tcPr>
            <w:tcW w:type="dxa" w:w="2304"/>
          </w:tcPr>
          <w:p>
            <w:r>
              <w:rPr>
                <w:color w:val="222222"/>
                <w:sz w:val="17"/>
              </w:rPr>
              <w:t>+15pp to bear</w:t>
            </w:r>
          </w:p>
        </w:tc>
        <w:tc>
          <w:tcPr>
            <w:tcW w:type="dxa" w:w="2304"/>
          </w:tcPr>
          <w:p>
            <w:pPr>
              <w:jc w:val="right"/>
            </w:pPr>
            <w:r>
              <w:rPr>
                <w:color w:val="222222"/>
                <w:sz w:val="17"/>
              </w:rPr>
              <w:t>15 / 45 / 40</w:t>
            </w:r>
          </w:p>
        </w:tc>
        <w:tc>
          <w:tcPr>
            <w:tcW w:type="dxa" w:w="2448"/>
          </w:tcPr>
          <w:p>
            <w:pPr>
              <w:jc w:val="right"/>
            </w:pPr>
            <w:r>
              <w:rPr>
                <w:color w:val="222222"/>
                <w:sz w:val="17"/>
              </w:rPr>
              <w:t>790</w:t>
            </w:r>
          </w:p>
        </w:tc>
      </w:tr>
      <w:tr>
        <w:tc>
          <w:tcPr>
            <w:tcW w:type="dxa" w:w="2304"/>
          </w:tcPr>
          <w:p>
            <w:r>
              <w:rPr>
                <w:color w:val="222222"/>
                <w:sz w:val="17"/>
              </w:rPr>
              <w:t>base</w:t>
            </w:r>
          </w:p>
        </w:tc>
        <w:tc>
          <w:tcPr>
            <w:tcW w:type="dxa" w:w="2304"/>
          </w:tcPr>
          <w:p>
            <w:pPr>
              <w:jc w:val="right"/>
            </w:pPr>
            <w:r>
              <w:rPr>
                <w:color w:val="222222"/>
                <w:sz w:val="17"/>
              </w:rPr>
              <w:t>30 / 45 / 25</w:t>
            </w:r>
          </w:p>
        </w:tc>
        <w:tc>
          <w:tcPr>
            <w:tcW w:type="dxa" w:w="2448"/>
          </w:tcPr>
          <w:p>
            <w:pPr>
              <w:jc w:val="right"/>
            </w:pPr>
            <w:r>
              <w:rPr>
                <w:color w:val="222222"/>
                <w:sz w:val="17"/>
              </w:rPr>
              <w:t>900</w:t>
            </w:r>
          </w:p>
        </w:tc>
      </w:tr>
      <w:tr>
        <w:tc>
          <w:tcPr>
            <w:tcW w:type="dxa" w:w="2304"/>
          </w:tcPr>
          <w:p>
            <w:r>
              <w:rPr>
                <w:color w:val="222222"/>
                <w:sz w:val="17"/>
              </w:rPr>
              <w:t>+15pp to bull</w:t>
            </w:r>
          </w:p>
        </w:tc>
        <w:tc>
          <w:tcPr>
            <w:tcW w:type="dxa" w:w="2304"/>
          </w:tcPr>
          <w:p>
            <w:pPr>
              <w:jc w:val="right"/>
            </w:pPr>
            <w:r>
              <w:rPr>
                <w:color w:val="222222"/>
                <w:sz w:val="17"/>
              </w:rPr>
              <w:t>45 / 40 / 15</w:t>
            </w:r>
          </w:p>
        </w:tc>
        <w:tc>
          <w:tcPr>
            <w:tcW w:type="dxa" w:w="2448"/>
          </w:tcPr>
          <w:p>
            <w:pPr>
              <w:jc w:val="right"/>
            </w:pPr>
            <w:r>
              <w:rPr>
                <w:color w:val="222222"/>
                <w:sz w:val="17"/>
              </w:rPr>
              <w:t>1,010</w:t>
            </w:r>
          </w:p>
        </w:tc>
      </w:tr>
    </w:tbl>
    <w:p>
      <w:pPr>
        <w:spacing w:after="40"/>
      </w:pPr>
    </w:p>
    <w:p>
      <w:pPr>
        <w:spacing w:after="120"/>
      </w:pPr>
      <w:r>
        <w:rPr>
          <w:b w:val="0"/>
          <w:i w:val="0"/>
          <w:color w:val="222222"/>
          <w:sz w:val="21"/>
        </w:rPr>
        <w:t>Worked example and verdict. Probability-weighting his three worlds gives ~EGP 900, but the point is the range, not the point: EGP 620 to EGP 1,150. The OCI vote is the branch that moves his tree, and it is unresolved. Sensitivity: shifting 15 points of probability from base to bear (a deal collapse becoming likely) drops his weighted value below EGP 800; the EGP path is second-order because a devaluation cuts both ways for a dollar-earning, pound-quoted line. Cross-examination: he tells the other three that none of them priced the OCI vote or the country risk — 'you are all valuing a company that may be about to change shape.' He absorbs their fair values as sub-cases: Expert 2's earnings view is his base, Expert 1's and Expert 3's asset views are his bull. Falsification: a fourth, unmodelled shock, or the scenario set being mis-specified. What the price implies: at EGP 720 the market is leaning toward his bear-to-base blend — pricing deal and country risk heavily, and giving little weight to the constructive branch.</w:t>
      </w:r>
    </w:p>
    <w:p>
      <w:pPr>
        <w:keepNext/>
        <w:spacing w:before="280" w:after="80"/>
      </w:pPr>
      <w:r>
        <w:rPr>
          <w:b/>
          <w:color w:val="B0894B"/>
          <w:sz w:val="26"/>
        </w:rPr>
        <w:t>D.5  The four in one room</w:t>
      </w:r>
    </w:p>
    <w:p>
      <w:pPr>
        <w:spacing w:after="120"/>
      </w:pPr>
      <w:r>
        <w:rPr>
          <w:b w:val="0"/>
          <w:i w:val="0"/>
          <w:color w:val="222222"/>
          <w:sz w:val="21"/>
        </w:rPr>
        <w:t>Put the four in front of the single fact they most disagree on — the ~$540m of reported net cash, and the OCI vote behind it.</w:t>
      </w:r>
    </w:p>
    <w:p>
      <w:pPr>
        <w:spacing w:after="60"/>
      </w:pPr>
      <w:r>
        <w:rPr>
          <w:b w:val="0"/>
          <w:i w:val="0"/>
          <w:color w:val="222222"/>
          <w:sz w:val="20"/>
        </w:rPr>
        <w:t>Expert 1: 'The cash is real and it sits on top of the cash flow. At this price you're paying for the operating business and getting the balance sheet free.'</w:t>
      </w:r>
    </w:p>
    <w:p>
      <w:pPr>
        <w:spacing w:after="60"/>
      </w:pPr>
      <w:r>
        <w:rPr>
          <w:b w:val="0"/>
          <w:i w:val="0"/>
          <w:color w:val="222222"/>
          <w:sz w:val="20"/>
        </w:rPr>
        <w:t>Expert 2: 'It's an 8x contractor. The cash flatters the EV multiple, but it doesn't change what the business earns through the cycle — and I won't pay a growth multiple for EPC.'</w:t>
      </w:r>
    </w:p>
    <w:p>
      <w:pPr>
        <w:spacing w:after="60"/>
      </w:pPr>
      <w:r>
        <w:rPr>
          <w:b w:val="0"/>
          <w:i w:val="0"/>
          <w:color w:val="222222"/>
          <w:sz w:val="20"/>
        </w:rPr>
        <w:t>Expert 3: 'Half that cash is client advances — show me what's truly distributable. But you're all ignoring the concessions platform and BESIX, which are worth real money the market isn't paying for.'</w:t>
      </w:r>
    </w:p>
    <w:p>
      <w:pPr>
        <w:spacing w:after="120"/>
      </w:pPr>
      <w:r>
        <w:rPr>
          <w:b w:val="0"/>
          <w:i w:val="0"/>
          <w:color w:val="222222"/>
          <w:sz w:val="20"/>
        </w:rPr>
        <w:t>Expert 4: 'You're all valuing a company that may be about to merge. The OCI vote is the branch that moves the tree, and it hasn't happened. Price the option, not the point estimate.'</w:t>
      </w:r>
    </w:p>
    <w:p>
      <w:pPr>
        <w:spacing w:after="120"/>
      </w:pPr>
      <w:r>
        <w:rPr>
          <w:b w:val="0"/>
          <w:i w:val="0"/>
          <w:color w:val="222222"/>
          <w:sz w:val="21"/>
        </w:rPr>
        <w:t>Same fact, four readings: a free balance sheet (Expert 1), a flattered multiple (Expert 2), mismarked assets and overstated cash (Expert 3), and an unpriced corporate event (Expert 4). That is the whole valuation in one exchange.</w:t>
      </w:r>
    </w:p>
    <w:p>
      <w:pPr>
        <w:keepNext/>
        <w:spacing w:before="280" w:after="80"/>
      </w:pPr>
      <w:r>
        <w:rPr>
          <w:b/>
          <w:color w:val="B0894B"/>
          <w:sz w:val="26"/>
        </w:rPr>
        <w:t>D.6  Reading the divergence</w:t>
      </w:r>
    </w:p>
    <w:p>
      <w:pPr>
        <w:jc w:val="center"/>
      </w:pPr>
      <w:r>
        <w:drawing>
          <wp:inline xmlns:a="http://schemas.openxmlformats.org/drawingml/2006/main" xmlns:pic="http://schemas.openxmlformats.org/drawingml/2006/picture">
            <wp:extent cx="5760720" cy="2468880"/>
            <wp:docPr id="8" name="Picture 8"/>
            <wp:cNvGraphicFramePr>
              <a:graphicFrameLocks noChangeAspect="1"/>
            </wp:cNvGraphicFramePr>
            <a:graphic>
              <a:graphicData uri="http://schemas.openxmlformats.org/drawingml/2006/picture">
                <pic:pic>
                  <pic:nvPicPr>
                    <pic:cNvPr id="0" name="fig7_experts.png"/>
                    <pic:cNvPicPr/>
                  </pic:nvPicPr>
                  <pic:blipFill>
                    <a:blip r:embed="rId16"/>
                    <a:stretch>
                      <a:fillRect/>
                    </a:stretch>
                  </pic:blipFill>
                  <pic:spPr>
                    <a:xfrm>
                      <a:off x="0" y="0"/>
                      <a:ext cx="5760720" cy="2468880"/>
                    </a:xfrm>
                    <a:prstGeom prst="rect"/>
                  </pic:spPr>
                </pic:pic>
              </a:graphicData>
            </a:graphic>
          </wp:inline>
        </w:drawing>
      </w:r>
    </w:p>
    <w:p>
      <w:pPr>
        <w:jc w:val="center"/>
      </w:pPr>
      <w:r>
        <w:rPr>
          <w:i/>
          <w:color w:val="666666"/>
          <w:sz w:val="17"/>
        </w:rPr>
        <w:t>Figure D · The four experts' fair values and ranges, against spot and the study central.</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fill="1B5E5E"/>
          </w:tcPr>
          <w:p>
            <w:r>
              <w:rPr>
                <w:b/>
                <w:color w:val="FFFFFF"/>
                <w:sz w:val="17"/>
              </w:rPr>
              <w:t>Expert</w:t>
            </w:r>
          </w:p>
        </w:tc>
        <w:tc>
          <w:tcPr>
            <w:tcW w:type="dxa" w:w="2160"/>
            <w:shd w:val="clear" w:fill="1B5E5E"/>
          </w:tcPr>
          <w:p>
            <w:pPr>
              <w:jc w:val="right"/>
            </w:pPr>
            <w:r>
              <w:rPr>
                <w:b/>
                <w:color w:val="FFFFFF"/>
                <w:sz w:val="17"/>
              </w:rPr>
              <w:t>Fair value (EGP)</w:t>
            </w:r>
          </w:p>
        </w:tc>
        <w:tc>
          <w:tcPr>
            <w:tcW w:type="dxa" w:w="4176"/>
            <w:shd w:val="clear" w:fill="1B5E5E"/>
          </w:tcPr>
          <w:p>
            <w:pPr>
              <w:jc w:val="right"/>
            </w:pPr>
            <w:r>
              <w:rPr>
                <w:b/>
                <w:color w:val="FFFFFF"/>
                <w:sz w:val="17"/>
              </w:rPr>
              <w:t>The one assumption driving it</w:t>
            </w:r>
          </w:p>
        </w:tc>
      </w:tr>
      <w:tr>
        <w:tc>
          <w:tcPr>
            <w:tcW w:type="dxa" w:w="2880"/>
          </w:tcPr>
          <w:p>
            <w:r>
              <w:rPr>
                <w:color w:val="222222"/>
                <w:sz w:val="17"/>
              </w:rPr>
              <w:t>Expert 1 · Cash-returns</w:t>
            </w:r>
          </w:p>
        </w:tc>
        <w:tc>
          <w:tcPr>
            <w:tcW w:type="dxa" w:w="2160"/>
          </w:tcPr>
          <w:p>
            <w:pPr>
              <w:jc w:val="right"/>
            </w:pPr>
            <w:r>
              <w:rPr>
                <w:color w:val="222222"/>
                <w:sz w:val="17"/>
              </w:rPr>
              <w:t>980</w:t>
            </w:r>
          </w:p>
        </w:tc>
        <w:tc>
          <w:tcPr>
            <w:tcW w:type="dxa" w:w="4176"/>
          </w:tcPr>
          <w:p>
            <w:pPr>
              <w:jc w:val="right"/>
            </w:pPr>
            <w:r>
              <w:rPr>
                <w:color w:val="222222"/>
                <w:sz w:val="17"/>
              </w:rPr>
              <w:t>net cash + BESIX are real and additive to FCFF</w:t>
            </w:r>
          </w:p>
        </w:tc>
      </w:tr>
      <w:tr>
        <w:tc>
          <w:tcPr>
            <w:tcW w:type="dxa" w:w="2880"/>
          </w:tcPr>
          <w:p>
            <w:r>
              <w:rPr>
                <w:color w:val="222222"/>
                <w:sz w:val="17"/>
              </w:rPr>
              <w:t>Expert 3 · Accountant</w:t>
            </w:r>
          </w:p>
        </w:tc>
        <w:tc>
          <w:tcPr>
            <w:tcW w:type="dxa" w:w="2160"/>
          </w:tcPr>
          <w:p>
            <w:pPr>
              <w:jc w:val="right"/>
            </w:pPr>
            <w:r>
              <w:rPr>
                <w:color w:val="222222"/>
                <w:sz w:val="17"/>
              </w:rPr>
              <w:t>910</w:t>
            </w:r>
          </w:p>
        </w:tc>
        <w:tc>
          <w:tcPr>
            <w:tcW w:type="dxa" w:w="4176"/>
          </w:tcPr>
          <w:p>
            <w:pPr>
              <w:jc w:val="right"/>
            </w:pPr>
            <w:r>
              <w:rPr>
                <w:color w:val="222222"/>
                <w:sz w:val="17"/>
              </w:rPr>
              <w:t>concessions/BESIX under-marked, but net cash haircut</w:t>
            </w:r>
          </w:p>
        </w:tc>
      </w:tr>
      <w:tr>
        <w:tc>
          <w:tcPr>
            <w:tcW w:type="dxa" w:w="2880"/>
          </w:tcPr>
          <w:p>
            <w:r>
              <w:rPr>
                <w:color w:val="222222"/>
                <w:sz w:val="17"/>
              </w:rPr>
              <w:t>Expert 4 · Macro-Policy</w:t>
            </w:r>
          </w:p>
        </w:tc>
        <w:tc>
          <w:tcPr>
            <w:tcW w:type="dxa" w:w="2160"/>
          </w:tcPr>
          <w:p>
            <w:pPr>
              <w:jc w:val="right"/>
            </w:pPr>
            <w:r>
              <w:rPr>
                <w:color w:val="222222"/>
                <w:sz w:val="17"/>
              </w:rPr>
              <w:t>900 (620–1,150)</w:t>
            </w:r>
          </w:p>
        </w:tc>
        <w:tc>
          <w:tcPr>
            <w:tcW w:type="dxa" w:w="4176"/>
          </w:tcPr>
          <w:p>
            <w:pPr>
              <w:jc w:val="right"/>
            </w:pPr>
            <w:r>
              <w:rPr>
                <w:color w:val="222222"/>
                <w:sz w:val="17"/>
              </w:rPr>
              <w:t>the probability the OCI deal completes constructively</w:t>
            </w:r>
          </w:p>
        </w:tc>
      </w:tr>
      <w:tr>
        <w:tc>
          <w:tcPr>
            <w:tcW w:type="dxa" w:w="2880"/>
          </w:tcPr>
          <w:p>
            <w:r>
              <w:rPr>
                <w:color w:val="222222"/>
                <w:sz w:val="17"/>
              </w:rPr>
              <w:t>Expert 2 · Earnings-power</w:t>
            </w:r>
          </w:p>
        </w:tc>
        <w:tc>
          <w:tcPr>
            <w:tcW w:type="dxa" w:w="2160"/>
          </w:tcPr>
          <w:p>
            <w:pPr>
              <w:jc w:val="right"/>
            </w:pPr>
            <w:r>
              <w:rPr>
                <w:color w:val="222222"/>
                <w:sz w:val="17"/>
              </w:rPr>
              <w:t>770</w:t>
            </w:r>
          </w:p>
        </w:tc>
        <w:tc>
          <w:tcPr>
            <w:tcW w:type="dxa" w:w="4176"/>
          </w:tcPr>
          <w:p>
            <w:pPr>
              <w:jc w:val="right"/>
            </w:pPr>
            <w:r>
              <w:rPr>
                <w:color w:val="222222"/>
                <w:sz w:val="17"/>
              </w:rPr>
              <w:t>the justified multiple on through-cycle earnings</w:t>
            </w:r>
          </w:p>
        </w:tc>
      </w:tr>
    </w:tbl>
    <w:p>
      <w:pPr>
        <w:spacing w:after="40"/>
      </w:pPr>
    </w:p>
    <w:p>
      <w:pPr>
        <w:spacing w:after="120"/>
      </w:pPr>
      <w:r>
        <w:rPr>
          <w:b w:val="0"/>
          <w:i w:val="0"/>
          <w:color w:val="222222"/>
          <w:sz w:val="21"/>
        </w:rPr>
        <w:t>What the spread measures. The experts cluster near EGP 900 with one outlier — Expert 2's earnings-based EGP 770 — and that gap is the precise measure of how much of Orascom's value rests on the balance sheet rather than the income statement. Value the company on what it earns, and it is roughly fair. Value it on what it owns and the cash it generates, and it is cheap. The difference between those two worlds is the net cash and the separable assets — and whether the OCI combination lets the market re-rate them. The divergence is not a flaw in the analysis; it is an accurate picture of a contested situation, and it is why the central estimate is a distribution, not a point.</w:t>
      </w:r>
    </w:p>
    <w:p>
      <w:r>
        <w:br w:type="page"/>
      </w:r>
    </w:p>
    <w:p>
      <w:pPr>
        <w:keepNext/>
        <w:spacing w:before="280" w:after="80"/>
      </w:pPr>
      <w:r>
        <w:rPr>
          <w:b/>
          <w:color w:val="1B5E5E"/>
          <w:sz w:val="26"/>
        </w:rPr>
        <w:t>About this series</w:t>
      </w:r>
    </w:p>
    <w:p>
      <w:pPr>
        <w:spacing w:after="120"/>
      </w:pPr>
      <w:r>
        <w:rPr>
          <w:b w:val="0"/>
          <w:i w:val="0"/>
          <w:color w:val="222222"/>
          <w:sz w:val="21"/>
        </w:rPr>
        <w:t>Testahil publishes independent, educational valuation studies. Each is an attempt to reason transparently about what a security might be worth, using several independent methods and an explicit, calibrated probability model — and to record those judgments so they can be scored against what actually happens. The studies present distributions and fair-value ranges, not recommendations, ratings, or price targets. The expert personas are analytical lenses, not individuals, and recur across studies so each can accumulate a track record.</w:t>
      </w:r>
    </w:p>
    <w:p>
      <w:pPr>
        <w:keepNext/>
        <w:spacing w:before="280" w:after="80"/>
      </w:pPr>
      <w:r>
        <w:rPr>
          <w:b/>
          <w:color w:val="1B5E5E"/>
          <w:sz w:val="26"/>
        </w:rPr>
        <w:t>Disclosure &amp; Disclaimer</w:t>
      </w:r>
    </w:p>
    <w:p>
      <w:pPr>
        <w:spacing w:after="100"/>
      </w:pPr>
      <w:r>
        <w:rPr>
          <w:b/>
          <w:color w:val="222222"/>
          <w:sz w:val="18"/>
        </w:rPr>
        <w:t xml:space="preserve">Not investment advice. </w:t>
      </w:r>
      <w:r>
        <w:rPr>
          <w:color w:val="666666"/>
          <w:sz w:val="18"/>
        </w:rPr>
        <w:t>This document is educational and informational only. It is not, and must not be relied upon as, investment advice, a recommendation, an offer, or a solicitation to buy or sell any security. It does not constitute a rating or a price target.</w:t>
      </w:r>
    </w:p>
    <w:p>
      <w:pPr>
        <w:spacing w:after="100"/>
      </w:pPr>
      <w:r>
        <w:rPr>
          <w:b/>
          <w:color w:val="222222"/>
          <w:sz w:val="18"/>
        </w:rPr>
        <w:t xml:space="preserve">No licence; no advisory relationship. </w:t>
      </w:r>
      <w:r>
        <w:rPr>
          <w:color w:val="666666"/>
          <w:sz w:val="18"/>
        </w:rPr>
        <w:t>The preparer is not registered or licensed with any securities or financial regulatory authority, including Egypt's Financial Regulatory Authority (FRA), and no advisory, fiduciary, or other relationship is created by this document.</w:t>
      </w:r>
    </w:p>
    <w:p>
      <w:pPr>
        <w:spacing w:after="100"/>
      </w:pPr>
      <w:r>
        <w:rPr>
          <w:b/>
          <w:color w:val="222222"/>
          <w:sz w:val="18"/>
        </w:rPr>
        <w:t xml:space="preserve">Holdings disclosure. </w:t>
      </w:r>
      <w:r>
        <w:rPr>
          <w:color w:val="666666"/>
          <w:sz w:val="18"/>
        </w:rPr>
        <w:t>The preparer may hold, and may in the future take or dispose of, a position in the security discussed.</w:t>
      </w:r>
    </w:p>
    <w:p>
      <w:pPr>
        <w:spacing w:after="100"/>
      </w:pPr>
      <w:r>
        <w:rPr>
          <w:b/>
          <w:color w:val="222222"/>
          <w:sz w:val="18"/>
        </w:rPr>
        <w:t xml:space="preserve">Sources &amp; accuracy. </w:t>
      </w:r>
      <w:r>
        <w:rPr>
          <w:color w:val="666666"/>
          <w:sz w:val="18"/>
        </w:rPr>
        <w:t>Reported financial and operating figures are drawn from Orascom Construction's public disclosure (results announcements and audited financial statements) and other public sources believed reliable but not independently verified. Several balance-sheet, cash-flow, and forward figures are estimates anchored to disclosed totals and are flagged as such. Backlog and new awards are non-IFRS management estimates. Errors and omissions may exist.</w:t>
      </w:r>
    </w:p>
    <w:p>
      <w:pPr>
        <w:spacing w:after="100"/>
      </w:pPr>
      <w:r>
        <w:rPr>
          <w:b/>
          <w:color w:val="222222"/>
          <w:sz w:val="18"/>
        </w:rPr>
        <w:t xml:space="preserve">Forward-looking statements. </w:t>
      </w:r>
      <w:r>
        <w:rPr>
          <w:color w:val="666666"/>
          <w:sz w:val="18"/>
        </w:rPr>
        <w:t>Any statements about the future are estimates subject to risks and uncertainties; actual results may differ materially. The Monte Carlo simulation encodes subjective probability judgments and is a price model, not a forecast.</w:t>
      </w:r>
    </w:p>
    <w:p>
      <w:pPr>
        <w:spacing w:after="100"/>
      </w:pPr>
      <w:r>
        <w:rPr>
          <w:b/>
          <w:color w:val="222222"/>
          <w:sz w:val="18"/>
        </w:rPr>
        <w:t xml:space="preserve">No reliance; your responsibility. </w:t>
      </w:r>
      <w:r>
        <w:rPr>
          <w:color w:val="666666"/>
          <w:sz w:val="18"/>
        </w:rPr>
        <w:t>Do your own research and consult a licensed professional before making any decision. You are solely responsible for your own investment decisions.</w:t>
      </w:r>
    </w:p>
    <w:p>
      <w:pPr>
        <w:spacing w:after="100"/>
      </w:pPr>
      <w:r>
        <w:rPr>
          <w:b/>
          <w:color w:val="222222"/>
          <w:sz w:val="18"/>
        </w:rPr>
        <w:t xml:space="preserve">Currency &amp; figures. </w:t>
      </w:r>
      <w:r>
        <w:rPr>
          <w:color w:val="666666"/>
          <w:sz w:val="18"/>
        </w:rPr>
        <w:t>Orascom Construction reports in US dollars (USD); the EGX line trades in Egyptian pounds (EGP). Per-share figures are converted at the USD/EGP rate stated in the assumptions (≈49.2 as of 29 June 2026) and will change with the exchange rate. Rounding may cause totals to differ slightly.</w:t>
      </w:r>
    </w:p>
    <w:p>
      <w:pPr>
        <w:spacing w:before="280"/>
        <w:jc w:val="center"/>
      </w:pPr>
      <w:r>
        <w:rPr>
          <w:b/>
          <w:color w:val="1B5E5E"/>
          <w:sz w:val="16"/>
        </w:rPr>
        <w:t>TESTAHIL · Independent Valuation Study · Educational Analysis · Orascom Construction PLC (EGX: ORAS) · edition 30-06-2026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