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2,139.4</w:t>
            </w:r>
          </w:p>
        </w:tc>
        <w:tc>
          <w:tcPr>
            <w:tcW w:type="dxa" w:w="1123"/>
          </w:tcPr>
          <w:p>
            <w:pPr>
              <w:spacing w:after="20"/>
            </w:pPr>
            <w:r>
              <w:rPr>
                <w:color w:val="1C3A36"/>
                <w:sz w:val="15"/>
              </w:rPr>
              <w:t>2026-05-19</w:t>
            </w:r>
          </w:p>
        </w:tc>
        <w:tc>
          <w:tcPr>
            <w:tcW w:type="dxa" w:w="5933"/>
          </w:tcPr>
          <w:p>
            <w:pPr>
              <w:spacing w:after="20"/>
            </w:pPr>
            <w:r>
              <w:rPr>
                <w:color w:val="1C3A36"/>
                <w:sz w:val="15"/>
              </w:rPr>
              <w:t>Issued and paid-up capital: 2,139,355,716 shares of EGP 1 par value. CORRECTED 10-Sep-2026. The audited FY2025 statements and the Q1-2026 interim both show 2,140,777,876, and this study divided by that figure -- but the extraordinary general assembly of 19 May 2026 approved reducing the issued capital by CANCELLING the 1,422,160 incentive-scheme shares, taking issued capital from EGP 2,140,777,876 to EGP 2,139,355,716. Both filings this study cited PREDATE that assembly. THE STUDY ALREADY KNEW THE NUMBER: its own earnings-per-share reconciliation divides by a weighted-average 2,139,355,716, described there as issued less the 1,422,160 shares issued not granted, and its FY2024 dividend entry reconciles to EXACTLY EGP 1.00 a share on the same count. One fact under two names, and the valuation was dividing by the one that had ceased to exist four months before the strike</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