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10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87.76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87.76. Discount the hard-currency share of those same cash flows at a hard-currency cost of capital of about 11.3% and the same model produces EGP 81.68 — -37% against today's price, and -7%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28.56 – 137.73</w:t>
            </w:r>
          </w:p>
        </w:tc>
        <w:tc>
          <w:tcPr>
            <w:tcW w:type="dxa" w:w="1037"/>
          </w:tcPr>
          <w:p>
            <w:pPr>
              <w:spacing w:after="20"/>
              <w:jc w:val="right"/>
            </w:pPr>
            <w:r>
              <w:rPr>
                <w:color w:val="1C3A36"/>
                <w:sz w:val="17"/>
              </w:rPr>
              <w:t>87.76</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65.64 – 98.35</w:t>
            </w:r>
          </w:p>
        </w:tc>
        <w:tc>
          <w:tcPr>
            <w:tcW w:type="dxa" w:w="1037"/>
          </w:tcPr>
          <w:p>
            <w:pPr>
              <w:spacing w:after="20"/>
              <w:jc w:val="right"/>
            </w:pPr>
            <w:r>
              <w:rPr>
                <w:color w:val="1C3A36"/>
                <w:sz w:val="17"/>
              </w:rPr>
              <w:t>78.72</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10.7% at a justified 9.0× P/E</w:t>
            </w:r>
          </w:p>
        </w:tc>
        <w:tc>
          <w:tcPr>
            <w:tcW w:type="dxa" w:w="1656"/>
          </w:tcPr>
          <w:p>
            <w:pPr>
              <w:spacing w:after="20"/>
              <w:jc w:val="right"/>
            </w:pPr>
            <w:r>
              <w:rPr>
                <w:color w:val="1C3A36"/>
                <w:sz w:val="17"/>
              </w:rPr>
              <w:t>80.07 – 132.81</w:t>
            </w:r>
          </w:p>
        </w:tc>
        <w:tc>
          <w:tcPr>
            <w:tcW w:type="dxa" w:w="1037"/>
          </w:tcPr>
          <w:p>
            <w:pPr>
              <w:spacing w:after="20"/>
              <w:jc w:val="right"/>
            </w:pPr>
            <w:r>
              <w:rPr>
                <w:color w:val="1C3A36"/>
                <w:sz w:val="17"/>
              </w:rPr>
              <w:t>103.51</w:t>
            </w:r>
          </w:p>
        </w:tc>
        <w:tc>
          <w:tcPr>
            <w:tcW w:type="dxa" w:w="907"/>
          </w:tcPr>
          <w:p>
            <w:pPr>
              <w:spacing w:after="20"/>
              <w:jc w:val="right"/>
            </w:pPr>
            <w:r>
              <w:rPr>
                <w:color w:val="1C3A36"/>
                <w:sz w:val="17"/>
              </w:rPr>
              <w:t>-20%</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28.56 – 137.73</w:t>
            </w:r>
          </w:p>
        </w:tc>
        <w:tc>
          <w:tcPr>
            <w:tcW w:type="dxa" w:w="1037"/>
            <w:shd w:val="clear" w:color="auto" w:fill="F6F1E6"/>
          </w:tcPr>
          <w:p>
            <w:pPr>
              <w:spacing w:after="20"/>
              <w:jc w:val="right"/>
            </w:pPr>
            <w:r>
              <w:rPr>
                <w:b/>
                <w:color w:val="1C3A36"/>
                <w:sz w:val="17"/>
              </w:rPr>
              <w:t>87.76</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85.93</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81.68</w:t>
            </w:r>
          </w:p>
        </w:tc>
        <w:tc>
          <w:tcPr>
            <w:tcW w:type="dxa" w:w="907"/>
          </w:tcPr>
          <w:p>
            <w:pPr>
              <w:spacing w:after="20"/>
              <w:jc w:val="right"/>
            </w:pPr>
            <w:r>
              <w:rPr>
                <w:color w:val="1C3A36"/>
                <w:sz w:val="17"/>
              </w:rPr>
              <w:t>-37%</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33.64</w:t>
            </w:r>
          </w:p>
        </w:tc>
        <w:tc>
          <w:tcPr>
            <w:tcW w:type="dxa" w:w="907"/>
          </w:tcPr>
          <w:p>
            <w:pPr>
              <w:spacing w:after="20"/>
              <w:jc w:val="right"/>
            </w:pPr>
            <w:r>
              <w:rPr>
                <w:color w:val="1C3A36"/>
                <w:sz w:val="17"/>
              </w:rPr>
              <w:t>-74%</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99.13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441,712</w:t>
            </w:r>
          </w:p>
        </w:tc>
        <w:tc>
          <w:tcPr>
            <w:tcW w:type="dxa" w:w="1426"/>
          </w:tcPr>
          <w:p>
            <w:pPr>
              <w:spacing w:after="20"/>
              <w:jc w:val="right"/>
            </w:pPr>
            <w:r>
              <w:rPr>
                <w:color w:val="1C3A36"/>
                <w:sz w:val="17"/>
              </w:rPr>
              <w:t>506,834</w:t>
            </w:r>
          </w:p>
        </w:tc>
        <w:tc>
          <w:tcPr>
            <w:tcW w:type="dxa" w:w="1426"/>
          </w:tcPr>
          <w:p>
            <w:pPr>
              <w:spacing w:after="20"/>
              <w:jc w:val="right"/>
            </w:pPr>
            <w:r>
              <w:rPr>
                <w:color w:val="1C3A36"/>
                <w:sz w:val="17"/>
              </w:rPr>
              <w:t>573,563</w:t>
            </w:r>
          </w:p>
        </w:tc>
        <w:tc>
          <w:tcPr>
            <w:tcW w:type="dxa" w:w="1426"/>
          </w:tcPr>
          <w:p>
            <w:pPr>
              <w:spacing w:after="20"/>
              <w:jc w:val="right"/>
            </w:pPr>
            <w:r>
              <w:rPr>
                <w:color w:val="1C3A36"/>
                <w:sz w:val="17"/>
              </w:rPr>
              <w:t>643,070</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216,814</w:t>
            </w:r>
          </w:p>
        </w:tc>
        <w:tc>
          <w:tcPr>
            <w:tcW w:type="dxa" w:w="1426"/>
          </w:tcPr>
          <w:p>
            <w:pPr>
              <w:spacing w:after="20"/>
              <w:jc w:val="right"/>
            </w:pPr>
            <w:r>
              <w:rPr>
                <w:color w:val="1C3A36"/>
                <w:sz w:val="17"/>
              </w:rPr>
              <w:t>250,021</w:t>
            </w:r>
          </w:p>
        </w:tc>
        <w:tc>
          <w:tcPr>
            <w:tcW w:type="dxa" w:w="1426"/>
          </w:tcPr>
          <w:p>
            <w:pPr>
              <w:spacing w:after="20"/>
              <w:jc w:val="right"/>
            </w:pPr>
            <w:r>
              <w:rPr>
                <w:color w:val="1C3A36"/>
                <w:sz w:val="17"/>
              </w:rPr>
              <w:t>282,477</w:t>
            </w:r>
          </w:p>
        </w:tc>
        <w:tc>
          <w:tcPr>
            <w:tcW w:type="dxa" w:w="1426"/>
          </w:tcPr>
          <w:p>
            <w:pPr>
              <w:spacing w:after="20"/>
              <w:jc w:val="right"/>
            </w:pPr>
            <w:r>
              <w:rPr>
                <w:color w:val="1C3A36"/>
                <w:sz w:val="17"/>
              </w:rPr>
              <w:t>314,547</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224,898</w:t>
            </w:r>
          </w:p>
        </w:tc>
        <w:tc>
          <w:tcPr>
            <w:tcW w:type="dxa" w:w="1426"/>
          </w:tcPr>
          <w:p>
            <w:pPr>
              <w:spacing w:after="20"/>
              <w:jc w:val="right"/>
            </w:pPr>
            <w:r>
              <w:rPr>
                <w:color w:val="1C3A36"/>
                <w:sz w:val="17"/>
              </w:rPr>
              <w:t>256,813</w:t>
            </w:r>
          </w:p>
        </w:tc>
        <w:tc>
          <w:tcPr>
            <w:tcW w:type="dxa" w:w="1426"/>
          </w:tcPr>
          <w:p>
            <w:pPr>
              <w:spacing w:after="20"/>
              <w:jc w:val="right"/>
            </w:pPr>
            <w:r>
              <w:rPr>
                <w:color w:val="1C3A36"/>
                <w:sz w:val="17"/>
              </w:rPr>
              <w:t>291,086</w:t>
            </w:r>
          </w:p>
        </w:tc>
        <w:tc>
          <w:tcPr>
            <w:tcW w:type="dxa" w:w="1426"/>
          </w:tcPr>
          <w:p>
            <w:pPr>
              <w:spacing w:after="20"/>
              <w:jc w:val="right"/>
            </w:pPr>
            <w:r>
              <w:rPr>
                <w:color w:val="1C3A36"/>
                <w:sz w:val="17"/>
              </w:rPr>
              <w:t>328,524</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46,512</w:t>
            </w:r>
          </w:p>
        </w:tc>
        <w:tc>
          <w:tcPr>
            <w:tcW w:type="dxa" w:w="1426"/>
          </w:tcPr>
          <w:p>
            <w:pPr>
              <w:spacing w:after="20"/>
              <w:jc w:val="right"/>
            </w:pPr>
            <w:r>
              <w:rPr>
                <w:color w:val="1C3A36"/>
                <w:sz w:val="17"/>
              </w:rPr>
              <w:t>54,041</w:t>
            </w:r>
          </w:p>
        </w:tc>
        <w:tc>
          <w:tcPr>
            <w:tcW w:type="dxa" w:w="1426"/>
          </w:tcPr>
          <w:p>
            <w:pPr>
              <w:spacing w:after="20"/>
              <w:jc w:val="right"/>
            </w:pPr>
            <w:r>
              <w:rPr>
                <w:color w:val="1C3A36"/>
                <w:sz w:val="17"/>
              </w:rPr>
              <w:t>61,508</w:t>
            </w:r>
          </w:p>
        </w:tc>
        <w:tc>
          <w:tcPr>
            <w:tcW w:type="dxa" w:w="1426"/>
          </w:tcPr>
          <w:p>
            <w:pPr>
              <w:spacing w:after="20"/>
              <w:jc w:val="right"/>
            </w:pPr>
            <w:r>
              <w:rPr>
                <w:color w:val="1C3A36"/>
                <w:sz w:val="17"/>
              </w:rPr>
              <w:t>68,967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41,785</w:t>
            </w:r>
          </w:p>
        </w:tc>
        <w:tc>
          <w:tcPr>
            <w:tcW w:type="dxa" w:w="1426"/>
          </w:tcPr>
          <w:p>
            <w:pPr>
              <w:spacing w:after="20"/>
              <w:jc w:val="right"/>
            </w:pPr>
            <w:r>
              <w:rPr>
                <w:color w:val="1C3A36"/>
                <w:sz w:val="17"/>
              </w:rPr>
              <w:t>48,618</w:t>
            </w:r>
          </w:p>
        </w:tc>
        <w:tc>
          <w:tcPr>
            <w:tcW w:type="dxa" w:w="1426"/>
          </w:tcPr>
          <w:p>
            <w:pPr>
              <w:spacing w:after="20"/>
              <w:jc w:val="right"/>
            </w:pPr>
            <w:r>
              <w:rPr>
                <w:color w:val="1C3A36"/>
                <w:sz w:val="17"/>
              </w:rPr>
              <w:t>55,371</w:t>
            </w:r>
          </w:p>
        </w:tc>
        <w:tc>
          <w:tcPr>
            <w:tcW w:type="dxa" w:w="1426"/>
          </w:tcPr>
          <w:p>
            <w:pPr>
              <w:spacing w:after="20"/>
              <w:jc w:val="right"/>
            </w:pPr>
            <w:r>
              <w:rPr>
                <w:color w:val="1C3A36"/>
                <w:sz w:val="17"/>
              </w:rPr>
              <w:t>62,086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31,548</w:t>
            </w:r>
          </w:p>
        </w:tc>
        <w:tc>
          <w:tcPr>
            <w:tcW w:type="dxa" w:w="1426"/>
          </w:tcPr>
          <w:p>
            <w:pPr>
              <w:spacing w:after="20"/>
              <w:jc w:val="right"/>
            </w:pPr>
            <w:r>
              <w:rPr>
                <w:color w:val="1C3A36"/>
                <w:sz w:val="17"/>
              </w:rPr>
              <w:t>36,706</w:t>
            </w:r>
          </w:p>
        </w:tc>
        <w:tc>
          <w:tcPr>
            <w:tcW w:type="dxa" w:w="1426"/>
          </w:tcPr>
          <w:p>
            <w:pPr>
              <w:spacing w:after="20"/>
              <w:jc w:val="right"/>
            </w:pPr>
            <w:r>
              <w:rPr>
                <w:color w:val="1C3A36"/>
                <w:sz w:val="17"/>
              </w:rPr>
              <w:t>41,805</w:t>
            </w:r>
          </w:p>
        </w:tc>
        <w:tc>
          <w:tcPr>
            <w:tcW w:type="dxa" w:w="1426"/>
          </w:tcPr>
          <w:p>
            <w:pPr>
              <w:spacing w:after="20"/>
              <w:jc w:val="right"/>
            </w:pPr>
            <w:r>
              <w:rPr>
                <w:color w:val="1C3A36"/>
                <w:sz w:val="17"/>
              </w:rPr>
              <w:t>46,875</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(15,788)</w:t>
            </w:r>
          </w:p>
        </w:tc>
        <w:tc>
          <w:tcPr>
            <w:tcW w:type="dxa" w:w="1426"/>
          </w:tcPr>
          <w:p>
            <w:pPr>
              <w:spacing w:after="20"/>
              <w:jc w:val="right"/>
            </w:pPr>
            <w:r>
              <w:rPr>
                <w:color w:val="1C3A36"/>
                <w:sz w:val="17"/>
              </w:rPr>
              <w:t>(18,115)</w:t>
            </w:r>
          </w:p>
        </w:tc>
        <w:tc>
          <w:tcPr>
            <w:tcW w:type="dxa" w:w="1426"/>
          </w:tcPr>
          <w:p>
            <w:pPr>
              <w:spacing w:after="20"/>
              <w:jc w:val="right"/>
            </w:pPr>
            <w:r>
              <w:rPr>
                <w:color w:val="1C3A36"/>
                <w:sz w:val="17"/>
              </w:rPr>
              <w:t>(20,500)</w:t>
            </w:r>
          </w:p>
        </w:tc>
        <w:tc>
          <w:tcPr>
            <w:tcW w:type="dxa" w:w="1426"/>
          </w:tcPr>
          <w:p>
            <w:pPr>
              <w:spacing w:after="20"/>
              <w:jc w:val="right"/>
            </w:pPr>
            <w:r>
              <w:rPr>
                <w:color w:val="1C3A36"/>
                <w:sz w:val="17"/>
              </w:rPr>
              <w:t>(22,985)</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(14,068)</w:t>
            </w:r>
          </w:p>
        </w:tc>
        <w:tc>
          <w:tcPr>
            <w:tcW w:type="dxa" w:w="1426"/>
          </w:tcPr>
          <w:p>
            <w:pPr>
              <w:spacing w:after="20"/>
              <w:jc w:val="right"/>
            </w:pPr>
            <w:r>
              <w:rPr>
                <w:color w:val="1C3A36"/>
                <w:sz w:val="17"/>
              </w:rPr>
              <w:t>(12,809)</w:t>
            </w:r>
          </w:p>
        </w:tc>
        <w:tc>
          <w:tcPr>
            <w:tcW w:type="dxa" w:w="1426"/>
          </w:tcPr>
          <w:p>
            <w:pPr>
              <w:spacing w:after="20"/>
              <w:jc w:val="right"/>
            </w:pPr>
            <w:r>
              <w:rPr>
                <w:color w:val="1C3A36"/>
                <w:sz w:val="17"/>
              </w:rPr>
              <w:t>(13,126)</w:t>
            </w:r>
          </w:p>
        </w:tc>
        <w:tc>
          <w:tcPr>
            <w:tcW w:type="dxa" w:w="1426"/>
          </w:tcPr>
          <w:p>
            <w:pPr>
              <w:spacing w:after="20"/>
              <w:jc w:val="right"/>
            </w:pPr>
            <w:r>
              <w:rPr>
                <w:color w:val="1C3A36"/>
                <w:sz w:val="17"/>
              </w:rPr>
              <w:t>(13,672)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6,419</w:t>
            </w:r>
          </w:p>
        </w:tc>
        <w:tc>
          <w:tcPr>
            <w:tcW w:type="dxa" w:w="1426"/>
            <w:shd w:val="clear" w:color="auto" w:fill="F6F1E6"/>
          </w:tcPr>
          <w:p>
            <w:pPr>
              <w:spacing w:after="20"/>
              <w:jc w:val="right"/>
            </w:pPr>
            <w:r>
              <w:rPr>
                <w:b/>
                <w:color w:val="1C3A36"/>
                <w:sz w:val="17"/>
              </w:rPr>
              <w:t>11,205</w:t>
            </w:r>
          </w:p>
        </w:tc>
        <w:tc>
          <w:tcPr>
            <w:tcW w:type="dxa" w:w="1426"/>
            <w:shd w:val="clear" w:color="auto" w:fill="F6F1E6"/>
          </w:tcPr>
          <w:p>
            <w:pPr>
              <w:spacing w:after="20"/>
              <w:jc w:val="right"/>
            </w:pPr>
            <w:r>
              <w:rPr>
                <w:b/>
                <w:color w:val="1C3A36"/>
                <w:sz w:val="17"/>
              </w:rPr>
              <w:t>14,316</w:t>
            </w:r>
          </w:p>
        </w:tc>
        <w:tc>
          <w:tcPr>
            <w:tcW w:type="dxa" w:w="1426"/>
            <w:shd w:val="clear" w:color="auto" w:fill="F6F1E6"/>
          </w:tcPr>
          <w:p>
            <w:pPr>
              <w:spacing w:after="20"/>
              <w:jc w:val="right"/>
            </w:pPr>
            <w:r>
              <w:rPr>
                <w:b/>
                <w:color w:val="1C3A36"/>
                <w:sz w:val="17"/>
              </w:rPr>
              <w:t>17,099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4,124</w:t>
            </w:r>
          </w:p>
        </w:tc>
        <w:tc>
          <w:tcPr>
            <w:tcW w:type="dxa" w:w="1426"/>
            <w:shd w:val="clear" w:color="auto" w:fill="F6F1E6"/>
          </w:tcPr>
          <w:p>
            <w:pPr>
              <w:spacing w:after="20"/>
              <w:jc w:val="right"/>
            </w:pPr>
            <w:r>
              <w:rPr>
                <w:b/>
                <w:color w:val="1C3A36"/>
                <w:sz w:val="17"/>
              </w:rPr>
              <w:t>6,013</w:t>
            </w:r>
          </w:p>
        </w:tc>
        <w:tc>
          <w:tcPr>
            <w:tcW w:type="dxa" w:w="1426"/>
            <w:shd w:val="clear" w:color="auto" w:fill="F6F1E6"/>
          </w:tcPr>
          <w:p>
            <w:pPr>
              <w:spacing w:after="20"/>
              <w:jc w:val="right"/>
            </w:pPr>
            <w:r>
              <w:rPr>
                <w:b/>
                <w:color w:val="1C3A36"/>
                <w:sz w:val="17"/>
              </w:rPr>
              <w:t>6,553</w:t>
            </w:r>
          </w:p>
        </w:tc>
        <w:tc>
          <w:tcPr>
            <w:tcW w:type="dxa" w:w="1426"/>
            <w:shd w:val="clear" w:color="auto" w:fill="F6F1E6"/>
          </w:tcPr>
          <w:p>
            <w:pPr>
              <w:spacing w:after="20"/>
              <w:jc w:val="right"/>
            </w:pPr>
            <w:r>
              <w:rPr>
                <w:b/>
                <w:color w:val="1C3A36"/>
                <w:sz w:val="17"/>
              </w:rPr>
              <w:t>6,786</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441,712</w:t>
            </w:r>
          </w:p>
        </w:tc>
        <w:tc>
          <w:tcPr>
            <w:tcW w:type="dxa" w:w="893"/>
          </w:tcPr>
          <w:p>
            <w:pPr>
              <w:spacing w:after="20"/>
              <w:jc w:val="right"/>
            </w:pPr>
            <w:r>
              <w:rPr>
                <w:color w:val="1C3A36"/>
                <w:sz w:val="15"/>
              </w:rPr>
              <w:t>506,834</w:t>
            </w:r>
          </w:p>
        </w:tc>
        <w:tc>
          <w:tcPr>
            <w:tcW w:type="dxa" w:w="893"/>
          </w:tcPr>
          <w:p>
            <w:pPr>
              <w:spacing w:after="20"/>
              <w:jc w:val="right"/>
            </w:pPr>
            <w:r>
              <w:rPr>
                <w:color w:val="1C3A36"/>
                <w:sz w:val="15"/>
              </w:rPr>
              <w:t>573,563</w:t>
            </w:r>
          </w:p>
        </w:tc>
        <w:tc>
          <w:tcPr>
            <w:tcW w:type="dxa" w:w="893"/>
          </w:tcPr>
          <w:p>
            <w:pPr>
              <w:spacing w:after="20"/>
              <w:jc w:val="right"/>
            </w:pPr>
            <w:r>
              <w:rPr>
                <w:color w:val="1C3A36"/>
                <w:sz w:val="15"/>
              </w:rPr>
              <w:t>643,070</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46,512</w:t>
            </w:r>
          </w:p>
        </w:tc>
        <w:tc>
          <w:tcPr>
            <w:tcW w:type="dxa" w:w="893"/>
          </w:tcPr>
          <w:p>
            <w:pPr>
              <w:spacing w:after="20"/>
              <w:jc w:val="right"/>
            </w:pPr>
            <w:r>
              <w:rPr>
                <w:color w:val="1C3A36"/>
                <w:sz w:val="15"/>
              </w:rPr>
              <w:t>54,041</w:t>
            </w:r>
          </w:p>
        </w:tc>
        <w:tc>
          <w:tcPr>
            <w:tcW w:type="dxa" w:w="893"/>
          </w:tcPr>
          <w:p>
            <w:pPr>
              <w:spacing w:after="20"/>
              <w:jc w:val="right"/>
            </w:pPr>
            <w:r>
              <w:rPr>
                <w:color w:val="1C3A36"/>
                <w:sz w:val="15"/>
              </w:rPr>
              <w:t>61,508</w:t>
            </w:r>
          </w:p>
        </w:tc>
        <w:tc>
          <w:tcPr>
            <w:tcW w:type="dxa" w:w="893"/>
          </w:tcPr>
          <w:p>
            <w:pPr>
              <w:spacing w:after="20"/>
              <w:jc w:val="right"/>
            </w:pPr>
            <w:r>
              <w:rPr>
                <w:color w:val="1C3A36"/>
                <w:sz w:val="15"/>
              </w:rPr>
              <w:t>68,967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-10,237</w:t>
            </w:r>
          </w:p>
        </w:tc>
        <w:tc>
          <w:tcPr>
            <w:tcW w:type="dxa" w:w="893"/>
          </w:tcPr>
          <w:p>
            <w:pPr>
              <w:spacing w:after="20"/>
              <w:jc w:val="right"/>
            </w:pPr>
            <w:r>
              <w:rPr>
                <w:color w:val="1C3A36"/>
                <w:sz w:val="15"/>
              </w:rPr>
              <w:t>-11,911</w:t>
            </w:r>
          </w:p>
        </w:tc>
        <w:tc>
          <w:tcPr>
            <w:tcW w:type="dxa" w:w="893"/>
          </w:tcPr>
          <w:p>
            <w:pPr>
              <w:spacing w:after="20"/>
              <w:jc w:val="right"/>
            </w:pPr>
            <w:r>
              <w:rPr>
                <w:color w:val="1C3A36"/>
                <w:sz w:val="15"/>
              </w:rPr>
              <w:t>-13,566</w:t>
            </w:r>
          </w:p>
        </w:tc>
        <w:tc>
          <w:tcPr>
            <w:tcW w:type="dxa" w:w="893"/>
          </w:tcPr>
          <w:p>
            <w:pPr>
              <w:spacing w:after="20"/>
              <w:jc w:val="right"/>
            </w:pPr>
            <w:r>
              <w:rPr>
                <w:color w:val="1C3A36"/>
                <w:sz w:val="15"/>
              </w:rPr>
              <w:t>-15,211</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-15,788</w:t>
            </w:r>
          </w:p>
        </w:tc>
        <w:tc>
          <w:tcPr>
            <w:tcW w:type="dxa" w:w="893"/>
          </w:tcPr>
          <w:p>
            <w:pPr>
              <w:spacing w:after="20"/>
              <w:jc w:val="right"/>
            </w:pPr>
            <w:r>
              <w:rPr>
                <w:color w:val="1C3A36"/>
                <w:sz w:val="15"/>
              </w:rPr>
              <w:t>-18,115</w:t>
            </w:r>
          </w:p>
        </w:tc>
        <w:tc>
          <w:tcPr>
            <w:tcW w:type="dxa" w:w="893"/>
          </w:tcPr>
          <w:p>
            <w:pPr>
              <w:spacing w:after="20"/>
              <w:jc w:val="right"/>
            </w:pPr>
            <w:r>
              <w:rPr>
                <w:color w:val="1C3A36"/>
                <w:sz w:val="15"/>
              </w:rPr>
              <w:t>-20,500</w:t>
            </w:r>
          </w:p>
        </w:tc>
        <w:tc>
          <w:tcPr>
            <w:tcW w:type="dxa" w:w="893"/>
          </w:tcPr>
          <w:p>
            <w:pPr>
              <w:spacing w:after="20"/>
              <w:jc w:val="right"/>
            </w:pPr>
            <w:r>
              <w:rPr>
                <w:color w:val="1C3A36"/>
                <w:sz w:val="15"/>
              </w:rPr>
              <w:t>-22,985</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-14,068</w:t>
            </w:r>
          </w:p>
        </w:tc>
        <w:tc>
          <w:tcPr>
            <w:tcW w:type="dxa" w:w="893"/>
          </w:tcPr>
          <w:p>
            <w:pPr>
              <w:spacing w:after="20"/>
              <w:jc w:val="right"/>
            </w:pPr>
            <w:r>
              <w:rPr>
                <w:color w:val="1C3A36"/>
                <w:sz w:val="15"/>
              </w:rPr>
              <w:t>-12,809</w:t>
            </w:r>
          </w:p>
        </w:tc>
        <w:tc>
          <w:tcPr>
            <w:tcW w:type="dxa" w:w="893"/>
          </w:tcPr>
          <w:p>
            <w:pPr>
              <w:spacing w:after="20"/>
              <w:jc w:val="right"/>
            </w:pPr>
            <w:r>
              <w:rPr>
                <w:color w:val="1C3A36"/>
                <w:sz w:val="15"/>
              </w:rPr>
              <w:t>-13,126</w:t>
            </w:r>
          </w:p>
        </w:tc>
        <w:tc>
          <w:tcPr>
            <w:tcW w:type="dxa" w:w="893"/>
          </w:tcPr>
          <w:p>
            <w:pPr>
              <w:spacing w:after="20"/>
              <w:jc w:val="right"/>
            </w:pPr>
            <w:r>
              <w:rPr>
                <w:color w:val="1C3A36"/>
                <w:sz w:val="15"/>
              </w:rPr>
              <w:t>-13,672</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3,961</w:t>
            </w:r>
          </w:p>
        </w:tc>
        <w:tc>
          <w:tcPr>
            <w:tcW w:type="dxa" w:w="893"/>
          </w:tcPr>
          <w:p>
            <w:pPr>
              <w:spacing w:after="20"/>
              <w:jc w:val="right"/>
            </w:pPr>
            <w:r>
              <w:rPr>
                <w:color w:val="1C3A36"/>
                <w:sz w:val="15"/>
              </w:rPr>
              <w:t>4,726</w:t>
            </w:r>
          </w:p>
        </w:tc>
        <w:tc>
          <w:tcPr>
            <w:tcW w:type="dxa" w:w="893"/>
          </w:tcPr>
          <w:p>
            <w:pPr>
              <w:spacing w:after="20"/>
              <w:jc w:val="right"/>
            </w:pPr>
            <w:r>
              <w:rPr>
                <w:color w:val="1C3A36"/>
                <w:sz w:val="15"/>
              </w:rPr>
              <w:t>5,423</w:t>
            </w:r>
          </w:p>
        </w:tc>
        <w:tc>
          <w:tcPr>
            <w:tcW w:type="dxa" w:w="893"/>
          </w:tcPr>
          <w:p>
            <w:pPr>
              <w:spacing w:after="20"/>
              <w:jc w:val="right"/>
            </w:pPr>
            <w:r>
              <w:rPr>
                <w:color w:val="1C3A36"/>
                <w:sz w:val="15"/>
              </w:rPr>
              <w:t>6,137</w:t>
            </w:r>
          </w:p>
        </w:tc>
        <w:tc>
          <w:tcPr>
            <w:tcW w:type="dxa" w:w="893"/>
          </w:tcPr>
          <w:p>
            <w:pPr>
              <w:spacing w:after="20"/>
              <w:jc w:val="right"/>
            </w:pPr>
            <w:r>
              <w:rPr>
                <w:color w:val="1C3A36"/>
                <w:sz w:val="15"/>
              </w:rPr>
              <w:t>6,881</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6,419</w:t>
            </w:r>
          </w:p>
        </w:tc>
        <w:tc>
          <w:tcPr>
            <w:tcW w:type="dxa" w:w="893"/>
            <w:shd w:val="clear" w:color="auto" w:fill="F6F1E6"/>
          </w:tcPr>
          <w:p>
            <w:pPr>
              <w:spacing w:after="20"/>
              <w:jc w:val="right"/>
            </w:pPr>
            <w:r>
              <w:rPr>
                <w:b/>
                <w:color w:val="1C3A36"/>
                <w:sz w:val="15"/>
              </w:rPr>
              <w:t>11,205</w:t>
            </w:r>
          </w:p>
        </w:tc>
        <w:tc>
          <w:tcPr>
            <w:tcW w:type="dxa" w:w="893"/>
            <w:shd w:val="clear" w:color="auto" w:fill="F6F1E6"/>
          </w:tcPr>
          <w:p>
            <w:pPr>
              <w:spacing w:after="20"/>
              <w:jc w:val="right"/>
            </w:pPr>
            <w:r>
              <w:rPr>
                <w:b/>
                <w:color w:val="1C3A36"/>
                <w:sz w:val="15"/>
              </w:rPr>
              <w:t>14,316</w:t>
            </w:r>
          </w:p>
        </w:tc>
        <w:tc>
          <w:tcPr>
            <w:tcW w:type="dxa" w:w="893"/>
            <w:shd w:val="clear" w:color="auto" w:fill="F6F1E6"/>
          </w:tcPr>
          <w:p>
            <w:pPr>
              <w:spacing w:after="20"/>
              <w:jc w:val="right"/>
            </w:pPr>
            <w:r>
              <w:rPr>
                <w:b/>
                <w:color w:val="1C3A36"/>
                <w:sz w:val="15"/>
              </w:rPr>
              <w:t>17,099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4,124</w:t>
            </w:r>
          </w:p>
        </w:tc>
        <w:tc>
          <w:tcPr>
            <w:tcW w:type="dxa" w:w="893"/>
          </w:tcPr>
          <w:p>
            <w:pPr>
              <w:spacing w:after="20"/>
              <w:jc w:val="right"/>
            </w:pPr>
            <w:r>
              <w:rPr>
                <w:color w:val="1C3A36"/>
                <w:sz w:val="15"/>
              </w:rPr>
              <w:t>6,013</w:t>
            </w:r>
          </w:p>
        </w:tc>
        <w:tc>
          <w:tcPr>
            <w:tcW w:type="dxa" w:w="893"/>
          </w:tcPr>
          <w:p>
            <w:pPr>
              <w:spacing w:after="20"/>
              <w:jc w:val="right"/>
            </w:pPr>
            <w:r>
              <w:rPr>
                <w:color w:val="1C3A36"/>
                <w:sz w:val="15"/>
              </w:rPr>
              <w:t>6,553</w:t>
            </w:r>
          </w:p>
        </w:tc>
        <w:tc>
          <w:tcPr>
            <w:tcW w:type="dxa" w:w="893"/>
          </w:tcPr>
          <w:p>
            <w:pPr>
              <w:spacing w:after="20"/>
              <w:jc w:val="right"/>
            </w:pPr>
            <w:r>
              <w:rPr>
                <w:color w:val="1C3A36"/>
                <w:sz w:val="15"/>
              </w:rPr>
              <w:t>6,786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23,224</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492,768</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195,560</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89.39%</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218,783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-19,832</w:t>
            </w:r>
          </w:p>
        </w:tc>
      </w:tr>
      <w:tr>
        <w:tc>
          <w:tcPr>
            <w:tcW w:type="dxa" w:w="5184"/>
          </w:tcPr>
          <w:p>
            <w:pPr>
              <w:spacing w:after="20"/>
            </w:pPr>
            <w:r>
              <w:rPr>
                <w:color w:val="1C3A36"/>
                <w:sz w:val="15"/>
              </w:rPr>
              <w:t>Less: employees' statutory share of profit</w:t>
            </w:r>
          </w:p>
        </w:tc>
        <w:tc>
          <w:tcPr>
            <w:tcW w:type="dxa" w:w="1584"/>
          </w:tcPr>
          <w:p>
            <w:pPr>
              <w:spacing w:after="20"/>
              <w:jc w:val="right"/>
            </w:pPr>
            <w:r>
              <w:rPr>
                <w:color w:val="1C3A36"/>
                <w:sz w:val="15"/>
              </w:rPr>
              <w:t>-22,575</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162,574</w:t>
            </w:r>
          </w:p>
        </w:tc>
      </w:tr>
      <w:tr>
        <w:tc>
          <w:tcPr>
            <w:tcW w:type="dxa" w:w="5184"/>
          </w:tcPr>
          <w:p>
            <w:pPr>
              <w:spacing w:after="20"/>
            </w:pPr>
            <w:r>
              <w:rPr>
                <w:color w:val="1C3A36"/>
                <w:sz w:val="15"/>
              </w:rPr>
              <w:t>Shares in issue (mn)</w:t>
            </w:r>
          </w:p>
        </w:tc>
        <w:tc>
          <w:tcPr>
            <w:tcW w:type="dxa" w:w="1584"/>
          </w:tcPr>
          <w:p>
            <w:pPr>
              <w:spacing w:after="20"/>
              <w:jc w:val="right"/>
            </w:pPr>
            <w:r>
              <w:rPr>
                <w:color w:val="1C3A36"/>
                <w:sz w:val="15"/>
              </w:rPr>
              <w:t>2,141</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75.94</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87.76</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103.96</w:t>
            </w:r>
          </w:p>
        </w:tc>
        <w:tc>
          <w:tcPr>
            <w:tcW w:type="dxa" w:w="1483"/>
          </w:tcPr>
          <w:p>
            <w:pPr>
              <w:spacing w:after="20"/>
              <w:jc w:val="right"/>
            </w:pPr>
            <w:r>
              <w:rPr>
                <w:color w:val="1C3A36"/>
                <w:sz w:val="15"/>
              </w:rPr>
              <w:t>116.54</w:t>
            </w:r>
          </w:p>
        </w:tc>
        <w:tc>
          <w:tcPr>
            <w:tcW w:type="dxa" w:w="1483"/>
          </w:tcPr>
          <w:p>
            <w:pPr>
              <w:spacing w:after="20"/>
              <w:jc w:val="right"/>
            </w:pPr>
            <w:r>
              <w:rPr>
                <w:color w:val="1C3A36"/>
                <w:sz w:val="15"/>
              </w:rPr>
              <w:t>134.93</w:t>
            </w:r>
          </w:p>
        </w:tc>
        <w:tc>
          <w:tcPr>
            <w:tcW w:type="dxa" w:w="1483"/>
          </w:tcPr>
          <w:p>
            <w:pPr>
              <w:spacing w:after="20"/>
              <w:jc w:val="right"/>
            </w:pPr>
            <w:r>
              <w:rPr>
                <w:color w:val="1C3A36"/>
                <w:sz w:val="15"/>
              </w:rPr>
              <w:t>164.55</w:t>
            </w:r>
          </w:p>
        </w:tc>
        <w:tc>
          <w:tcPr>
            <w:tcW w:type="dxa" w:w="1483"/>
          </w:tcPr>
          <w:p>
            <w:pPr>
              <w:spacing w:after="20"/>
              <w:jc w:val="right"/>
            </w:pPr>
            <w:r>
              <w:rPr>
                <w:color w:val="1C3A36"/>
                <w:sz w:val="15"/>
              </w:rPr>
              <w:t>220.70</w:t>
            </w:r>
          </w:p>
        </w:tc>
      </w:tr>
      <w:tr>
        <w:tc>
          <w:tcPr>
            <w:tcW w:type="dxa" w:w="2232"/>
          </w:tcPr>
          <w:p>
            <w:pPr>
              <w:spacing w:after="20"/>
            </w:pPr>
            <w:r>
              <w:rPr>
                <w:color w:val="1C3A36"/>
                <w:sz w:val="15"/>
              </w:rPr>
              <w:t>14.34%</w:t>
            </w:r>
          </w:p>
        </w:tc>
        <w:tc>
          <w:tcPr>
            <w:tcW w:type="dxa" w:w="1483"/>
          </w:tcPr>
          <w:p>
            <w:pPr>
              <w:spacing w:after="20"/>
              <w:jc w:val="right"/>
            </w:pPr>
            <w:r>
              <w:rPr>
                <w:color w:val="1C3A36"/>
                <w:sz w:val="15"/>
              </w:rPr>
              <w:t>87.66</w:t>
            </w:r>
          </w:p>
        </w:tc>
        <w:tc>
          <w:tcPr>
            <w:tcW w:type="dxa" w:w="1483"/>
          </w:tcPr>
          <w:p>
            <w:pPr>
              <w:spacing w:after="20"/>
              <w:jc w:val="right"/>
            </w:pPr>
            <w:r>
              <w:rPr>
                <w:color w:val="1C3A36"/>
                <w:sz w:val="15"/>
              </w:rPr>
              <w:t>95.75</w:t>
            </w:r>
          </w:p>
        </w:tc>
        <w:tc>
          <w:tcPr>
            <w:tcW w:type="dxa" w:w="1483"/>
          </w:tcPr>
          <w:p>
            <w:pPr>
              <w:spacing w:after="20"/>
              <w:jc w:val="right"/>
            </w:pPr>
            <w:r>
              <w:rPr>
                <w:color w:val="1C3A36"/>
                <w:sz w:val="15"/>
              </w:rPr>
              <w:t>106.80</w:t>
            </w:r>
          </w:p>
        </w:tc>
        <w:tc>
          <w:tcPr>
            <w:tcW w:type="dxa" w:w="1483"/>
          </w:tcPr>
          <w:p>
            <w:pPr>
              <w:spacing w:after="20"/>
              <w:jc w:val="right"/>
            </w:pPr>
            <w:r>
              <w:rPr>
                <w:color w:val="1C3A36"/>
                <w:sz w:val="15"/>
              </w:rPr>
              <w:t>122.93</w:t>
            </w:r>
          </w:p>
        </w:tc>
        <w:tc>
          <w:tcPr>
            <w:tcW w:type="dxa" w:w="1483"/>
          </w:tcPr>
          <w:p>
            <w:pPr>
              <w:spacing w:after="20"/>
              <w:jc w:val="right"/>
            </w:pPr>
            <w:r>
              <w:rPr>
                <w:color w:val="1C3A36"/>
                <w:sz w:val="15"/>
              </w:rPr>
              <w:t>148.89</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75.36</w:t>
            </w:r>
          </w:p>
        </w:tc>
        <w:tc>
          <w:tcPr>
            <w:tcW w:type="dxa" w:w="1483"/>
            <w:shd w:val="clear" w:color="auto" w:fill="F6F1E6"/>
          </w:tcPr>
          <w:p>
            <w:pPr>
              <w:spacing w:after="20"/>
              <w:jc w:val="right"/>
            </w:pPr>
            <w:r>
              <w:rPr>
                <w:b/>
                <w:color w:val="1C3A36"/>
                <w:sz w:val="15"/>
              </w:rPr>
              <w:t>80.75</w:t>
            </w:r>
          </w:p>
        </w:tc>
        <w:tc>
          <w:tcPr>
            <w:tcW w:type="dxa" w:w="1483"/>
            <w:shd w:val="clear" w:color="auto" w:fill="F6F1E6"/>
          </w:tcPr>
          <w:p>
            <w:pPr>
              <w:spacing w:after="20"/>
              <w:jc w:val="right"/>
            </w:pPr>
            <w:r>
              <w:rPr>
                <w:b/>
                <w:color w:val="1C3A36"/>
                <w:sz w:val="15"/>
              </w:rPr>
              <w:t>87.76</w:t>
            </w:r>
          </w:p>
        </w:tc>
        <w:tc>
          <w:tcPr>
            <w:tcW w:type="dxa" w:w="1483"/>
            <w:shd w:val="clear" w:color="auto" w:fill="F6F1E6"/>
          </w:tcPr>
          <w:p>
            <w:pPr>
              <w:spacing w:after="20"/>
              <w:jc w:val="right"/>
            </w:pPr>
            <w:r>
              <w:rPr>
                <w:b/>
                <w:color w:val="1C3A36"/>
                <w:sz w:val="15"/>
              </w:rPr>
              <w:t>97.33</w:t>
            </w:r>
          </w:p>
        </w:tc>
        <w:tc>
          <w:tcPr>
            <w:tcW w:type="dxa" w:w="1483"/>
            <w:shd w:val="clear" w:color="auto" w:fill="F6F1E6"/>
          </w:tcPr>
          <w:p>
            <w:pPr>
              <w:spacing w:after="20"/>
              <w:jc w:val="right"/>
            </w:pPr>
            <w:r>
              <w:rPr>
                <w:b/>
                <w:color w:val="1C3A36"/>
                <w:sz w:val="15"/>
              </w:rPr>
              <w:t>111.26</w:t>
            </w:r>
          </w:p>
        </w:tc>
      </w:tr>
      <w:tr>
        <w:tc>
          <w:tcPr>
            <w:tcW w:type="dxa" w:w="2232"/>
          </w:tcPr>
          <w:p>
            <w:pPr>
              <w:spacing w:after="20"/>
            </w:pPr>
            <w:r>
              <w:rPr>
                <w:color w:val="1C3A36"/>
                <w:sz w:val="15"/>
              </w:rPr>
              <w:t>16.34%</w:t>
            </w:r>
          </w:p>
        </w:tc>
        <w:tc>
          <w:tcPr>
            <w:tcW w:type="dxa" w:w="1483"/>
          </w:tcPr>
          <w:p>
            <w:pPr>
              <w:spacing w:after="20"/>
              <w:jc w:val="right"/>
            </w:pPr>
            <w:r>
              <w:rPr>
                <w:color w:val="1C3A36"/>
                <w:sz w:val="15"/>
              </w:rPr>
              <w:t>65.76</w:t>
            </w:r>
          </w:p>
        </w:tc>
        <w:tc>
          <w:tcPr>
            <w:tcW w:type="dxa" w:w="1483"/>
          </w:tcPr>
          <w:p>
            <w:pPr>
              <w:spacing w:after="20"/>
              <w:jc w:val="right"/>
            </w:pPr>
            <w:r>
              <w:rPr>
                <w:color w:val="1C3A36"/>
                <w:sz w:val="15"/>
              </w:rPr>
              <w:t>69.43</w:t>
            </w:r>
          </w:p>
        </w:tc>
        <w:tc>
          <w:tcPr>
            <w:tcW w:type="dxa" w:w="1483"/>
          </w:tcPr>
          <w:p>
            <w:pPr>
              <w:spacing w:after="20"/>
              <w:jc w:val="right"/>
            </w:pPr>
            <w:r>
              <w:rPr>
                <w:color w:val="1C3A36"/>
                <w:sz w:val="15"/>
              </w:rPr>
              <w:t>74.03</w:t>
            </w:r>
          </w:p>
        </w:tc>
        <w:tc>
          <w:tcPr>
            <w:tcW w:type="dxa" w:w="1483"/>
          </w:tcPr>
          <w:p>
            <w:pPr>
              <w:spacing w:after="20"/>
              <w:jc w:val="right"/>
            </w:pPr>
            <w:r>
              <w:rPr>
                <w:color w:val="1C3A36"/>
                <w:sz w:val="15"/>
              </w:rPr>
              <w:t>79.99</w:t>
            </w:r>
          </w:p>
        </w:tc>
        <w:tc>
          <w:tcPr>
            <w:tcW w:type="dxa" w:w="1483"/>
          </w:tcPr>
          <w:p>
            <w:pPr>
              <w:spacing w:after="20"/>
              <w:jc w:val="right"/>
            </w:pPr>
            <w:r>
              <w:rPr>
                <w:color w:val="1C3A36"/>
                <w:sz w:val="15"/>
              </w:rPr>
              <w:t>88.11</w:t>
            </w:r>
          </w:p>
        </w:tc>
      </w:tr>
      <w:tr>
        <w:tc>
          <w:tcPr>
            <w:tcW w:type="dxa" w:w="2232"/>
          </w:tcPr>
          <w:p>
            <w:pPr>
              <w:spacing w:after="20"/>
            </w:pPr>
            <w:r>
              <w:rPr>
                <w:color w:val="1C3A36"/>
                <w:sz w:val="15"/>
              </w:rPr>
              <w:t>17.34%</w:t>
            </w:r>
          </w:p>
        </w:tc>
        <w:tc>
          <w:tcPr>
            <w:tcW w:type="dxa" w:w="1483"/>
          </w:tcPr>
          <w:p>
            <w:pPr>
              <w:spacing w:after="20"/>
              <w:jc w:val="right"/>
            </w:pPr>
            <w:r>
              <w:rPr>
                <w:color w:val="1C3A36"/>
                <w:sz w:val="15"/>
              </w:rPr>
              <w:t>58.05</w:t>
            </w:r>
          </w:p>
        </w:tc>
        <w:tc>
          <w:tcPr>
            <w:tcW w:type="dxa" w:w="1483"/>
          </w:tcPr>
          <w:p>
            <w:pPr>
              <w:spacing w:after="20"/>
              <w:jc w:val="right"/>
            </w:pPr>
            <w:r>
              <w:rPr>
                <w:color w:val="1C3A36"/>
                <w:sz w:val="15"/>
              </w:rPr>
              <w:t>60.59</w:t>
            </w:r>
          </w:p>
        </w:tc>
        <w:tc>
          <w:tcPr>
            <w:tcW w:type="dxa" w:w="1483"/>
          </w:tcPr>
          <w:p>
            <w:pPr>
              <w:spacing w:after="20"/>
              <w:jc w:val="right"/>
            </w:pPr>
            <w:r>
              <w:rPr>
                <w:color w:val="1C3A36"/>
                <w:sz w:val="15"/>
              </w:rPr>
              <w:t>63.66</w:t>
            </w:r>
          </w:p>
        </w:tc>
        <w:tc>
          <w:tcPr>
            <w:tcW w:type="dxa" w:w="1483"/>
          </w:tcPr>
          <w:p>
            <w:pPr>
              <w:spacing w:after="20"/>
              <w:jc w:val="right"/>
            </w:pPr>
            <w:r>
              <w:rPr>
                <w:color w:val="1C3A36"/>
                <w:sz w:val="15"/>
              </w:rPr>
              <w:t>67.48</w:t>
            </w:r>
          </w:p>
        </w:tc>
        <w:tc>
          <w:tcPr>
            <w:tcW w:type="dxa" w:w="1483"/>
          </w:tcPr>
          <w:p>
            <w:pPr>
              <w:spacing w:after="20"/>
              <w:jc w:val="right"/>
            </w:pPr>
            <w:r>
              <w:rPr>
                <w:color w:val="1C3A36"/>
                <w:sz w:val="15"/>
              </w:rPr>
              <w:t>72.43</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87.76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23,224</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30,348</w:t>
            </w:r>
          </w:p>
        </w:tc>
        <w:tc>
          <w:tcPr>
            <w:tcW w:type="dxa" w:w="4896"/>
          </w:tcPr>
          <w:p>
            <w:pPr>
              <w:spacing w:after="20"/>
              <w:jc w:val="right"/>
            </w:pPr>
            <w:r>
              <w:rPr>
                <w:color w:val="1C3A36"/>
                <w:sz w:val="16"/>
              </w:rPr>
              <w:t>FY2030E NOPAT grown 9% × (1 − reinvestment rate 40.7%); the reinvestment rate is forced to g ÷ terminal return on capital (22.5%)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195,560</w:t>
            </w:r>
          </w:p>
        </w:tc>
        <w:tc>
          <w:tcPr>
            <w:tcW w:type="dxa" w:w="4896"/>
          </w:tcPr>
          <w:p>
            <w:pPr>
              <w:spacing w:after="20"/>
              <w:jc w:val="right"/>
            </w:pPr>
            <w:r>
              <w:rPr>
                <w:color w:val="1C3A36"/>
                <w:sz w:val="16"/>
              </w:rPr>
              <w:t>the terminal cash flow capitalised at 15.3% − 9% = 492,768, discounted at the year-5 factor 0.3969</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218,783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(19,832)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(22,575)</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no filing discloses the cap's headroom, so the charge is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162,574</w:t>
            </w:r>
          </w:p>
        </w:tc>
        <w:tc>
          <w:tcPr>
            <w:tcW w:type="dxa" w:w="4896"/>
          </w:tcPr>
          <w:p>
            <w:pPr>
              <w:spacing w:after="20"/>
              <w:jc w:val="right"/>
            </w:pPr>
            <w:r>
              <w:rPr>
                <w:color w:val="1C3A36"/>
                <w:sz w:val="16"/>
              </w:rPr>
              <w:t>EGP 75.94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87.76</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(-3,872)</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78.72</w:t>
            </w:r>
          </w:p>
        </w:tc>
        <w:tc>
          <w:tcPr>
            <w:tcW w:type="dxa" w:w="5688"/>
          </w:tcPr>
          <w:p>
            <w:pPr>
              <w:spacing w:after="20"/>
              <w:jc w:val="right"/>
            </w:pPr>
            <w:r>
              <w:rPr>
                <w:color w:val="1C3A36"/>
                <w:sz w:val="17"/>
              </w:rPr>
              <w:t>bear 65.64 at 5.5× / bull 98.35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143.92 per share instead of 78.72 — a EGP 65.20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10.7%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10.7%</w:t>
            </w:r>
          </w:p>
        </w:tc>
        <w:tc>
          <w:tcPr>
            <w:tcW w:type="dxa" w:w="1944"/>
          </w:tcPr>
          <w:p>
            <w:pPr>
              <w:spacing w:after="20"/>
              <w:jc w:val="right"/>
            </w:pPr>
            <w:r>
              <w:rPr>
                <w:color w:val="1C3A36"/>
                <w:sz w:val="17"/>
              </w:rPr>
              <w:t>39,472</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35,511</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(14,227)</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21,235</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9.92</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103.51</w:t>
            </w:r>
          </w:p>
        </w:tc>
      </w:tr>
    </w:tbl>
    <w:p>
      <w:pPr>
        <w:spacing w:after="40"/>
      </w:pPr>
    </w:p>
    <w:p>
      <w:pPr>
        <w:spacing w:after="200" w:before="0"/>
      </w:pPr>
      <w:r>
        <w:rPr>
          <w:b w:val="0"/>
          <w:i/>
          <w:color w:val="6E7B77"/>
          <w:sz w:val="17"/>
        </w:rPr>
        <w:t>Bear 80.07 at 7.0× and bull 132.81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28.56</w:t>
            </w:r>
          </w:p>
        </w:tc>
        <w:tc>
          <w:tcPr>
            <w:tcW w:type="dxa" w:w="1238"/>
          </w:tcPr>
          <w:p>
            <w:pPr>
              <w:spacing w:after="20"/>
              <w:jc w:val="right"/>
            </w:pPr>
            <w:r>
              <w:rPr>
                <w:color w:val="1C3A36"/>
                <w:sz w:val="17"/>
              </w:rPr>
              <w:t>87.76</w:t>
            </w:r>
          </w:p>
        </w:tc>
        <w:tc>
          <w:tcPr>
            <w:tcW w:type="dxa" w:w="1238"/>
          </w:tcPr>
          <w:p>
            <w:pPr>
              <w:spacing w:after="20"/>
              <w:jc w:val="right"/>
            </w:pPr>
            <w:r>
              <w:rPr>
                <w:color w:val="1C3A36"/>
                <w:sz w:val="17"/>
              </w:rPr>
              <w:t>137.73</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65.64</w:t>
            </w:r>
          </w:p>
        </w:tc>
        <w:tc>
          <w:tcPr>
            <w:tcW w:type="dxa" w:w="1238"/>
          </w:tcPr>
          <w:p>
            <w:pPr>
              <w:spacing w:after="20"/>
              <w:jc w:val="right"/>
            </w:pPr>
            <w:r>
              <w:rPr>
                <w:color w:val="1C3A36"/>
                <w:sz w:val="17"/>
              </w:rPr>
              <w:t>78.72</w:t>
            </w:r>
          </w:p>
        </w:tc>
        <w:tc>
          <w:tcPr>
            <w:tcW w:type="dxa" w:w="1238"/>
          </w:tcPr>
          <w:p>
            <w:pPr>
              <w:spacing w:after="20"/>
              <w:jc w:val="right"/>
            </w:pPr>
            <w:r>
              <w:rPr>
                <w:color w:val="1C3A36"/>
                <w:sz w:val="17"/>
              </w:rPr>
              <w:t>98.35</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80.07</w:t>
            </w:r>
          </w:p>
        </w:tc>
        <w:tc>
          <w:tcPr>
            <w:tcW w:type="dxa" w:w="1238"/>
          </w:tcPr>
          <w:p>
            <w:pPr>
              <w:spacing w:after="20"/>
              <w:jc w:val="right"/>
            </w:pPr>
            <w:r>
              <w:rPr>
                <w:color w:val="1C3A36"/>
                <w:sz w:val="17"/>
              </w:rPr>
              <w:t>103.51</w:t>
            </w:r>
          </w:p>
        </w:tc>
        <w:tc>
          <w:tcPr>
            <w:tcW w:type="dxa" w:w="1238"/>
          </w:tcPr>
          <w:p>
            <w:pPr>
              <w:spacing w:after="20"/>
              <w:jc w:val="right"/>
            </w:pPr>
            <w:r>
              <w:rPr>
                <w:color w:val="1C3A36"/>
                <w:sz w:val="17"/>
              </w:rPr>
              <w:t>132.81</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-20%</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28.56</w:t>
            </w:r>
          </w:p>
        </w:tc>
        <w:tc>
          <w:tcPr>
            <w:tcW w:type="dxa" w:w="1238"/>
            <w:shd w:val="clear" w:color="auto" w:fill="F6F1E6"/>
          </w:tcPr>
          <w:p>
            <w:pPr>
              <w:spacing w:after="20"/>
              <w:jc w:val="right"/>
            </w:pPr>
            <w:r>
              <w:rPr>
                <w:b/>
                <w:color w:val="1C3A36"/>
                <w:sz w:val="17"/>
              </w:rPr>
              <w:t>87.76</w:t>
            </w:r>
          </w:p>
        </w:tc>
        <w:tc>
          <w:tcPr>
            <w:tcW w:type="dxa" w:w="1238"/>
            <w:shd w:val="clear" w:color="auto" w:fill="F6F1E6"/>
          </w:tcPr>
          <w:p>
            <w:pPr>
              <w:spacing w:after="20"/>
              <w:jc w:val="right"/>
            </w:pPr>
            <w:r>
              <w:rPr>
                <w:b/>
                <w:color w:val="1C3A36"/>
                <w:sz w:val="17"/>
              </w:rPr>
              <w:t>137.73</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85.93</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87.76, and the market-anchored reads are published beside it at their own values so a reader can judge the disagreement rather than receive a number in which it has already been settled by a weight. An earlier edition did settle it that way and reported EGP 85.93,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441,712</w:t>
            </w:r>
          </w:p>
        </w:tc>
        <w:tc>
          <w:tcPr>
            <w:tcW w:type="dxa" w:w="1426"/>
          </w:tcPr>
          <w:p>
            <w:pPr>
              <w:spacing w:after="20"/>
              <w:jc w:val="right"/>
            </w:pPr>
            <w:r>
              <w:rPr>
                <w:color w:val="1C3A36"/>
                <w:sz w:val="16"/>
              </w:rPr>
              <w:t>506,834</w:t>
            </w:r>
          </w:p>
        </w:tc>
        <w:tc>
          <w:tcPr>
            <w:tcW w:type="dxa" w:w="1426"/>
          </w:tcPr>
          <w:p>
            <w:pPr>
              <w:spacing w:after="20"/>
              <w:jc w:val="right"/>
            </w:pPr>
            <w:r>
              <w:rPr>
                <w:color w:val="1C3A36"/>
                <w:sz w:val="16"/>
              </w:rPr>
              <w:t>573,563</w:t>
            </w:r>
          </w:p>
        </w:tc>
        <w:tc>
          <w:tcPr>
            <w:tcW w:type="dxa" w:w="1426"/>
          </w:tcPr>
          <w:p>
            <w:pPr>
              <w:spacing w:after="20"/>
              <w:jc w:val="right"/>
            </w:pPr>
            <w:r>
              <w:rPr>
                <w:color w:val="1C3A36"/>
                <w:sz w:val="16"/>
              </w:rPr>
              <w:t>643,070</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55,346</w:t>
            </w:r>
          </w:p>
        </w:tc>
        <w:tc>
          <w:tcPr>
            <w:tcW w:type="dxa" w:w="1426"/>
          </w:tcPr>
          <w:p>
            <w:pPr>
              <w:spacing w:after="20"/>
              <w:jc w:val="right"/>
            </w:pPr>
            <w:r>
              <w:rPr>
                <w:color w:val="1C3A36"/>
                <w:sz w:val="16"/>
              </w:rPr>
              <w:t>64,177</w:t>
            </w:r>
          </w:p>
        </w:tc>
        <w:tc>
          <w:tcPr>
            <w:tcW w:type="dxa" w:w="1426"/>
          </w:tcPr>
          <w:p>
            <w:pPr>
              <w:spacing w:after="20"/>
              <w:jc w:val="right"/>
            </w:pPr>
            <w:r>
              <w:rPr>
                <w:color w:val="1C3A36"/>
                <w:sz w:val="16"/>
              </w:rPr>
              <w:t>72,980</w:t>
            </w:r>
          </w:p>
        </w:tc>
        <w:tc>
          <w:tcPr>
            <w:tcW w:type="dxa" w:w="1426"/>
          </w:tcPr>
          <w:p>
            <w:pPr>
              <w:spacing w:after="20"/>
              <w:jc w:val="right"/>
            </w:pPr>
            <w:r>
              <w:rPr>
                <w:color w:val="1C3A36"/>
                <w:sz w:val="16"/>
              </w:rPr>
              <w:t>81,828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(13,561)</w:t>
            </w:r>
          </w:p>
        </w:tc>
        <w:tc>
          <w:tcPr>
            <w:tcW w:type="dxa" w:w="1426"/>
          </w:tcPr>
          <w:p>
            <w:pPr>
              <w:spacing w:after="20"/>
              <w:jc w:val="right"/>
            </w:pPr>
            <w:r>
              <w:rPr>
                <w:color w:val="1C3A36"/>
                <w:sz w:val="16"/>
              </w:rPr>
              <w:t>(15,560)</w:t>
            </w:r>
          </w:p>
        </w:tc>
        <w:tc>
          <w:tcPr>
            <w:tcW w:type="dxa" w:w="1426"/>
          </w:tcPr>
          <w:p>
            <w:pPr>
              <w:spacing w:after="20"/>
              <w:jc w:val="right"/>
            </w:pPr>
            <w:r>
              <w:rPr>
                <w:color w:val="1C3A36"/>
                <w:sz w:val="16"/>
              </w:rPr>
              <w:t>(17,608)</w:t>
            </w:r>
          </w:p>
        </w:tc>
        <w:tc>
          <w:tcPr>
            <w:tcW w:type="dxa" w:w="1426"/>
          </w:tcPr>
          <w:p>
            <w:pPr>
              <w:spacing w:after="20"/>
              <w:jc w:val="right"/>
            </w:pPr>
            <w:r>
              <w:rPr>
                <w:color w:val="1C3A36"/>
                <w:sz w:val="16"/>
              </w:rPr>
              <w:t>(19,742)</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41,785</w:t>
            </w:r>
          </w:p>
        </w:tc>
        <w:tc>
          <w:tcPr>
            <w:tcW w:type="dxa" w:w="1426"/>
            <w:shd w:val="clear" w:color="auto" w:fill="F6F1E6"/>
          </w:tcPr>
          <w:p>
            <w:pPr>
              <w:spacing w:after="20"/>
              <w:jc w:val="right"/>
            </w:pPr>
            <w:r>
              <w:rPr>
                <w:b/>
                <w:color w:val="1C3A36"/>
                <w:sz w:val="16"/>
              </w:rPr>
              <w:t>48,618</w:t>
            </w:r>
          </w:p>
        </w:tc>
        <w:tc>
          <w:tcPr>
            <w:tcW w:type="dxa" w:w="1426"/>
            <w:shd w:val="clear" w:color="auto" w:fill="F6F1E6"/>
          </w:tcPr>
          <w:p>
            <w:pPr>
              <w:spacing w:after="20"/>
              <w:jc w:val="right"/>
            </w:pPr>
            <w:r>
              <w:rPr>
                <w:b/>
                <w:color w:val="1C3A36"/>
                <w:sz w:val="16"/>
              </w:rPr>
              <w:t>55,371</w:t>
            </w:r>
          </w:p>
        </w:tc>
        <w:tc>
          <w:tcPr>
            <w:tcW w:type="dxa" w:w="1426"/>
            <w:shd w:val="clear" w:color="auto" w:fill="F6F1E6"/>
          </w:tcPr>
          <w:p>
            <w:pPr>
              <w:spacing w:after="20"/>
              <w:jc w:val="right"/>
            </w:pPr>
            <w:r>
              <w:rPr>
                <w:b/>
                <w:color w:val="1C3A36"/>
                <w:sz w:val="16"/>
              </w:rPr>
              <w:t>62,086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4,726</w:t>
            </w:r>
          </w:p>
        </w:tc>
        <w:tc>
          <w:tcPr>
            <w:tcW w:type="dxa" w:w="1426"/>
          </w:tcPr>
          <w:p>
            <w:pPr>
              <w:spacing w:after="20"/>
              <w:jc w:val="right"/>
            </w:pPr>
            <w:r>
              <w:rPr>
                <w:color w:val="1C3A36"/>
                <w:sz w:val="16"/>
              </w:rPr>
              <w:t>5,423</w:t>
            </w:r>
          </w:p>
        </w:tc>
        <w:tc>
          <w:tcPr>
            <w:tcW w:type="dxa" w:w="1426"/>
          </w:tcPr>
          <w:p>
            <w:pPr>
              <w:spacing w:after="20"/>
              <w:jc w:val="right"/>
            </w:pPr>
            <w:r>
              <w:rPr>
                <w:color w:val="1C3A36"/>
                <w:sz w:val="16"/>
              </w:rPr>
              <w:t>6,137</w:t>
            </w:r>
          </w:p>
        </w:tc>
        <w:tc>
          <w:tcPr>
            <w:tcW w:type="dxa" w:w="1426"/>
          </w:tcPr>
          <w:p>
            <w:pPr>
              <w:spacing w:after="20"/>
              <w:jc w:val="right"/>
            </w:pPr>
            <w:r>
              <w:rPr>
                <w:color w:val="1C3A36"/>
                <w:sz w:val="16"/>
              </w:rPr>
              <w:t>6,881</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46,512</w:t>
            </w:r>
          </w:p>
        </w:tc>
        <w:tc>
          <w:tcPr>
            <w:tcW w:type="dxa" w:w="1426"/>
            <w:shd w:val="clear" w:color="auto" w:fill="F6F1E6"/>
          </w:tcPr>
          <w:p>
            <w:pPr>
              <w:spacing w:after="20"/>
              <w:jc w:val="right"/>
            </w:pPr>
            <w:r>
              <w:rPr>
                <w:b/>
                <w:color w:val="1C3A36"/>
                <w:sz w:val="16"/>
              </w:rPr>
              <w:t>54,041</w:t>
            </w:r>
          </w:p>
        </w:tc>
        <w:tc>
          <w:tcPr>
            <w:tcW w:type="dxa" w:w="1426"/>
            <w:shd w:val="clear" w:color="auto" w:fill="F6F1E6"/>
          </w:tcPr>
          <w:p>
            <w:pPr>
              <w:spacing w:after="20"/>
              <w:jc w:val="right"/>
            </w:pPr>
            <w:r>
              <w:rPr>
                <w:b/>
                <w:color w:val="1C3A36"/>
                <w:sz w:val="16"/>
              </w:rPr>
              <w:t>61,508</w:t>
            </w:r>
          </w:p>
        </w:tc>
        <w:tc>
          <w:tcPr>
            <w:tcW w:type="dxa" w:w="1426"/>
            <w:shd w:val="clear" w:color="auto" w:fill="F6F1E6"/>
          </w:tcPr>
          <w:p>
            <w:pPr>
              <w:spacing w:after="20"/>
              <w:jc w:val="right"/>
            </w:pPr>
            <w:r>
              <w:rPr>
                <w:b/>
                <w:color w:val="1C3A36"/>
                <w:sz w:val="16"/>
              </w:rPr>
              <w:t>68,967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341,526</w:t>
            </w:r>
          </w:p>
        </w:tc>
        <w:tc>
          <w:tcPr>
            <w:tcW w:type="dxa" w:w="1181"/>
          </w:tcPr>
          <w:p>
            <w:pPr>
              <w:spacing w:after="20"/>
              <w:jc w:val="right"/>
            </w:pPr>
            <w:r>
              <w:rPr>
                <w:color w:val="1C3A36"/>
                <w:sz w:val="16"/>
              </w:rPr>
              <w:t>53.1%</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30.2%</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16.7%</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643,070</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53.1%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6,419mn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3.41-3.66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1.225</w:t>
            </w:r>
          </w:p>
        </w:tc>
        <w:tc>
          <w:tcPr>
            <w:tcW w:type="dxa" w:w="5299"/>
          </w:tcPr>
          <w:p>
            <w:pPr>
              <w:spacing w:after="20"/>
              <w:jc w:val="right"/>
            </w:pPr>
            <w:r>
              <w:rPr>
                <w:color w:val="1C3A36"/>
                <w:sz w:val="16"/>
              </w:rPr>
              <w:t>own-stock weekly regression against the published EGX30 index of the exchange this share is listed on, over 4.94 years: R-squared 0.368, n = 256, standard error 0.170, 90% interval [0.95, 1.50]</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33.64 (against 87.76)</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54.12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99.13 (11.36)</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(14.5%): the hard-currency legs loaded with the pound's own 6.2%/year forecast depreciation, under uncovered interest parity</w:t>
            </w:r>
          </w:p>
        </w:tc>
        <w:tc>
          <w:tcPr>
            <w:tcW w:type="dxa" w:w="1843"/>
          </w:tcPr>
          <w:p>
            <w:pPr>
              <w:spacing w:after="20"/>
              <w:jc w:val="right"/>
            </w:pPr>
            <w:r>
              <w:rPr>
                <w:color w:val="1C3A36"/>
                <w:sz w:val="16"/>
              </w:rPr>
              <w:t>EGP 87.32 (-0.45)</w:t>
            </w:r>
          </w:p>
        </w:tc>
        <w:tc>
          <w:tcPr>
            <w:tcW w:type="dxa" w:w="3096"/>
          </w:tcPr>
          <w:p>
            <w:pPr>
              <w:spacing w:after="20"/>
              <w:jc w:val="right"/>
            </w:pPr>
            <w:r>
              <w:rPr>
                <w:color w:val="1C3A36"/>
                <w:sz w:val="16"/>
              </w:rPr>
              <w:t>Net debt carries only 6.9% of the capital structure, so even this 503-basis-point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33.64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142.93</w:t>
            </w:r>
          </w:p>
        </w:tc>
        <w:tc>
          <w:tcPr>
            <w:tcW w:type="dxa" w:w="1541"/>
          </w:tcPr>
          <w:p>
            <w:pPr>
              <w:spacing w:after="20"/>
              <w:jc w:val="right"/>
            </w:pPr>
            <w:r>
              <w:rPr>
                <w:color w:val="1C3A36"/>
                <w:sz w:val="16"/>
              </w:rPr>
              <w:t>138.85</w:t>
            </w:r>
          </w:p>
        </w:tc>
        <w:tc>
          <w:tcPr>
            <w:tcW w:type="dxa" w:w="1541"/>
          </w:tcPr>
          <w:p>
            <w:pPr>
              <w:spacing w:after="20"/>
              <w:jc w:val="right"/>
            </w:pPr>
            <w:r>
              <w:rPr>
                <w:color w:val="1C3A36"/>
                <w:sz w:val="16"/>
              </w:rPr>
              <w:t>134.93</w:t>
            </w:r>
          </w:p>
        </w:tc>
        <w:tc>
          <w:tcPr>
            <w:tcW w:type="dxa" w:w="1541"/>
          </w:tcPr>
          <w:p>
            <w:pPr>
              <w:spacing w:after="20"/>
              <w:jc w:val="right"/>
            </w:pPr>
            <w:r>
              <w:rPr>
                <w:color w:val="1C3A36"/>
                <w:sz w:val="16"/>
              </w:rPr>
              <w:t>131.13</w:t>
            </w:r>
          </w:p>
        </w:tc>
        <w:tc>
          <w:tcPr>
            <w:tcW w:type="dxa" w:w="1541"/>
          </w:tcPr>
          <w:p>
            <w:pPr>
              <w:spacing w:after="20"/>
              <w:jc w:val="right"/>
            </w:pPr>
            <w:r>
              <w:rPr>
                <w:color w:val="1C3A36"/>
                <w:sz w:val="16"/>
              </w:rPr>
              <w:t>127.48</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113.20</w:t>
            </w:r>
          </w:p>
        </w:tc>
        <w:tc>
          <w:tcPr>
            <w:tcW w:type="dxa" w:w="1541"/>
          </w:tcPr>
          <w:p>
            <w:pPr>
              <w:spacing w:after="20"/>
              <w:jc w:val="right"/>
            </w:pPr>
            <w:r>
              <w:rPr>
                <w:color w:val="1C3A36"/>
                <w:sz w:val="16"/>
              </w:rPr>
              <w:t>109.94</w:t>
            </w:r>
          </w:p>
        </w:tc>
        <w:tc>
          <w:tcPr>
            <w:tcW w:type="dxa" w:w="1541"/>
          </w:tcPr>
          <w:p>
            <w:pPr>
              <w:spacing w:after="20"/>
              <w:jc w:val="right"/>
            </w:pPr>
            <w:r>
              <w:rPr>
                <w:color w:val="1C3A36"/>
                <w:sz w:val="16"/>
              </w:rPr>
              <w:t>106.80</w:t>
            </w:r>
          </w:p>
        </w:tc>
        <w:tc>
          <w:tcPr>
            <w:tcW w:type="dxa" w:w="1541"/>
          </w:tcPr>
          <w:p>
            <w:pPr>
              <w:spacing w:after="20"/>
              <w:jc w:val="right"/>
            </w:pPr>
            <w:r>
              <w:rPr>
                <w:color w:val="1C3A36"/>
                <w:sz w:val="16"/>
              </w:rPr>
              <w:t>103.77</w:t>
            </w:r>
          </w:p>
        </w:tc>
        <w:tc>
          <w:tcPr>
            <w:tcW w:type="dxa" w:w="1541"/>
          </w:tcPr>
          <w:p>
            <w:pPr>
              <w:spacing w:after="20"/>
              <w:jc w:val="right"/>
            </w:pPr>
            <w:r>
              <w:rPr>
                <w:color w:val="1C3A36"/>
                <w:sz w:val="16"/>
              </w:rPr>
              <w:t>100.84</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93.09</w:t>
            </w:r>
          </w:p>
        </w:tc>
        <w:tc>
          <w:tcPr>
            <w:tcW w:type="dxa" w:w="1541"/>
          </w:tcPr>
          <w:p>
            <w:pPr>
              <w:spacing w:after="20"/>
              <w:jc w:val="right"/>
            </w:pPr>
            <w:r>
              <w:rPr>
                <w:color w:val="1C3A36"/>
                <w:sz w:val="16"/>
              </w:rPr>
              <w:t>90.38</w:t>
            </w:r>
          </w:p>
        </w:tc>
        <w:tc>
          <w:tcPr>
            <w:tcW w:type="dxa" w:w="1541"/>
          </w:tcPr>
          <w:p>
            <w:pPr>
              <w:spacing w:after="20"/>
              <w:jc w:val="right"/>
            </w:pPr>
            <w:r>
              <w:rPr>
                <w:color w:val="1C3A36"/>
                <w:sz w:val="16"/>
              </w:rPr>
              <w:t>87.76</w:t>
            </w:r>
          </w:p>
        </w:tc>
        <w:tc>
          <w:tcPr>
            <w:tcW w:type="dxa" w:w="1541"/>
          </w:tcPr>
          <w:p>
            <w:pPr>
              <w:spacing w:after="20"/>
              <w:jc w:val="right"/>
            </w:pPr>
            <w:r>
              <w:rPr>
                <w:color w:val="1C3A36"/>
                <w:sz w:val="16"/>
              </w:rPr>
              <w:t>85.24</w:t>
            </w:r>
          </w:p>
        </w:tc>
        <w:tc>
          <w:tcPr>
            <w:tcW w:type="dxa" w:w="1541"/>
          </w:tcPr>
          <w:p>
            <w:pPr>
              <w:spacing w:after="20"/>
              <w:jc w:val="right"/>
            </w:pPr>
            <w:r>
              <w:rPr>
                <w:color w:val="1C3A36"/>
                <w:sz w:val="16"/>
              </w:rPr>
              <w:t>82.80</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78.57</w:t>
            </w:r>
          </w:p>
        </w:tc>
        <w:tc>
          <w:tcPr>
            <w:tcW w:type="dxa" w:w="1541"/>
          </w:tcPr>
          <w:p>
            <w:pPr>
              <w:spacing w:after="20"/>
              <w:jc w:val="right"/>
            </w:pPr>
            <w:r>
              <w:rPr>
                <w:color w:val="1C3A36"/>
                <w:sz w:val="16"/>
              </w:rPr>
              <w:t>76.26</w:t>
            </w:r>
          </w:p>
        </w:tc>
        <w:tc>
          <w:tcPr>
            <w:tcW w:type="dxa" w:w="1541"/>
          </w:tcPr>
          <w:p>
            <w:pPr>
              <w:spacing w:after="20"/>
              <w:jc w:val="right"/>
            </w:pPr>
            <w:r>
              <w:rPr>
                <w:color w:val="1C3A36"/>
                <w:sz w:val="16"/>
              </w:rPr>
              <w:t>74.03</w:t>
            </w:r>
          </w:p>
        </w:tc>
        <w:tc>
          <w:tcPr>
            <w:tcW w:type="dxa" w:w="1541"/>
          </w:tcPr>
          <w:p>
            <w:pPr>
              <w:spacing w:after="20"/>
              <w:jc w:val="right"/>
            </w:pPr>
            <w:r>
              <w:rPr>
                <w:color w:val="1C3A36"/>
                <w:sz w:val="16"/>
              </w:rPr>
              <w:t>71.88</w:t>
            </w:r>
          </w:p>
        </w:tc>
        <w:tc>
          <w:tcPr>
            <w:tcW w:type="dxa" w:w="1541"/>
          </w:tcPr>
          <w:p>
            <w:pPr>
              <w:spacing w:after="20"/>
              <w:jc w:val="right"/>
            </w:pPr>
            <w:r>
              <w:rPr>
                <w:color w:val="1C3A36"/>
                <w:sz w:val="16"/>
              </w:rPr>
              <w:t>69.80</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67.62</w:t>
            </w:r>
          </w:p>
        </w:tc>
        <w:tc>
          <w:tcPr>
            <w:tcW w:type="dxa" w:w="1541"/>
          </w:tcPr>
          <w:p>
            <w:pPr>
              <w:spacing w:after="20"/>
              <w:jc w:val="right"/>
            </w:pPr>
            <w:r>
              <w:rPr>
                <w:color w:val="1C3A36"/>
                <w:sz w:val="16"/>
              </w:rPr>
              <w:t>65.60</w:t>
            </w:r>
          </w:p>
        </w:tc>
        <w:tc>
          <w:tcPr>
            <w:tcW w:type="dxa" w:w="1541"/>
          </w:tcPr>
          <w:p>
            <w:pPr>
              <w:spacing w:after="20"/>
              <w:jc w:val="right"/>
            </w:pPr>
            <w:r>
              <w:rPr>
                <w:color w:val="1C3A36"/>
                <w:sz w:val="16"/>
              </w:rPr>
              <w:t>63.66</w:t>
            </w:r>
          </w:p>
        </w:tc>
        <w:tc>
          <w:tcPr>
            <w:tcW w:type="dxa" w:w="1541"/>
          </w:tcPr>
          <w:p>
            <w:pPr>
              <w:spacing w:after="20"/>
              <w:jc w:val="right"/>
            </w:pPr>
            <w:r>
              <w:rPr>
                <w:color w:val="1C3A36"/>
                <w:sz w:val="16"/>
              </w:rPr>
              <w:t>61.78</w:t>
            </w:r>
          </w:p>
        </w:tc>
        <w:tc>
          <w:tcPr>
            <w:tcW w:type="dxa" w:w="1541"/>
          </w:tcPr>
          <w:p>
            <w:pPr>
              <w:spacing w:after="20"/>
              <w:jc w:val="right"/>
            </w:pPr>
            <w:r>
              <w:rPr>
                <w:color w:val="1C3A36"/>
                <w:sz w:val="16"/>
              </w:rPr>
              <w:t>59.97</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87.26 – 92.12</w:t>
            </w:r>
          </w:p>
        </w:tc>
        <w:tc>
          <w:tcPr>
            <w:tcW w:type="dxa" w:w="1944"/>
          </w:tcPr>
          <w:p>
            <w:pPr>
              <w:spacing w:after="20"/>
              <w:jc w:val="right"/>
            </w:pPr>
            <w:r>
              <w:rPr>
                <w:color w:val="1C3A36"/>
                <w:sz w:val="17"/>
              </w:rPr>
              <w:t>4.86</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84.85 – 108.12</w:t>
            </w:r>
          </w:p>
        </w:tc>
        <w:tc>
          <w:tcPr>
            <w:tcW w:type="dxa" w:w="1944"/>
          </w:tcPr>
          <w:p>
            <w:pPr>
              <w:spacing w:after="20"/>
              <w:jc w:val="right"/>
            </w:pPr>
            <w:r>
              <w:rPr>
                <w:color w:val="1C3A36"/>
                <w:sz w:val="17"/>
              </w:rPr>
              <w:t>23.27</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50.91 – 124.61</w:t>
            </w:r>
          </w:p>
        </w:tc>
        <w:tc>
          <w:tcPr>
            <w:tcW w:type="dxa" w:w="1944"/>
          </w:tcPr>
          <w:p>
            <w:pPr>
              <w:spacing w:after="20"/>
              <w:jc w:val="right"/>
            </w:pPr>
            <w:r>
              <w:rPr>
                <w:color w:val="1C3A36"/>
                <w:sz w:val="17"/>
              </w:rPr>
              <w:t>73.70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83.40 – 92.13</w:t>
            </w:r>
          </w:p>
        </w:tc>
        <w:tc>
          <w:tcPr>
            <w:tcW w:type="dxa" w:w="1944"/>
          </w:tcPr>
          <w:p>
            <w:pPr>
              <w:spacing w:after="20"/>
              <w:jc w:val="right"/>
            </w:pPr>
            <w:r>
              <w:rPr>
                <w:color w:val="1C3A36"/>
                <w:sz w:val="17"/>
              </w:rPr>
              <w:t>8.73</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75.59 – 97.53</w:t>
            </w:r>
          </w:p>
        </w:tc>
        <w:tc>
          <w:tcPr>
            <w:tcW w:type="dxa" w:w="1944"/>
          </w:tcPr>
          <w:p>
            <w:pPr>
              <w:spacing w:after="20"/>
              <w:jc w:val="right"/>
            </w:pPr>
            <w:r>
              <w:rPr>
                <w:color w:val="1C3A36"/>
                <w:sz w:val="17"/>
              </w:rPr>
              <w:t>21.94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66.47 – 116.18</w:t>
            </w:r>
          </w:p>
        </w:tc>
        <w:tc>
          <w:tcPr>
            <w:tcW w:type="dxa" w:w="1944"/>
          </w:tcPr>
          <w:p>
            <w:pPr>
              <w:spacing w:after="20"/>
              <w:jc w:val="right"/>
            </w:pPr>
            <w:r>
              <w:rPr>
                <w:color w:val="1C3A36"/>
                <w:sz w:val="17"/>
              </w:rPr>
              <w:t>49.71</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75.36 – 111.26</w:t>
            </w:r>
          </w:p>
        </w:tc>
        <w:tc>
          <w:tcPr>
            <w:tcW w:type="dxa" w:w="1944"/>
          </w:tcPr>
          <w:p>
            <w:pPr>
              <w:spacing w:after="20"/>
              <w:jc w:val="right"/>
            </w:pPr>
            <w:r>
              <w:rPr>
                <w:color w:val="1C3A36"/>
                <w:sz w:val="17"/>
              </w:rPr>
              <w:t>35.90</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87.76 against the published central of 87.76.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+39%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+44%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+59%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+19.2%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+14%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49.3%</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+70% over the last 252 trading sessions (the exchange's trailing year on the supplied series) and sits +19.2% from its 52-week high. Realised volatility of about 49%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49.3%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87.76;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2026-10-04)</w:t>
            </w:r>
          </w:p>
        </w:tc>
        <w:tc>
          <w:tcPr>
            <w:tcW w:type="dxa" w:w="1152"/>
          </w:tcPr>
          <w:p>
            <w:pPr>
              <w:spacing w:after="20"/>
              <w:jc w:val="right"/>
            </w:pPr>
            <w:r>
              <w:rPr>
                <w:color w:val="1C3A36"/>
                <w:sz w:val="17"/>
              </w:rPr>
              <w:t>109.51</w:t>
            </w:r>
          </w:p>
        </w:tc>
        <w:tc>
          <w:tcPr>
            <w:tcW w:type="dxa" w:w="1152"/>
          </w:tcPr>
          <w:p>
            <w:pPr>
              <w:spacing w:after="20"/>
              <w:jc w:val="right"/>
            </w:pPr>
            <w:r>
              <w:rPr>
                <w:color w:val="1C3A36"/>
                <w:sz w:val="17"/>
              </w:rPr>
              <w:t>124.05</w:t>
            </w:r>
          </w:p>
        </w:tc>
        <w:tc>
          <w:tcPr>
            <w:tcW w:type="dxa" w:w="1152"/>
          </w:tcPr>
          <w:p>
            <w:pPr>
              <w:spacing w:after="20"/>
              <w:jc w:val="right"/>
            </w:pPr>
            <w:r>
              <w:rPr>
                <w:color w:val="1C3A36"/>
                <w:sz w:val="17"/>
              </w:rPr>
              <w:t>133.06</w:t>
            </w:r>
          </w:p>
        </w:tc>
        <w:tc>
          <w:tcPr>
            <w:tcW w:type="dxa" w:w="1152"/>
          </w:tcPr>
          <w:p>
            <w:pPr>
              <w:spacing w:after="20"/>
              <w:jc w:val="right"/>
            </w:pPr>
            <w:r>
              <w:rPr>
                <w:color w:val="1C3A36"/>
                <w:sz w:val="17"/>
              </w:rPr>
              <w:t>142.73</w:t>
            </w:r>
          </w:p>
        </w:tc>
        <w:tc>
          <w:tcPr>
            <w:tcW w:type="dxa" w:w="1152"/>
          </w:tcPr>
          <w:p>
            <w:pPr>
              <w:spacing w:after="20"/>
              <w:jc w:val="right"/>
            </w:pPr>
            <w:r>
              <w:rPr>
                <w:color w:val="1C3A36"/>
                <w:sz w:val="17"/>
              </w:rPr>
              <w:t>161.64</w:t>
            </w:r>
          </w:p>
        </w:tc>
        <w:tc>
          <w:tcPr>
            <w:tcW w:type="dxa" w:w="1800"/>
          </w:tcPr>
          <w:p>
            <w:pPr>
              <w:spacing w:after="20"/>
              <w:jc w:val="right"/>
            </w:pPr>
            <w:r>
              <w:rPr>
                <w:color w:val="1C3A36"/>
                <w:sz w:val="17"/>
              </w:rPr>
              <w:t>59%</w:t>
            </w:r>
          </w:p>
        </w:tc>
      </w:tr>
      <w:tr>
        <w:tc>
          <w:tcPr>
            <w:tcW w:type="dxa" w:w="2520"/>
          </w:tcPr>
          <w:p>
            <w:pPr>
              <w:spacing w:after="20"/>
            </w:pPr>
            <w:r>
              <w:rPr>
                <w:color w:val="1C3A36"/>
                <w:sz w:val="17"/>
              </w:rPr>
              <w:t>3 months (to 2026-12-03)</w:t>
            </w:r>
          </w:p>
        </w:tc>
        <w:tc>
          <w:tcPr>
            <w:tcW w:type="dxa" w:w="1152"/>
          </w:tcPr>
          <w:p>
            <w:pPr>
              <w:spacing w:after="20"/>
              <w:jc w:val="right"/>
            </w:pPr>
            <w:r>
              <w:rPr>
                <w:color w:val="1C3A36"/>
                <w:sz w:val="17"/>
              </w:rPr>
              <w:t>98.49</w:t>
            </w:r>
          </w:p>
        </w:tc>
        <w:tc>
          <w:tcPr>
            <w:tcW w:type="dxa" w:w="1152"/>
          </w:tcPr>
          <w:p>
            <w:pPr>
              <w:spacing w:after="20"/>
              <w:jc w:val="right"/>
            </w:pPr>
            <w:r>
              <w:rPr>
                <w:color w:val="1C3A36"/>
                <w:sz w:val="17"/>
              </w:rPr>
              <w:t>122.22</w:t>
            </w:r>
          </w:p>
        </w:tc>
        <w:tc>
          <w:tcPr>
            <w:tcW w:type="dxa" w:w="1152"/>
          </w:tcPr>
          <w:p>
            <w:pPr>
              <w:spacing w:after="20"/>
              <w:jc w:val="right"/>
            </w:pPr>
            <w:r>
              <w:rPr>
                <w:color w:val="1C3A36"/>
                <w:sz w:val="17"/>
              </w:rPr>
              <w:t>137.99</w:t>
            </w:r>
          </w:p>
        </w:tc>
        <w:tc>
          <w:tcPr>
            <w:tcW w:type="dxa" w:w="1152"/>
          </w:tcPr>
          <w:p>
            <w:pPr>
              <w:spacing w:after="20"/>
              <w:jc w:val="right"/>
            </w:pPr>
            <w:r>
              <w:rPr>
                <w:color w:val="1C3A36"/>
                <w:sz w:val="17"/>
              </w:rPr>
              <w:t>155.79</w:t>
            </w:r>
          </w:p>
        </w:tc>
        <w:tc>
          <w:tcPr>
            <w:tcW w:type="dxa" w:w="1152"/>
          </w:tcPr>
          <w:p>
            <w:pPr>
              <w:spacing w:after="20"/>
              <w:jc w:val="right"/>
            </w:pPr>
            <w:r>
              <w:rPr>
                <w:color w:val="1C3A36"/>
                <w:sz w:val="17"/>
              </w:rPr>
              <w:t>193.01</w:t>
            </w:r>
          </w:p>
        </w:tc>
        <w:tc>
          <w:tcPr>
            <w:tcW w:type="dxa" w:w="1800"/>
          </w:tcPr>
          <w:p>
            <w:pPr>
              <w:spacing w:after="20"/>
              <w:jc w:val="right"/>
            </w:pPr>
            <w:r>
              <w:rPr>
                <w:color w:val="1C3A36"/>
                <w:sz w:val="17"/>
              </w:rPr>
              <w:t>63%</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42%</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12%</w:t>
            </w:r>
          </w:p>
        </w:tc>
        <w:tc>
          <w:tcPr>
            <w:tcW w:type="dxa" w:w="1944"/>
          </w:tcPr>
          <w:p>
            <w:pPr>
              <w:spacing w:after="20"/>
              <w:jc w:val="right"/>
            </w:pPr>
            <w:r>
              <w:rPr>
                <w:color w:val="1C3A36"/>
                <w:sz w:val="17"/>
              </w:rPr>
              <w:t>18%</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38%</w:t>
            </w:r>
          </w:p>
        </w:tc>
        <w:tc>
          <w:tcPr>
            <w:tcW w:type="dxa" w:w="1944"/>
          </w:tcPr>
          <w:p>
            <w:pPr>
              <w:spacing w:after="20"/>
              <w:jc w:val="right"/>
            </w:pPr>
            <w:r>
              <w:rPr>
                <w:color w:val="1C3A36"/>
                <w:sz w:val="17"/>
              </w:rPr>
              <w:t>65%</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22%</w:t>
            </w:r>
          </w:p>
        </w:tc>
        <w:tc>
          <w:tcPr>
            <w:tcW w:type="dxa" w:w="1944"/>
          </w:tcPr>
          <w:p>
            <w:pPr>
              <w:spacing w:after="20"/>
              <w:jc w:val="right"/>
            </w:pPr>
            <w:r>
              <w:rPr>
                <w:color w:val="1C3A36"/>
                <w:sz w:val="17"/>
              </w:rPr>
              <w:t>40%</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87.76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87.76,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81.68, -37%</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78.72,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137.99, 63%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81.68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137.99 and a 5th-to-95th percentile span of 98.49 to 193.01. Read that span honestly: it means the model considers a -24% move and a +48%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98.49</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122.22 – 137.99</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137.99 – 155.79</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193.01</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87.76</w:t>
            </w:r>
          </w:p>
        </w:tc>
        <w:tc>
          <w:tcPr>
            <w:tcW w:type="dxa" w:w="5040"/>
          </w:tcPr>
          <w:p>
            <w:pPr>
              <w:spacing w:after="20"/>
              <w:jc w:val="right"/>
            </w:pPr>
            <w:r>
              <w:rPr>
                <w:color w:val="1C3A36"/>
                <w:sz w:val="17"/>
              </w:rPr>
              <w:t>below even the 5th percentile (98.49)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274,686</w:t>
            </w:r>
          </w:p>
        </w:tc>
        <w:tc>
          <w:tcPr>
            <w:tcW w:type="dxa" w:w="1728"/>
          </w:tcPr>
          <w:p>
            <w:pPr>
              <w:spacing w:after="20"/>
              <w:jc w:val="right"/>
            </w:pPr>
            <w:r>
              <w:rPr>
                <w:color w:val="1C3A36"/>
                <w:sz w:val="17"/>
              </w:rPr>
              <w:t>506,834</w:t>
            </w:r>
          </w:p>
        </w:tc>
        <w:tc>
          <w:tcPr>
            <w:tcW w:type="dxa" w:w="1728"/>
          </w:tcPr>
          <w:p>
            <w:pPr>
              <w:spacing w:after="20"/>
              <w:jc w:val="right"/>
            </w:pPr>
            <w:r>
              <w:rPr>
                <w:color w:val="1C3A36"/>
                <w:sz w:val="17"/>
              </w:rPr>
              <w:t>1,315,774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205,743</w:t>
            </w:r>
          </w:p>
        </w:tc>
        <w:tc>
          <w:tcPr>
            <w:tcW w:type="dxa" w:w="1728"/>
          </w:tcPr>
          <w:p>
            <w:pPr>
              <w:spacing w:after="20"/>
              <w:jc w:val="right"/>
            </w:pPr>
            <w:r>
              <w:rPr>
                <w:color w:val="1C3A36"/>
                <w:sz w:val="17"/>
              </w:rPr>
              <w:t>573,563</w:t>
            </w:r>
          </w:p>
        </w:tc>
        <w:tc>
          <w:tcPr>
            <w:tcW w:type="dxa" w:w="1728"/>
          </w:tcPr>
          <w:p>
            <w:pPr>
              <w:spacing w:after="20"/>
              <w:jc w:val="right"/>
            </w:pPr>
            <w:r>
              <w:rPr>
                <w:color w:val="1C3A36"/>
                <w:sz w:val="17"/>
              </w:rPr>
              <w:t>1,945,120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225,975</w:t>
            </w:r>
          </w:p>
        </w:tc>
        <w:tc>
          <w:tcPr>
            <w:tcW w:type="dxa" w:w="1728"/>
          </w:tcPr>
          <w:p>
            <w:pPr>
              <w:spacing w:after="20"/>
              <w:jc w:val="right"/>
            </w:pPr>
            <w:r>
              <w:rPr>
                <w:color w:val="1C3A36"/>
                <w:sz w:val="17"/>
              </w:rPr>
              <w:t>643,070</w:t>
            </w:r>
          </w:p>
        </w:tc>
        <w:tc>
          <w:tcPr>
            <w:tcW w:type="dxa" w:w="1728"/>
          </w:tcPr>
          <w:p>
            <w:pPr>
              <w:spacing w:after="20"/>
              <w:jc w:val="right"/>
            </w:pPr>
            <w:r>
              <w:rPr>
                <w:color w:val="1C3A36"/>
                <w:sz w:val="17"/>
              </w:rPr>
              <w:t>2,343,880</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29,684</w:t>
            </w:r>
          </w:p>
        </w:tc>
        <w:tc>
          <w:tcPr>
            <w:tcW w:type="dxa" w:w="1728"/>
          </w:tcPr>
          <w:p>
            <w:pPr>
              <w:spacing w:after="20"/>
              <w:jc w:val="right"/>
            </w:pPr>
            <w:r>
              <w:rPr>
                <w:color w:val="1C3A36"/>
                <w:sz w:val="17"/>
              </w:rPr>
              <w:t>64,177</w:t>
            </w:r>
          </w:p>
        </w:tc>
        <w:tc>
          <w:tcPr>
            <w:tcW w:type="dxa" w:w="1728"/>
          </w:tcPr>
          <w:p>
            <w:pPr>
              <w:spacing w:after="20"/>
              <w:jc w:val="right"/>
            </w:pPr>
            <w:r>
              <w:rPr>
                <w:color w:val="1C3A36"/>
                <w:sz w:val="17"/>
              </w:rPr>
              <w:t>183,828</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28,258</w:t>
            </w:r>
          </w:p>
        </w:tc>
        <w:tc>
          <w:tcPr>
            <w:tcW w:type="dxa" w:w="1728"/>
          </w:tcPr>
          <w:p>
            <w:pPr>
              <w:spacing w:after="20"/>
              <w:jc w:val="right"/>
            </w:pPr>
            <w:r>
              <w:rPr>
                <w:color w:val="1C3A36"/>
                <w:sz w:val="17"/>
              </w:rPr>
              <w:t>72,980</w:t>
            </w:r>
          </w:p>
        </w:tc>
        <w:tc>
          <w:tcPr>
            <w:tcW w:type="dxa" w:w="1728"/>
          </w:tcPr>
          <w:p>
            <w:pPr>
              <w:spacing w:after="20"/>
              <w:jc w:val="right"/>
            </w:pPr>
            <w:r>
              <w:rPr>
                <w:color w:val="1C3A36"/>
                <w:sz w:val="17"/>
              </w:rPr>
              <w:t>309,139</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41,940</w:t>
            </w:r>
          </w:p>
        </w:tc>
        <w:tc>
          <w:tcPr>
            <w:tcW w:type="dxa" w:w="1728"/>
          </w:tcPr>
          <w:p>
            <w:pPr>
              <w:spacing w:after="20"/>
              <w:jc w:val="right"/>
            </w:pPr>
            <w:r>
              <w:rPr>
                <w:color w:val="1C3A36"/>
                <w:sz w:val="17"/>
              </w:rPr>
              <w:t>81,828</w:t>
            </w:r>
          </w:p>
        </w:tc>
        <w:tc>
          <w:tcPr>
            <w:tcW w:type="dxa" w:w="1728"/>
          </w:tcPr>
          <w:p>
            <w:pPr>
              <w:spacing w:after="20"/>
              <w:jc w:val="right"/>
            </w:pPr>
            <w:r>
              <w:rPr>
                <w:color w:val="1C3A36"/>
                <w:sz w:val="17"/>
              </w:rPr>
              <w:t>283,520</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EGP 1.85 dividend paid in the window — worth about +13.67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81.68. We have chosen the conservative reading and shown the other in full rather than splitting the difference silently.</w:t>
      </w:r>
    </w:p>
    <w:p>
      <w:pPr>
        <w:pStyle w:val="ListBullet"/>
        <w:spacing w:after="60"/>
      </w:pPr>
      <w:r>
        <w:rPr>
          <w:b/>
          <w:color w:val="1C3A36"/>
          <w:sz w:val="21"/>
        </w:rPr>
        <w:t xml:space="preserve">Terminal growth of 9% is EXACTLY zero in real terms. </w:t>
      </w:r>
      <w:r>
        <w:rPr>
          <w:color w:val="1C3A36"/>
          <w:sz w:val="21"/>
        </w:rPr>
        <w:t>The terminal rate embeds 7% inflation and the terminal growth rate is DERIVED from it and a stated real growth of zero, so it is not a nominal figure somebody typed beside an inflation assumption. A 9%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19,832mn (9.26 per share) from the equity value — EGP 6.87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441,712</w:t>
            </w:r>
          </w:p>
        </w:tc>
        <w:tc>
          <w:tcPr>
            <w:tcW w:type="dxa" w:w="950"/>
          </w:tcPr>
          <w:p>
            <w:pPr>
              <w:spacing w:after="20"/>
              <w:jc w:val="right"/>
            </w:pPr>
            <w:r>
              <w:rPr>
                <w:color w:val="1C3A36"/>
                <w:sz w:val="15"/>
              </w:rPr>
              <w:t>506,834</w:t>
            </w:r>
          </w:p>
        </w:tc>
        <w:tc>
          <w:tcPr>
            <w:tcW w:type="dxa" w:w="950"/>
          </w:tcPr>
          <w:p>
            <w:pPr>
              <w:spacing w:after="20"/>
              <w:jc w:val="right"/>
            </w:pPr>
            <w:r>
              <w:rPr>
                <w:color w:val="1C3A36"/>
                <w:sz w:val="15"/>
              </w:rPr>
              <w:t>573,563</w:t>
            </w:r>
          </w:p>
        </w:tc>
        <w:tc>
          <w:tcPr>
            <w:tcW w:type="dxa" w:w="950"/>
          </w:tcPr>
          <w:p>
            <w:pPr>
              <w:spacing w:after="20"/>
              <w:jc w:val="right"/>
            </w:pPr>
            <w:r>
              <w:rPr>
                <w:color w:val="1C3A36"/>
                <w:sz w:val="15"/>
              </w:rPr>
              <w:t>643,070</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45,690</w:t>
            </w:r>
          </w:p>
        </w:tc>
        <w:tc>
          <w:tcPr>
            <w:tcW w:type="dxa" w:w="950"/>
          </w:tcPr>
          <w:p>
            <w:pPr>
              <w:spacing w:after="20"/>
              <w:jc w:val="right"/>
            </w:pPr>
            <w:r>
              <w:rPr>
                <w:color w:val="1C3A36"/>
                <w:sz w:val="15"/>
              </w:rPr>
              <w:t>55,346</w:t>
            </w:r>
          </w:p>
        </w:tc>
        <w:tc>
          <w:tcPr>
            <w:tcW w:type="dxa" w:w="950"/>
          </w:tcPr>
          <w:p>
            <w:pPr>
              <w:spacing w:after="20"/>
              <w:jc w:val="right"/>
            </w:pPr>
            <w:r>
              <w:rPr>
                <w:color w:val="1C3A36"/>
                <w:sz w:val="15"/>
              </w:rPr>
              <w:t>64,177</w:t>
            </w:r>
          </w:p>
        </w:tc>
        <w:tc>
          <w:tcPr>
            <w:tcW w:type="dxa" w:w="950"/>
          </w:tcPr>
          <w:p>
            <w:pPr>
              <w:spacing w:after="20"/>
              <w:jc w:val="right"/>
            </w:pPr>
            <w:r>
              <w:rPr>
                <w:color w:val="1C3A36"/>
                <w:sz w:val="15"/>
              </w:rPr>
              <w:t>72,980</w:t>
            </w:r>
          </w:p>
        </w:tc>
        <w:tc>
          <w:tcPr>
            <w:tcW w:type="dxa" w:w="950"/>
          </w:tcPr>
          <w:p>
            <w:pPr>
              <w:spacing w:after="20"/>
              <w:jc w:val="right"/>
            </w:pPr>
            <w:r>
              <w:rPr>
                <w:color w:val="1C3A36"/>
                <w:sz w:val="15"/>
              </w:rPr>
              <w:t>81,828</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38,286</w:t>
            </w:r>
          </w:p>
        </w:tc>
        <w:tc>
          <w:tcPr>
            <w:tcW w:type="dxa" w:w="950"/>
            <w:shd w:val="clear" w:color="auto" w:fill="F6F1E6"/>
          </w:tcPr>
          <w:p>
            <w:pPr>
              <w:spacing w:after="20"/>
              <w:jc w:val="right"/>
            </w:pPr>
            <w:r>
              <w:rPr>
                <w:b/>
                <w:color w:val="1C3A36"/>
                <w:sz w:val="15"/>
              </w:rPr>
              <w:t>46,512</w:t>
            </w:r>
          </w:p>
        </w:tc>
        <w:tc>
          <w:tcPr>
            <w:tcW w:type="dxa" w:w="950"/>
            <w:shd w:val="clear" w:color="auto" w:fill="F6F1E6"/>
          </w:tcPr>
          <w:p>
            <w:pPr>
              <w:spacing w:after="20"/>
              <w:jc w:val="right"/>
            </w:pPr>
            <w:r>
              <w:rPr>
                <w:b/>
                <w:color w:val="1C3A36"/>
                <w:sz w:val="15"/>
              </w:rPr>
              <w:t>54,041</w:t>
            </w:r>
          </w:p>
        </w:tc>
        <w:tc>
          <w:tcPr>
            <w:tcW w:type="dxa" w:w="950"/>
            <w:shd w:val="clear" w:color="auto" w:fill="F6F1E6"/>
          </w:tcPr>
          <w:p>
            <w:pPr>
              <w:spacing w:after="20"/>
              <w:jc w:val="right"/>
            </w:pPr>
            <w:r>
              <w:rPr>
                <w:b/>
                <w:color w:val="1C3A36"/>
                <w:sz w:val="15"/>
              </w:rPr>
              <w:t>61,508</w:t>
            </w:r>
          </w:p>
        </w:tc>
        <w:tc>
          <w:tcPr>
            <w:tcW w:type="dxa" w:w="950"/>
            <w:shd w:val="clear" w:color="auto" w:fill="F6F1E6"/>
          </w:tcPr>
          <w:p>
            <w:pPr>
              <w:spacing w:after="20"/>
              <w:jc w:val="right"/>
            </w:pPr>
            <w:r>
              <w:rPr>
                <w:b/>
                <w:color w:val="1C3A36"/>
                <w:sz w:val="15"/>
              </w:rPr>
              <w:t>68,967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(3,961)</w:t>
            </w:r>
          </w:p>
        </w:tc>
        <w:tc>
          <w:tcPr>
            <w:tcW w:type="dxa" w:w="950"/>
          </w:tcPr>
          <w:p>
            <w:pPr>
              <w:spacing w:after="20"/>
              <w:jc w:val="right"/>
            </w:pPr>
            <w:r>
              <w:rPr>
                <w:color w:val="1C3A36"/>
                <w:sz w:val="15"/>
              </w:rPr>
              <w:t>(4,726)</w:t>
            </w:r>
          </w:p>
        </w:tc>
        <w:tc>
          <w:tcPr>
            <w:tcW w:type="dxa" w:w="950"/>
          </w:tcPr>
          <w:p>
            <w:pPr>
              <w:spacing w:after="20"/>
              <w:jc w:val="right"/>
            </w:pPr>
            <w:r>
              <w:rPr>
                <w:color w:val="1C3A36"/>
                <w:sz w:val="15"/>
              </w:rPr>
              <w:t>(5,423)</w:t>
            </w:r>
          </w:p>
        </w:tc>
        <w:tc>
          <w:tcPr>
            <w:tcW w:type="dxa" w:w="950"/>
          </w:tcPr>
          <w:p>
            <w:pPr>
              <w:spacing w:after="20"/>
              <w:jc w:val="right"/>
            </w:pPr>
            <w:r>
              <w:rPr>
                <w:color w:val="1C3A36"/>
                <w:sz w:val="15"/>
              </w:rPr>
              <w:t>(6,137)</w:t>
            </w:r>
          </w:p>
        </w:tc>
        <w:tc>
          <w:tcPr>
            <w:tcW w:type="dxa" w:w="950"/>
          </w:tcPr>
          <w:p>
            <w:pPr>
              <w:spacing w:after="20"/>
              <w:jc w:val="right"/>
            </w:pPr>
            <w:r>
              <w:rPr>
                <w:color w:val="1C3A36"/>
                <w:sz w:val="15"/>
              </w:rPr>
              <w:t>(6,881)</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34,325</w:t>
            </w:r>
          </w:p>
        </w:tc>
        <w:tc>
          <w:tcPr>
            <w:tcW w:type="dxa" w:w="950"/>
            <w:shd w:val="clear" w:color="auto" w:fill="F6F1E6"/>
          </w:tcPr>
          <w:p>
            <w:pPr>
              <w:spacing w:after="20"/>
              <w:jc w:val="right"/>
            </w:pPr>
            <w:r>
              <w:rPr>
                <w:b/>
                <w:color w:val="1C3A36"/>
                <w:sz w:val="15"/>
              </w:rPr>
              <w:t>41,785</w:t>
            </w:r>
          </w:p>
        </w:tc>
        <w:tc>
          <w:tcPr>
            <w:tcW w:type="dxa" w:w="950"/>
            <w:shd w:val="clear" w:color="auto" w:fill="F6F1E6"/>
          </w:tcPr>
          <w:p>
            <w:pPr>
              <w:spacing w:after="20"/>
              <w:jc w:val="right"/>
            </w:pPr>
            <w:r>
              <w:rPr>
                <w:b/>
                <w:color w:val="1C3A36"/>
                <w:sz w:val="15"/>
              </w:rPr>
              <w:t>48,618</w:t>
            </w:r>
          </w:p>
        </w:tc>
        <w:tc>
          <w:tcPr>
            <w:tcW w:type="dxa" w:w="950"/>
            <w:shd w:val="clear" w:color="auto" w:fill="F6F1E6"/>
          </w:tcPr>
          <w:p>
            <w:pPr>
              <w:spacing w:after="20"/>
              <w:jc w:val="right"/>
            </w:pPr>
            <w:r>
              <w:rPr>
                <w:b/>
                <w:color w:val="1C3A36"/>
                <w:sz w:val="15"/>
              </w:rPr>
              <w:t>55,371</w:t>
            </w:r>
          </w:p>
        </w:tc>
        <w:tc>
          <w:tcPr>
            <w:tcW w:type="dxa" w:w="950"/>
            <w:shd w:val="clear" w:color="auto" w:fill="F6F1E6"/>
          </w:tcPr>
          <w:p>
            <w:pPr>
              <w:spacing w:after="20"/>
              <w:jc w:val="right"/>
            </w:pPr>
            <w:r>
              <w:rPr>
                <w:b/>
                <w:color w:val="1C3A36"/>
                <w:sz w:val="15"/>
              </w:rPr>
              <w:t>62,086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(2,029)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(1,097)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41,499</w:t>
            </w:r>
          </w:p>
        </w:tc>
        <w:tc>
          <w:tcPr>
            <w:tcW w:type="dxa" w:w="950"/>
          </w:tcPr>
          <w:p>
            <w:pPr>
              <w:spacing w:after="20"/>
              <w:jc w:val="right"/>
            </w:pPr>
            <w:r>
              <w:rPr>
                <w:color w:val="1C3A36"/>
                <w:sz w:val="15"/>
              </w:rPr>
              <w:t>48,565</w:t>
            </w:r>
          </w:p>
        </w:tc>
        <w:tc>
          <w:tcPr>
            <w:tcW w:type="dxa" w:w="950"/>
          </w:tcPr>
          <w:p>
            <w:pPr>
              <w:spacing w:after="20"/>
              <w:jc w:val="right"/>
            </w:pPr>
            <w:r>
              <w:rPr>
                <w:color w:val="1C3A36"/>
                <w:sz w:val="15"/>
              </w:rPr>
              <w:t>55,866</w:t>
            </w:r>
          </w:p>
        </w:tc>
        <w:tc>
          <w:tcPr>
            <w:tcW w:type="dxa" w:w="950"/>
          </w:tcPr>
          <w:p>
            <w:pPr>
              <w:spacing w:after="20"/>
              <w:jc w:val="right"/>
            </w:pPr>
            <w:r>
              <w:rPr>
                <w:color w:val="1C3A36"/>
                <w:sz w:val="15"/>
              </w:rPr>
              <w:t>63,294</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(10,167)</w:t>
            </w:r>
          </w:p>
        </w:tc>
        <w:tc>
          <w:tcPr>
            <w:tcW w:type="dxa" w:w="950"/>
          </w:tcPr>
          <w:p>
            <w:pPr>
              <w:spacing w:after="20"/>
              <w:jc w:val="right"/>
            </w:pPr>
            <w:r>
              <w:rPr>
                <w:color w:val="1C3A36"/>
                <w:sz w:val="15"/>
              </w:rPr>
              <w:t>(11,898)</w:t>
            </w:r>
          </w:p>
        </w:tc>
        <w:tc>
          <w:tcPr>
            <w:tcW w:type="dxa" w:w="950"/>
          </w:tcPr>
          <w:p>
            <w:pPr>
              <w:spacing w:after="20"/>
              <w:jc w:val="right"/>
            </w:pPr>
            <w:r>
              <w:rPr>
                <w:color w:val="1C3A36"/>
                <w:sz w:val="15"/>
              </w:rPr>
              <w:t>(13,687)</w:t>
            </w:r>
          </w:p>
        </w:tc>
        <w:tc>
          <w:tcPr>
            <w:tcW w:type="dxa" w:w="950"/>
          </w:tcPr>
          <w:p>
            <w:pPr>
              <w:spacing w:after="20"/>
              <w:jc w:val="right"/>
            </w:pPr>
            <w:r>
              <w:rPr>
                <w:color w:val="1C3A36"/>
                <w:sz w:val="15"/>
              </w:rPr>
              <w:t>(15,507)</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31,332</w:t>
            </w:r>
          </w:p>
        </w:tc>
        <w:tc>
          <w:tcPr>
            <w:tcW w:type="dxa" w:w="950"/>
          </w:tcPr>
          <w:p>
            <w:pPr>
              <w:spacing w:after="20"/>
              <w:jc w:val="right"/>
            </w:pPr>
            <w:r>
              <w:rPr>
                <w:color w:val="1C3A36"/>
                <w:sz w:val="15"/>
              </w:rPr>
              <w:t>36,666</w:t>
            </w:r>
          </w:p>
        </w:tc>
        <w:tc>
          <w:tcPr>
            <w:tcW w:type="dxa" w:w="950"/>
          </w:tcPr>
          <w:p>
            <w:pPr>
              <w:spacing w:after="20"/>
              <w:jc w:val="right"/>
            </w:pPr>
            <w:r>
              <w:rPr>
                <w:color w:val="1C3A36"/>
                <w:sz w:val="15"/>
              </w:rPr>
              <w:t>42,179</w:t>
            </w:r>
          </w:p>
        </w:tc>
        <w:tc>
          <w:tcPr>
            <w:tcW w:type="dxa" w:w="950"/>
          </w:tcPr>
          <w:p>
            <w:pPr>
              <w:spacing w:after="20"/>
              <w:jc w:val="right"/>
            </w:pPr>
            <w:r>
              <w:rPr>
                <w:color w:val="1C3A36"/>
                <w:sz w:val="15"/>
              </w:rPr>
              <w:t>47,787</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(2,504)</w:t>
            </w:r>
          </w:p>
        </w:tc>
        <w:tc>
          <w:tcPr>
            <w:tcW w:type="dxa" w:w="950"/>
          </w:tcPr>
          <w:p>
            <w:pPr>
              <w:spacing w:after="20"/>
              <w:jc w:val="right"/>
            </w:pPr>
            <w:r>
              <w:rPr>
                <w:color w:val="1C3A36"/>
                <w:sz w:val="15"/>
              </w:rPr>
              <w:t>(3,031)</w:t>
            </w:r>
          </w:p>
        </w:tc>
        <w:tc>
          <w:tcPr>
            <w:tcW w:type="dxa" w:w="950"/>
          </w:tcPr>
          <w:p>
            <w:pPr>
              <w:spacing w:after="20"/>
              <w:jc w:val="right"/>
            </w:pPr>
            <w:r>
              <w:rPr>
                <w:color w:val="1C3A36"/>
                <w:sz w:val="15"/>
              </w:rPr>
              <w:t>(3,547)</w:t>
            </w:r>
          </w:p>
        </w:tc>
        <w:tc>
          <w:tcPr>
            <w:tcW w:type="dxa" w:w="950"/>
          </w:tcPr>
          <w:p>
            <w:pPr>
              <w:spacing w:after="20"/>
              <w:jc w:val="right"/>
            </w:pPr>
            <w:r>
              <w:rPr>
                <w:color w:val="1C3A36"/>
                <w:sz w:val="15"/>
              </w:rPr>
              <w:t>(4,081)</w:t>
            </w:r>
          </w:p>
        </w:tc>
        <w:tc>
          <w:tcPr>
            <w:tcW w:type="dxa" w:w="950"/>
          </w:tcPr>
          <w:p>
            <w:pPr>
              <w:spacing w:after="20"/>
              <w:jc w:val="right"/>
            </w:pPr>
            <w:r>
              <w:rPr>
                <w:color w:val="1C3A36"/>
                <w:sz w:val="15"/>
              </w:rPr>
              <w:t>(4,623)</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23,375</w:t>
            </w:r>
          </w:p>
        </w:tc>
        <w:tc>
          <w:tcPr>
            <w:tcW w:type="dxa" w:w="950"/>
            <w:shd w:val="clear" w:color="auto" w:fill="F6F1E6"/>
          </w:tcPr>
          <w:p>
            <w:pPr>
              <w:spacing w:after="20"/>
              <w:jc w:val="right"/>
            </w:pPr>
            <w:r>
              <w:rPr>
                <w:b/>
                <w:color w:val="1C3A36"/>
                <w:sz w:val="15"/>
              </w:rPr>
              <w:t>28,300</w:t>
            </w:r>
          </w:p>
        </w:tc>
        <w:tc>
          <w:tcPr>
            <w:tcW w:type="dxa" w:w="950"/>
            <w:shd w:val="clear" w:color="auto" w:fill="F6F1E6"/>
          </w:tcPr>
          <w:p>
            <w:pPr>
              <w:spacing w:after="20"/>
              <w:jc w:val="right"/>
            </w:pPr>
            <w:r>
              <w:rPr>
                <w:b/>
                <w:color w:val="1C3A36"/>
                <w:sz w:val="15"/>
              </w:rPr>
              <w:t>33,119</w:t>
            </w:r>
          </w:p>
        </w:tc>
        <w:tc>
          <w:tcPr>
            <w:tcW w:type="dxa" w:w="950"/>
            <w:shd w:val="clear" w:color="auto" w:fill="F6F1E6"/>
          </w:tcPr>
          <w:p>
            <w:pPr>
              <w:spacing w:after="20"/>
              <w:jc w:val="right"/>
            </w:pPr>
            <w:r>
              <w:rPr>
                <w:b/>
                <w:color w:val="1C3A36"/>
                <w:sz w:val="15"/>
              </w:rPr>
              <w:t>38,098</w:t>
            </w:r>
          </w:p>
        </w:tc>
        <w:tc>
          <w:tcPr>
            <w:tcW w:type="dxa" w:w="950"/>
            <w:shd w:val="clear" w:color="auto" w:fill="F6F1E6"/>
          </w:tcPr>
          <w:p>
            <w:pPr>
              <w:spacing w:after="20"/>
              <w:jc w:val="right"/>
            </w:pPr>
            <w:r>
              <w:rPr>
                <w:b/>
                <w:color w:val="1C3A36"/>
                <w:sz w:val="15"/>
              </w:rPr>
              <w:t>43,164</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13.22</w:t>
            </w:r>
          </w:p>
        </w:tc>
        <w:tc>
          <w:tcPr>
            <w:tcW w:type="dxa" w:w="950"/>
          </w:tcPr>
          <w:p>
            <w:pPr>
              <w:spacing w:after="20"/>
              <w:jc w:val="right"/>
            </w:pPr>
            <w:r>
              <w:rPr>
                <w:color w:val="1C3A36"/>
                <w:sz w:val="15"/>
              </w:rPr>
              <w:t>15.47</w:t>
            </w:r>
          </w:p>
        </w:tc>
        <w:tc>
          <w:tcPr>
            <w:tcW w:type="dxa" w:w="950"/>
          </w:tcPr>
          <w:p>
            <w:pPr>
              <w:spacing w:after="20"/>
              <w:jc w:val="right"/>
            </w:pPr>
            <w:r>
              <w:rPr>
                <w:color w:val="1C3A36"/>
                <w:sz w:val="15"/>
              </w:rPr>
              <w:t>17.80</w:t>
            </w:r>
          </w:p>
        </w:tc>
        <w:tc>
          <w:tcPr>
            <w:tcW w:type="dxa" w:w="950"/>
          </w:tcPr>
          <w:p>
            <w:pPr>
              <w:spacing w:after="20"/>
              <w:jc w:val="right"/>
            </w:pPr>
            <w:r>
              <w:rPr>
                <w:color w:val="1C3A36"/>
                <w:sz w:val="15"/>
              </w:rPr>
              <w:t>20.16</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86,885</w:t>
            </w:r>
          </w:p>
        </w:tc>
        <w:tc>
          <w:tcPr>
            <w:tcW w:type="dxa" w:w="1426"/>
          </w:tcPr>
          <w:p>
            <w:pPr>
              <w:spacing w:after="20"/>
              <w:jc w:val="right"/>
            </w:pPr>
            <w:r>
              <w:rPr>
                <w:color w:val="1C3A36"/>
                <w:sz w:val="16"/>
              </w:rPr>
              <w:t>99,694</w:t>
            </w:r>
          </w:p>
        </w:tc>
        <w:tc>
          <w:tcPr>
            <w:tcW w:type="dxa" w:w="1426"/>
          </w:tcPr>
          <w:p>
            <w:pPr>
              <w:spacing w:after="20"/>
              <w:jc w:val="right"/>
            </w:pPr>
            <w:r>
              <w:rPr>
                <w:color w:val="1C3A36"/>
                <w:sz w:val="16"/>
              </w:rPr>
              <w:t>112,820</w:t>
            </w:r>
          </w:p>
        </w:tc>
        <w:tc>
          <w:tcPr>
            <w:tcW w:type="dxa" w:w="1426"/>
          </w:tcPr>
          <w:p>
            <w:pPr>
              <w:spacing w:after="20"/>
              <w:jc w:val="right"/>
            </w:pPr>
            <w:r>
              <w:rPr>
                <w:color w:val="1C3A36"/>
                <w:sz w:val="16"/>
              </w:rPr>
              <w:t>126,492</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56,293</w:t>
            </w:r>
          </w:p>
        </w:tc>
        <w:tc>
          <w:tcPr>
            <w:tcW w:type="dxa" w:w="1426"/>
          </w:tcPr>
          <w:p>
            <w:pPr>
              <w:spacing w:after="20"/>
              <w:jc w:val="right"/>
            </w:pPr>
            <w:r>
              <w:rPr>
                <w:color w:val="1C3A36"/>
                <w:sz w:val="16"/>
              </w:rPr>
              <w:t>68,985</w:t>
            </w:r>
          </w:p>
        </w:tc>
        <w:tc>
          <w:tcPr>
            <w:tcW w:type="dxa" w:w="1426"/>
          </w:tcPr>
          <w:p>
            <w:pPr>
              <w:spacing w:after="20"/>
              <w:jc w:val="right"/>
            </w:pPr>
            <w:r>
              <w:rPr>
                <w:color w:val="1C3A36"/>
                <w:sz w:val="16"/>
              </w:rPr>
              <w:t>83,349</w:t>
            </w:r>
          </w:p>
        </w:tc>
        <w:tc>
          <w:tcPr>
            <w:tcW w:type="dxa" w:w="1426"/>
          </w:tcPr>
          <w:p>
            <w:pPr>
              <w:spacing w:after="20"/>
              <w:jc w:val="right"/>
            </w:pPr>
            <w:r>
              <w:rPr>
                <w:color w:val="1C3A36"/>
                <w:sz w:val="16"/>
              </w:rPr>
              <w:t>99,453</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144,927</w:t>
            </w:r>
          </w:p>
        </w:tc>
        <w:tc>
          <w:tcPr>
            <w:tcW w:type="dxa" w:w="1426"/>
          </w:tcPr>
          <w:p>
            <w:pPr>
              <w:spacing w:after="20"/>
              <w:jc w:val="right"/>
            </w:pPr>
            <w:r>
              <w:rPr>
                <w:color w:val="1C3A36"/>
                <w:sz w:val="16"/>
              </w:rPr>
              <w:t>170,428</w:t>
            </w:r>
          </w:p>
        </w:tc>
        <w:tc>
          <w:tcPr>
            <w:tcW w:type="dxa" w:w="1426"/>
          </w:tcPr>
          <w:p>
            <w:pPr>
              <w:spacing w:after="20"/>
              <w:jc w:val="right"/>
            </w:pPr>
            <w:r>
              <w:rPr>
                <w:color w:val="1C3A36"/>
                <w:sz w:val="16"/>
              </w:rPr>
              <w:t>197,917</w:t>
            </w:r>
          </w:p>
        </w:tc>
        <w:tc>
          <w:tcPr>
            <w:tcW w:type="dxa" w:w="1426"/>
          </w:tcPr>
          <w:p>
            <w:pPr>
              <w:spacing w:after="20"/>
              <w:jc w:val="right"/>
            </w:pPr>
            <w:r>
              <w:rPr>
                <w:color w:val="1C3A36"/>
                <w:sz w:val="16"/>
              </w:rPr>
              <w:t>227,693</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(15,788)</w:t>
            </w:r>
          </w:p>
        </w:tc>
        <w:tc>
          <w:tcPr>
            <w:tcW w:type="dxa" w:w="1426"/>
          </w:tcPr>
          <w:p>
            <w:pPr>
              <w:spacing w:after="20"/>
              <w:jc w:val="right"/>
            </w:pPr>
            <w:r>
              <w:rPr>
                <w:color w:val="1C3A36"/>
                <w:sz w:val="16"/>
              </w:rPr>
              <w:t>(18,115)</w:t>
            </w:r>
          </w:p>
        </w:tc>
        <w:tc>
          <w:tcPr>
            <w:tcW w:type="dxa" w:w="1426"/>
          </w:tcPr>
          <w:p>
            <w:pPr>
              <w:spacing w:after="20"/>
              <w:jc w:val="right"/>
            </w:pPr>
            <w:r>
              <w:rPr>
                <w:color w:val="1C3A36"/>
                <w:sz w:val="16"/>
              </w:rPr>
              <w:t>(20,500)</w:t>
            </w:r>
          </w:p>
        </w:tc>
        <w:tc>
          <w:tcPr>
            <w:tcW w:type="dxa" w:w="1426"/>
          </w:tcPr>
          <w:p>
            <w:pPr>
              <w:spacing w:after="20"/>
              <w:jc w:val="right"/>
            </w:pPr>
            <w:r>
              <w:rPr>
                <w:color w:val="1C3A36"/>
                <w:sz w:val="16"/>
              </w:rPr>
              <w:t>(22,985)</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(14,068)</w:t>
            </w:r>
          </w:p>
        </w:tc>
        <w:tc>
          <w:tcPr>
            <w:tcW w:type="dxa" w:w="1426"/>
            <w:shd w:val="clear" w:color="auto" w:fill="F6F1E6"/>
          </w:tcPr>
          <w:p>
            <w:pPr>
              <w:spacing w:after="20"/>
              <w:jc w:val="right"/>
            </w:pPr>
            <w:r>
              <w:rPr>
                <w:b/>
                <w:color w:val="1C3A36"/>
                <w:sz w:val="16"/>
              </w:rPr>
              <w:t>(12,809)</w:t>
            </w:r>
          </w:p>
        </w:tc>
        <w:tc>
          <w:tcPr>
            <w:tcW w:type="dxa" w:w="1426"/>
            <w:shd w:val="clear" w:color="auto" w:fill="F6F1E6"/>
          </w:tcPr>
          <w:p>
            <w:pPr>
              <w:spacing w:after="20"/>
              <w:jc w:val="right"/>
            </w:pPr>
            <w:r>
              <w:rPr>
                <w:b/>
                <w:color w:val="1C3A36"/>
                <w:sz w:val="16"/>
              </w:rPr>
              <w:t>(13,126)</w:t>
            </w:r>
          </w:p>
        </w:tc>
        <w:tc>
          <w:tcPr>
            <w:tcW w:type="dxa" w:w="1426"/>
            <w:shd w:val="clear" w:color="auto" w:fill="F6F1E6"/>
          </w:tcPr>
          <w:p>
            <w:pPr>
              <w:spacing w:after="20"/>
              <w:jc w:val="right"/>
            </w:pPr>
            <w:r>
              <w:rPr>
                <w:b/>
                <w:color w:val="1C3A36"/>
                <w:sz w:val="16"/>
              </w:rPr>
              <w:t>(13,672)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6,419</w:t>
            </w:r>
          </w:p>
        </w:tc>
        <w:tc>
          <w:tcPr>
            <w:tcW w:type="dxa" w:w="1426"/>
          </w:tcPr>
          <w:p>
            <w:pPr>
              <w:spacing w:after="20"/>
              <w:jc w:val="right"/>
            </w:pPr>
            <w:r>
              <w:rPr>
                <w:color w:val="1C3A36"/>
                <w:sz w:val="16"/>
              </w:rPr>
              <w:t>11,205</w:t>
            </w:r>
          </w:p>
        </w:tc>
        <w:tc>
          <w:tcPr>
            <w:tcW w:type="dxa" w:w="1426"/>
          </w:tcPr>
          <w:p>
            <w:pPr>
              <w:spacing w:after="20"/>
              <w:jc w:val="right"/>
            </w:pPr>
            <w:r>
              <w:rPr>
                <w:color w:val="1C3A36"/>
                <w:sz w:val="16"/>
              </w:rPr>
              <w:t>14,316</w:t>
            </w:r>
          </w:p>
        </w:tc>
        <w:tc>
          <w:tcPr>
            <w:tcW w:type="dxa" w:w="1426"/>
          </w:tcPr>
          <w:p>
            <w:pPr>
              <w:spacing w:after="20"/>
              <w:jc w:val="right"/>
            </w:pPr>
            <w:r>
              <w:rPr>
                <w:color w:val="1C3A36"/>
                <w:sz w:val="16"/>
              </w:rPr>
              <w:t>17,099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105,627</w:t>
            </w:r>
          </w:p>
        </w:tc>
        <w:tc>
          <w:tcPr>
            <w:tcW w:type="dxa" w:w="1426"/>
          </w:tcPr>
          <w:p>
            <w:pPr>
              <w:spacing w:after="20"/>
              <w:jc w:val="right"/>
            </w:pPr>
            <w:r>
              <w:rPr>
                <w:color w:val="1C3A36"/>
                <w:sz w:val="16"/>
              </w:rPr>
              <w:t>130,466</w:t>
            </w:r>
          </w:p>
        </w:tc>
        <w:tc>
          <w:tcPr>
            <w:tcW w:type="dxa" w:w="1426"/>
          </w:tcPr>
          <w:p>
            <w:pPr>
              <w:spacing w:after="20"/>
              <w:jc w:val="right"/>
            </w:pPr>
            <w:r>
              <w:rPr>
                <w:color w:val="1C3A36"/>
                <w:sz w:val="16"/>
              </w:rPr>
              <w:t>159,040</w:t>
            </w:r>
          </w:p>
        </w:tc>
        <w:tc>
          <w:tcPr>
            <w:tcW w:type="dxa" w:w="1426"/>
          </w:tcPr>
          <w:p>
            <w:pPr>
              <w:spacing w:after="20"/>
              <w:jc w:val="right"/>
            </w:pPr>
            <w:r>
              <w:rPr>
                <w:color w:val="1C3A36"/>
                <w:sz w:val="16"/>
              </w:rPr>
              <w:t>191,413</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30,294</w:t>
            </w:r>
          </w:p>
        </w:tc>
        <w:tc>
          <w:tcPr>
            <w:tcW w:type="dxa" w:w="1426"/>
          </w:tcPr>
          <w:p>
            <w:pPr>
              <w:spacing w:after="20"/>
              <w:jc w:val="right"/>
            </w:pPr>
            <w:r>
              <w:rPr>
                <w:color w:val="1C3A36"/>
                <w:sz w:val="16"/>
              </w:rPr>
              <w:t>28,901</w:t>
            </w:r>
          </w:p>
        </w:tc>
        <w:tc>
          <w:tcPr>
            <w:tcW w:type="dxa" w:w="1426"/>
          </w:tcPr>
          <w:p>
            <w:pPr>
              <w:spacing w:after="20"/>
              <w:jc w:val="right"/>
            </w:pPr>
            <w:r>
              <w:rPr>
                <w:color w:val="1C3A36"/>
                <w:sz w:val="16"/>
              </w:rPr>
              <w:t>25,347</w:t>
            </w:r>
          </w:p>
        </w:tc>
        <w:tc>
          <w:tcPr>
            <w:tcW w:type="dxa" w:w="1426"/>
          </w:tcPr>
          <w:p>
            <w:pPr>
              <w:spacing w:after="20"/>
              <w:jc w:val="right"/>
            </w:pPr>
            <w:r>
              <w:rPr>
                <w:color w:val="1C3A36"/>
                <w:sz w:val="16"/>
              </w:rPr>
              <w:t>19,867</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23.27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82.95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21.94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73.70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49.71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173.71 and 103.51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506,834</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10.7%</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48,618</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15.65</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173.71</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127.48 – 219.94</w:t>
            </w:r>
          </w:p>
        </w:tc>
      </w:tr>
    </w:tbl>
    <w:p>
      <w:pPr>
        <w:spacing w:after="40"/>
      </w:pPr>
    </w:p>
    <w:p>
      <w:pPr>
        <w:spacing w:after="120" w:before="0"/>
      </w:pPr>
      <w:r>
        <w:rPr>
          <w:b w:val="0"/>
          <w:i w:val="0"/>
          <w:color w:val="1C3A36"/>
          <w:sz w:val="21"/>
        </w:rPr>
        <w:t>Named sensitivity: each one-turn change in the multiple is worth EGP 15.65 per share, and each percentage point of mid-cycle EBITDA margin is worth roughly EGP 1.47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14,207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(1,316)</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12,283</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93.77</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33.88 – 64.15</w:t>
            </w:r>
          </w:p>
        </w:tc>
      </w:tr>
    </w:tbl>
    <w:p>
      <w:pPr>
        <w:spacing w:after="40"/>
      </w:pPr>
    </w:p>
    <w:p>
      <w:pPr>
        <w:spacing w:after="120" w:before="0"/>
      </w:pPr>
      <w:r>
        <w:rPr>
          <w:b w:val="0"/>
          <w:i w:val="0"/>
          <w:color w:val="1C3A36"/>
          <w:sz w:val="21"/>
        </w:rPr>
        <w:t>This is the harshest of the three readings, at EGP 93.77,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20,024</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83,357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196,943</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89.33</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66.64 – 81.68</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-1.1pp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4,136</w:t>
            </w:r>
          </w:p>
        </w:tc>
        <w:tc>
          <w:tcPr>
            <w:tcW w:type="dxa" w:w="1426"/>
            <w:shd w:val="clear" w:color="auto" w:fill="F6F1E6"/>
          </w:tcPr>
          <w:p>
            <w:pPr>
              <w:spacing w:after="20"/>
              <w:jc w:val="right"/>
            </w:pPr>
            <w:r>
              <w:rPr>
                <w:b/>
                <w:color w:val="1C3A36"/>
                <w:sz w:val="16"/>
              </w:rPr>
              <w:t>8,097</w:t>
            </w:r>
          </w:p>
        </w:tc>
        <w:tc>
          <w:tcPr>
            <w:tcW w:type="dxa" w:w="1426"/>
            <w:shd w:val="clear" w:color="auto" w:fill="F6F1E6"/>
          </w:tcPr>
          <w:p>
            <w:pPr>
              <w:spacing w:after="20"/>
              <w:jc w:val="right"/>
            </w:pPr>
            <w:r>
              <w:rPr>
                <w:b/>
                <w:color w:val="1C3A36"/>
                <w:sz w:val="16"/>
              </w:rPr>
              <w:t>12,444</w:t>
            </w:r>
          </w:p>
        </w:tc>
        <w:tc>
          <w:tcPr>
            <w:tcW w:type="dxa" w:w="1426"/>
            <w:shd w:val="clear" w:color="auto" w:fill="F6F1E6"/>
          </w:tcPr>
          <w:p>
            <w:pPr>
              <w:spacing w:after="20"/>
              <w:jc w:val="right"/>
            </w:pPr>
            <w:r>
              <w:rPr>
                <w:b/>
                <w:color w:val="1C3A36"/>
                <w:sz w:val="16"/>
              </w:rPr>
              <w:t>16,507</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(196,943) and the DCF's (218,783) differ by 21,840: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93.77; the vertical line is the market price of 130.00.</w:t>
      </w:r>
    </w:p>
    <w:p>
      <w:pPr>
        <w:spacing w:after="120" w:before="0"/>
      </w:pPr>
      <w:r>
        <w:rPr>
          <w:b w:val="0"/>
          <w:i w:val="0"/>
          <w:color w:val="1C3A36"/>
          <w:sz w:val="21"/>
        </w:rPr>
        <w:t>The panel spans EGP 89.33 to 173.71 — a factor of 1.9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93.77 sits -28% against the market price and +7% against the study's own central of 87.76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