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3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11.83 a share against a market price of EGP 13.50. Fair value sits 12.3% BELOW the price; equivalently the price stands 14.1% ABOVE fair value. The range across the lenses is EGP 1.59 to 24.97 and the price is inside it. All four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13.18, -2.3%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10.36%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58%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880"/>
        <w:gridCol w:w="1037"/>
        <w:gridCol w:w="1037"/>
        <w:gridCol w:w="1037"/>
        <w:gridCol w:w="1037"/>
      </w:tblGrid>
      <w:tr>
        <w:tc>
          <w:tcPr>
            <w:tcW w:type="dxa" w:w="2520"/>
            <w:shd w:val="clear" w:color="auto" w:fill="EAF0EE"/>
          </w:tcPr>
          <w:p>
            <w:pPr>
              <w:spacing w:after="20"/>
            </w:pPr>
            <w:r>
              <w:rPr>
                <w:b/>
                <w:color w:val="1C3A36"/>
                <w:sz w:val="18"/>
              </w:rPr>
              <w:t>Lens</w:t>
            </w:r>
          </w:p>
        </w:tc>
        <w:tc>
          <w:tcPr>
            <w:tcW w:type="dxa" w:w="2880"/>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037"/>
            <w:shd w:val="clear" w:color="auto" w:fill="EAF0EE"/>
          </w:tcPr>
          <w:p>
            <w:pPr>
              <w:spacing w:after="20"/>
            </w:pPr>
            <w:r>
              <w:rPr>
                <w:b/>
                <w:color w:val="1C3A36"/>
                <w:sz w:val="18"/>
              </w:rPr>
              <w:t>vs price</w:t>
            </w:r>
          </w:p>
        </w:tc>
      </w:tr>
      <w:tr>
        <w:tc>
          <w:tcPr>
            <w:tcW w:type="dxa" w:w="2520"/>
          </w:tcPr>
          <w:p>
            <w:pPr>
              <w:spacing w:after="20"/>
            </w:pPr>
            <w:r>
              <w:rPr>
                <w:color w:val="1C3A36"/>
                <w:sz w:val="18"/>
              </w:rPr>
              <w:t>Discounted cash flow — THE ANSWER</w:t>
            </w:r>
          </w:p>
        </w:tc>
        <w:tc>
          <w:tcPr>
            <w:tcW w:type="dxa" w:w="2880"/>
          </w:tcPr>
          <w:p>
            <w:pPr>
              <w:spacing w:after="20"/>
            </w:pPr>
            <w:r>
              <w:rPr>
                <w:color w:val="1C3A36"/>
                <w:sz w:val="18"/>
              </w:rPr>
              <w:t>unlevered cash, discounted on a glide</w:t>
            </w:r>
          </w:p>
        </w:tc>
        <w:tc>
          <w:tcPr>
            <w:tcW w:type="dxa" w:w="1037"/>
          </w:tcPr>
          <w:p>
            <w:pPr>
              <w:spacing w:after="20"/>
              <w:jc w:val="right"/>
            </w:pPr>
            <w:r>
              <w:rPr>
                <w:color w:val="1C3A36"/>
                <w:sz w:val="18"/>
              </w:rPr>
              <w:t>1.59</w:t>
            </w:r>
          </w:p>
        </w:tc>
        <w:tc>
          <w:tcPr>
            <w:tcW w:type="dxa" w:w="1037"/>
          </w:tcPr>
          <w:p>
            <w:pPr>
              <w:spacing w:after="20"/>
              <w:jc w:val="right"/>
            </w:pPr>
            <w:r>
              <w:rPr>
                <w:color w:val="1C3A36"/>
                <w:sz w:val="18"/>
              </w:rPr>
              <w:t>11.83</w:t>
            </w:r>
          </w:p>
        </w:tc>
        <w:tc>
          <w:tcPr>
            <w:tcW w:type="dxa" w:w="1037"/>
          </w:tcPr>
          <w:p>
            <w:pPr>
              <w:spacing w:after="20"/>
              <w:jc w:val="right"/>
            </w:pPr>
            <w:r>
              <w:rPr>
                <w:color w:val="1C3A36"/>
                <w:sz w:val="18"/>
              </w:rPr>
              <w:t>24.97</w:t>
            </w:r>
          </w:p>
        </w:tc>
        <w:tc>
          <w:tcPr>
            <w:tcW w:type="dxa" w:w="1037"/>
          </w:tcPr>
          <w:p>
            <w:pPr>
              <w:spacing w:after="20"/>
              <w:jc w:val="right"/>
            </w:pPr>
            <w:r>
              <w:rPr>
                <w:color w:val="1C3A36"/>
                <w:sz w:val="18"/>
              </w:rPr>
              <w:t>-12.3%</w:t>
            </w:r>
          </w:p>
        </w:tc>
      </w:tr>
      <w:tr>
        <w:tc>
          <w:tcPr>
            <w:tcW w:type="dxa" w:w="2520"/>
          </w:tcPr>
          <w:p>
            <w:pPr>
              <w:spacing w:after="20"/>
            </w:pPr>
            <w:r>
              <w:rPr>
                <w:color w:val="1C3A36"/>
                <w:sz w:val="18"/>
              </w:rPr>
              <w:t>Relative multiples — WITHDRAWN</w:t>
            </w:r>
          </w:p>
        </w:tc>
        <w:tc>
          <w:tcPr>
            <w:tcW w:type="dxa" w:w="2880"/>
          </w:tcPr>
          <w:p>
            <w:pPr>
              <w:spacing w:after="20"/>
            </w:pPr>
            <w:r>
              <w:rPr>
                <w:color w:val="1C3A36"/>
                <w:sz w:val="18"/>
              </w:rPr>
              <w:t>its multiple WAS the traded one; a diagnostic of what the market pays, not a valuation</w:t>
            </w:r>
          </w:p>
        </w:tc>
        <w:tc>
          <w:tcPr>
            <w:tcW w:type="dxa" w:w="1037"/>
          </w:tcPr>
          <w:p>
            <w:pPr>
              <w:spacing w:after="20"/>
              <w:jc w:val="right"/>
            </w:pPr>
            <w:r>
              <w:rPr>
                <w:color w:val="1C3A36"/>
                <w:sz w:val="18"/>
              </w:rPr>
              <w:t>—</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w:t>
            </w:r>
          </w:p>
        </w:tc>
        <w:tc>
          <w:tcPr>
            <w:tcW w:type="dxa" w:w="1037"/>
          </w:tcPr>
          <w:p>
            <w:pPr>
              <w:spacing w:after="20"/>
              <w:jc w:val="right"/>
            </w:pPr>
            <w:r>
              <w:rPr>
                <w:color w:val="1C3A36"/>
                <w:sz w:val="18"/>
              </w:rPr>
              <w:t>-6.8%</w:t>
            </w:r>
          </w:p>
        </w:tc>
      </w:tr>
      <w:tr>
        <w:tc>
          <w:tcPr>
            <w:tcW w:type="dxa" w:w="2520"/>
          </w:tcPr>
          <w:p>
            <w:pPr>
              <w:spacing w:after="20"/>
            </w:pPr>
            <w:r>
              <w:rPr>
                <w:color w:val="1C3A36"/>
                <w:sz w:val="18"/>
              </w:rPr>
              <w:t>Normalised earnings — a cross-check</w:t>
            </w:r>
          </w:p>
        </w:tc>
        <w:tc>
          <w:tcPr>
            <w:tcW w:type="dxa" w:w="2880"/>
          </w:tcPr>
          <w:p>
            <w:pPr>
              <w:spacing w:after="20"/>
            </w:pPr>
            <w:r>
              <w:rPr>
                <w:color w:val="1C3A36"/>
                <w:sz w:val="18"/>
              </w:rPr>
              <w:t>mid-cycle operating EPS, discounted</w:t>
            </w:r>
          </w:p>
        </w:tc>
        <w:tc>
          <w:tcPr>
            <w:tcW w:type="dxa" w:w="1037"/>
          </w:tcPr>
          <w:p>
            <w:pPr>
              <w:spacing w:after="20"/>
              <w:jc w:val="right"/>
            </w:pPr>
            <w:r>
              <w:rPr>
                <w:color w:val="1C3A36"/>
                <w:sz w:val="18"/>
              </w:rPr>
              <w:t>7.12</w:t>
            </w:r>
          </w:p>
        </w:tc>
        <w:tc>
          <w:tcPr>
            <w:tcW w:type="dxa" w:w="1037"/>
          </w:tcPr>
          <w:p>
            <w:pPr>
              <w:spacing w:after="20"/>
              <w:jc w:val="right"/>
            </w:pPr>
            <w:r>
              <w:rPr>
                <w:color w:val="1C3A36"/>
                <w:sz w:val="18"/>
              </w:rPr>
              <w:t>9.22</w:t>
            </w:r>
          </w:p>
        </w:tc>
        <w:tc>
          <w:tcPr>
            <w:tcW w:type="dxa" w:w="1037"/>
          </w:tcPr>
          <w:p>
            <w:pPr>
              <w:spacing w:after="20"/>
              <w:jc w:val="right"/>
            </w:pPr>
            <w:r>
              <w:rPr>
                <w:color w:val="1C3A36"/>
                <w:sz w:val="18"/>
              </w:rPr>
              <w:t>11.32</w:t>
            </w:r>
          </w:p>
        </w:tc>
        <w:tc>
          <w:tcPr>
            <w:tcW w:type="dxa" w:w="1037"/>
          </w:tcPr>
          <w:p>
            <w:pPr>
              <w:spacing w:after="20"/>
              <w:jc w:val="right"/>
            </w:pPr>
            <w:r>
              <w:rPr>
                <w:color w:val="1C3A36"/>
                <w:sz w:val="18"/>
              </w:rPr>
              <w:t>-31.7%</w:t>
            </w:r>
          </w:p>
        </w:tc>
      </w:tr>
      <w:tr>
        <w:tc>
          <w:tcPr>
            <w:tcW w:type="dxa" w:w="2520"/>
          </w:tcPr>
          <w:p>
            <w:pPr>
              <w:spacing w:after="20"/>
            </w:pPr>
            <w:r>
              <w:rPr>
                <w:color w:val="1C3A36"/>
                <w:sz w:val="18"/>
              </w:rPr>
              <w:t>Book value — a disclosed floor</w:t>
            </w:r>
          </w:p>
        </w:tc>
        <w:tc>
          <w:tcPr>
            <w:tcW w:type="dxa" w:w="2880"/>
          </w:tcPr>
          <w:p>
            <w:pPr>
              <w:spacing w:after="20"/>
            </w:pPr>
            <w:r>
              <w:rPr>
                <w:color w:val="1C3A36"/>
                <w:sz w:val="18"/>
              </w:rPr>
              <w:t>justified price-to-book</w:t>
            </w:r>
          </w:p>
        </w:tc>
        <w:tc>
          <w:tcPr>
            <w:tcW w:type="dxa" w:w="1037"/>
          </w:tcPr>
          <w:p>
            <w:pPr>
              <w:spacing w:after="20"/>
              <w:jc w:val="right"/>
            </w:pPr>
            <w:r>
              <w:rPr>
                <w:color w:val="1C3A36"/>
                <w:sz w:val="18"/>
              </w:rPr>
              <w:t>4.74</w:t>
            </w:r>
          </w:p>
        </w:tc>
        <w:tc>
          <w:tcPr>
            <w:tcW w:type="dxa" w:w="1037"/>
          </w:tcPr>
          <w:p>
            <w:pPr>
              <w:spacing w:after="20"/>
              <w:jc w:val="right"/>
            </w:pPr>
            <w:r>
              <w:rPr>
                <w:color w:val="1C3A36"/>
                <w:sz w:val="18"/>
              </w:rPr>
              <w:t>6.23</w:t>
            </w:r>
          </w:p>
        </w:tc>
        <w:tc>
          <w:tcPr>
            <w:tcW w:type="dxa" w:w="1037"/>
          </w:tcPr>
          <w:p>
            <w:pPr>
              <w:spacing w:after="20"/>
              <w:jc w:val="right"/>
            </w:pPr>
            <w:r>
              <w:rPr>
                <w:color w:val="1C3A36"/>
                <w:sz w:val="18"/>
              </w:rPr>
              <w:t>7.12</w:t>
            </w:r>
          </w:p>
        </w:tc>
        <w:tc>
          <w:tcPr>
            <w:tcW w:type="dxa" w:w="1037"/>
          </w:tcPr>
          <w:p>
            <w:pPr>
              <w:spacing w:after="20"/>
              <w:jc w:val="right"/>
            </w:pPr>
            <w:r>
              <w:rPr>
                <w:color w:val="1C3A36"/>
                <w:sz w:val="18"/>
              </w:rPr>
              <w:t>-53.9%</w:t>
            </w:r>
          </w:p>
        </w:tc>
      </w:tr>
      <w:tr>
        <w:tc>
          <w:tcPr>
            <w:tcW w:type="dxa" w:w="2520"/>
            <w:shd w:val="clear" w:color="auto" w:fill="F6F1E6"/>
          </w:tcPr>
          <w:p>
            <w:pPr>
              <w:spacing w:after="20"/>
            </w:pPr>
            <w:r>
              <w:rPr>
                <w:b/>
                <w:color w:val="1C3A36"/>
                <w:sz w:val="18"/>
              </w:rPr>
              <w:t>CENTRAL</w:t>
            </w:r>
          </w:p>
        </w:tc>
        <w:tc>
          <w:tcPr>
            <w:tcW w:type="dxa" w:w="2880"/>
            <w:shd w:val="clear" w:color="auto" w:fill="F6F1E6"/>
          </w:tcPr>
          <w:p>
            <w:pPr>
              <w:spacing w:after="20"/>
            </w:pPr>
            <w:r>
              <w:rPr>
                <w:b/>
                <w:color w:val="1C3A36"/>
                <w:sz w:val="18"/>
              </w:rPr>
              <w:t>the cash-flow lens, alone</w:t>
            </w:r>
          </w:p>
        </w:tc>
        <w:tc>
          <w:tcPr>
            <w:tcW w:type="dxa" w:w="1037"/>
            <w:shd w:val="clear" w:color="auto" w:fill="F6F1E6"/>
          </w:tcPr>
          <w:p>
            <w:pPr>
              <w:spacing w:after="20"/>
              <w:jc w:val="right"/>
            </w:pPr>
            <w:r>
              <w:rPr>
                <w:b/>
                <w:color w:val="1C3A36"/>
                <w:sz w:val="18"/>
              </w:rPr>
              <w:t>1.59</w:t>
            </w:r>
          </w:p>
        </w:tc>
        <w:tc>
          <w:tcPr>
            <w:tcW w:type="dxa" w:w="1037"/>
            <w:shd w:val="clear" w:color="auto" w:fill="F6F1E6"/>
          </w:tcPr>
          <w:p>
            <w:pPr>
              <w:spacing w:after="20"/>
              <w:jc w:val="right"/>
            </w:pPr>
            <w:r>
              <w:rPr>
                <w:b/>
                <w:color w:val="1C3A36"/>
                <w:sz w:val="18"/>
              </w:rPr>
              <w:t>11.83</w:t>
            </w:r>
          </w:p>
        </w:tc>
        <w:tc>
          <w:tcPr>
            <w:tcW w:type="dxa" w:w="1037"/>
            <w:shd w:val="clear" w:color="auto" w:fill="F6F1E6"/>
          </w:tcPr>
          <w:p>
            <w:pPr>
              <w:spacing w:after="20"/>
              <w:jc w:val="right"/>
            </w:pPr>
            <w:r>
              <w:rPr>
                <w:b/>
                <w:color w:val="1C3A36"/>
                <w:sz w:val="18"/>
              </w:rPr>
              <w:t>24.97</w:t>
            </w:r>
          </w:p>
        </w:tc>
        <w:tc>
          <w:tcPr>
            <w:tcW w:type="dxa" w:w="1037"/>
            <w:shd w:val="clear" w:color="auto" w:fill="F6F1E6"/>
          </w:tcPr>
          <w:p>
            <w:pPr>
              <w:spacing w:after="20"/>
              <w:jc w:val="right"/>
            </w:pPr>
            <w:r>
              <w:rPr>
                <w:b/>
                <w:color w:val="1C3A36"/>
                <w:sz w:val="18"/>
              </w:rPr>
              <w:t>-12.3%</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1.59–24.97; that is reported as an ENVELOPE. The retired 45/20/20/15 blend of these four would read EGP 10.62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6431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643110"/>
                    </a:xfrm>
                    <a:prstGeom prst="rect"/>
                  </pic:spPr>
                </pic:pic>
              </a:graphicData>
            </a:graphic>
          </wp:inline>
        </w:drawing>
      </w:r>
    </w:p>
    <w:p>
      <w:pPr>
        <w:spacing w:after="200" w:before="0"/>
      </w:pPr>
      <w:r>
        <w:rPr>
          <w:b w:val="0"/>
          <w:i/>
          <w:color w:val="6E7B77"/>
          <w:sz w:val="17"/>
        </w:rPr>
        <w:t>Figure 1 — the football field. The price (red dashed) is shown against every lens base and against the cash-flow lens’s own bear-to-bull range.</w:t>
      </w:r>
    </w:p>
    <w:p>
      <w:pPr>
        <w:spacing w:after="120" w:before="280"/>
      </w:pPr>
      <w:r>
        <w:rPr>
          <w:b/>
          <w:i w:val="0"/>
          <w:color w:val="1C3A36"/>
          <w:sz w:val="30"/>
        </w:rPr>
        <w:t>The company</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half AMOC disclosed to the Egyptian Exchange on 29-30 July 2026, one week before this study’s anchor date. No annualisation scalar is applied to either half. HALF OF THIS BASE YEAR IS A PRESS RELEASE AND NOT A FILING, and this study says so on every page that uses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second half SOLVED, see below</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bl>
    <w:p>
      <w:pPr>
        <w:spacing w:after="40"/>
      </w:pPr>
    </w:p>
    <w:p>
      <w:pPr>
        <w:spacing w:after="200" w:before="0"/>
      </w:pPr>
      <w:r>
        <w:rPr>
          <w:b w:val="0"/>
          <w:i/>
          <w:color w:val="6E7B77"/>
          <w:sz w:val="17"/>
        </w:rPr>
        <w:t>Table 6 — the filed margin record. Four consecutively filed periods; the margin ranges 5.05% to 10.19%, a spread of 514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12.14  (+2.6%)</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12.61  (+6.5%)</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12.03  (+1.7%)</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7,719</w:t>
            </w:r>
          </w:p>
        </w:tc>
        <w:tc>
          <w:tcPr>
            <w:tcW w:type="dxa" w:w="1195"/>
          </w:tcPr>
          <w:p>
            <w:pPr>
              <w:spacing w:after="20"/>
              <w:jc w:val="right"/>
            </w:pPr>
            <w:r>
              <w:rPr>
                <w:color w:val="1C3A36"/>
                <w:sz w:val="16"/>
              </w:rPr>
              <w:t>8,510</w:t>
            </w:r>
          </w:p>
        </w:tc>
        <w:tc>
          <w:tcPr>
            <w:tcW w:type="dxa" w:w="1195"/>
          </w:tcPr>
          <w:p>
            <w:pPr>
              <w:spacing w:after="20"/>
              <w:jc w:val="right"/>
            </w:pPr>
            <w:r>
              <w:rPr>
                <w:color w:val="1C3A36"/>
                <w:sz w:val="16"/>
              </w:rPr>
              <w:t>9,257</w:t>
            </w:r>
          </w:p>
        </w:tc>
        <w:tc>
          <w:tcPr>
            <w:tcW w:type="dxa" w:w="1195"/>
          </w:tcPr>
          <w:p>
            <w:pPr>
              <w:spacing w:after="20"/>
              <w:jc w:val="right"/>
            </w:pPr>
            <w:r>
              <w:rPr>
                <w:color w:val="1C3A36"/>
                <w:sz w:val="16"/>
              </w:rPr>
              <w:t>9,935</w:t>
            </w:r>
          </w:p>
        </w:tc>
        <w:tc>
          <w:tcPr>
            <w:tcW w:type="dxa" w:w="1195"/>
          </w:tcPr>
          <w:p>
            <w:pPr>
              <w:spacing w:after="20"/>
              <w:jc w:val="right"/>
            </w:pPr>
            <w:r>
              <w:rPr>
                <w:color w:val="1C3A36"/>
                <w:sz w:val="16"/>
              </w:rPr>
              <w:t>10,613</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5,198</w:t>
            </w:r>
          </w:p>
        </w:tc>
        <w:tc>
          <w:tcPr>
            <w:tcW w:type="dxa" w:w="1195"/>
          </w:tcPr>
          <w:p>
            <w:pPr>
              <w:spacing w:after="20"/>
              <w:jc w:val="right"/>
            </w:pPr>
            <w:r>
              <w:rPr>
                <w:color w:val="1C3A36"/>
                <w:sz w:val="16"/>
              </w:rPr>
              <w:t>5,730</w:t>
            </w:r>
          </w:p>
        </w:tc>
        <w:tc>
          <w:tcPr>
            <w:tcW w:type="dxa" w:w="1195"/>
          </w:tcPr>
          <w:p>
            <w:pPr>
              <w:spacing w:after="20"/>
              <w:jc w:val="right"/>
            </w:pPr>
            <w:r>
              <w:rPr>
                <w:color w:val="1C3A36"/>
                <w:sz w:val="16"/>
              </w:rPr>
              <w:t>6,233</w:t>
            </w:r>
          </w:p>
        </w:tc>
        <w:tc>
          <w:tcPr>
            <w:tcW w:type="dxa" w:w="1195"/>
          </w:tcPr>
          <w:p>
            <w:pPr>
              <w:spacing w:after="20"/>
              <w:jc w:val="right"/>
            </w:pPr>
            <w:r>
              <w:rPr>
                <w:color w:val="1C3A36"/>
                <w:sz w:val="16"/>
              </w:rPr>
              <w:t>6,689</w:t>
            </w:r>
          </w:p>
        </w:tc>
        <w:tc>
          <w:tcPr>
            <w:tcW w:type="dxa" w:w="1195"/>
          </w:tcPr>
          <w:p>
            <w:pPr>
              <w:spacing w:after="20"/>
              <w:jc w:val="right"/>
            </w:pPr>
            <w:r>
              <w:rPr>
                <w:color w:val="1C3A36"/>
                <w:sz w:val="16"/>
              </w:rPr>
              <w:t>7,146</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14,559</w:t>
            </w:r>
          </w:p>
        </w:tc>
        <w:tc>
          <w:tcPr>
            <w:tcW w:type="dxa" w:w="1195"/>
          </w:tcPr>
          <w:p>
            <w:pPr>
              <w:spacing w:after="20"/>
              <w:jc w:val="right"/>
            </w:pPr>
            <w:r>
              <w:rPr>
                <w:color w:val="1C3A36"/>
                <w:sz w:val="16"/>
              </w:rPr>
              <w:t>16,050</w:t>
            </w:r>
          </w:p>
        </w:tc>
        <w:tc>
          <w:tcPr>
            <w:tcW w:type="dxa" w:w="1195"/>
          </w:tcPr>
          <w:p>
            <w:pPr>
              <w:spacing w:after="20"/>
              <w:jc w:val="right"/>
            </w:pPr>
            <w:r>
              <w:rPr>
                <w:color w:val="1C3A36"/>
                <w:sz w:val="16"/>
              </w:rPr>
              <w:t>17,459</w:t>
            </w:r>
          </w:p>
        </w:tc>
        <w:tc>
          <w:tcPr>
            <w:tcW w:type="dxa" w:w="1195"/>
          </w:tcPr>
          <w:p>
            <w:pPr>
              <w:spacing w:after="20"/>
              <w:jc w:val="right"/>
            </w:pPr>
            <w:r>
              <w:rPr>
                <w:color w:val="1C3A36"/>
                <w:sz w:val="16"/>
              </w:rPr>
              <w:t>18,737</w:t>
            </w:r>
          </w:p>
        </w:tc>
        <w:tc>
          <w:tcPr>
            <w:tcW w:type="dxa" w:w="1195"/>
          </w:tcPr>
          <w:p>
            <w:pPr>
              <w:spacing w:after="20"/>
              <w:jc w:val="right"/>
            </w:pPr>
            <w:r>
              <w:rPr>
                <w:color w:val="1C3A36"/>
                <w:sz w:val="16"/>
              </w:rPr>
              <w:t>20,017</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2,500</w:t>
            </w:r>
          </w:p>
        </w:tc>
        <w:tc>
          <w:tcPr>
            <w:tcW w:type="dxa" w:w="1195"/>
          </w:tcPr>
          <w:p>
            <w:pPr>
              <w:spacing w:after="20"/>
              <w:jc w:val="right"/>
            </w:pPr>
            <w:r>
              <w:rPr>
                <w:color w:val="1C3A36"/>
                <w:sz w:val="16"/>
              </w:rPr>
              <w:t>2,756</w:t>
            </w:r>
          </w:p>
        </w:tc>
        <w:tc>
          <w:tcPr>
            <w:tcW w:type="dxa" w:w="1195"/>
          </w:tcPr>
          <w:p>
            <w:pPr>
              <w:spacing w:after="20"/>
              <w:jc w:val="right"/>
            </w:pPr>
            <w:r>
              <w:rPr>
                <w:color w:val="1C3A36"/>
                <w:sz w:val="16"/>
              </w:rPr>
              <w:t>2,998</w:t>
            </w:r>
          </w:p>
        </w:tc>
        <w:tc>
          <w:tcPr>
            <w:tcW w:type="dxa" w:w="1195"/>
          </w:tcPr>
          <w:p>
            <w:pPr>
              <w:spacing w:after="20"/>
              <w:jc w:val="right"/>
            </w:pPr>
            <w:r>
              <w:rPr>
                <w:color w:val="1C3A36"/>
                <w:sz w:val="16"/>
              </w:rPr>
              <w:t>3,217</w:t>
            </w:r>
          </w:p>
        </w:tc>
        <w:tc>
          <w:tcPr>
            <w:tcW w:type="dxa" w:w="1195"/>
          </w:tcPr>
          <w:p>
            <w:pPr>
              <w:spacing w:after="20"/>
              <w:jc w:val="right"/>
            </w:pPr>
            <w:r>
              <w:rPr>
                <w:color w:val="1C3A36"/>
                <w:sz w:val="16"/>
              </w:rPr>
              <w:t>3,437</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2,313</w:t>
            </w:r>
          </w:p>
        </w:tc>
        <w:tc>
          <w:tcPr>
            <w:tcW w:type="dxa" w:w="1195"/>
          </w:tcPr>
          <w:p>
            <w:pPr>
              <w:spacing w:after="20"/>
              <w:jc w:val="right"/>
            </w:pPr>
            <w:r>
              <w:rPr>
                <w:color w:val="1C3A36"/>
                <w:sz w:val="16"/>
              </w:rPr>
              <w:t>2,550</w:t>
            </w:r>
          </w:p>
        </w:tc>
        <w:tc>
          <w:tcPr>
            <w:tcW w:type="dxa" w:w="1195"/>
          </w:tcPr>
          <w:p>
            <w:pPr>
              <w:spacing w:after="20"/>
              <w:jc w:val="right"/>
            </w:pPr>
            <w:r>
              <w:rPr>
                <w:color w:val="1C3A36"/>
                <w:sz w:val="16"/>
              </w:rPr>
              <w:t>2,774</w:t>
            </w:r>
          </w:p>
        </w:tc>
        <w:tc>
          <w:tcPr>
            <w:tcW w:type="dxa" w:w="1195"/>
          </w:tcPr>
          <w:p>
            <w:pPr>
              <w:spacing w:after="20"/>
              <w:jc w:val="right"/>
            </w:pPr>
            <w:r>
              <w:rPr>
                <w:color w:val="1C3A36"/>
                <w:sz w:val="16"/>
              </w:rPr>
              <w:t>2,977</w:t>
            </w:r>
          </w:p>
        </w:tc>
        <w:tc>
          <w:tcPr>
            <w:tcW w:type="dxa" w:w="1195"/>
          </w:tcPr>
          <w:p>
            <w:pPr>
              <w:spacing w:after="20"/>
              <w:jc w:val="right"/>
            </w:pPr>
            <w:r>
              <w:rPr>
                <w:color w:val="1C3A36"/>
                <w:sz w:val="16"/>
              </w:rPr>
              <w:t>3,180</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19,705</w:t>
            </w:r>
          </w:p>
        </w:tc>
        <w:tc>
          <w:tcPr>
            <w:tcW w:type="dxa" w:w="1195"/>
          </w:tcPr>
          <w:p>
            <w:pPr>
              <w:spacing w:after="20"/>
              <w:jc w:val="right"/>
            </w:pPr>
            <w:r>
              <w:rPr>
                <w:color w:val="1C3A36"/>
                <w:sz w:val="16"/>
              </w:rPr>
              <w:t>21,723</w:t>
            </w:r>
          </w:p>
        </w:tc>
        <w:tc>
          <w:tcPr>
            <w:tcW w:type="dxa" w:w="1195"/>
          </w:tcPr>
          <w:p>
            <w:pPr>
              <w:spacing w:after="20"/>
              <w:jc w:val="right"/>
            </w:pPr>
            <w:r>
              <w:rPr>
                <w:color w:val="1C3A36"/>
                <w:sz w:val="16"/>
              </w:rPr>
              <w:t>23,631</w:t>
            </w:r>
          </w:p>
        </w:tc>
        <w:tc>
          <w:tcPr>
            <w:tcW w:type="dxa" w:w="1195"/>
          </w:tcPr>
          <w:p>
            <w:pPr>
              <w:spacing w:after="20"/>
              <w:jc w:val="right"/>
            </w:pPr>
            <w:r>
              <w:rPr>
                <w:color w:val="1C3A36"/>
                <w:sz w:val="16"/>
              </w:rPr>
              <w:t>25,360</w:t>
            </w:r>
          </w:p>
        </w:tc>
        <w:tc>
          <w:tcPr>
            <w:tcW w:type="dxa" w:w="1195"/>
          </w:tcPr>
          <w:p>
            <w:pPr>
              <w:spacing w:after="20"/>
              <w:jc w:val="right"/>
            </w:pPr>
            <w:r>
              <w:rPr>
                <w:color w:val="1C3A36"/>
                <w:sz w:val="16"/>
              </w:rPr>
              <w:t>27,091</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463</w:t>
            </w:r>
          </w:p>
        </w:tc>
        <w:tc>
          <w:tcPr>
            <w:tcW w:type="dxa" w:w="1195"/>
          </w:tcPr>
          <w:p>
            <w:pPr>
              <w:spacing w:after="20"/>
              <w:jc w:val="right"/>
            </w:pPr>
            <w:r>
              <w:rPr>
                <w:color w:val="1C3A36"/>
                <w:sz w:val="16"/>
              </w:rPr>
              <w:t>511</w:t>
            </w:r>
          </w:p>
        </w:tc>
        <w:tc>
          <w:tcPr>
            <w:tcW w:type="dxa" w:w="1195"/>
          </w:tcPr>
          <w:p>
            <w:pPr>
              <w:spacing w:after="20"/>
              <w:jc w:val="right"/>
            </w:pPr>
            <w:r>
              <w:rPr>
                <w:color w:val="1C3A36"/>
                <w:sz w:val="16"/>
              </w:rPr>
              <w:t>556</w:t>
            </w:r>
          </w:p>
        </w:tc>
        <w:tc>
          <w:tcPr>
            <w:tcW w:type="dxa" w:w="1195"/>
          </w:tcPr>
          <w:p>
            <w:pPr>
              <w:spacing w:after="20"/>
              <w:jc w:val="right"/>
            </w:pPr>
            <w:r>
              <w:rPr>
                <w:color w:val="1C3A36"/>
                <w:sz w:val="16"/>
              </w:rPr>
              <w:t>596</w:t>
            </w:r>
          </w:p>
        </w:tc>
        <w:tc>
          <w:tcPr>
            <w:tcW w:type="dxa" w:w="1195"/>
          </w:tcPr>
          <w:p>
            <w:pPr>
              <w:spacing w:after="20"/>
              <w:jc w:val="right"/>
            </w:pPr>
            <w:r>
              <w:rPr>
                <w:color w:val="1C3A36"/>
                <w:sz w:val="16"/>
              </w:rPr>
              <w:t>637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52,456</w:t>
            </w:r>
          </w:p>
        </w:tc>
        <w:tc>
          <w:tcPr>
            <w:tcW w:type="dxa" w:w="1195"/>
            <w:shd w:val="clear" w:color="auto" w:fill="F6F1E6"/>
          </w:tcPr>
          <w:p>
            <w:pPr>
              <w:spacing w:after="20"/>
              <w:jc w:val="right"/>
            </w:pPr>
            <w:r>
              <w:rPr>
                <w:b/>
                <w:color w:val="1C3A36"/>
                <w:sz w:val="16"/>
              </w:rPr>
              <w:t>57,830</w:t>
            </w:r>
          </w:p>
        </w:tc>
        <w:tc>
          <w:tcPr>
            <w:tcW w:type="dxa" w:w="1195"/>
            <w:shd w:val="clear" w:color="auto" w:fill="F6F1E6"/>
          </w:tcPr>
          <w:p>
            <w:pPr>
              <w:spacing w:after="20"/>
              <w:jc w:val="right"/>
            </w:pPr>
            <w:r>
              <w:rPr>
                <w:b/>
                <w:color w:val="1C3A36"/>
                <w:sz w:val="16"/>
              </w:rPr>
              <w:t>62,908</w:t>
            </w:r>
          </w:p>
        </w:tc>
        <w:tc>
          <w:tcPr>
            <w:tcW w:type="dxa" w:w="1195"/>
            <w:shd w:val="clear" w:color="auto" w:fill="F6F1E6"/>
          </w:tcPr>
          <w:p>
            <w:pPr>
              <w:spacing w:after="20"/>
              <w:jc w:val="right"/>
            </w:pPr>
            <w:r>
              <w:rPr>
                <w:b/>
                <w:color w:val="1C3A36"/>
                <w:sz w:val="16"/>
              </w:rPr>
              <w:t>67,511</w:t>
            </w:r>
          </w:p>
        </w:tc>
        <w:tc>
          <w:tcPr>
            <w:tcW w:type="dxa" w:w="1195"/>
            <w:shd w:val="clear" w:color="auto" w:fill="F6F1E6"/>
          </w:tcPr>
          <w:p>
            <w:pPr>
              <w:spacing w:after="20"/>
              <w:jc w:val="right"/>
            </w:pPr>
            <w:r>
              <w:rPr>
                <w:b/>
                <w:color w:val="1C3A36"/>
                <w:sz w:val="16"/>
              </w:rPr>
              <w:t>72,121</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120.80%</w:t>
            </w:r>
          </w:p>
        </w:tc>
        <w:tc>
          <w:tcPr>
            <w:tcW w:type="dxa" w:w="1296"/>
          </w:tcPr>
          <w:p>
            <w:pPr>
              <w:spacing w:after="20"/>
              <w:jc w:val="right"/>
            </w:pPr>
            <w:r>
              <w:rPr>
                <w:color w:val="1C3A36"/>
                <w:sz w:val="17"/>
              </w:rPr>
              <w:t>90.00%</w:t>
            </w:r>
          </w:p>
        </w:tc>
        <w:tc>
          <w:tcPr>
            <w:tcW w:type="dxa" w:w="4824"/>
          </w:tcPr>
          <w:p>
            <w:pPr>
              <w:spacing w:after="20"/>
            </w:pPr>
            <w:r>
              <w:rPr>
                <w:color w:val="1C3A36"/>
                <w:sz w:val="17"/>
              </w:rPr>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-20.80%</w:t>
            </w:r>
          </w:p>
        </w:tc>
        <w:tc>
          <w:tcPr>
            <w:tcW w:type="dxa" w:w="1296"/>
          </w:tcPr>
          <w:p>
            <w:pPr>
              <w:spacing w:after="20"/>
              <w:jc w:val="right"/>
            </w:pPr>
            <w:r>
              <w:rPr>
                <w:color w:val="1C3A36"/>
                <w:sz w:val="17"/>
              </w:rPr>
              <w:t>10.00%</w:t>
            </w:r>
          </w:p>
        </w:tc>
        <w:tc>
          <w:tcPr>
            <w:tcW w:type="dxa" w:w="4824"/>
          </w:tcPr>
          <w:p>
            <w:pPr>
              <w:spacing w:after="20"/>
            </w:pPr>
            <w:r>
              <w:rPr>
                <w:color w:val="1C3A36"/>
                <w:sz w:val="17"/>
              </w:rPr>
              <w:t>NEGATIVE in the explicit window — the company holds net cash</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negative debt weight RAISES the operating rate above the cost of equity</w:t>
            </w:r>
          </w:p>
        </w:tc>
      </w:tr>
    </w:tbl>
    <w:p>
      <w:pPr>
        <w:spacing w:after="40"/>
      </w:pPr>
    </w:p>
    <w:p>
      <w:pPr>
        <w:spacing w:after="200" w:before="0"/>
      </w:pPr>
      <w:r>
        <w:rPr>
          <w:b w:val="0"/>
          <w:i/>
          <w:color w:val="6E7B77"/>
          <w:sz w:val="17"/>
        </w:rPr>
        <w:t>Table 10 — the discount-rate stack. The construction that matters most here is the net-cash weighting. A naive model lets a cash pile drag the weighted rate DOWN; this one applies a negative debt weight of -20.8%, which forces the operating rate to 27.5% — ABOVE the 27.5% cost of equity — correctly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27.45%</w:t>
            </w:r>
          </w:p>
        </w:tc>
        <w:tc>
          <w:tcPr>
            <w:tcW w:type="dxa" w:w="1195"/>
          </w:tcPr>
          <w:p>
            <w:pPr>
              <w:spacing w:after="20"/>
              <w:jc w:val="right"/>
            </w:pPr>
            <w:r>
              <w:rPr>
                <w:color w:val="1C3A36"/>
                <w:sz w:val="17"/>
              </w:rPr>
              <w:t>22.64%</w:t>
            </w:r>
          </w:p>
        </w:tc>
        <w:tc>
          <w:tcPr>
            <w:tcW w:type="dxa" w:w="1195"/>
          </w:tcPr>
          <w:p>
            <w:pPr>
              <w:spacing w:after="20"/>
              <w:jc w:val="right"/>
            </w:pPr>
            <w:r>
              <w:rPr>
                <w:color w:val="1C3A36"/>
                <w:sz w:val="17"/>
              </w:rPr>
              <w:t>20.64%</w:t>
            </w:r>
          </w:p>
        </w:tc>
        <w:tc>
          <w:tcPr>
            <w:tcW w:type="dxa" w:w="1195"/>
          </w:tcPr>
          <w:p>
            <w:pPr>
              <w:spacing w:after="20"/>
              <w:jc w:val="right"/>
            </w:pPr>
            <w:r>
              <w:rPr>
                <w:color w:val="1C3A36"/>
                <w:sz w:val="17"/>
              </w:rPr>
              <w:t>19.14%</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0.78460</w:t>
            </w:r>
          </w:p>
        </w:tc>
        <w:tc>
          <w:tcPr>
            <w:tcW w:type="dxa" w:w="1195"/>
          </w:tcPr>
          <w:p>
            <w:pPr>
              <w:spacing w:after="20"/>
              <w:jc w:val="right"/>
            </w:pPr>
            <w:r>
              <w:rPr>
                <w:color w:val="1C3A36"/>
                <w:sz w:val="17"/>
              </w:rPr>
              <w:t>0.63975</w:t>
            </w:r>
          </w:p>
        </w:tc>
        <w:tc>
          <w:tcPr>
            <w:tcW w:type="dxa" w:w="1195"/>
          </w:tcPr>
          <w:p>
            <w:pPr>
              <w:spacing w:after="20"/>
              <w:jc w:val="right"/>
            </w:pPr>
            <w:r>
              <w:rPr>
                <w:color w:val="1C3A36"/>
                <w:sz w:val="17"/>
              </w:rPr>
              <w:t>0.53029</w:t>
            </w:r>
          </w:p>
        </w:tc>
        <w:tc>
          <w:tcPr>
            <w:tcW w:type="dxa" w:w="1195"/>
          </w:tcPr>
          <w:p>
            <w:pPr>
              <w:spacing w:after="20"/>
              <w:jc w:val="right"/>
            </w:pPr>
            <w:r>
              <w:rPr>
                <w:color w:val="1C3A36"/>
                <w:sz w:val="17"/>
              </w:rPr>
              <w:t>0.44510</w:t>
            </w:r>
          </w:p>
        </w:tc>
        <w:tc>
          <w:tcPr>
            <w:tcW w:type="dxa" w:w="1195"/>
          </w:tcPr>
          <w:p>
            <w:pPr>
              <w:spacing w:after="20"/>
              <w:jc w:val="right"/>
            </w:pPr>
            <w:r>
              <w:rPr>
                <w:color w:val="1C3A36"/>
                <w:sz w:val="17"/>
              </w:rPr>
              <w:t>0.37676</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52,456</w:t>
            </w:r>
          </w:p>
        </w:tc>
        <w:tc>
          <w:tcPr>
            <w:tcW w:type="dxa" w:w="1238"/>
          </w:tcPr>
          <w:p>
            <w:pPr>
              <w:spacing w:after="20"/>
              <w:jc w:val="right"/>
            </w:pPr>
            <w:r>
              <w:rPr>
                <w:color w:val="1C3A36"/>
                <w:sz w:val="17"/>
              </w:rPr>
              <w:t>57,830</w:t>
            </w:r>
          </w:p>
        </w:tc>
        <w:tc>
          <w:tcPr>
            <w:tcW w:type="dxa" w:w="1238"/>
          </w:tcPr>
          <w:p>
            <w:pPr>
              <w:spacing w:after="20"/>
              <w:jc w:val="right"/>
            </w:pPr>
            <w:r>
              <w:rPr>
                <w:color w:val="1C3A36"/>
                <w:sz w:val="17"/>
              </w:rPr>
              <w:t>62,908</w:t>
            </w:r>
          </w:p>
        </w:tc>
        <w:tc>
          <w:tcPr>
            <w:tcW w:type="dxa" w:w="1238"/>
          </w:tcPr>
          <w:p>
            <w:pPr>
              <w:spacing w:after="20"/>
              <w:jc w:val="right"/>
            </w:pPr>
            <w:r>
              <w:rPr>
                <w:color w:val="1C3A36"/>
                <w:sz w:val="17"/>
              </w:rPr>
              <w:t>67,511</w:t>
            </w:r>
          </w:p>
        </w:tc>
        <w:tc>
          <w:tcPr>
            <w:tcW w:type="dxa" w:w="1238"/>
          </w:tcPr>
          <w:p>
            <w:pPr>
              <w:spacing w:after="20"/>
              <w:jc w:val="right"/>
            </w:pPr>
            <w:r>
              <w:rPr>
                <w:color w:val="1C3A36"/>
                <w:sz w:val="17"/>
              </w:rPr>
              <w:t>72,121</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47,378</w:t>
            </w:r>
          </w:p>
        </w:tc>
        <w:tc>
          <w:tcPr>
            <w:tcW w:type="dxa" w:w="1238"/>
          </w:tcPr>
          <w:p>
            <w:pPr>
              <w:spacing w:after="20"/>
              <w:jc w:val="right"/>
            </w:pPr>
            <w:r>
              <w:rPr>
                <w:color w:val="1C3A36"/>
                <w:sz w:val="17"/>
              </w:rPr>
              <w:t>52,219</w:t>
            </w:r>
          </w:p>
        </w:tc>
        <w:tc>
          <w:tcPr>
            <w:tcW w:type="dxa" w:w="1238"/>
          </w:tcPr>
          <w:p>
            <w:pPr>
              <w:spacing w:after="20"/>
              <w:jc w:val="right"/>
            </w:pPr>
            <w:r>
              <w:rPr>
                <w:color w:val="1C3A36"/>
                <w:sz w:val="17"/>
              </w:rPr>
              <w:t>56,793</w:t>
            </w:r>
          </w:p>
        </w:tc>
        <w:tc>
          <w:tcPr>
            <w:tcW w:type="dxa" w:w="1238"/>
          </w:tcPr>
          <w:p>
            <w:pPr>
              <w:spacing w:after="20"/>
              <w:jc w:val="right"/>
            </w:pPr>
            <w:r>
              <w:rPr>
                <w:color w:val="1C3A36"/>
                <w:sz w:val="17"/>
              </w:rPr>
              <w:t>60,940</w:t>
            </w:r>
          </w:p>
        </w:tc>
        <w:tc>
          <w:tcPr>
            <w:tcW w:type="dxa" w:w="1238"/>
          </w:tcPr>
          <w:p>
            <w:pPr>
              <w:spacing w:after="20"/>
              <w:jc w:val="right"/>
            </w:pPr>
            <w:r>
              <w:rPr>
                <w:color w:val="1C3A36"/>
                <w:sz w:val="17"/>
              </w:rPr>
              <w:t>65,093</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5,078</w:t>
            </w:r>
          </w:p>
        </w:tc>
        <w:tc>
          <w:tcPr>
            <w:tcW w:type="dxa" w:w="1238"/>
            <w:shd w:val="clear" w:color="auto" w:fill="F6F1E6"/>
          </w:tcPr>
          <w:p>
            <w:pPr>
              <w:spacing w:after="20"/>
              <w:jc w:val="right"/>
            </w:pPr>
            <w:r>
              <w:rPr>
                <w:b/>
                <w:color w:val="1C3A36"/>
                <w:sz w:val="17"/>
              </w:rPr>
              <w:t>5,611</w:t>
            </w:r>
          </w:p>
        </w:tc>
        <w:tc>
          <w:tcPr>
            <w:tcW w:type="dxa" w:w="1238"/>
            <w:shd w:val="clear" w:color="auto" w:fill="F6F1E6"/>
          </w:tcPr>
          <w:p>
            <w:pPr>
              <w:spacing w:after="20"/>
              <w:jc w:val="right"/>
            </w:pPr>
            <w:r>
              <w:rPr>
                <w:b/>
                <w:color w:val="1C3A36"/>
                <w:sz w:val="17"/>
              </w:rPr>
              <w:t>6,115</w:t>
            </w:r>
          </w:p>
        </w:tc>
        <w:tc>
          <w:tcPr>
            <w:tcW w:type="dxa" w:w="1238"/>
            <w:shd w:val="clear" w:color="auto" w:fill="F6F1E6"/>
          </w:tcPr>
          <w:p>
            <w:pPr>
              <w:spacing w:after="20"/>
              <w:jc w:val="right"/>
            </w:pPr>
            <w:r>
              <w:rPr>
                <w:b/>
                <w:color w:val="1C3A36"/>
                <w:sz w:val="17"/>
              </w:rPr>
              <w:t>6,571</w:t>
            </w:r>
          </w:p>
        </w:tc>
        <w:tc>
          <w:tcPr>
            <w:tcW w:type="dxa" w:w="1238"/>
            <w:shd w:val="clear" w:color="auto" w:fill="F6F1E6"/>
          </w:tcPr>
          <w:p>
            <w:pPr>
              <w:spacing w:after="20"/>
              <w:jc w:val="right"/>
            </w:pPr>
            <w:r>
              <w:rPr>
                <w:b/>
                <w:color w:val="1C3A36"/>
                <w:sz w:val="17"/>
              </w:rPr>
              <w:t>7,028</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9.68%</w:t>
            </w:r>
          </w:p>
        </w:tc>
        <w:tc>
          <w:tcPr>
            <w:tcW w:type="dxa" w:w="1238"/>
          </w:tcPr>
          <w:p>
            <w:pPr>
              <w:spacing w:after="20"/>
              <w:jc w:val="right"/>
            </w:pPr>
            <w:r>
              <w:rPr>
                <w:color w:val="1C3A36"/>
                <w:sz w:val="17"/>
              </w:rPr>
              <w:t>9.70%</w:t>
            </w:r>
          </w:p>
        </w:tc>
        <w:tc>
          <w:tcPr>
            <w:tcW w:type="dxa" w:w="1238"/>
          </w:tcPr>
          <w:p>
            <w:pPr>
              <w:spacing w:after="20"/>
              <w:jc w:val="right"/>
            </w:pPr>
            <w:r>
              <w:rPr>
                <w:color w:val="1C3A36"/>
                <w:sz w:val="17"/>
              </w:rPr>
              <w:t>9.72%</w:t>
            </w:r>
          </w:p>
        </w:tc>
        <w:tc>
          <w:tcPr>
            <w:tcW w:type="dxa" w:w="1238"/>
          </w:tcPr>
          <w:p>
            <w:pPr>
              <w:spacing w:after="20"/>
              <w:jc w:val="right"/>
            </w:pPr>
            <w:r>
              <w:rPr>
                <w:color w:val="1C3A36"/>
                <w:sz w:val="17"/>
              </w:rPr>
              <w:t>9.73%</w:t>
            </w:r>
          </w:p>
        </w:tc>
        <w:tc>
          <w:tcPr>
            <w:tcW w:type="dxa" w:w="1238"/>
          </w:tcPr>
          <w:p>
            <w:pPr>
              <w:spacing w:after="20"/>
              <w:jc w:val="right"/>
            </w:pPr>
            <w:r>
              <w:rPr>
                <w:color w:val="1C3A36"/>
                <w:sz w:val="17"/>
              </w:rPr>
              <w:t>9.74%</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1,991</w:t>
            </w:r>
          </w:p>
        </w:tc>
        <w:tc>
          <w:tcPr>
            <w:tcW w:type="dxa" w:w="1238"/>
          </w:tcPr>
          <w:p>
            <w:pPr>
              <w:spacing w:after="20"/>
              <w:jc w:val="right"/>
            </w:pPr>
            <w:r>
              <w:rPr>
                <w:color w:val="1C3A36"/>
                <w:sz w:val="17"/>
              </w:rPr>
              <w:t>2,250</w:t>
            </w:r>
          </w:p>
        </w:tc>
        <w:tc>
          <w:tcPr>
            <w:tcW w:type="dxa" w:w="1238"/>
          </w:tcPr>
          <w:p>
            <w:pPr>
              <w:spacing w:after="20"/>
              <w:jc w:val="right"/>
            </w:pPr>
            <w:r>
              <w:rPr>
                <w:color w:val="1C3A36"/>
                <w:sz w:val="17"/>
              </w:rPr>
              <w:t>2,508</w:t>
            </w:r>
          </w:p>
        </w:tc>
        <w:tc>
          <w:tcPr>
            <w:tcW w:type="dxa" w:w="1238"/>
          </w:tcPr>
          <w:p>
            <w:pPr>
              <w:spacing w:after="20"/>
              <w:jc w:val="right"/>
            </w:pPr>
            <w:r>
              <w:rPr>
                <w:color w:val="1C3A36"/>
                <w:sz w:val="17"/>
              </w:rPr>
              <w:t>2,759</w:t>
            </w:r>
          </w:p>
        </w:tc>
        <w:tc>
          <w:tcPr>
            <w:tcW w:type="dxa" w:w="1238"/>
          </w:tcPr>
          <w:p>
            <w:pPr>
              <w:spacing w:after="20"/>
              <w:jc w:val="right"/>
            </w:pPr>
            <w:r>
              <w:rPr>
                <w:color w:val="1C3A36"/>
                <w:sz w:val="17"/>
              </w:rPr>
              <w:t>3,021</w:t>
            </w:r>
          </w:p>
        </w:tc>
      </w:tr>
      <w:tr>
        <w:tc>
          <w:tcPr>
            <w:tcW w:type="dxa" w:w="3600"/>
          </w:tcPr>
          <w:p>
            <w:pPr>
              <w:spacing w:after="20"/>
            </w:pPr>
            <w:r>
              <w:rPr>
                <w:color w:val="1C3A36"/>
                <w:sz w:val="17"/>
              </w:rPr>
              <w:t>EBITDA</w:t>
            </w:r>
          </w:p>
        </w:tc>
        <w:tc>
          <w:tcPr>
            <w:tcW w:type="dxa" w:w="1238"/>
          </w:tcPr>
          <w:p>
            <w:pPr>
              <w:spacing w:after="20"/>
              <w:jc w:val="right"/>
            </w:pPr>
            <w:r>
              <w:rPr>
                <w:color w:val="1C3A36"/>
                <w:sz w:val="17"/>
              </w:rPr>
              <w:t>3,087</w:t>
            </w:r>
          </w:p>
        </w:tc>
        <w:tc>
          <w:tcPr>
            <w:tcW w:type="dxa" w:w="1238"/>
          </w:tcPr>
          <w:p>
            <w:pPr>
              <w:spacing w:after="20"/>
              <w:jc w:val="right"/>
            </w:pPr>
            <w:r>
              <w:rPr>
                <w:color w:val="1C3A36"/>
                <w:sz w:val="17"/>
              </w:rPr>
              <w:t>3,361</w:t>
            </w:r>
          </w:p>
        </w:tc>
        <w:tc>
          <w:tcPr>
            <w:tcW w:type="dxa" w:w="1238"/>
          </w:tcPr>
          <w:p>
            <w:pPr>
              <w:spacing w:after="20"/>
              <w:jc w:val="right"/>
            </w:pPr>
            <w:r>
              <w:rPr>
                <w:color w:val="1C3A36"/>
                <w:sz w:val="17"/>
              </w:rPr>
              <w:t>3,606</w:t>
            </w:r>
          </w:p>
        </w:tc>
        <w:tc>
          <w:tcPr>
            <w:tcW w:type="dxa" w:w="1238"/>
          </w:tcPr>
          <w:p>
            <w:pPr>
              <w:spacing w:after="20"/>
              <w:jc w:val="right"/>
            </w:pPr>
            <w:r>
              <w:rPr>
                <w:color w:val="1C3A36"/>
                <w:sz w:val="17"/>
              </w:rPr>
              <w:t>3,812</w:t>
            </w:r>
          </w:p>
        </w:tc>
        <w:tc>
          <w:tcPr>
            <w:tcW w:type="dxa" w:w="1238"/>
          </w:tcPr>
          <w:p>
            <w:pPr>
              <w:spacing w:after="20"/>
              <w:jc w:val="right"/>
            </w:pPr>
            <w:r>
              <w:rPr>
                <w:color w:val="1C3A36"/>
                <w:sz w:val="17"/>
              </w:rPr>
              <w:t>4,007</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2,907</w:t>
            </w:r>
          </w:p>
        </w:tc>
        <w:tc>
          <w:tcPr>
            <w:tcW w:type="dxa" w:w="1238"/>
          </w:tcPr>
          <w:p>
            <w:pPr>
              <w:spacing w:after="20"/>
              <w:jc w:val="right"/>
            </w:pPr>
            <w:r>
              <w:rPr>
                <w:color w:val="1C3A36"/>
                <w:sz w:val="17"/>
              </w:rPr>
              <w:t>3,171</w:t>
            </w:r>
          </w:p>
        </w:tc>
        <w:tc>
          <w:tcPr>
            <w:tcW w:type="dxa" w:w="1238"/>
          </w:tcPr>
          <w:p>
            <w:pPr>
              <w:spacing w:after="20"/>
              <w:jc w:val="right"/>
            </w:pPr>
            <w:r>
              <w:rPr>
                <w:color w:val="1C3A36"/>
                <w:sz w:val="17"/>
              </w:rPr>
              <w:t>3,404</w:t>
            </w:r>
          </w:p>
        </w:tc>
        <w:tc>
          <w:tcPr>
            <w:tcW w:type="dxa" w:w="1238"/>
          </w:tcPr>
          <w:p>
            <w:pPr>
              <w:spacing w:after="20"/>
              <w:jc w:val="right"/>
            </w:pPr>
            <w:r>
              <w:rPr>
                <w:color w:val="1C3A36"/>
                <w:sz w:val="17"/>
              </w:rPr>
              <w:t>3,597</w:t>
            </w:r>
          </w:p>
        </w:tc>
        <w:tc>
          <w:tcPr>
            <w:tcW w:type="dxa" w:w="1238"/>
          </w:tcPr>
          <w:p>
            <w:pPr>
              <w:spacing w:after="20"/>
              <w:jc w:val="right"/>
            </w:pPr>
            <w:r>
              <w:rPr>
                <w:color w:val="1C3A36"/>
                <w:sz w:val="17"/>
              </w:rPr>
              <w:t>3,778</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2,135</w:t>
            </w:r>
          </w:p>
        </w:tc>
        <w:tc>
          <w:tcPr>
            <w:tcW w:type="dxa" w:w="1238"/>
          </w:tcPr>
          <w:p>
            <w:pPr>
              <w:spacing w:after="20"/>
              <w:jc w:val="right"/>
            </w:pPr>
            <w:r>
              <w:rPr>
                <w:color w:val="1C3A36"/>
                <w:sz w:val="17"/>
              </w:rPr>
              <w:t>2,329</w:t>
            </w:r>
          </w:p>
        </w:tc>
        <w:tc>
          <w:tcPr>
            <w:tcW w:type="dxa" w:w="1238"/>
          </w:tcPr>
          <w:p>
            <w:pPr>
              <w:spacing w:after="20"/>
              <w:jc w:val="right"/>
            </w:pPr>
            <w:r>
              <w:rPr>
                <w:color w:val="1C3A36"/>
                <w:sz w:val="17"/>
              </w:rPr>
              <w:t>2,500</w:t>
            </w:r>
          </w:p>
        </w:tc>
        <w:tc>
          <w:tcPr>
            <w:tcW w:type="dxa" w:w="1238"/>
          </w:tcPr>
          <w:p>
            <w:pPr>
              <w:spacing w:after="20"/>
              <w:jc w:val="right"/>
            </w:pPr>
            <w:r>
              <w:rPr>
                <w:color w:val="1C3A36"/>
                <w:sz w:val="17"/>
              </w:rPr>
              <w:t>2,642</w:t>
            </w:r>
          </w:p>
        </w:tc>
        <w:tc>
          <w:tcPr>
            <w:tcW w:type="dxa" w:w="1238"/>
          </w:tcPr>
          <w:p>
            <w:pPr>
              <w:spacing w:after="20"/>
              <w:jc w:val="right"/>
            </w:pPr>
            <w:r>
              <w:rPr>
                <w:color w:val="1C3A36"/>
                <w:sz w:val="17"/>
              </w:rPr>
              <w:t>2,774</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179</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226</w:t>
            </w:r>
          </w:p>
        </w:tc>
        <w:tc>
          <w:tcPr>
            <w:tcW w:type="dxa" w:w="1238"/>
          </w:tcPr>
          <w:p>
            <w:pPr>
              <w:spacing w:after="20"/>
              <w:jc w:val="right"/>
            </w:pPr>
            <w:r>
              <w:rPr>
                <w:color w:val="1C3A36"/>
                <w:sz w:val="17"/>
              </w:rPr>
              <w:t>249</w:t>
            </w:r>
          </w:p>
        </w:tc>
        <w:tc>
          <w:tcPr>
            <w:tcW w:type="dxa" w:w="1238"/>
          </w:tcPr>
          <w:p>
            <w:pPr>
              <w:spacing w:after="20"/>
              <w:jc w:val="right"/>
            </w:pPr>
            <w:r>
              <w:rPr>
                <w:color w:val="1C3A36"/>
                <w:sz w:val="17"/>
              </w:rPr>
              <w:t>272</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397</w:t>
            </w:r>
          </w:p>
        </w:tc>
        <w:tc>
          <w:tcPr>
            <w:tcW w:type="dxa" w:w="1238"/>
          </w:tcPr>
          <w:p>
            <w:pPr>
              <w:spacing w:after="20"/>
              <w:jc w:val="right"/>
            </w:pPr>
            <w:r>
              <w:rPr>
                <w:color w:val="1C3A36"/>
                <w:sz w:val="17"/>
              </w:rPr>
              <w:t>388</w:t>
            </w:r>
          </w:p>
        </w:tc>
        <w:tc>
          <w:tcPr>
            <w:tcW w:type="dxa" w:w="1238"/>
          </w:tcPr>
          <w:p>
            <w:pPr>
              <w:spacing w:after="20"/>
              <w:jc w:val="right"/>
            </w:pPr>
            <w:r>
              <w:rPr>
                <w:color w:val="1C3A36"/>
                <w:sz w:val="17"/>
              </w:rPr>
              <w:t>366</w:t>
            </w:r>
          </w:p>
        </w:tc>
        <w:tc>
          <w:tcPr>
            <w:tcW w:type="dxa" w:w="1238"/>
          </w:tcPr>
          <w:p>
            <w:pPr>
              <w:spacing w:after="20"/>
              <w:jc w:val="right"/>
            </w:pPr>
            <w:r>
              <w:rPr>
                <w:color w:val="1C3A36"/>
                <w:sz w:val="17"/>
              </w:rPr>
              <w:t>332</w:t>
            </w:r>
          </w:p>
        </w:tc>
        <w:tc>
          <w:tcPr>
            <w:tcW w:type="dxa" w:w="1238"/>
          </w:tcPr>
          <w:p>
            <w:pPr>
              <w:spacing w:after="20"/>
              <w:jc w:val="right"/>
            </w:pPr>
            <w:r>
              <w:rPr>
                <w:color w:val="1C3A36"/>
                <w:sz w:val="17"/>
              </w:rPr>
              <w:t>333</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1,739</w:t>
            </w:r>
          </w:p>
        </w:tc>
        <w:tc>
          <w:tcPr>
            <w:tcW w:type="dxa" w:w="1238"/>
            <w:shd w:val="clear" w:color="auto" w:fill="F6F1E6"/>
          </w:tcPr>
          <w:p>
            <w:pPr>
              <w:spacing w:after="20"/>
              <w:jc w:val="right"/>
            </w:pPr>
            <w:r>
              <w:rPr>
                <w:b/>
                <w:color w:val="1C3A36"/>
                <w:sz w:val="17"/>
              </w:rPr>
              <w:t>1,929</w:t>
            </w:r>
          </w:p>
        </w:tc>
        <w:tc>
          <w:tcPr>
            <w:tcW w:type="dxa" w:w="1238"/>
            <w:shd w:val="clear" w:color="auto" w:fill="F6F1E6"/>
          </w:tcPr>
          <w:p>
            <w:pPr>
              <w:spacing w:after="20"/>
              <w:jc w:val="right"/>
            </w:pPr>
            <w:r>
              <w:rPr>
                <w:b/>
                <w:color w:val="1C3A36"/>
                <w:sz w:val="17"/>
              </w:rPr>
              <w:t>2,110</w:t>
            </w:r>
          </w:p>
        </w:tc>
        <w:tc>
          <w:tcPr>
            <w:tcW w:type="dxa" w:w="1238"/>
            <w:shd w:val="clear" w:color="auto" w:fill="F6F1E6"/>
          </w:tcPr>
          <w:p>
            <w:pPr>
              <w:spacing w:after="20"/>
              <w:jc w:val="right"/>
            </w:pPr>
            <w:r>
              <w:rPr>
                <w:b/>
                <w:color w:val="1C3A36"/>
                <w:sz w:val="17"/>
              </w:rPr>
              <w:t>2,276</w:t>
            </w:r>
          </w:p>
        </w:tc>
        <w:tc>
          <w:tcPr>
            <w:tcW w:type="dxa" w:w="1238"/>
            <w:shd w:val="clear" w:color="auto" w:fill="F6F1E6"/>
          </w:tcPr>
          <w:p>
            <w:pPr>
              <w:spacing w:after="20"/>
              <w:jc w:val="right"/>
            </w:pPr>
            <w:r>
              <w:rPr>
                <w:b/>
                <w:color w:val="1C3A36"/>
                <w:sz w:val="17"/>
              </w:rPr>
              <w:t>2,399</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0.78460</w:t>
            </w:r>
          </w:p>
        </w:tc>
        <w:tc>
          <w:tcPr>
            <w:tcW w:type="dxa" w:w="1238"/>
          </w:tcPr>
          <w:p>
            <w:pPr>
              <w:spacing w:after="20"/>
              <w:jc w:val="right"/>
            </w:pPr>
            <w:r>
              <w:rPr>
                <w:color w:val="1C3A36"/>
                <w:sz w:val="17"/>
              </w:rPr>
              <w:t>0.63975</w:t>
            </w:r>
          </w:p>
        </w:tc>
        <w:tc>
          <w:tcPr>
            <w:tcW w:type="dxa" w:w="1238"/>
          </w:tcPr>
          <w:p>
            <w:pPr>
              <w:spacing w:after="20"/>
              <w:jc w:val="right"/>
            </w:pPr>
            <w:r>
              <w:rPr>
                <w:color w:val="1C3A36"/>
                <w:sz w:val="17"/>
              </w:rPr>
              <w:t>0.53029</w:t>
            </w:r>
          </w:p>
        </w:tc>
        <w:tc>
          <w:tcPr>
            <w:tcW w:type="dxa" w:w="1238"/>
          </w:tcPr>
          <w:p>
            <w:pPr>
              <w:spacing w:after="20"/>
              <w:jc w:val="right"/>
            </w:pPr>
            <w:r>
              <w:rPr>
                <w:color w:val="1C3A36"/>
                <w:sz w:val="17"/>
              </w:rPr>
              <w:t>0.44510</w:t>
            </w:r>
          </w:p>
        </w:tc>
        <w:tc>
          <w:tcPr>
            <w:tcW w:type="dxa" w:w="1238"/>
          </w:tcPr>
          <w:p>
            <w:pPr>
              <w:spacing w:after="20"/>
              <w:jc w:val="right"/>
            </w:pPr>
            <w:r>
              <w:rPr>
                <w:color w:val="1C3A36"/>
                <w:sz w:val="17"/>
              </w:rPr>
              <w:t>0.37676</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1,365</w:t>
            </w:r>
          </w:p>
        </w:tc>
        <w:tc>
          <w:tcPr>
            <w:tcW w:type="dxa" w:w="1238"/>
            <w:shd w:val="clear" w:color="auto" w:fill="F6F1E6"/>
          </w:tcPr>
          <w:p>
            <w:pPr>
              <w:spacing w:after="20"/>
              <w:jc w:val="right"/>
            </w:pPr>
            <w:r>
              <w:rPr>
                <w:b/>
                <w:color w:val="1C3A36"/>
                <w:sz w:val="17"/>
              </w:rPr>
              <w:t>1,234</w:t>
            </w:r>
          </w:p>
        </w:tc>
        <w:tc>
          <w:tcPr>
            <w:tcW w:type="dxa" w:w="1238"/>
            <w:shd w:val="clear" w:color="auto" w:fill="F6F1E6"/>
          </w:tcPr>
          <w:p>
            <w:pPr>
              <w:spacing w:after="20"/>
              <w:jc w:val="right"/>
            </w:pPr>
            <w:r>
              <w:rPr>
                <w:b/>
                <w:color w:val="1C3A36"/>
                <w:sz w:val="17"/>
              </w:rPr>
              <w:t>1,119</w:t>
            </w:r>
          </w:p>
        </w:tc>
        <w:tc>
          <w:tcPr>
            <w:tcW w:type="dxa" w:w="1238"/>
            <w:shd w:val="clear" w:color="auto" w:fill="F6F1E6"/>
          </w:tcPr>
          <w:p>
            <w:pPr>
              <w:spacing w:after="20"/>
              <w:jc w:val="right"/>
            </w:pPr>
            <w:r>
              <w:rPr>
                <w:b/>
                <w:color w:val="1C3A36"/>
                <w:sz w:val="17"/>
              </w:rPr>
              <w:t>1,013</w:t>
            </w:r>
          </w:p>
        </w:tc>
        <w:tc>
          <w:tcPr>
            <w:tcW w:type="dxa" w:w="1238"/>
            <w:shd w:val="clear" w:color="auto" w:fill="F6F1E6"/>
          </w:tcPr>
          <w:p>
            <w:pPr>
              <w:spacing w:after="20"/>
              <w:jc w:val="right"/>
            </w:pPr>
            <w:r>
              <w:rPr>
                <w:b/>
                <w:color w:val="1C3A36"/>
                <w:sz w:val="17"/>
              </w:rPr>
              <w:t>904</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5,635</w:t>
            </w:r>
          </w:p>
        </w:tc>
        <w:tc>
          <w:tcPr>
            <w:tcW w:type="dxa" w:w="1296"/>
          </w:tcPr>
          <w:p>
            <w:pPr>
              <w:spacing w:after="20"/>
              <w:jc w:val="right"/>
            </w:pPr>
            <w:r>
              <w:rPr>
                <w:color w:val="1C3A36"/>
                <w:sz w:val="17"/>
              </w:rPr>
              <w:t>4.36</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7,795</w:t>
            </w:r>
          </w:p>
        </w:tc>
        <w:tc>
          <w:tcPr>
            <w:tcW w:type="dxa" w:w="1296"/>
          </w:tcPr>
          <w:p>
            <w:pPr>
              <w:spacing w:after="20"/>
              <w:jc w:val="right"/>
            </w:pPr>
            <w:r>
              <w:rPr>
                <w:color w:val="1C3A36"/>
                <w:sz w:val="17"/>
              </w:rPr>
              <w:t>6.04</w:t>
            </w:r>
          </w:p>
        </w:tc>
        <w:tc>
          <w:tcPr>
            <w:tcW w:type="dxa" w:w="3600"/>
          </w:tcPr>
          <w:p>
            <w:pPr>
              <w:spacing w:after="20"/>
            </w:pPr>
            <w:r>
              <w:rPr>
                <w:color w:val="1C3A36"/>
                <w:sz w:val="17"/>
              </w:rPr>
              <w:t>58.0%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13,429</w:t>
            </w:r>
          </w:p>
        </w:tc>
        <w:tc>
          <w:tcPr>
            <w:tcW w:type="dxa" w:w="1296"/>
            <w:shd w:val="clear" w:color="auto" w:fill="F6F1E6"/>
          </w:tcPr>
          <w:p>
            <w:pPr>
              <w:spacing w:after="20"/>
              <w:jc w:val="right"/>
            </w:pPr>
            <w:r>
              <w:rPr>
                <w:b/>
                <w:color w:val="1C3A36"/>
                <w:sz w:val="17"/>
              </w:rPr>
              <w:t>10.40</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16,431</w:t>
            </w:r>
          </w:p>
        </w:tc>
        <w:tc>
          <w:tcPr>
            <w:tcW w:type="dxa" w:w="1296"/>
          </w:tcPr>
          <w:p>
            <w:pPr>
              <w:spacing w:after="20"/>
              <w:jc w:val="right"/>
            </w:pPr>
            <w:r>
              <w:rPr>
                <w:color w:val="1C3A36"/>
                <w:sz w:val="17"/>
              </w:rPr>
              <w:t>12.72</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(487)</w:t>
            </w:r>
          </w:p>
        </w:tc>
        <w:tc>
          <w:tcPr>
            <w:tcW w:type="dxa" w:w="1296"/>
          </w:tcPr>
          <w:p>
            <w:pPr>
              <w:spacing w:after="20"/>
              <w:jc w:val="right"/>
            </w:pPr>
            <w:r>
              <w:rPr>
                <w:color w:val="1C3A36"/>
                <w:sz w:val="17"/>
              </w:rPr>
              <w:t>(0.38)</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15,284</w:t>
            </w:r>
          </w:p>
        </w:tc>
        <w:tc>
          <w:tcPr>
            <w:tcW w:type="dxa" w:w="1296"/>
            <w:shd w:val="clear" w:color="auto" w:fill="F6F1E6"/>
          </w:tcPr>
          <w:p>
            <w:pPr>
              <w:spacing w:after="20"/>
              <w:jc w:val="right"/>
            </w:pPr>
            <w:r>
              <w:rPr>
                <w:b/>
                <w:color w:val="1C3A36"/>
                <w:sz w:val="17"/>
              </w:rPr>
              <w:t>11.83</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0.89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31.3%.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31.3% return, the terminal block reinvests 22.4% of profit. That is ABOVE the final explicit year’s 13.5%, so the terminal block is funded rather than flattered — a step of +8.84%, disclosed here because it RAISES nothing and a reader is entitled to see it either way. Terminal value carries 58.0%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shd w:val="clear" w:color="auto" w:fill="F6F1E6"/>
          </w:tcPr>
          <w:p>
            <w:pPr>
              <w:spacing w:after="20"/>
            </w:pPr>
            <w:r>
              <w:rPr>
                <w:b/>
                <w:color w:val="1C3A36"/>
                <w:sz w:val="17"/>
              </w:rPr>
              <w:t>Four-period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0.0%</w:t>
            </w:r>
          </w:p>
        </w:tc>
        <w:tc>
          <w:tcPr>
            <w:tcW w:type="dxa" w:w="2664"/>
            <w:shd w:val="clear" w:color="auto" w:fill="F6F1E6"/>
          </w:tcPr>
          <w:p>
            <w:pPr>
              <w:spacing w:after="20"/>
              <w:jc w:val="right"/>
            </w:pPr>
            <w:r>
              <w:rPr>
                <w:b/>
                <w:color w:val="1C3A36"/>
                <w:sz w:val="17"/>
              </w:rPr>
              <w:t>0.32%</w:t>
            </w:r>
          </w:p>
        </w:tc>
      </w:tr>
    </w:tbl>
    <w:p>
      <w:pPr>
        <w:spacing w:after="40"/>
      </w:pPr>
    </w:p>
    <w:p>
      <w:pPr>
        <w:spacing w:after="200" w:before="0"/>
      </w:pPr>
      <w:r>
        <w:rPr>
          <w:b w:val="0"/>
          <w:i/>
          <w:color w:val="6E7B77"/>
          <w:sz w:val="17"/>
        </w:rPr>
        <w:t>Table 14 — the reinvestment record. TWO of the four filed periods show POSITIVE reinvestment and the four-period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6.78%; the four-period average implies far less. The terminal growth sensitivity in section 1.11 shows why the choice barely matters here: because the reinvestment identity FUNDS growth before crediting it, the value moves only from EGP 10.79 at 3% to 11.83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9.46</w:t>
            </w:r>
          </w:p>
        </w:tc>
        <w:tc>
          <w:tcPr>
            <w:tcW w:type="dxa" w:w="1080"/>
          </w:tcPr>
          <w:p>
            <w:pPr>
              <w:spacing w:after="20"/>
              <w:jc w:val="right"/>
            </w:pPr>
            <w:r>
              <w:rPr>
                <w:color w:val="1C3A36"/>
                <w:sz w:val="17"/>
              </w:rPr>
              <w:t>10.65</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13.02</w:t>
            </w:r>
          </w:p>
        </w:tc>
        <w:tc>
          <w:tcPr>
            <w:tcW w:type="dxa" w:w="1080"/>
          </w:tcPr>
          <w:p>
            <w:pPr>
              <w:spacing w:after="20"/>
              <w:jc w:val="right"/>
            </w:pPr>
            <w:r>
              <w:rPr>
                <w:color w:val="1C3A36"/>
                <w:sz w:val="17"/>
              </w:rPr>
              <w:t>14.21</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7.77</w:t>
            </w:r>
          </w:p>
        </w:tc>
        <w:tc>
          <w:tcPr>
            <w:tcW w:type="dxa" w:w="1080"/>
          </w:tcPr>
          <w:p>
            <w:pPr>
              <w:spacing w:after="20"/>
              <w:jc w:val="right"/>
            </w:pPr>
            <w:r>
              <w:rPr>
                <w:color w:val="1C3A36"/>
                <w:sz w:val="17"/>
              </w:rPr>
              <w:t>9.69</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13.75</w:t>
            </w:r>
          </w:p>
        </w:tc>
        <w:tc>
          <w:tcPr>
            <w:tcW w:type="dxa" w:w="1080"/>
          </w:tcPr>
          <w:p>
            <w:pPr>
              <w:spacing w:after="20"/>
              <w:jc w:val="right"/>
            </w:pPr>
            <w:r>
              <w:rPr>
                <w:color w:val="1C3A36"/>
                <w:sz w:val="17"/>
              </w:rPr>
              <w:t>15.87</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11.15</w:t>
            </w:r>
          </w:p>
        </w:tc>
        <w:tc>
          <w:tcPr>
            <w:tcW w:type="dxa" w:w="1080"/>
          </w:tcPr>
          <w:p>
            <w:pPr>
              <w:spacing w:after="20"/>
              <w:jc w:val="right"/>
            </w:pPr>
            <w:r>
              <w:rPr>
                <w:color w:val="1C3A36"/>
                <w:sz w:val="17"/>
              </w:rPr>
              <w:t>11.49</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12.18</w:t>
            </w:r>
          </w:p>
        </w:tc>
        <w:tc>
          <w:tcPr>
            <w:tcW w:type="dxa" w:w="1080"/>
          </w:tcPr>
          <w:p>
            <w:pPr>
              <w:spacing w:after="20"/>
              <w:jc w:val="right"/>
            </w:pPr>
            <w:r>
              <w:rPr>
                <w:color w:val="1C3A36"/>
                <w:sz w:val="17"/>
              </w:rPr>
              <w:t>12.54</w:t>
            </w:r>
          </w:p>
        </w:tc>
      </w:tr>
      <w:tr>
        <w:tc>
          <w:tcPr>
            <w:tcW w:type="dxa" w:w="4104"/>
          </w:tcPr>
          <w:p>
            <w:pPr>
              <w:spacing w:after="20"/>
            </w:pPr>
            <w:r>
              <w:rPr>
                <w:color w:val="1C3A36"/>
                <w:sz w:val="17"/>
              </w:rPr>
              <w:t>Beta</w:t>
            </w:r>
          </w:p>
        </w:tc>
        <w:tc>
          <w:tcPr>
            <w:tcW w:type="dxa" w:w="1080"/>
          </w:tcPr>
          <w:p>
            <w:pPr>
              <w:spacing w:after="20"/>
              <w:jc w:val="right"/>
            </w:pPr>
            <w:r>
              <w:rPr>
                <w:color w:val="1C3A36"/>
                <w:sz w:val="17"/>
              </w:rPr>
              <w:t>14.02</w:t>
            </w:r>
          </w:p>
        </w:tc>
        <w:tc>
          <w:tcPr>
            <w:tcW w:type="dxa" w:w="1080"/>
          </w:tcPr>
          <w:p>
            <w:pPr>
              <w:spacing w:after="20"/>
              <w:jc w:val="right"/>
            </w:pPr>
            <w:r>
              <w:rPr>
                <w:color w:val="1C3A36"/>
                <w:sz w:val="17"/>
              </w:rPr>
              <w:t>12.51</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10.58</w:t>
            </w:r>
          </w:p>
        </w:tc>
        <w:tc>
          <w:tcPr>
            <w:tcW w:type="dxa" w:w="1080"/>
          </w:tcPr>
          <w:p>
            <w:pPr>
              <w:spacing w:after="20"/>
              <w:jc w:val="right"/>
            </w:pPr>
            <w:r>
              <w:rPr>
                <w:color w:val="1C3A36"/>
                <w:sz w:val="17"/>
              </w:rPr>
              <w:t>9.95</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13.68</w:t>
            </w:r>
          </w:p>
        </w:tc>
        <w:tc>
          <w:tcPr>
            <w:tcW w:type="dxa" w:w="1080"/>
          </w:tcPr>
          <w:p>
            <w:pPr>
              <w:spacing w:after="20"/>
              <w:jc w:val="right"/>
            </w:pPr>
            <w:r>
              <w:rPr>
                <w:color w:val="1C3A36"/>
                <w:sz w:val="17"/>
              </w:rPr>
              <w:t>12.76</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10.91</w:t>
            </w:r>
          </w:p>
        </w:tc>
        <w:tc>
          <w:tcPr>
            <w:tcW w:type="dxa" w:w="1080"/>
          </w:tcPr>
          <w:p>
            <w:pPr>
              <w:spacing w:after="20"/>
              <w:jc w:val="right"/>
            </w:pPr>
            <w:r>
              <w:rPr>
                <w:color w:val="1C3A36"/>
                <w:sz w:val="17"/>
              </w:rPr>
              <w:t>9.99</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10.79</w:t>
            </w:r>
          </w:p>
        </w:tc>
        <w:tc>
          <w:tcPr>
            <w:tcW w:type="dxa" w:w="1080"/>
          </w:tcPr>
          <w:p>
            <w:pPr>
              <w:spacing w:after="20"/>
              <w:jc w:val="right"/>
            </w:pPr>
            <w:r>
              <w:rPr>
                <w:color w:val="1C3A36"/>
                <w:sz w:val="17"/>
              </w:rPr>
              <w:t>10.99</w:t>
            </w:r>
          </w:p>
        </w:tc>
        <w:tc>
          <w:tcPr>
            <w:tcW w:type="dxa" w:w="1080"/>
          </w:tcPr>
          <w:p>
            <w:pPr>
              <w:spacing w:after="20"/>
              <w:jc w:val="right"/>
            </w:pPr>
            <w:r>
              <w:rPr>
                <w:color w:val="1C3A36"/>
                <w:sz w:val="17"/>
              </w:rPr>
              <w:t>11.23</w:t>
            </w:r>
          </w:p>
        </w:tc>
        <w:tc>
          <w:tcPr>
            <w:tcW w:type="dxa" w:w="1080"/>
          </w:tcPr>
          <w:p>
            <w:pPr>
              <w:spacing w:after="20"/>
              <w:jc w:val="right"/>
            </w:pPr>
            <w:r>
              <w:rPr>
                <w:color w:val="1C3A36"/>
                <w:sz w:val="17"/>
              </w:rPr>
              <w:t>11.51</w:t>
            </w:r>
          </w:p>
        </w:tc>
        <w:tc>
          <w:tcPr>
            <w:tcW w:type="dxa" w:w="1080"/>
          </w:tcPr>
          <w:p>
            <w:pPr>
              <w:spacing w:after="20"/>
              <w:jc w:val="right"/>
            </w:pPr>
            <w:r>
              <w:rPr>
                <w:color w:val="1C3A36"/>
                <w:sz w:val="17"/>
              </w:rPr>
              <w:t>11.83</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1.19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11.91</w:t>
            </w:r>
          </w:p>
        </w:tc>
        <w:tc>
          <w:tcPr>
            <w:tcW w:type="dxa" w:w="1224"/>
          </w:tcPr>
          <w:p>
            <w:pPr>
              <w:spacing w:after="20"/>
              <w:jc w:val="right"/>
            </w:pPr>
            <w:r>
              <w:rPr>
                <w:color w:val="1C3A36"/>
                <w:sz w:val="17"/>
              </w:rPr>
              <w:t>12.23</w:t>
            </w:r>
          </w:p>
        </w:tc>
        <w:tc>
          <w:tcPr>
            <w:tcW w:type="dxa" w:w="1224"/>
          </w:tcPr>
          <w:p>
            <w:pPr>
              <w:spacing w:after="20"/>
              <w:jc w:val="right"/>
            </w:pPr>
            <w:r>
              <w:rPr>
                <w:color w:val="1C3A36"/>
                <w:sz w:val="17"/>
              </w:rPr>
              <w:t>12.60</w:t>
            </w:r>
          </w:p>
        </w:tc>
        <w:tc>
          <w:tcPr>
            <w:tcW w:type="dxa" w:w="1224"/>
          </w:tcPr>
          <w:p>
            <w:pPr>
              <w:spacing w:after="20"/>
              <w:jc w:val="right"/>
            </w:pPr>
            <w:r>
              <w:rPr>
                <w:color w:val="1C3A36"/>
                <w:sz w:val="17"/>
              </w:rPr>
              <w:t>13.05</w:t>
            </w:r>
          </w:p>
        </w:tc>
        <w:tc>
          <w:tcPr>
            <w:tcW w:type="dxa" w:w="1224"/>
          </w:tcPr>
          <w:p>
            <w:pPr>
              <w:spacing w:after="20"/>
              <w:jc w:val="right"/>
            </w:pPr>
            <w:r>
              <w:rPr>
                <w:color w:val="1C3A36"/>
                <w:sz w:val="17"/>
              </w:rPr>
              <w:t>13.59</w:t>
            </w:r>
          </w:p>
        </w:tc>
      </w:tr>
      <w:tr>
        <w:tc>
          <w:tcPr>
            <w:tcW w:type="dxa" w:w="3384"/>
          </w:tcPr>
          <w:p>
            <w:pPr>
              <w:spacing w:after="20"/>
            </w:pPr>
            <w:r>
              <w:rPr>
                <w:color w:val="1C3A36"/>
                <w:sz w:val="17"/>
              </w:rPr>
              <w:t>17.14%</w:t>
            </w:r>
          </w:p>
        </w:tc>
        <w:tc>
          <w:tcPr>
            <w:tcW w:type="dxa" w:w="1224"/>
          </w:tcPr>
          <w:p>
            <w:pPr>
              <w:spacing w:after="20"/>
              <w:jc w:val="right"/>
            </w:pPr>
            <w:r>
              <w:rPr>
                <w:color w:val="1C3A36"/>
                <w:sz w:val="17"/>
              </w:rPr>
              <w:t>11.31</w:t>
            </w:r>
          </w:p>
        </w:tc>
        <w:tc>
          <w:tcPr>
            <w:tcW w:type="dxa" w:w="1224"/>
          </w:tcPr>
          <w:p>
            <w:pPr>
              <w:spacing w:after="20"/>
              <w:jc w:val="right"/>
            </w:pPr>
            <w:r>
              <w:rPr>
                <w:color w:val="1C3A36"/>
                <w:sz w:val="17"/>
              </w:rPr>
              <w:t>11.57</w:t>
            </w:r>
          </w:p>
        </w:tc>
        <w:tc>
          <w:tcPr>
            <w:tcW w:type="dxa" w:w="1224"/>
          </w:tcPr>
          <w:p>
            <w:pPr>
              <w:spacing w:after="20"/>
              <w:jc w:val="right"/>
            </w:pPr>
            <w:r>
              <w:rPr>
                <w:color w:val="1C3A36"/>
                <w:sz w:val="17"/>
              </w:rPr>
              <w:t>11.86</w:t>
            </w:r>
          </w:p>
        </w:tc>
        <w:tc>
          <w:tcPr>
            <w:tcW w:type="dxa" w:w="1224"/>
          </w:tcPr>
          <w:p>
            <w:pPr>
              <w:spacing w:after="20"/>
              <w:jc w:val="right"/>
            </w:pPr>
            <w:r>
              <w:rPr>
                <w:color w:val="1C3A36"/>
                <w:sz w:val="17"/>
              </w:rPr>
              <w:t>12.21</w:t>
            </w:r>
          </w:p>
        </w:tc>
        <w:tc>
          <w:tcPr>
            <w:tcW w:type="dxa" w:w="1224"/>
          </w:tcPr>
          <w:p>
            <w:pPr>
              <w:spacing w:after="20"/>
              <w:jc w:val="right"/>
            </w:pPr>
            <w:r>
              <w:rPr>
                <w:color w:val="1C3A36"/>
                <w:sz w:val="17"/>
              </w:rPr>
              <w:t>12.63</w:t>
            </w:r>
          </w:p>
        </w:tc>
      </w:tr>
      <w:tr>
        <w:tc>
          <w:tcPr>
            <w:tcW w:type="dxa" w:w="3384"/>
          </w:tcPr>
          <w:p>
            <w:pPr>
              <w:spacing w:after="20"/>
            </w:pPr>
            <w:r>
              <w:rPr>
                <w:color w:val="1C3A36"/>
                <w:sz w:val="17"/>
              </w:rPr>
              <w:t>18.14%</w:t>
            </w:r>
          </w:p>
        </w:tc>
        <w:tc>
          <w:tcPr>
            <w:tcW w:type="dxa" w:w="1224"/>
          </w:tcPr>
          <w:p>
            <w:pPr>
              <w:spacing w:after="20"/>
              <w:jc w:val="right"/>
            </w:pPr>
            <w:r>
              <w:rPr>
                <w:color w:val="1C3A36"/>
                <w:sz w:val="17"/>
              </w:rPr>
              <w:t>10.79</w:t>
            </w:r>
          </w:p>
        </w:tc>
        <w:tc>
          <w:tcPr>
            <w:tcW w:type="dxa" w:w="1224"/>
          </w:tcPr>
          <w:p>
            <w:pPr>
              <w:spacing w:after="20"/>
              <w:jc w:val="right"/>
            </w:pPr>
            <w:r>
              <w:rPr>
                <w:color w:val="1C3A36"/>
                <w:sz w:val="17"/>
              </w:rPr>
              <w:t>10.99</w:t>
            </w:r>
          </w:p>
        </w:tc>
        <w:tc>
          <w:tcPr>
            <w:tcW w:type="dxa" w:w="1224"/>
          </w:tcPr>
          <w:p>
            <w:pPr>
              <w:spacing w:after="20"/>
              <w:jc w:val="right"/>
            </w:pPr>
            <w:r>
              <w:rPr>
                <w:color w:val="1C3A36"/>
                <w:sz w:val="17"/>
              </w:rPr>
              <w:t>11.23</w:t>
            </w:r>
          </w:p>
        </w:tc>
        <w:tc>
          <w:tcPr>
            <w:tcW w:type="dxa" w:w="1224"/>
          </w:tcPr>
          <w:p>
            <w:pPr>
              <w:spacing w:after="20"/>
              <w:jc w:val="right"/>
            </w:pPr>
            <w:r>
              <w:rPr>
                <w:color w:val="1C3A36"/>
                <w:sz w:val="17"/>
              </w:rPr>
              <w:t>11.51</w:t>
            </w:r>
          </w:p>
        </w:tc>
        <w:tc>
          <w:tcPr>
            <w:tcW w:type="dxa" w:w="1224"/>
          </w:tcPr>
          <w:p>
            <w:pPr>
              <w:spacing w:after="20"/>
              <w:jc w:val="right"/>
            </w:pPr>
            <w:r>
              <w:rPr>
                <w:color w:val="1C3A36"/>
                <w:sz w:val="17"/>
              </w:rPr>
              <w:t>11.83</w:t>
            </w:r>
          </w:p>
        </w:tc>
      </w:tr>
      <w:tr>
        <w:tc>
          <w:tcPr>
            <w:tcW w:type="dxa" w:w="3384"/>
          </w:tcPr>
          <w:p>
            <w:pPr>
              <w:spacing w:after="20"/>
            </w:pPr>
            <w:r>
              <w:rPr>
                <w:color w:val="1C3A36"/>
                <w:sz w:val="17"/>
              </w:rPr>
              <w:t>19.14%</w:t>
            </w:r>
          </w:p>
        </w:tc>
        <w:tc>
          <w:tcPr>
            <w:tcW w:type="dxa" w:w="1224"/>
          </w:tcPr>
          <w:p>
            <w:pPr>
              <w:spacing w:after="20"/>
              <w:jc w:val="right"/>
            </w:pPr>
            <w:r>
              <w:rPr>
                <w:color w:val="1C3A36"/>
                <w:sz w:val="17"/>
              </w:rPr>
              <w:t>10.33</w:t>
            </w:r>
          </w:p>
        </w:tc>
        <w:tc>
          <w:tcPr>
            <w:tcW w:type="dxa" w:w="1224"/>
          </w:tcPr>
          <w:p>
            <w:pPr>
              <w:spacing w:after="20"/>
              <w:jc w:val="right"/>
            </w:pPr>
            <w:r>
              <w:rPr>
                <w:color w:val="1C3A36"/>
                <w:sz w:val="17"/>
              </w:rPr>
              <w:t>10.50</w:t>
            </w:r>
          </w:p>
        </w:tc>
        <w:tc>
          <w:tcPr>
            <w:tcW w:type="dxa" w:w="1224"/>
          </w:tcPr>
          <w:p>
            <w:pPr>
              <w:spacing w:after="20"/>
              <w:jc w:val="right"/>
            </w:pPr>
            <w:r>
              <w:rPr>
                <w:color w:val="1C3A36"/>
                <w:sz w:val="17"/>
              </w:rPr>
              <w:t>10.69</w:t>
            </w:r>
          </w:p>
        </w:tc>
        <w:tc>
          <w:tcPr>
            <w:tcW w:type="dxa" w:w="1224"/>
          </w:tcPr>
          <w:p>
            <w:pPr>
              <w:spacing w:after="20"/>
              <w:jc w:val="right"/>
            </w:pPr>
            <w:r>
              <w:rPr>
                <w:color w:val="1C3A36"/>
                <w:sz w:val="17"/>
              </w:rPr>
              <w:t>10.91</w:t>
            </w:r>
          </w:p>
        </w:tc>
        <w:tc>
          <w:tcPr>
            <w:tcW w:type="dxa" w:w="1224"/>
          </w:tcPr>
          <w:p>
            <w:pPr>
              <w:spacing w:after="20"/>
              <w:jc w:val="right"/>
            </w:pPr>
            <w:r>
              <w:rPr>
                <w:color w:val="1C3A36"/>
                <w:sz w:val="17"/>
              </w:rPr>
              <w:t>11.17</w:t>
            </w:r>
          </w:p>
        </w:tc>
      </w:tr>
      <w:tr>
        <w:tc>
          <w:tcPr>
            <w:tcW w:type="dxa" w:w="3384"/>
          </w:tcPr>
          <w:p>
            <w:pPr>
              <w:spacing w:after="20"/>
            </w:pPr>
            <w:r>
              <w:rPr>
                <w:color w:val="1C3A36"/>
                <w:sz w:val="17"/>
              </w:rPr>
              <w:t>20.14%</w:t>
            </w:r>
          </w:p>
        </w:tc>
        <w:tc>
          <w:tcPr>
            <w:tcW w:type="dxa" w:w="1224"/>
          </w:tcPr>
          <w:p>
            <w:pPr>
              <w:spacing w:after="20"/>
              <w:jc w:val="right"/>
            </w:pPr>
            <w:r>
              <w:rPr>
                <w:color w:val="1C3A36"/>
                <w:sz w:val="17"/>
              </w:rPr>
              <w:t>9.93</w:t>
            </w:r>
          </w:p>
        </w:tc>
        <w:tc>
          <w:tcPr>
            <w:tcW w:type="dxa" w:w="1224"/>
          </w:tcPr>
          <w:p>
            <w:pPr>
              <w:spacing w:after="20"/>
              <w:jc w:val="right"/>
            </w:pPr>
            <w:r>
              <w:rPr>
                <w:color w:val="1C3A36"/>
                <w:sz w:val="17"/>
              </w:rPr>
              <w:t>10.06</w:t>
            </w:r>
          </w:p>
        </w:tc>
        <w:tc>
          <w:tcPr>
            <w:tcW w:type="dxa" w:w="1224"/>
          </w:tcPr>
          <w:p>
            <w:pPr>
              <w:spacing w:after="20"/>
              <w:jc w:val="right"/>
            </w:pPr>
            <w:r>
              <w:rPr>
                <w:color w:val="1C3A36"/>
                <w:sz w:val="17"/>
              </w:rPr>
              <w:t>10.22</w:t>
            </w:r>
          </w:p>
        </w:tc>
        <w:tc>
          <w:tcPr>
            <w:tcW w:type="dxa" w:w="1224"/>
          </w:tcPr>
          <w:p>
            <w:pPr>
              <w:spacing w:after="20"/>
              <w:jc w:val="right"/>
            </w:pPr>
            <w:r>
              <w:rPr>
                <w:color w:val="1C3A36"/>
                <w:sz w:val="17"/>
              </w:rPr>
              <w:t>10.40</w:t>
            </w:r>
          </w:p>
        </w:tc>
        <w:tc>
          <w:tcPr>
            <w:tcW w:type="dxa" w:w="1224"/>
          </w:tcPr>
          <w:p>
            <w:pPr>
              <w:spacing w:after="20"/>
              <w:jc w:val="right"/>
            </w:pPr>
            <w:r>
              <w:rPr>
                <w:color w:val="1C3A36"/>
                <w:sz w:val="17"/>
              </w:rPr>
              <w:t>10.60</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1.59</w:t>
            </w:r>
          </w:p>
        </w:tc>
        <w:tc>
          <w:tcPr>
            <w:tcW w:type="dxa" w:w="1512"/>
          </w:tcPr>
          <w:p>
            <w:pPr>
              <w:spacing w:after="20"/>
              <w:jc w:val="right"/>
            </w:pPr>
            <w:r>
              <w:rPr>
                <w:color w:val="1C3A36"/>
                <w:sz w:val="17"/>
              </w:rPr>
              <w:t>11.83</w:t>
            </w:r>
          </w:p>
        </w:tc>
        <w:tc>
          <w:tcPr>
            <w:tcW w:type="dxa" w:w="1512"/>
          </w:tcPr>
          <w:p>
            <w:pPr>
              <w:spacing w:after="20"/>
              <w:jc w:val="right"/>
            </w:pPr>
            <w:r>
              <w:rPr>
                <w:color w:val="1C3A36"/>
                <w:sz w:val="17"/>
              </w:rPr>
              <w:t>24.97</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1.878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9.22.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1.32 times = (sustainable return 28% less growth) over (cost of equity 22.85% less growth), on book value of EGP 4.70: EGP 6.23.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11.83</w:t>
            </w:r>
          </w:p>
        </w:tc>
        <w:tc>
          <w:tcPr>
            <w:tcW w:type="dxa" w:w="1224"/>
          </w:tcPr>
          <w:p>
            <w:pPr>
              <w:spacing w:after="20"/>
              <w:jc w:val="right"/>
            </w:pPr>
            <w:r>
              <w:rPr>
                <w:color w:val="1C3A36"/>
                <w:sz w:val="17"/>
              </w:rPr>
              <w:t>-12.3%</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12.61</w:t>
            </w:r>
          </w:p>
        </w:tc>
        <w:tc>
          <w:tcPr>
            <w:tcW w:type="dxa" w:w="1224"/>
          </w:tcPr>
          <w:p>
            <w:pPr>
              <w:spacing w:after="20"/>
              <w:jc w:val="right"/>
            </w:pPr>
            <w:r>
              <w:rPr>
                <w:color w:val="1C3A36"/>
                <w:sz w:val="17"/>
              </w:rPr>
              <w:t>-6.6%</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12.03</w:t>
            </w:r>
          </w:p>
        </w:tc>
        <w:tc>
          <w:tcPr>
            <w:tcW w:type="dxa" w:w="1224"/>
          </w:tcPr>
          <w:p>
            <w:pPr>
              <w:spacing w:after="20"/>
              <w:jc w:val="right"/>
            </w:pPr>
            <w:r>
              <w:rPr>
                <w:color w:val="1C3A36"/>
                <w:sz w:val="17"/>
              </w:rPr>
              <w:t>-10.9%</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12.14</w:t>
            </w:r>
          </w:p>
        </w:tc>
        <w:tc>
          <w:tcPr>
            <w:tcW w:type="dxa" w:w="1224"/>
          </w:tcPr>
          <w:p>
            <w:pPr>
              <w:spacing w:after="20"/>
              <w:jc w:val="right"/>
            </w:pPr>
            <w:r>
              <w:rPr>
                <w:color w:val="1C3A36"/>
                <w:sz w:val="17"/>
              </w:rPr>
              <w:t>-10.1%</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11.23</w:t>
            </w:r>
          </w:p>
        </w:tc>
        <w:tc>
          <w:tcPr>
            <w:tcW w:type="dxa" w:w="1224"/>
          </w:tcPr>
          <w:p>
            <w:pPr>
              <w:spacing w:after="20"/>
              <w:jc w:val="right"/>
            </w:pPr>
            <w:r>
              <w:rPr>
                <w:color w:val="1C3A36"/>
                <w:sz w:val="17"/>
              </w:rPr>
              <w:t>-16.8%</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11.83</w:t>
            </w:r>
          </w:p>
        </w:tc>
        <w:tc>
          <w:tcPr>
            <w:tcW w:type="dxa" w:w="1224"/>
          </w:tcPr>
          <w:p>
            <w:pPr>
              <w:spacing w:after="20"/>
              <w:jc w:val="right"/>
            </w:pPr>
            <w:r>
              <w:rPr>
                <w:color w:val="1C3A36"/>
                <w:sz w:val="17"/>
              </w:rPr>
              <w:t>-12.3%</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13.18</w:t>
            </w:r>
          </w:p>
        </w:tc>
        <w:tc>
          <w:tcPr>
            <w:tcW w:type="dxa" w:w="1224"/>
            <w:shd w:val="clear" w:color="auto" w:fill="F6F1E6"/>
          </w:tcPr>
          <w:p>
            <w:pPr>
              <w:spacing w:after="20"/>
              <w:jc w:val="right"/>
            </w:pPr>
            <w:r>
              <w:rPr>
                <w:b/>
                <w:color w:val="1C3A36"/>
                <w:sz w:val="17"/>
              </w:rPr>
              <w:t>-2.3%</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everything and the price is still 2.3% above the model.</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No single concession, and not all of them together, reaches the price.</w:t>
      </w:r>
    </w:p>
    <w:p>
      <w:pPr>
        <w:spacing w:after="120" w:before="0"/>
      </w:pPr>
      <w:r>
        <w:rPr>
          <w:b w:val="0"/>
          <w:i w:val="0"/>
          <w:color w:val="1C3A36"/>
          <w:sz w:val="21"/>
        </w:rPr>
        <w:t>Two further contested choices are computed rather than conceded. On the RATING-BASIS equity risk premium instead of the CDS basis, the cash-flow lens is EGP 9.49;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12.23.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27.5% falling to 18.9%, is worth less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10.36% sustained in EVERY forecast year and in perpetuity, against a base year of 9.65% — that is a REDUCTION of -0.70%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10.36%.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today)</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49 of 57 (86.0%)</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80.7%</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56.1%</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1.225x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86.0%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1.23x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11.83</w:t>
            </w:r>
          </w:p>
        </w:tc>
        <w:tc>
          <w:tcPr>
            <w:tcW w:type="dxa" w:w="2376"/>
          </w:tcPr>
          <w:p>
            <w:pPr>
              <w:spacing w:after="20"/>
              <w:jc w:val="right"/>
            </w:pPr>
            <w:r>
              <w:rPr>
                <w:color w:val="1C3A36"/>
                <w:sz w:val="17"/>
              </w:rPr>
              <w:t>2.1%</w:t>
            </w:r>
          </w:p>
        </w:tc>
        <w:tc>
          <w:tcPr>
            <w:tcW w:type="dxa" w:w="2376"/>
          </w:tcPr>
          <w:p>
            <w:pPr>
              <w:spacing w:after="20"/>
              <w:jc w:val="right"/>
            </w:pPr>
            <w:r>
              <w:rPr>
                <w:color w:val="1C3A36"/>
                <w:sz w:val="17"/>
              </w:rPr>
              <w:t>20.0%</w:t>
            </w:r>
          </w:p>
        </w:tc>
        <w:tc>
          <w:tcPr>
            <w:tcW w:type="dxa" w:w="2880"/>
          </w:tcPr>
          <w:p>
            <w:pPr>
              <w:spacing w:after="20"/>
            </w:pPr>
            <w:r>
              <w:rPr>
                <w:color w:val="1C3A36"/>
                <w:sz w:val="17"/>
              </w:rPr>
              <w:t>THIS STUDY’S FAIR VALUE</w:t>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11.83  (range 1.59–24.97)</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1.19 on the cash-flow lens, and the filed record spans 514 basis points;</w:t>
      </w:r>
    </w:p>
    <w:p>
      <w:pPr>
        <w:pStyle w:val="ListBullet"/>
        <w:spacing w:after="60"/>
      </w:pPr>
      <w:r>
        <w:rPr>
          <w:b/>
          <w:color w:val="1C3A36"/>
          <w:sz w:val="21"/>
        </w:rPr>
        <w:t xml:space="preserve">THE REPORTED HALF — </w:t>
      </w:r>
      <w:r>
        <w:rPr>
          <w:color w:val="1C3A36"/>
          <w:sz w:val="21"/>
        </w:rPr>
        <w:t>the base year is half press release. Audited half-year statements that restate revenue or profit materially would move the whole build — and note the direction: the fully-audited nine-month alternative prices the central LOWER, not higher;</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13.8%</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66.9%</w:t>
            </w:r>
          </w:p>
        </w:tc>
      </w:tr>
      <w:tr>
        <w:tc>
          <w:tcPr>
            <w:tcW w:type="dxa" w:w="6048"/>
          </w:tcPr>
          <w:p>
            <w:pPr>
              <w:spacing w:after="20"/>
            </w:pPr>
            <w:r>
              <w:rPr>
                <w:color w:val="1C3A36"/>
                <w:sz w:val="18"/>
              </w:rPr>
              <w:t>EGP 11.00 to EGP 11.83 (fair value)</w:t>
            </w:r>
          </w:p>
        </w:tc>
        <w:tc>
          <w:tcPr>
            <w:tcW w:type="dxa" w:w="2736"/>
          </w:tcPr>
          <w:p>
            <w:pPr>
              <w:spacing w:after="20"/>
              <w:jc w:val="right"/>
            </w:pPr>
            <w:r>
              <w:rPr>
                <w:color w:val="1C3A36"/>
                <w:sz w:val="18"/>
              </w:rPr>
              <w:t>7.7%</w:t>
            </w:r>
          </w:p>
        </w:tc>
      </w:tr>
      <w:tr>
        <w:tc>
          <w:tcPr>
            <w:tcW w:type="dxa" w:w="6048"/>
          </w:tcPr>
          <w:p>
            <w:pPr>
              <w:spacing w:after="20"/>
            </w:pPr>
            <w:r>
              <w:rPr>
                <w:color w:val="1C3A36"/>
                <w:sz w:val="18"/>
              </w:rPr>
              <w:t>EGP 11.83 (fair value) to EGP 13.50 (the traded price)</w:t>
            </w:r>
          </w:p>
        </w:tc>
        <w:tc>
          <w:tcPr>
            <w:tcW w:type="dxa" w:w="2736"/>
          </w:tcPr>
          <w:p>
            <w:pPr>
              <w:spacing w:after="20"/>
              <w:jc w:val="right"/>
            </w:pPr>
            <w:r>
              <w:rPr>
                <w:color w:val="1C3A36"/>
                <w:sz w:val="18"/>
              </w:rPr>
              <w:t>8.3%</w:t>
            </w:r>
          </w:p>
        </w:tc>
      </w:tr>
      <w:tr>
        <w:tc>
          <w:tcPr>
            <w:tcW w:type="dxa" w:w="6048"/>
          </w:tcPr>
          <w:p>
            <w:pPr>
              <w:spacing w:after="20"/>
            </w:pPr>
            <w:r>
              <w:rPr>
                <w:color w:val="1C3A36"/>
                <w:sz w:val="18"/>
              </w:rPr>
              <w:t>Above EGP 13.50 (the traded price)</w:t>
            </w:r>
          </w:p>
        </w:tc>
        <w:tc>
          <w:tcPr>
            <w:tcW w:type="dxa" w:w="2736"/>
          </w:tcPr>
          <w:p>
            <w:pPr>
              <w:spacing w:after="20"/>
              <w:jc w:val="right"/>
            </w:pPr>
            <w:r>
              <w:rPr>
                <w:color w:val="1C3A36"/>
                <w:sz w:val="18"/>
              </w:rPr>
              <w:t>3.3%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36%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514-basis-point range across four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four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037"/>
        <w:gridCol w:w="1037"/>
        <w:gridCol w:w="1037"/>
        <w:gridCol w:w="1037"/>
        <w:gridCol w:w="950"/>
        <w:gridCol w:w="950"/>
        <w:gridCol w:w="950"/>
        <w:gridCol w:w="950"/>
        <w:gridCol w:w="950"/>
      </w:tblGrid>
      <w:tr>
        <w:tc>
          <w:tcPr>
            <w:tcW w:type="dxa" w:w="2160"/>
            <w:shd w:val="clear" w:color="auto" w:fill="EAF0EE"/>
          </w:tcPr>
          <w:p>
            <w:pPr>
              <w:spacing w:after="20"/>
            </w:pPr>
            <w:r>
              <w:rPr>
                <w:b/>
                <w:color w:val="1C3A36"/>
                <w:sz w:val="15"/>
              </w:rPr>
            </w:r>
          </w:p>
        </w:tc>
        <w:tc>
          <w:tcPr>
            <w:tcW w:type="dxa" w:w="1037"/>
            <w:shd w:val="clear" w:color="auto" w:fill="EAF0EE"/>
          </w:tcPr>
          <w:p>
            <w:pPr>
              <w:spacing w:after="20"/>
            </w:pPr>
            <w:r>
              <w:rPr>
                <w:b/>
                <w:color w:val="1C3A36"/>
                <w:sz w:val="15"/>
              </w:rPr>
              <w:t>6M Dec-2024</w:t>
            </w:r>
          </w:p>
        </w:tc>
        <w:tc>
          <w:tcPr>
            <w:tcW w:type="dxa" w:w="1037"/>
            <w:shd w:val="clear" w:color="auto" w:fill="EAF0EE"/>
          </w:tcPr>
          <w:p>
            <w:pPr>
              <w:spacing w:after="20"/>
            </w:pPr>
            <w:r>
              <w:rPr>
                <w:b/>
                <w:color w:val="1C3A36"/>
                <w:sz w:val="15"/>
              </w:rPr>
              <w:t>3M Mar-2025</w:t>
            </w:r>
          </w:p>
        </w:tc>
        <w:tc>
          <w:tcPr>
            <w:tcW w:type="dxa" w:w="1037"/>
            <w:shd w:val="clear" w:color="auto" w:fill="EAF0EE"/>
          </w:tcPr>
          <w:p>
            <w:pPr>
              <w:spacing w:after="20"/>
            </w:pPr>
            <w:r>
              <w:rPr>
                <w:b/>
                <w:color w:val="1C3A36"/>
                <w:sz w:val="15"/>
              </w:rPr>
              <w:t>6M Dec-2025</w:t>
            </w:r>
          </w:p>
        </w:tc>
        <w:tc>
          <w:tcPr>
            <w:tcW w:type="dxa" w:w="1037"/>
            <w:shd w:val="clear" w:color="auto" w:fill="EAF0EE"/>
          </w:tcPr>
          <w:p>
            <w:pPr>
              <w:spacing w:after="20"/>
            </w:pPr>
            <w:r>
              <w:rPr>
                <w:b/>
                <w:color w:val="1C3A36"/>
                <w:sz w:val="15"/>
              </w:rPr>
              <w:t>3M Mar-2026</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c>
          <w:tcPr>
            <w:tcW w:type="dxa" w:w="2160"/>
          </w:tcPr>
          <w:p>
            <w:pPr>
              <w:spacing w:after="20"/>
            </w:pPr>
            <w:r>
              <w:rPr>
                <w:color w:val="1C3A36"/>
                <w:sz w:val="15"/>
              </w:rPr>
              <w:t>Net sales</w:t>
            </w:r>
          </w:p>
        </w:tc>
        <w:tc>
          <w:tcPr>
            <w:tcW w:type="dxa" w:w="1037"/>
          </w:tcPr>
          <w:p>
            <w:pPr>
              <w:spacing w:after="20"/>
              <w:jc w:val="right"/>
            </w:pPr>
            <w:r>
              <w:rPr>
                <w:color w:val="1C3A36"/>
                <w:sz w:val="15"/>
              </w:rPr>
              <w:t>18,246</w:t>
            </w:r>
          </w:p>
        </w:tc>
        <w:tc>
          <w:tcPr>
            <w:tcW w:type="dxa" w:w="1037"/>
          </w:tcPr>
          <w:p>
            <w:pPr>
              <w:spacing w:after="20"/>
              <w:jc w:val="right"/>
            </w:pPr>
            <w:r>
              <w:rPr>
                <w:color w:val="1C3A36"/>
                <w:sz w:val="15"/>
              </w:rPr>
              <w:t>10,068</w:t>
            </w:r>
          </w:p>
        </w:tc>
        <w:tc>
          <w:tcPr>
            <w:tcW w:type="dxa" w:w="1037"/>
          </w:tcPr>
          <w:p>
            <w:pPr>
              <w:spacing w:after="20"/>
              <w:jc w:val="right"/>
            </w:pPr>
            <w:r>
              <w:rPr>
                <w:color w:val="1C3A36"/>
                <w:sz w:val="15"/>
              </w:rPr>
              <w:t>20,736</w:t>
            </w:r>
          </w:p>
        </w:tc>
        <w:tc>
          <w:tcPr>
            <w:tcW w:type="dxa" w:w="1037"/>
          </w:tcPr>
          <w:p>
            <w:pPr>
              <w:spacing w:after="20"/>
              <w:jc w:val="right"/>
            </w:pPr>
            <w:r>
              <w:rPr>
                <w:color w:val="1C3A36"/>
                <w:sz w:val="15"/>
              </w:rPr>
              <w:t>10,511</w:t>
            </w:r>
          </w:p>
        </w:tc>
        <w:tc>
          <w:tcPr>
            <w:tcW w:type="dxa" w:w="950"/>
          </w:tcPr>
          <w:p>
            <w:pPr>
              <w:spacing w:after="20"/>
              <w:jc w:val="right"/>
            </w:pPr>
            <w:r>
              <w:rPr>
                <w:color w:val="1C3A36"/>
                <w:sz w:val="15"/>
              </w:rPr>
              <w:t>52,456</w:t>
            </w:r>
          </w:p>
        </w:tc>
        <w:tc>
          <w:tcPr>
            <w:tcW w:type="dxa" w:w="950"/>
          </w:tcPr>
          <w:p>
            <w:pPr>
              <w:spacing w:after="20"/>
              <w:jc w:val="right"/>
            </w:pPr>
            <w:r>
              <w:rPr>
                <w:color w:val="1C3A36"/>
                <w:sz w:val="15"/>
              </w:rPr>
              <w:t>57,830</w:t>
            </w:r>
          </w:p>
        </w:tc>
        <w:tc>
          <w:tcPr>
            <w:tcW w:type="dxa" w:w="950"/>
          </w:tcPr>
          <w:p>
            <w:pPr>
              <w:spacing w:after="20"/>
              <w:jc w:val="right"/>
            </w:pPr>
            <w:r>
              <w:rPr>
                <w:color w:val="1C3A36"/>
                <w:sz w:val="15"/>
              </w:rPr>
              <w:t>62,908</w:t>
            </w:r>
          </w:p>
        </w:tc>
        <w:tc>
          <w:tcPr>
            <w:tcW w:type="dxa" w:w="950"/>
          </w:tcPr>
          <w:p>
            <w:pPr>
              <w:spacing w:after="20"/>
              <w:jc w:val="right"/>
            </w:pPr>
            <w:r>
              <w:rPr>
                <w:color w:val="1C3A36"/>
                <w:sz w:val="15"/>
              </w:rPr>
              <w:t>67,511</w:t>
            </w:r>
          </w:p>
        </w:tc>
        <w:tc>
          <w:tcPr>
            <w:tcW w:type="dxa" w:w="950"/>
          </w:tcPr>
          <w:p>
            <w:pPr>
              <w:spacing w:after="20"/>
              <w:jc w:val="right"/>
            </w:pPr>
            <w:r>
              <w:rPr>
                <w:color w:val="1C3A36"/>
                <w:sz w:val="15"/>
              </w:rPr>
              <w:t>72,121</w:t>
            </w:r>
          </w:p>
        </w:tc>
      </w:tr>
      <w:tr>
        <w:tc>
          <w:tcPr>
            <w:tcW w:type="dxa" w:w="2160"/>
          </w:tcPr>
          <w:p>
            <w:pPr>
              <w:spacing w:after="20"/>
            </w:pPr>
            <w:r>
              <w:rPr>
                <w:color w:val="1C3A36"/>
                <w:sz w:val="15"/>
              </w:rPr>
              <w:t>Cost of sales</w:t>
            </w:r>
          </w:p>
        </w:tc>
        <w:tc>
          <w:tcPr>
            <w:tcW w:type="dxa" w:w="1037"/>
          </w:tcPr>
          <w:p>
            <w:pPr>
              <w:spacing w:after="20"/>
              <w:jc w:val="right"/>
            </w:pPr>
            <w:r>
              <w:rPr>
                <w:color w:val="1C3A36"/>
                <w:sz w:val="15"/>
              </w:rPr>
              <w:t>16,995</w:t>
            </w:r>
          </w:p>
        </w:tc>
        <w:tc>
          <w:tcPr>
            <w:tcW w:type="dxa" w:w="1037"/>
          </w:tcPr>
          <w:p>
            <w:pPr>
              <w:spacing w:after="20"/>
              <w:jc w:val="right"/>
            </w:pPr>
            <w:r>
              <w:rPr>
                <w:color w:val="1C3A36"/>
                <w:sz w:val="15"/>
              </w:rPr>
              <w:t>9,560</w:t>
            </w:r>
          </w:p>
        </w:tc>
        <w:tc>
          <w:tcPr>
            <w:tcW w:type="dxa" w:w="1037"/>
          </w:tcPr>
          <w:p>
            <w:pPr>
              <w:spacing w:after="20"/>
              <w:jc w:val="right"/>
            </w:pPr>
            <w:r>
              <w:rPr>
                <w:color w:val="1C3A36"/>
                <w:sz w:val="15"/>
              </w:rPr>
              <w:t>19,462</w:t>
            </w:r>
          </w:p>
        </w:tc>
        <w:tc>
          <w:tcPr>
            <w:tcW w:type="dxa" w:w="1037"/>
          </w:tcPr>
          <w:p>
            <w:pPr>
              <w:spacing w:after="20"/>
              <w:jc w:val="right"/>
            </w:pPr>
            <w:r>
              <w:rPr>
                <w:color w:val="1C3A36"/>
                <w:sz w:val="15"/>
              </w:rPr>
              <w:t>9,440</w:t>
            </w:r>
          </w:p>
        </w:tc>
        <w:tc>
          <w:tcPr>
            <w:tcW w:type="dxa" w:w="950"/>
          </w:tcPr>
          <w:p>
            <w:pPr>
              <w:spacing w:after="20"/>
              <w:jc w:val="right"/>
            </w:pPr>
            <w:r>
              <w:rPr>
                <w:color w:val="1C3A36"/>
                <w:sz w:val="15"/>
              </w:rPr>
              <w:t>47,378</w:t>
            </w:r>
          </w:p>
        </w:tc>
        <w:tc>
          <w:tcPr>
            <w:tcW w:type="dxa" w:w="950"/>
          </w:tcPr>
          <w:p>
            <w:pPr>
              <w:spacing w:after="20"/>
              <w:jc w:val="right"/>
            </w:pPr>
            <w:r>
              <w:rPr>
                <w:color w:val="1C3A36"/>
                <w:sz w:val="15"/>
              </w:rPr>
              <w:t>52,219</w:t>
            </w:r>
          </w:p>
        </w:tc>
        <w:tc>
          <w:tcPr>
            <w:tcW w:type="dxa" w:w="950"/>
          </w:tcPr>
          <w:p>
            <w:pPr>
              <w:spacing w:after="20"/>
              <w:jc w:val="right"/>
            </w:pPr>
            <w:r>
              <w:rPr>
                <w:color w:val="1C3A36"/>
                <w:sz w:val="15"/>
              </w:rPr>
              <w:t>56,793</w:t>
            </w:r>
          </w:p>
        </w:tc>
        <w:tc>
          <w:tcPr>
            <w:tcW w:type="dxa" w:w="950"/>
          </w:tcPr>
          <w:p>
            <w:pPr>
              <w:spacing w:after="20"/>
              <w:jc w:val="right"/>
            </w:pPr>
            <w:r>
              <w:rPr>
                <w:color w:val="1C3A36"/>
                <w:sz w:val="15"/>
              </w:rPr>
              <w:t>60,940</w:t>
            </w:r>
          </w:p>
        </w:tc>
        <w:tc>
          <w:tcPr>
            <w:tcW w:type="dxa" w:w="950"/>
          </w:tcPr>
          <w:p>
            <w:pPr>
              <w:spacing w:after="20"/>
              <w:jc w:val="right"/>
            </w:pPr>
            <w:r>
              <w:rPr>
                <w:color w:val="1C3A36"/>
                <w:sz w:val="15"/>
              </w:rPr>
              <w:t>65,093</w:t>
            </w:r>
          </w:p>
        </w:tc>
      </w:tr>
      <w:tr>
        <w:tc>
          <w:tcPr>
            <w:tcW w:type="dxa" w:w="2160"/>
          </w:tcPr>
          <w:p>
            <w:pPr>
              <w:spacing w:after="20"/>
            </w:pPr>
            <w:r>
              <w:rPr>
                <w:color w:val="1C3A36"/>
                <w:sz w:val="15"/>
              </w:rPr>
              <w:t>Gross profit</w:t>
            </w:r>
          </w:p>
        </w:tc>
        <w:tc>
          <w:tcPr>
            <w:tcW w:type="dxa" w:w="1037"/>
          </w:tcPr>
          <w:p>
            <w:pPr>
              <w:spacing w:after="20"/>
              <w:jc w:val="right"/>
            </w:pPr>
            <w:r>
              <w:rPr>
                <w:color w:val="1C3A36"/>
                <w:sz w:val="15"/>
              </w:rPr>
              <w:t>1,251</w:t>
            </w:r>
          </w:p>
        </w:tc>
        <w:tc>
          <w:tcPr>
            <w:tcW w:type="dxa" w:w="1037"/>
          </w:tcPr>
          <w:p>
            <w:pPr>
              <w:spacing w:after="20"/>
              <w:jc w:val="right"/>
            </w:pPr>
            <w:r>
              <w:rPr>
                <w:color w:val="1C3A36"/>
                <w:sz w:val="15"/>
              </w:rPr>
              <w:t>509</w:t>
            </w:r>
          </w:p>
        </w:tc>
        <w:tc>
          <w:tcPr>
            <w:tcW w:type="dxa" w:w="1037"/>
          </w:tcPr>
          <w:p>
            <w:pPr>
              <w:spacing w:after="20"/>
              <w:jc w:val="right"/>
            </w:pPr>
            <w:r>
              <w:rPr>
                <w:color w:val="1C3A36"/>
                <w:sz w:val="15"/>
              </w:rPr>
              <w:t>1,274</w:t>
            </w:r>
          </w:p>
        </w:tc>
        <w:tc>
          <w:tcPr>
            <w:tcW w:type="dxa" w:w="1037"/>
          </w:tcPr>
          <w:p>
            <w:pPr>
              <w:spacing w:after="20"/>
              <w:jc w:val="right"/>
            </w:pPr>
            <w:r>
              <w:rPr>
                <w:color w:val="1C3A36"/>
                <w:sz w:val="15"/>
              </w:rPr>
              <w:t>1,071</w:t>
            </w:r>
          </w:p>
        </w:tc>
        <w:tc>
          <w:tcPr>
            <w:tcW w:type="dxa" w:w="950"/>
          </w:tcPr>
          <w:p>
            <w:pPr>
              <w:spacing w:after="20"/>
              <w:jc w:val="right"/>
            </w:pPr>
            <w:r>
              <w:rPr>
                <w:color w:val="1C3A36"/>
                <w:sz w:val="15"/>
              </w:rPr>
              <w:t>5,078</w:t>
            </w:r>
          </w:p>
        </w:tc>
        <w:tc>
          <w:tcPr>
            <w:tcW w:type="dxa" w:w="950"/>
          </w:tcPr>
          <w:p>
            <w:pPr>
              <w:spacing w:after="20"/>
              <w:jc w:val="right"/>
            </w:pPr>
            <w:r>
              <w:rPr>
                <w:color w:val="1C3A36"/>
                <w:sz w:val="15"/>
              </w:rPr>
              <w:t>5,611</w:t>
            </w:r>
          </w:p>
        </w:tc>
        <w:tc>
          <w:tcPr>
            <w:tcW w:type="dxa" w:w="950"/>
          </w:tcPr>
          <w:p>
            <w:pPr>
              <w:spacing w:after="20"/>
              <w:jc w:val="right"/>
            </w:pPr>
            <w:r>
              <w:rPr>
                <w:color w:val="1C3A36"/>
                <w:sz w:val="15"/>
              </w:rPr>
              <w:t>6,115</w:t>
            </w:r>
          </w:p>
        </w:tc>
        <w:tc>
          <w:tcPr>
            <w:tcW w:type="dxa" w:w="950"/>
          </w:tcPr>
          <w:p>
            <w:pPr>
              <w:spacing w:after="20"/>
              <w:jc w:val="right"/>
            </w:pPr>
            <w:r>
              <w:rPr>
                <w:color w:val="1C3A36"/>
                <w:sz w:val="15"/>
              </w:rPr>
              <w:t>6,571</w:t>
            </w:r>
          </w:p>
        </w:tc>
        <w:tc>
          <w:tcPr>
            <w:tcW w:type="dxa" w:w="950"/>
          </w:tcPr>
          <w:p>
            <w:pPr>
              <w:spacing w:after="20"/>
              <w:jc w:val="right"/>
            </w:pPr>
            <w:r>
              <w:rPr>
                <w:color w:val="1C3A36"/>
                <w:sz w:val="15"/>
              </w:rPr>
              <w:t>7,028</w:t>
            </w:r>
          </w:p>
        </w:tc>
      </w:tr>
      <w:tr>
        <w:tc>
          <w:tcPr>
            <w:tcW w:type="dxa" w:w="2160"/>
          </w:tcPr>
          <w:p>
            <w:pPr>
              <w:spacing w:after="20"/>
            </w:pPr>
            <w:r>
              <w:rPr>
                <w:color w:val="1C3A36"/>
                <w:sz w:val="15"/>
              </w:rPr>
              <w:t>Gross margin</w:t>
            </w:r>
          </w:p>
        </w:tc>
        <w:tc>
          <w:tcPr>
            <w:tcW w:type="dxa" w:w="1037"/>
          </w:tcPr>
          <w:p>
            <w:pPr>
              <w:spacing w:after="20"/>
              <w:jc w:val="right"/>
            </w:pPr>
            <w:r>
              <w:rPr>
                <w:color w:val="1C3A36"/>
                <w:sz w:val="15"/>
              </w:rPr>
              <w:t>6.9%</w:t>
            </w:r>
          </w:p>
        </w:tc>
        <w:tc>
          <w:tcPr>
            <w:tcW w:type="dxa" w:w="1037"/>
          </w:tcPr>
          <w:p>
            <w:pPr>
              <w:spacing w:after="20"/>
              <w:jc w:val="right"/>
            </w:pPr>
            <w:r>
              <w:rPr>
                <w:color w:val="1C3A36"/>
                <w:sz w:val="15"/>
              </w:rPr>
              <w:t>5.1%</w:t>
            </w:r>
          </w:p>
        </w:tc>
        <w:tc>
          <w:tcPr>
            <w:tcW w:type="dxa" w:w="1037"/>
          </w:tcPr>
          <w:p>
            <w:pPr>
              <w:spacing w:after="20"/>
              <w:jc w:val="right"/>
            </w:pPr>
            <w:r>
              <w:rPr>
                <w:color w:val="1C3A36"/>
                <w:sz w:val="15"/>
              </w:rPr>
              <w:t>6.1%</w:t>
            </w:r>
          </w:p>
        </w:tc>
        <w:tc>
          <w:tcPr>
            <w:tcW w:type="dxa" w:w="1037"/>
          </w:tcPr>
          <w:p>
            <w:pPr>
              <w:spacing w:after="20"/>
              <w:jc w:val="right"/>
            </w:pPr>
            <w:r>
              <w:rPr>
                <w:color w:val="1C3A36"/>
                <w:sz w:val="15"/>
              </w:rPr>
              <w:t>10.2%</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c>
          <w:tcPr>
            <w:tcW w:type="dxa" w:w="2160"/>
          </w:tcPr>
          <w:p>
            <w:pPr>
              <w:spacing w:after="20"/>
            </w:pPr>
            <w:r>
              <w:rPr>
                <w:color w:val="1C3A36"/>
                <w:sz w:val="15"/>
              </w:rPr>
              <w:t>Operating profit</w:t>
            </w:r>
          </w:p>
        </w:tc>
        <w:tc>
          <w:tcPr>
            <w:tcW w:type="dxa" w:w="1037"/>
          </w:tcPr>
          <w:p>
            <w:pPr>
              <w:spacing w:after="20"/>
              <w:jc w:val="right"/>
            </w:pPr>
            <w:r>
              <w:rPr>
                <w:color w:val="1C3A36"/>
                <w:sz w:val="15"/>
              </w:rPr>
              <w:t>744</w:t>
            </w:r>
          </w:p>
        </w:tc>
        <w:tc>
          <w:tcPr>
            <w:tcW w:type="dxa" w:w="1037"/>
          </w:tcPr>
          <w:p>
            <w:pPr>
              <w:spacing w:after="20"/>
              <w:jc w:val="right"/>
            </w:pPr>
            <w:r>
              <w:rPr>
                <w:color w:val="1C3A36"/>
                <w:sz w:val="15"/>
              </w:rPr>
              <w:t>247</w:t>
            </w:r>
          </w:p>
        </w:tc>
        <w:tc>
          <w:tcPr>
            <w:tcW w:type="dxa" w:w="1037"/>
          </w:tcPr>
          <w:p>
            <w:pPr>
              <w:spacing w:after="20"/>
              <w:jc w:val="right"/>
            </w:pPr>
            <w:r>
              <w:rPr>
                <w:color w:val="1C3A36"/>
                <w:sz w:val="15"/>
              </w:rPr>
              <w:t>486</w:t>
            </w:r>
          </w:p>
        </w:tc>
        <w:tc>
          <w:tcPr>
            <w:tcW w:type="dxa" w:w="1037"/>
          </w:tcPr>
          <w:p>
            <w:pPr>
              <w:spacing w:after="20"/>
              <w:jc w:val="right"/>
            </w:pPr>
            <w:r>
              <w:rPr>
                <w:color w:val="1C3A36"/>
                <w:sz w:val="15"/>
              </w:rPr>
              <w:t>643</w:t>
            </w:r>
          </w:p>
        </w:tc>
        <w:tc>
          <w:tcPr>
            <w:tcW w:type="dxa" w:w="950"/>
          </w:tcPr>
          <w:p>
            <w:pPr>
              <w:spacing w:after="20"/>
              <w:jc w:val="right"/>
            </w:pPr>
            <w:r>
              <w:rPr>
                <w:color w:val="1C3A36"/>
                <w:sz w:val="15"/>
              </w:rPr>
              <w:t>2,907</w:t>
            </w:r>
          </w:p>
        </w:tc>
        <w:tc>
          <w:tcPr>
            <w:tcW w:type="dxa" w:w="950"/>
          </w:tcPr>
          <w:p>
            <w:pPr>
              <w:spacing w:after="20"/>
              <w:jc w:val="right"/>
            </w:pPr>
            <w:r>
              <w:rPr>
                <w:color w:val="1C3A36"/>
                <w:sz w:val="15"/>
              </w:rPr>
              <w:t>3,171</w:t>
            </w:r>
          </w:p>
        </w:tc>
        <w:tc>
          <w:tcPr>
            <w:tcW w:type="dxa" w:w="950"/>
          </w:tcPr>
          <w:p>
            <w:pPr>
              <w:spacing w:after="20"/>
              <w:jc w:val="right"/>
            </w:pPr>
            <w:r>
              <w:rPr>
                <w:color w:val="1C3A36"/>
                <w:sz w:val="15"/>
              </w:rPr>
              <w:t>3,404</w:t>
            </w:r>
          </w:p>
        </w:tc>
        <w:tc>
          <w:tcPr>
            <w:tcW w:type="dxa" w:w="950"/>
          </w:tcPr>
          <w:p>
            <w:pPr>
              <w:spacing w:after="20"/>
              <w:jc w:val="right"/>
            </w:pPr>
            <w:r>
              <w:rPr>
                <w:color w:val="1C3A36"/>
                <w:sz w:val="15"/>
              </w:rPr>
              <w:t>3,597</w:t>
            </w:r>
          </w:p>
        </w:tc>
        <w:tc>
          <w:tcPr>
            <w:tcW w:type="dxa" w:w="950"/>
          </w:tcPr>
          <w:p>
            <w:pPr>
              <w:spacing w:after="20"/>
              <w:jc w:val="right"/>
            </w:pPr>
            <w:r>
              <w:rPr>
                <w:color w:val="1C3A36"/>
                <w:sz w:val="15"/>
              </w:rPr>
              <w:t>3,778</w:t>
            </w:r>
          </w:p>
        </w:tc>
      </w:tr>
      <w:tr>
        <w:tc>
          <w:tcPr>
            <w:tcW w:type="dxa" w:w="2160"/>
          </w:tcPr>
          <w:p>
            <w:pPr>
              <w:spacing w:after="20"/>
            </w:pPr>
            <w:r>
              <w:rPr>
                <w:color w:val="1C3A36"/>
                <w:sz w:val="15"/>
              </w:rPr>
              <w:t>Net finance income</w:t>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950"/>
          </w:tcPr>
          <w:p>
            <w:pPr>
              <w:spacing w:after="20"/>
              <w:jc w:val="right"/>
            </w:pPr>
            <w:r>
              <w:rPr>
                <w:color w:val="1C3A36"/>
                <w:sz w:val="15"/>
              </w:rPr>
              <w:t>509</w:t>
            </w:r>
          </w:p>
        </w:tc>
        <w:tc>
          <w:tcPr>
            <w:tcW w:type="dxa" w:w="950"/>
          </w:tcPr>
          <w:p>
            <w:pPr>
              <w:spacing w:after="20"/>
              <w:jc w:val="right"/>
            </w:pPr>
            <w:r>
              <w:rPr>
                <w:color w:val="1C3A36"/>
                <w:sz w:val="15"/>
              </w:rPr>
              <w:t>375</w:t>
            </w:r>
          </w:p>
        </w:tc>
        <w:tc>
          <w:tcPr>
            <w:tcW w:type="dxa" w:w="950"/>
          </w:tcPr>
          <w:p>
            <w:pPr>
              <w:spacing w:after="20"/>
              <w:jc w:val="right"/>
            </w:pPr>
            <w:r>
              <w:rPr>
                <w:color w:val="1C3A36"/>
                <w:sz w:val="15"/>
              </w:rPr>
              <w:t>269</w:t>
            </w:r>
          </w:p>
        </w:tc>
        <w:tc>
          <w:tcPr>
            <w:tcW w:type="dxa" w:w="950"/>
          </w:tcPr>
          <w:p>
            <w:pPr>
              <w:spacing w:after="20"/>
              <w:jc w:val="right"/>
            </w:pPr>
            <w:r>
              <w:rPr>
                <w:color w:val="1C3A36"/>
                <w:sz w:val="15"/>
              </w:rPr>
              <w:t>185</w:t>
            </w:r>
          </w:p>
        </w:tc>
        <w:tc>
          <w:tcPr>
            <w:tcW w:type="dxa" w:w="950"/>
          </w:tcPr>
          <w:p>
            <w:pPr>
              <w:spacing w:after="20"/>
              <w:jc w:val="right"/>
            </w:pPr>
            <w:r>
              <w:rPr>
                <w:color w:val="1C3A36"/>
                <w:sz w:val="15"/>
              </w:rPr>
              <w:t>117</w:t>
            </w:r>
          </w:p>
        </w:tc>
      </w:tr>
      <w:tr>
        <w:tc>
          <w:tcPr>
            <w:tcW w:type="dxa" w:w="2160"/>
          </w:tcPr>
          <w:p>
            <w:pPr>
              <w:spacing w:after="20"/>
            </w:pPr>
            <w:r>
              <w:rPr>
                <w:color w:val="1C3A36"/>
                <w:sz w:val="15"/>
              </w:rPr>
              <w:t>Attributable profit</w:t>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950"/>
          </w:tcPr>
          <w:p>
            <w:pPr>
              <w:spacing w:after="20"/>
              <w:jc w:val="right"/>
            </w:pPr>
            <w:r>
              <w:rPr>
                <w:color w:val="1C3A36"/>
                <w:sz w:val="15"/>
              </w:rPr>
              <w:t>2,537</w:t>
            </w:r>
          </w:p>
        </w:tc>
        <w:tc>
          <w:tcPr>
            <w:tcW w:type="dxa" w:w="950"/>
          </w:tcPr>
          <w:p>
            <w:pPr>
              <w:spacing w:after="20"/>
              <w:jc w:val="right"/>
            </w:pPr>
            <w:r>
              <w:rPr>
                <w:color w:val="1C3A36"/>
                <w:sz w:val="15"/>
              </w:rPr>
              <w:t>2,633</w:t>
            </w:r>
          </w:p>
        </w:tc>
        <w:tc>
          <w:tcPr>
            <w:tcW w:type="dxa" w:w="950"/>
          </w:tcPr>
          <w:p>
            <w:pPr>
              <w:spacing w:after="20"/>
              <w:jc w:val="right"/>
            </w:pPr>
            <w:r>
              <w:rPr>
                <w:color w:val="1C3A36"/>
                <w:sz w:val="15"/>
              </w:rPr>
              <w:t>2,728</w:t>
            </w:r>
          </w:p>
        </w:tc>
        <w:tc>
          <w:tcPr>
            <w:tcW w:type="dxa" w:w="950"/>
          </w:tcPr>
          <w:p>
            <w:pPr>
              <w:spacing w:after="20"/>
              <w:jc w:val="right"/>
            </w:pPr>
            <w:r>
              <w:rPr>
                <w:color w:val="1C3A36"/>
                <w:sz w:val="15"/>
              </w:rPr>
              <w:t>2,809</w:t>
            </w:r>
          </w:p>
        </w:tc>
        <w:tc>
          <w:tcPr>
            <w:tcW w:type="dxa" w:w="950"/>
          </w:tcPr>
          <w:p>
            <w:pPr>
              <w:spacing w:after="20"/>
              <w:jc w:val="right"/>
            </w:pPr>
            <w:r>
              <w:rPr>
                <w:color w:val="1C3A36"/>
                <w:sz w:val="15"/>
              </w:rPr>
              <w:t>2,892</w:t>
            </w:r>
          </w:p>
        </w:tc>
      </w:tr>
    </w:tbl>
    <w:p>
      <w:pPr>
        <w:spacing w:after="40"/>
      </w:pPr>
    </w:p>
    <w:p>
      <w:pPr>
        <w:spacing w:after="200" w:before="0"/>
      </w:pPr>
      <w:r>
        <w:rPr>
          <w:b w:val="0"/>
          <w:i/>
          <w:color w:val="6E7B77"/>
          <w:sz w:val="17"/>
        </w:rPr>
        <w:t>Table A.1 — the four filed periods are AS FILED and are of unequal length (two six-month periods and two quarters), so they are shown as reported rather than annualised. The forecast columns are the model.</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1,287</w:t>
            </w:r>
          </w:p>
        </w:tc>
        <w:tc>
          <w:tcPr>
            <w:tcW w:type="dxa" w:w="1037"/>
          </w:tcPr>
          <w:p>
            <w:pPr>
              <w:spacing w:after="20"/>
              <w:jc w:val="right"/>
            </w:pPr>
            <w:r>
              <w:rPr>
                <w:color w:val="1C3A36"/>
                <w:sz w:val="16"/>
              </w:rPr>
              <w:t>1,299</w:t>
            </w:r>
          </w:p>
        </w:tc>
        <w:tc>
          <w:tcPr>
            <w:tcW w:type="dxa" w:w="1037"/>
          </w:tcPr>
          <w:p>
            <w:pPr>
              <w:spacing w:after="20"/>
              <w:jc w:val="right"/>
            </w:pPr>
            <w:r>
              <w:rPr>
                <w:color w:val="1C3A36"/>
                <w:sz w:val="16"/>
              </w:rPr>
              <w:t>1,323</w:t>
            </w:r>
          </w:p>
        </w:tc>
        <w:tc>
          <w:tcPr>
            <w:tcW w:type="dxa" w:w="1037"/>
          </w:tcPr>
          <w:p>
            <w:pPr>
              <w:spacing w:after="20"/>
              <w:jc w:val="right"/>
            </w:pPr>
            <w:r>
              <w:rPr>
                <w:color w:val="1C3A36"/>
                <w:sz w:val="16"/>
              </w:rPr>
              <w:t>1,356</w:t>
            </w:r>
          </w:p>
        </w:tc>
        <w:tc>
          <w:tcPr>
            <w:tcW w:type="dxa" w:w="1037"/>
          </w:tcPr>
          <w:p>
            <w:pPr>
              <w:spacing w:after="20"/>
              <w:jc w:val="right"/>
            </w:pPr>
            <w:r>
              <w:rPr>
                <w:color w:val="1C3A36"/>
                <w:sz w:val="16"/>
              </w:rPr>
              <w:t>1,399</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3,786</w:t>
            </w:r>
          </w:p>
        </w:tc>
        <w:tc>
          <w:tcPr>
            <w:tcW w:type="dxa" w:w="1037"/>
          </w:tcPr>
          <w:p>
            <w:pPr>
              <w:spacing w:after="20"/>
              <w:jc w:val="right"/>
            </w:pPr>
            <w:r>
              <w:rPr>
                <w:color w:val="1C3A36"/>
                <w:sz w:val="16"/>
              </w:rPr>
              <w:t>4,174</w:t>
            </w:r>
          </w:p>
        </w:tc>
        <w:tc>
          <w:tcPr>
            <w:tcW w:type="dxa" w:w="1037"/>
          </w:tcPr>
          <w:p>
            <w:pPr>
              <w:spacing w:after="20"/>
              <w:jc w:val="right"/>
            </w:pPr>
            <w:r>
              <w:rPr>
                <w:color w:val="1C3A36"/>
                <w:sz w:val="16"/>
              </w:rPr>
              <w:t>4,540</w:t>
            </w:r>
          </w:p>
        </w:tc>
        <w:tc>
          <w:tcPr>
            <w:tcW w:type="dxa" w:w="1037"/>
          </w:tcPr>
          <w:p>
            <w:pPr>
              <w:spacing w:after="20"/>
              <w:jc w:val="right"/>
            </w:pPr>
            <w:r>
              <w:rPr>
                <w:color w:val="1C3A36"/>
                <w:sz w:val="16"/>
              </w:rPr>
              <w:t>4,872</w:t>
            </w:r>
          </w:p>
        </w:tc>
        <w:tc>
          <w:tcPr>
            <w:tcW w:type="dxa" w:w="1037"/>
          </w:tcPr>
          <w:p>
            <w:pPr>
              <w:spacing w:after="20"/>
              <w:jc w:val="right"/>
            </w:pPr>
            <w:r>
              <w:rPr>
                <w:color w:val="1C3A36"/>
                <w:sz w:val="16"/>
              </w:rPr>
              <w:t>5,204</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5,073</w:t>
            </w:r>
          </w:p>
        </w:tc>
        <w:tc>
          <w:tcPr>
            <w:tcW w:type="dxa" w:w="1037"/>
            <w:shd w:val="clear" w:color="auto" w:fill="F6F1E6"/>
          </w:tcPr>
          <w:p>
            <w:pPr>
              <w:spacing w:after="20"/>
              <w:jc w:val="right"/>
            </w:pPr>
            <w:r>
              <w:rPr>
                <w:b/>
                <w:color w:val="1C3A36"/>
                <w:sz w:val="16"/>
              </w:rPr>
              <w:t>5,472</w:t>
            </w:r>
          </w:p>
        </w:tc>
        <w:tc>
          <w:tcPr>
            <w:tcW w:type="dxa" w:w="1037"/>
            <w:shd w:val="clear" w:color="auto" w:fill="F6F1E6"/>
          </w:tcPr>
          <w:p>
            <w:pPr>
              <w:spacing w:after="20"/>
              <w:jc w:val="right"/>
            </w:pPr>
            <w:r>
              <w:rPr>
                <w:b/>
                <w:color w:val="1C3A36"/>
                <w:sz w:val="16"/>
              </w:rPr>
              <w:t>5,862</w:t>
            </w:r>
          </w:p>
        </w:tc>
        <w:tc>
          <w:tcPr>
            <w:tcW w:type="dxa" w:w="1037"/>
            <w:shd w:val="clear" w:color="auto" w:fill="F6F1E6"/>
          </w:tcPr>
          <w:p>
            <w:pPr>
              <w:spacing w:after="20"/>
              <w:jc w:val="right"/>
            </w:pPr>
            <w:r>
              <w:rPr>
                <w:b/>
                <w:color w:val="1C3A36"/>
                <w:sz w:val="16"/>
              </w:rPr>
              <w:t>6,228</w:t>
            </w:r>
          </w:p>
        </w:tc>
        <w:tc>
          <w:tcPr>
            <w:tcW w:type="dxa" w:w="1037"/>
            <w:shd w:val="clear" w:color="auto" w:fill="F6F1E6"/>
          </w:tcPr>
          <w:p>
            <w:pPr>
              <w:spacing w:after="20"/>
              <w:jc w:val="right"/>
            </w:pPr>
            <w:r>
              <w:rPr>
                <w:b/>
                <w:color w:val="1C3A36"/>
                <w:sz w:val="16"/>
              </w:rPr>
              <w:t>6,603</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2,523</w:t>
            </w:r>
          </w:p>
        </w:tc>
        <w:tc>
          <w:tcPr>
            <w:tcW w:type="dxa" w:w="1037"/>
          </w:tcPr>
          <w:p>
            <w:pPr>
              <w:spacing w:after="20"/>
              <w:jc w:val="right"/>
            </w:pPr>
            <w:r>
              <w:rPr>
                <w:color w:val="1C3A36"/>
                <w:sz w:val="16"/>
              </w:rPr>
              <w:t>2,013</w:t>
            </w:r>
          </w:p>
        </w:tc>
        <w:tc>
          <w:tcPr>
            <w:tcW w:type="dxa" w:w="1037"/>
          </w:tcPr>
          <w:p>
            <w:pPr>
              <w:spacing w:after="20"/>
              <w:jc w:val="right"/>
            </w:pPr>
            <w:r>
              <w:rPr>
                <w:color w:val="1C3A36"/>
                <w:sz w:val="16"/>
              </w:rPr>
              <w:t>1,503</w:t>
            </w:r>
          </w:p>
        </w:tc>
        <w:tc>
          <w:tcPr>
            <w:tcW w:type="dxa" w:w="1037"/>
          </w:tcPr>
          <w:p>
            <w:pPr>
              <w:spacing w:after="20"/>
              <w:jc w:val="right"/>
            </w:pPr>
            <w:r>
              <w:rPr>
                <w:color w:val="1C3A36"/>
                <w:sz w:val="16"/>
              </w:rPr>
              <w:t>1,011</w:t>
            </w:r>
          </w:p>
        </w:tc>
        <w:tc>
          <w:tcPr>
            <w:tcW w:type="dxa" w:w="1037"/>
          </w:tcPr>
          <w:p>
            <w:pPr>
              <w:spacing w:after="20"/>
              <w:jc w:val="right"/>
            </w:pPr>
            <w:r>
              <w:rPr>
                <w:color w:val="1C3A36"/>
                <w:sz w:val="16"/>
              </w:rPr>
              <w:t>501</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-2,506</w:t>
            </w:r>
          </w:p>
        </w:tc>
        <w:tc>
          <w:tcPr>
            <w:tcW w:type="dxa" w:w="1037"/>
          </w:tcPr>
          <w:p>
            <w:pPr>
              <w:spacing w:after="20"/>
              <w:jc w:val="right"/>
            </w:pPr>
            <w:r>
              <w:rPr>
                <w:color w:val="1C3A36"/>
                <w:sz w:val="16"/>
              </w:rPr>
              <w:t>-1,996</w:t>
            </w:r>
          </w:p>
        </w:tc>
        <w:tc>
          <w:tcPr>
            <w:tcW w:type="dxa" w:w="1037"/>
          </w:tcPr>
          <w:p>
            <w:pPr>
              <w:spacing w:after="20"/>
              <w:jc w:val="right"/>
            </w:pPr>
            <w:r>
              <w:rPr>
                <w:color w:val="1C3A36"/>
                <w:sz w:val="16"/>
              </w:rPr>
              <w:t>-1,487</w:t>
            </w:r>
          </w:p>
        </w:tc>
        <w:tc>
          <w:tcPr>
            <w:tcW w:type="dxa" w:w="1037"/>
          </w:tcPr>
          <w:p>
            <w:pPr>
              <w:spacing w:after="20"/>
              <w:jc w:val="right"/>
            </w:pPr>
            <w:r>
              <w:rPr>
                <w:color w:val="1C3A36"/>
                <w:sz w:val="16"/>
              </w:rPr>
              <w:t>-994</w:t>
            </w:r>
          </w:p>
        </w:tc>
        <w:tc>
          <w:tcPr>
            <w:tcW w:type="dxa" w:w="1037"/>
          </w:tcPr>
          <w:p>
            <w:pPr>
              <w:spacing w:after="20"/>
              <w:jc w:val="right"/>
            </w:pPr>
            <w:r>
              <w:rPr>
                <w:color w:val="1C3A36"/>
                <w:sz w:val="16"/>
              </w:rPr>
              <w:t>-484</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5,976</w:t>
            </w:r>
          </w:p>
        </w:tc>
        <w:tc>
          <w:tcPr>
            <w:tcW w:type="dxa" w:w="1037"/>
          </w:tcPr>
          <w:p>
            <w:pPr>
              <w:spacing w:after="20"/>
              <w:jc w:val="right"/>
            </w:pPr>
            <w:r>
              <w:rPr>
                <w:color w:val="1C3A36"/>
                <w:sz w:val="16"/>
              </w:rPr>
              <w:t>5,878</w:t>
            </w:r>
          </w:p>
        </w:tc>
        <w:tc>
          <w:tcPr>
            <w:tcW w:type="dxa" w:w="1037"/>
          </w:tcPr>
          <w:p>
            <w:pPr>
              <w:spacing w:after="20"/>
              <w:jc w:val="right"/>
            </w:pPr>
            <w:r>
              <w:rPr>
                <w:color w:val="1C3A36"/>
                <w:sz w:val="16"/>
              </w:rPr>
              <w:t>5,777</w:t>
            </w:r>
          </w:p>
        </w:tc>
        <w:tc>
          <w:tcPr>
            <w:tcW w:type="dxa" w:w="1037"/>
          </w:tcPr>
          <w:p>
            <w:pPr>
              <w:spacing w:after="20"/>
              <w:jc w:val="right"/>
            </w:pPr>
            <w:r>
              <w:rPr>
                <w:color w:val="1C3A36"/>
                <w:sz w:val="16"/>
              </w:rPr>
              <w:t>5,673</w:t>
            </w:r>
          </w:p>
        </w:tc>
        <w:tc>
          <w:tcPr>
            <w:tcW w:type="dxa" w:w="1037"/>
          </w:tcPr>
          <w:p>
            <w:pPr>
              <w:spacing w:after="20"/>
              <w:jc w:val="right"/>
            </w:pPr>
            <w:r>
              <w:rPr>
                <w:color w:val="1C3A36"/>
                <w:sz w:val="16"/>
              </w:rPr>
              <w:t>5,565</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2,135</w:t>
            </w:r>
          </w:p>
        </w:tc>
        <w:tc>
          <w:tcPr>
            <w:tcW w:type="dxa" w:w="1195"/>
          </w:tcPr>
          <w:p>
            <w:pPr>
              <w:spacing w:after="20"/>
              <w:jc w:val="right"/>
            </w:pPr>
            <w:r>
              <w:rPr>
                <w:color w:val="1C3A36"/>
                <w:sz w:val="16"/>
              </w:rPr>
              <w:t>2,329</w:t>
            </w:r>
          </w:p>
        </w:tc>
        <w:tc>
          <w:tcPr>
            <w:tcW w:type="dxa" w:w="1195"/>
          </w:tcPr>
          <w:p>
            <w:pPr>
              <w:spacing w:after="20"/>
              <w:jc w:val="right"/>
            </w:pPr>
            <w:r>
              <w:rPr>
                <w:color w:val="1C3A36"/>
                <w:sz w:val="16"/>
              </w:rPr>
              <w:t>2,500</w:t>
            </w:r>
          </w:p>
        </w:tc>
        <w:tc>
          <w:tcPr>
            <w:tcW w:type="dxa" w:w="1195"/>
          </w:tcPr>
          <w:p>
            <w:pPr>
              <w:spacing w:after="20"/>
              <w:jc w:val="right"/>
            </w:pPr>
            <w:r>
              <w:rPr>
                <w:color w:val="1C3A36"/>
                <w:sz w:val="16"/>
              </w:rPr>
              <w:t>2,642</w:t>
            </w:r>
          </w:p>
        </w:tc>
        <w:tc>
          <w:tcPr>
            <w:tcW w:type="dxa" w:w="1195"/>
          </w:tcPr>
          <w:p>
            <w:pPr>
              <w:spacing w:after="20"/>
              <w:jc w:val="right"/>
            </w:pPr>
            <w:r>
              <w:rPr>
                <w:color w:val="1C3A36"/>
                <w:sz w:val="16"/>
              </w:rPr>
              <w:t>2,774</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(179)</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(226)</w:t>
            </w:r>
          </w:p>
        </w:tc>
        <w:tc>
          <w:tcPr>
            <w:tcW w:type="dxa" w:w="1195"/>
          </w:tcPr>
          <w:p>
            <w:pPr>
              <w:spacing w:after="20"/>
              <w:jc w:val="right"/>
            </w:pPr>
            <w:r>
              <w:rPr>
                <w:color w:val="1C3A36"/>
                <w:sz w:val="16"/>
              </w:rPr>
              <w:t>(249)</w:t>
            </w:r>
          </w:p>
        </w:tc>
        <w:tc>
          <w:tcPr>
            <w:tcW w:type="dxa" w:w="1195"/>
          </w:tcPr>
          <w:p>
            <w:pPr>
              <w:spacing w:after="20"/>
              <w:jc w:val="right"/>
            </w:pPr>
            <w:r>
              <w:rPr>
                <w:color w:val="1C3A36"/>
                <w:sz w:val="16"/>
              </w:rPr>
              <w:t>(272)</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(397)</w:t>
            </w:r>
          </w:p>
        </w:tc>
        <w:tc>
          <w:tcPr>
            <w:tcW w:type="dxa" w:w="1195"/>
          </w:tcPr>
          <w:p>
            <w:pPr>
              <w:spacing w:after="20"/>
              <w:jc w:val="right"/>
            </w:pPr>
            <w:r>
              <w:rPr>
                <w:color w:val="1C3A36"/>
                <w:sz w:val="16"/>
              </w:rPr>
              <w:t>(388)</w:t>
            </w:r>
          </w:p>
        </w:tc>
        <w:tc>
          <w:tcPr>
            <w:tcW w:type="dxa" w:w="1195"/>
          </w:tcPr>
          <w:p>
            <w:pPr>
              <w:spacing w:after="20"/>
              <w:jc w:val="right"/>
            </w:pPr>
            <w:r>
              <w:rPr>
                <w:color w:val="1C3A36"/>
                <w:sz w:val="16"/>
              </w:rPr>
              <w:t>(366)</w:t>
            </w:r>
          </w:p>
        </w:tc>
        <w:tc>
          <w:tcPr>
            <w:tcW w:type="dxa" w:w="1195"/>
          </w:tcPr>
          <w:p>
            <w:pPr>
              <w:spacing w:after="20"/>
              <w:jc w:val="right"/>
            </w:pPr>
            <w:r>
              <w:rPr>
                <w:color w:val="1C3A36"/>
                <w:sz w:val="16"/>
              </w:rPr>
              <w:t>(332)</w:t>
            </w:r>
          </w:p>
        </w:tc>
        <w:tc>
          <w:tcPr>
            <w:tcW w:type="dxa" w:w="1195"/>
          </w:tcPr>
          <w:p>
            <w:pPr>
              <w:spacing w:after="20"/>
              <w:jc w:val="right"/>
            </w:pPr>
            <w:r>
              <w:rPr>
                <w:color w:val="1C3A36"/>
                <w:sz w:val="16"/>
              </w:rPr>
              <w:t>(333)</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1,739</w:t>
            </w:r>
          </w:p>
        </w:tc>
        <w:tc>
          <w:tcPr>
            <w:tcW w:type="dxa" w:w="1195"/>
            <w:shd w:val="clear" w:color="auto" w:fill="F6F1E6"/>
          </w:tcPr>
          <w:p>
            <w:pPr>
              <w:spacing w:after="20"/>
              <w:jc w:val="right"/>
            </w:pPr>
            <w:r>
              <w:rPr>
                <w:b/>
                <w:color w:val="1C3A36"/>
                <w:sz w:val="16"/>
              </w:rPr>
              <w:t>1,929</w:t>
            </w:r>
          </w:p>
        </w:tc>
        <w:tc>
          <w:tcPr>
            <w:tcW w:type="dxa" w:w="1195"/>
            <w:shd w:val="clear" w:color="auto" w:fill="F6F1E6"/>
          </w:tcPr>
          <w:p>
            <w:pPr>
              <w:spacing w:after="20"/>
              <w:jc w:val="right"/>
            </w:pPr>
            <w:r>
              <w:rPr>
                <w:b/>
                <w:color w:val="1C3A36"/>
                <w:sz w:val="16"/>
              </w:rPr>
              <w:t>2,110</w:t>
            </w:r>
          </w:p>
        </w:tc>
        <w:tc>
          <w:tcPr>
            <w:tcW w:type="dxa" w:w="1195"/>
            <w:shd w:val="clear" w:color="auto" w:fill="F6F1E6"/>
          </w:tcPr>
          <w:p>
            <w:pPr>
              <w:spacing w:after="20"/>
              <w:jc w:val="right"/>
            </w:pPr>
            <w:r>
              <w:rPr>
                <w:b/>
                <w:color w:val="1C3A36"/>
                <w:sz w:val="16"/>
              </w:rPr>
              <w:t>2,276</w:t>
            </w:r>
          </w:p>
        </w:tc>
        <w:tc>
          <w:tcPr>
            <w:tcW w:type="dxa" w:w="1195"/>
            <w:shd w:val="clear" w:color="auto" w:fill="F6F1E6"/>
          </w:tcPr>
          <w:p>
            <w:pPr>
              <w:spacing w:after="20"/>
              <w:jc w:val="right"/>
            </w:pPr>
            <w:r>
              <w:rPr>
                <w:b/>
                <w:color w:val="1C3A36"/>
                <w:sz w:val="16"/>
              </w:rPr>
              <w:t>2,399</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42.1%</w:t>
            </w:r>
          </w:p>
        </w:tc>
        <w:tc>
          <w:tcPr>
            <w:tcW w:type="dxa" w:w="1195"/>
          </w:tcPr>
          <w:p>
            <w:pPr>
              <w:spacing w:after="20"/>
              <w:jc w:val="right"/>
            </w:pPr>
            <w:r>
              <w:rPr>
                <w:color w:val="1C3A36"/>
                <w:sz w:val="16"/>
              </w:rPr>
              <w:t>42.6%</w:t>
            </w:r>
          </w:p>
        </w:tc>
        <w:tc>
          <w:tcPr>
            <w:tcW w:type="dxa" w:w="1195"/>
          </w:tcPr>
          <w:p>
            <w:pPr>
              <w:spacing w:after="20"/>
              <w:jc w:val="right"/>
            </w:pPr>
            <w:r>
              <w:rPr>
                <w:color w:val="1C3A36"/>
                <w:sz w:val="16"/>
              </w:rPr>
              <w:t>42.6%</w:t>
            </w:r>
          </w:p>
        </w:tc>
        <w:tc>
          <w:tcPr>
            <w:tcW w:type="dxa" w:w="1195"/>
          </w:tcPr>
          <w:p>
            <w:pPr>
              <w:spacing w:after="20"/>
              <w:jc w:val="right"/>
            </w:pPr>
            <w:r>
              <w:rPr>
                <w:color w:val="1C3A36"/>
                <w:sz w:val="16"/>
              </w:rPr>
              <w:t>42.4%</w:t>
            </w:r>
          </w:p>
        </w:tc>
        <w:tc>
          <w:tcPr>
            <w:tcW w:type="dxa" w:w="1195"/>
          </w:tcPr>
          <w:p>
            <w:pPr>
              <w:spacing w:after="20"/>
              <w:jc w:val="right"/>
            </w:pPr>
            <w:r>
              <w:rPr>
                <w:color w:val="1C3A36"/>
                <w:sz w:val="16"/>
              </w:rPr>
              <w:t>42.0%</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0.99x</w:t>
            </w:r>
          </w:p>
        </w:tc>
        <w:tc>
          <w:tcPr>
            <w:tcW w:type="dxa" w:w="1195"/>
          </w:tcPr>
          <w:p>
            <w:pPr>
              <w:spacing w:after="20"/>
              <w:jc w:val="right"/>
            </w:pPr>
            <w:r>
              <w:rPr>
                <w:color w:val="1C3A36"/>
                <w:sz w:val="16"/>
              </w:rPr>
              <w:t>1.06x</w:t>
            </w:r>
          </w:p>
        </w:tc>
        <w:tc>
          <w:tcPr>
            <w:tcW w:type="dxa" w:w="1195"/>
          </w:tcPr>
          <w:p>
            <w:pPr>
              <w:spacing w:after="20"/>
              <w:jc w:val="right"/>
            </w:pPr>
            <w:r>
              <w:rPr>
                <w:color w:val="1C3A36"/>
                <w:sz w:val="16"/>
              </w:rPr>
              <w:t>1.12x</w:t>
            </w:r>
          </w:p>
        </w:tc>
        <w:tc>
          <w:tcPr>
            <w:tcW w:type="dxa" w:w="1195"/>
          </w:tcPr>
          <w:p>
            <w:pPr>
              <w:spacing w:after="20"/>
              <w:jc w:val="right"/>
            </w:pPr>
            <w:r>
              <w:rPr>
                <w:color w:val="1C3A36"/>
                <w:sz w:val="16"/>
              </w:rPr>
              <w:t>1.16x</w:t>
            </w:r>
          </w:p>
        </w:tc>
        <w:tc>
          <w:tcPr>
            <w:tcW w:type="dxa" w:w="1195"/>
          </w:tcPr>
          <w:p>
            <w:pPr>
              <w:spacing w:after="20"/>
              <w:jc w:val="right"/>
            </w:pPr>
            <w:r>
              <w:rPr>
                <w:color w:val="1C3A36"/>
                <w:sz w:val="16"/>
              </w:rPr>
              <w:t>1.19x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14.02 to 9.95,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27.45%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30.61% and the cash-flow lens is EGP 9.49. On GROSS rather than net debt weights — the construction this study rejects, because it counts the cash pile twice — the lens is EGP 11.84.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3,404</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269</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2.112</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14.78</w:t>
            </w:r>
          </w:p>
        </w:tc>
      </w:tr>
    </w:tbl>
    <w:p>
      <w:pPr>
        <w:spacing w:after="40"/>
      </w:pPr>
    </w:p>
    <w:p>
      <w:pPr>
        <w:spacing w:after="200" w:before="0"/>
      </w:pPr>
      <w:r>
        <w:rPr>
          <w:b w:val="0"/>
          <w:i/>
          <w:color w:val="6E7B77"/>
          <w:sz w:val="17"/>
        </w:rPr>
        <w:t>Table C.1 — Expert 1. Range EGP 10.56 to 20.06 on a 5.0x to 9.5x multiple band. This is the HIGHEST of the three and it is still 9.5% against the market price. Note that it is an undiscounted 2028E number, which is why it sits above the primary lens.</w:t>
      </w:r>
    </w:p>
    <w:p>
      <w:pPr>
        <w:spacing w:after="80" w:before="200"/>
      </w:pPr>
      <w:r>
        <w:rPr>
          <w:b/>
          <w:i w:val="0"/>
          <w:color w:val="1C3A36"/>
          <w:sz w:val="24"/>
        </w:rPr>
        <w:t>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2,037</w:t>
            </w:r>
          </w:p>
        </w:tc>
        <w:tc>
          <w:tcPr>
            <w:tcW w:type="dxa" w:w="1296"/>
          </w:tcPr>
          <w:p>
            <w:pPr>
              <w:spacing w:after="20"/>
              <w:jc w:val="right"/>
            </w:pPr>
            <w:r>
              <w:rPr>
                <w:color w:val="1C3A36"/>
                <w:sz w:val="16"/>
              </w:rPr>
              <w:t>2,118</w:t>
            </w:r>
          </w:p>
        </w:tc>
        <w:tc>
          <w:tcPr>
            <w:tcW w:type="dxa" w:w="1296"/>
          </w:tcPr>
          <w:p>
            <w:pPr>
              <w:spacing w:after="20"/>
              <w:jc w:val="right"/>
            </w:pPr>
            <w:r>
              <w:rPr>
                <w:color w:val="1C3A36"/>
                <w:sz w:val="16"/>
              </w:rPr>
              <w:t>2,212</w:t>
            </w:r>
          </w:p>
        </w:tc>
        <w:tc>
          <w:tcPr>
            <w:tcW w:type="dxa" w:w="1296"/>
          </w:tcPr>
          <w:p>
            <w:pPr>
              <w:spacing w:after="20"/>
              <w:jc w:val="right"/>
            </w:pPr>
            <w:r>
              <w:rPr>
                <w:color w:val="1C3A36"/>
                <w:sz w:val="16"/>
              </w:rPr>
              <w:t>2,308</w:t>
            </w:r>
          </w:p>
        </w:tc>
        <w:tc>
          <w:tcPr>
            <w:tcW w:type="dxa" w:w="1296"/>
          </w:tcPr>
          <w:p>
            <w:pPr>
              <w:spacing w:after="20"/>
              <w:jc w:val="right"/>
            </w:pPr>
            <w:r>
              <w:rPr>
                <w:color w:val="1C3A36"/>
                <w:sz w:val="16"/>
              </w:rPr>
              <w:t>2,374</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23.01%</w:t>
            </w:r>
          </w:p>
        </w:tc>
        <w:tc>
          <w:tcPr>
            <w:tcW w:type="dxa" w:w="1296"/>
          </w:tcPr>
          <w:p>
            <w:pPr>
              <w:spacing w:after="20"/>
              <w:jc w:val="right"/>
            </w:pPr>
            <w:r>
              <w:rPr>
                <w:color w:val="1C3A36"/>
                <w:sz w:val="16"/>
              </w:rPr>
              <w:t>21.16%</w:t>
            </w:r>
          </w:p>
        </w:tc>
        <w:tc>
          <w:tcPr>
            <w:tcW w:type="dxa" w:w="1296"/>
          </w:tcPr>
          <w:p>
            <w:pPr>
              <w:spacing w:after="20"/>
              <w:jc w:val="right"/>
            </w:pPr>
            <w:r>
              <w:rPr>
                <w:color w:val="1C3A36"/>
                <w:sz w:val="16"/>
              </w:rPr>
              <w:t>19.78%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0.6378</w:t>
            </w:r>
          </w:p>
        </w:tc>
        <w:tc>
          <w:tcPr>
            <w:tcW w:type="dxa" w:w="1296"/>
          </w:tcPr>
          <w:p>
            <w:pPr>
              <w:spacing w:after="20"/>
              <w:jc w:val="right"/>
            </w:pPr>
            <w:r>
              <w:rPr>
                <w:color w:val="1C3A36"/>
                <w:sz w:val="16"/>
              </w:rPr>
              <w:t>0.5264</w:t>
            </w:r>
          </w:p>
        </w:tc>
        <w:tc>
          <w:tcPr>
            <w:tcW w:type="dxa" w:w="1296"/>
          </w:tcPr>
          <w:p>
            <w:pPr>
              <w:spacing w:after="20"/>
              <w:jc w:val="right"/>
            </w:pPr>
            <w:r>
              <w:rPr>
                <w:color w:val="1C3A36"/>
                <w:sz w:val="16"/>
              </w:rPr>
              <w:t>0.4395</w:t>
            </w:r>
          </w:p>
        </w:tc>
        <w:tc>
          <w:tcPr>
            <w:tcW w:type="dxa" w:w="1296"/>
          </w:tcPr>
          <w:p>
            <w:pPr>
              <w:spacing w:after="20"/>
              <w:jc w:val="right"/>
            </w:pPr>
            <w:r>
              <w:rPr>
                <w:color w:val="1C3A36"/>
                <w:sz w:val="16"/>
              </w:rPr>
              <w:t>0.3698</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1,598</w:t>
            </w:r>
          </w:p>
        </w:tc>
        <w:tc>
          <w:tcPr>
            <w:tcW w:type="dxa" w:w="1296"/>
          </w:tcPr>
          <w:p>
            <w:pPr>
              <w:spacing w:after="20"/>
              <w:jc w:val="right"/>
            </w:pPr>
            <w:r>
              <w:rPr>
                <w:color w:val="1C3A36"/>
                <w:sz w:val="16"/>
              </w:rPr>
              <w:t>1,351</w:t>
            </w:r>
          </w:p>
        </w:tc>
        <w:tc>
          <w:tcPr>
            <w:tcW w:type="dxa" w:w="1296"/>
          </w:tcPr>
          <w:p>
            <w:pPr>
              <w:spacing w:after="20"/>
              <w:jc w:val="right"/>
            </w:pPr>
            <w:r>
              <w:rPr>
                <w:color w:val="1C3A36"/>
                <w:sz w:val="16"/>
              </w:rPr>
              <w:t>1,164</w:t>
            </w:r>
          </w:p>
        </w:tc>
        <w:tc>
          <w:tcPr>
            <w:tcW w:type="dxa" w:w="1296"/>
          </w:tcPr>
          <w:p>
            <w:pPr>
              <w:spacing w:after="20"/>
              <w:jc w:val="right"/>
            </w:pPr>
            <w:r>
              <w:rPr>
                <w:color w:val="1C3A36"/>
                <w:sz w:val="16"/>
              </w:rPr>
              <w:t>1,014</w:t>
            </w:r>
          </w:p>
        </w:tc>
        <w:tc>
          <w:tcPr>
            <w:tcW w:type="dxa" w:w="1296"/>
          </w:tcPr>
          <w:p>
            <w:pPr>
              <w:spacing w:after="20"/>
              <w:jc w:val="right"/>
            </w:pPr>
            <w:r>
              <w:rPr>
                <w:color w:val="1C3A36"/>
                <w:sz w:val="16"/>
              </w:rPr>
              <w:t>878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6,005</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6,150</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12,156</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9.41</w:t>
            </w:r>
          </w:p>
        </w:tc>
      </w:tr>
    </w:tbl>
    <w:p>
      <w:pPr>
        <w:spacing w:after="40"/>
      </w:pPr>
    </w:p>
    <w:p>
      <w:pPr>
        <w:spacing w:after="200" w:before="0"/>
      </w:pPr>
      <w:r>
        <w:rPr>
          <w:b w:val="0"/>
          <w:i/>
          <w:color w:val="6E7B77"/>
          <w:sz w:val="17"/>
        </w:rPr>
        <w:t>Table C.2 — Expert 2. Range EGP 7.53 to 9.00. This is the LOWEST of the three at -30.3%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3,446</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5,990</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14,113</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12.74</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851</w:t>
            </w:r>
          </w:p>
        </w:tc>
        <w:tc>
          <w:tcPr>
            <w:tcW w:type="dxa" w:w="1224"/>
          </w:tcPr>
          <w:p>
            <w:pPr>
              <w:spacing w:after="20"/>
              <w:jc w:val="right"/>
            </w:pPr>
            <w:r>
              <w:rPr>
                <w:color w:val="1C3A36"/>
                <w:sz w:val="17"/>
              </w:rPr>
              <w:t>1,180</w:t>
            </w:r>
          </w:p>
        </w:tc>
        <w:tc>
          <w:tcPr>
            <w:tcW w:type="dxa" w:w="1224"/>
          </w:tcPr>
          <w:p>
            <w:pPr>
              <w:spacing w:after="20"/>
              <w:jc w:val="right"/>
            </w:pPr>
            <w:r>
              <w:rPr>
                <w:color w:val="1C3A36"/>
                <w:sz w:val="17"/>
              </w:rPr>
              <w:t>1,371</w:t>
            </w:r>
          </w:p>
        </w:tc>
        <w:tc>
          <w:tcPr>
            <w:tcW w:type="dxa" w:w="1224"/>
          </w:tcPr>
          <w:p>
            <w:pPr>
              <w:spacing w:after="20"/>
              <w:jc w:val="right"/>
            </w:pPr>
            <w:r>
              <w:rPr>
                <w:color w:val="1C3A36"/>
                <w:sz w:val="17"/>
              </w:rPr>
              <w:t>1,520</w:t>
            </w:r>
          </w:p>
        </w:tc>
        <w:tc>
          <w:tcPr>
            <w:tcW w:type="dxa" w:w="1224"/>
          </w:tcPr>
          <w:p>
            <w:pPr>
              <w:spacing w:after="20"/>
              <w:jc w:val="right"/>
            </w:pPr>
            <w:r>
              <w:rPr>
                <w:color w:val="1C3A36"/>
                <w:sz w:val="17"/>
              </w:rPr>
              <w:t>1,645</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14.64%</w:t>
            </w:r>
          </w:p>
        </w:tc>
        <w:tc>
          <w:tcPr>
            <w:tcW w:type="dxa" w:w="1224"/>
          </w:tcPr>
          <w:p>
            <w:pPr>
              <w:spacing w:after="20"/>
              <w:jc w:val="right"/>
            </w:pPr>
            <w:r>
              <w:rPr>
                <w:color w:val="1C3A36"/>
                <w:sz w:val="17"/>
              </w:rPr>
              <w:t>19.91%</w:t>
            </w:r>
          </w:p>
        </w:tc>
        <w:tc>
          <w:tcPr>
            <w:tcW w:type="dxa" w:w="1224"/>
          </w:tcPr>
          <w:p>
            <w:pPr>
              <w:spacing w:after="20"/>
              <w:jc w:val="right"/>
            </w:pPr>
            <w:r>
              <w:rPr>
                <w:color w:val="1C3A36"/>
                <w:sz w:val="17"/>
              </w:rPr>
              <w:t>22.01%</w:t>
            </w:r>
          </w:p>
        </w:tc>
        <w:tc>
          <w:tcPr>
            <w:tcW w:type="dxa" w:w="1224"/>
          </w:tcPr>
          <w:p>
            <w:pPr>
              <w:spacing w:after="20"/>
              <w:jc w:val="right"/>
            </w:pPr>
            <w:r>
              <w:rPr>
                <w:color w:val="1C3A36"/>
                <w:sz w:val="17"/>
              </w:rPr>
              <w:t>23.28%</w:t>
            </w:r>
          </w:p>
        </w:tc>
        <w:tc>
          <w:tcPr>
            <w:tcW w:type="dxa" w:w="1224"/>
          </w:tcPr>
          <w:p>
            <w:pPr>
              <w:spacing w:after="20"/>
              <w:jc w:val="right"/>
            </w:pPr>
            <w:r>
              <w:rPr>
                <w:color w:val="1C3A36"/>
                <w:sz w:val="17"/>
              </w:rPr>
              <w:t>23.88%</w:t>
            </w:r>
          </w:p>
        </w:tc>
      </w:tr>
    </w:tbl>
    <w:p>
      <w:pPr>
        <w:spacing w:after="40"/>
      </w:pPr>
    </w:p>
    <w:p>
      <w:pPr>
        <w:spacing w:after="200" w:before="0"/>
      </w:pPr>
      <w:r>
        <w:rPr>
          <w:b w:val="0"/>
          <w:i/>
          <w:color w:val="6E7B77"/>
          <w:sz w:val="17"/>
        </w:rPr>
        <w:t>Table C.3 — Expert 3. Range EGP 9.74 to 12.23.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14.78</w:t>
            </w:r>
          </w:p>
        </w:tc>
        <w:tc>
          <w:tcPr>
            <w:tcW w:type="dxa" w:w="1728"/>
          </w:tcPr>
          <w:p>
            <w:pPr>
              <w:spacing w:after="20"/>
              <w:jc w:val="right"/>
            </w:pPr>
            <w:r>
              <w:rPr>
                <w:color w:val="1C3A36"/>
                <w:sz w:val="17"/>
              </w:rPr>
              <w:t>10.56–20.06</w:t>
            </w:r>
          </w:p>
        </w:tc>
        <w:tc>
          <w:tcPr>
            <w:tcW w:type="dxa" w:w="1296"/>
          </w:tcPr>
          <w:p>
            <w:pPr>
              <w:spacing w:after="20"/>
              <w:jc w:val="right"/>
            </w:pPr>
            <w:r>
              <w:rPr>
                <w:color w:val="1C3A36"/>
                <w:sz w:val="17"/>
              </w:rPr>
              <w:t>9.5%</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9.41</w:t>
            </w:r>
          </w:p>
        </w:tc>
        <w:tc>
          <w:tcPr>
            <w:tcW w:type="dxa" w:w="1728"/>
          </w:tcPr>
          <w:p>
            <w:pPr>
              <w:spacing w:after="20"/>
              <w:jc w:val="right"/>
            </w:pPr>
            <w:r>
              <w:rPr>
                <w:color w:val="1C3A36"/>
                <w:sz w:val="17"/>
              </w:rPr>
              <w:t>7.53–9.00</w:t>
            </w:r>
          </w:p>
        </w:tc>
        <w:tc>
          <w:tcPr>
            <w:tcW w:type="dxa" w:w="1296"/>
          </w:tcPr>
          <w:p>
            <w:pPr>
              <w:spacing w:after="20"/>
              <w:jc w:val="right"/>
            </w:pPr>
            <w:r>
              <w:rPr>
                <w:color w:val="1C3A36"/>
                <w:sz w:val="17"/>
              </w:rPr>
              <w:t>-30.3%</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12.74</w:t>
            </w:r>
          </w:p>
        </w:tc>
        <w:tc>
          <w:tcPr>
            <w:tcW w:type="dxa" w:w="1728"/>
          </w:tcPr>
          <w:p>
            <w:pPr>
              <w:spacing w:after="20"/>
              <w:jc w:val="right"/>
            </w:pPr>
            <w:r>
              <w:rPr>
                <w:color w:val="1C3A36"/>
                <w:sz w:val="17"/>
              </w:rPr>
              <w:t>9.74–12.23</w:t>
            </w:r>
          </w:p>
        </w:tc>
        <w:tc>
          <w:tcPr>
            <w:tcW w:type="dxa" w:w="1296"/>
          </w:tcPr>
          <w:p>
            <w:pPr>
              <w:spacing w:after="20"/>
              <w:jc w:val="right"/>
            </w:pPr>
            <w:r>
              <w:rPr>
                <w:color w:val="1C3A36"/>
                <w:sz w:val="17"/>
              </w:rPr>
              <w:t>-5.6%</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12.74</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-5.6%</w:t>
            </w:r>
          </w:p>
        </w:tc>
      </w:tr>
    </w:tbl>
    <w:p>
      <w:pPr>
        <w:spacing w:after="40"/>
      </w:pPr>
    </w:p>
    <w:p>
      <w:pPr>
        <w:spacing w:after="200" w:before="0"/>
      </w:pPr>
      <w:r>
        <w:rPr>
          <w:b w:val="0"/>
          <w:i/>
          <w:color w:val="6E7B77"/>
          <w:sz w:val="17"/>
        </w:rPr>
        <w:t>Table C.4 — the panel. The three methods disagree with each other by more than any of them disagrees with the primary lens, which is the honest reading of a company whose margin is administered. All three land below the market price.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177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