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9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39.55 per share against a market price of 130.00 — the price sits about +229% above the central estimate. That gap is not mainly an argument about the business; it is an argument about the discount rate. Discounted at an Egyptian cost of capital gliding 28.8% to 18.9%, the cash flows support roughly EGP 39.55. Discount the hard-currency share of those same cash flows at a hard-currency cost of capital of about 11.3% and the same model produces EGP 57.01 — still -56% against today's price, but +44%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18.9%, terminal growth 7%; 77% of enterprise value comes from the terminal value</w:t>
            </w:r>
          </w:p>
        </w:tc>
        <w:tc>
          <w:tcPr>
            <w:tcW w:type="dxa" w:w="1656"/>
          </w:tcPr>
          <w:p>
            <w:pPr>
              <w:spacing w:after="20"/>
              <w:jc w:val="right"/>
            </w:pPr>
            <w:r>
              <w:rPr>
                <w:color w:val="1C3A36"/>
                <w:sz w:val="17"/>
              </w:rPr>
              <w:t>15.72 – 71.71</w:t>
            </w:r>
          </w:p>
        </w:tc>
        <w:tc>
          <w:tcPr>
            <w:tcW w:type="dxa" w:w="1037"/>
          </w:tcPr>
          <w:p>
            <w:pPr>
              <w:spacing w:after="20"/>
              <w:jc w:val="right"/>
            </w:pPr>
            <w:r>
              <w:rPr>
                <w:color w:val="1C3A36"/>
                <w:sz w:val="17"/>
              </w:rPr>
              <w:t>39.55</w:t>
            </w:r>
          </w:p>
        </w:tc>
        <w:tc>
          <w:tcPr>
            <w:tcW w:type="dxa" w:w="907"/>
          </w:tcPr>
          <w:p>
            <w:pPr>
              <w:spacing w:after="20"/>
              <w:jc w:val="right"/>
            </w:pPr>
            <w:r>
              <w:rPr>
                <w:color w:val="1C3A36"/>
                <w:sz w:val="17"/>
              </w:rPr>
              <w:t>-70%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61.67 – 92.23</w:t>
            </w:r>
          </w:p>
        </w:tc>
        <w:tc>
          <w:tcPr>
            <w:tcW w:type="dxa" w:w="1037"/>
          </w:tcPr>
          <w:p>
            <w:pPr>
              <w:spacing w:after="20"/>
              <w:jc w:val="right"/>
            </w:pPr>
            <w:r>
              <w:rPr>
                <w:color w:val="1C3A36"/>
                <w:sz w:val="17"/>
              </w:rPr>
              <w:t>73.89</w:t>
            </w:r>
          </w:p>
        </w:tc>
        <w:tc>
          <w:tcPr>
            <w:tcW w:type="dxa" w:w="907"/>
          </w:tcPr>
          <w:p>
            <w:pPr>
              <w:spacing w:after="20"/>
              <w:jc w:val="right"/>
            </w:pPr>
            <w:r>
              <w:rPr>
                <w:color w:val="1C3A36"/>
                <w:sz w:val="17"/>
              </w:rPr>
              <w:t>-43%</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78.96 – 130.91</w:t>
            </w:r>
          </w:p>
        </w:tc>
        <w:tc>
          <w:tcPr>
            <w:tcW w:type="dxa" w:w="1037"/>
          </w:tcPr>
          <w:p>
            <w:pPr>
              <w:spacing w:after="20"/>
              <w:jc w:val="right"/>
            </w:pPr>
            <w:r>
              <w:rPr>
                <w:color w:val="1C3A36"/>
                <w:sz w:val="17"/>
              </w:rPr>
              <w:t>102.05</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1.2× on book value of 31.24/share at a sustainable return on equity of 23.5%</w:t>
            </w:r>
          </w:p>
        </w:tc>
        <w:tc>
          <w:tcPr>
            <w:tcW w:type="dxa" w:w="1656"/>
          </w:tcPr>
          <w:p>
            <w:pPr>
              <w:spacing w:after="20"/>
              <w:jc w:val="right"/>
            </w:pPr>
            <w:r>
              <w:rPr>
                <w:color w:val="1C3A36"/>
                <w:sz w:val="17"/>
              </w:rPr>
              <w:t>31.81 – 47.26</w:t>
            </w:r>
          </w:p>
        </w:tc>
        <w:tc>
          <w:tcPr>
            <w:tcW w:type="dxa" w:w="1037"/>
          </w:tcPr>
          <w:p>
            <w:pPr>
              <w:spacing w:after="20"/>
              <w:jc w:val="right"/>
            </w:pPr>
            <w:r>
              <w:rPr>
                <w:color w:val="1C3A36"/>
                <w:sz w:val="17"/>
              </w:rPr>
              <w:t>41.95</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15.72 – 71.71</w:t>
            </w:r>
          </w:p>
        </w:tc>
        <w:tc>
          <w:tcPr>
            <w:tcW w:type="dxa" w:w="1037"/>
            <w:shd w:val="clear" w:color="auto" w:fill="F6F1E6"/>
          </w:tcPr>
          <w:p>
            <w:pPr>
              <w:spacing w:after="20"/>
              <w:jc w:val="right"/>
            </w:pPr>
            <w:r>
              <w:rPr>
                <w:b/>
                <w:color w:val="1C3A36"/>
                <w:sz w:val="17"/>
              </w:rPr>
              <w:t>39.55</w:t>
            </w:r>
          </w:p>
        </w:tc>
        <w:tc>
          <w:tcPr>
            <w:tcW w:type="dxa" w:w="907"/>
            <w:shd w:val="clear" w:color="auto" w:fill="F6F1E6"/>
          </w:tcPr>
          <w:p>
            <w:pPr>
              <w:spacing w:after="20"/>
              <w:jc w:val="right"/>
            </w:pPr>
            <w:r>
              <w:rPr>
                <w:b/>
                <w:color w:val="1C3A36"/>
                <w:sz w:val="17"/>
              </w:rPr>
              <w:t>-70%</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57.01</w:t>
            </w:r>
          </w:p>
        </w:tc>
        <w:tc>
          <w:tcPr>
            <w:tcW w:type="dxa" w:w="907"/>
          </w:tcPr>
          <w:p>
            <w:pPr>
              <w:spacing w:after="20"/>
              <w:jc w:val="right"/>
            </w:pPr>
            <w:r>
              <w:rPr>
                <w:color w:val="1C3A36"/>
                <w:sz w:val="17"/>
              </w:rPr>
              <w:t>-56%</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24.65</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44.19</w:t>
            </w:r>
          </w:p>
        </w:tc>
        <w:tc>
          <w:tcPr>
            <w:tcW w:type="dxa" w:w="907"/>
          </w:tcPr>
          <w:p>
            <w:pPr>
              <w:spacing w:after="20"/>
              <w:jc w:val="right"/>
            </w:pPr>
            <w:r>
              <w:rPr>
                <w:color w:val="1C3A36"/>
                <w:sz w:val="17"/>
              </w:rPr>
              <w:t>-66%</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422,920</w:t>
            </w:r>
          </w:p>
        </w:tc>
        <w:tc>
          <w:tcPr>
            <w:tcW w:type="dxa" w:w="1426"/>
          </w:tcPr>
          <w:p>
            <w:pPr>
              <w:spacing w:after="20"/>
              <w:jc w:val="right"/>
            </w:pPr>
            <w:r>
              <w:rPr>
                <w:color w:val="1C3A36"/>
                <w:sz w:val="17"/>
              </w:rPr>
              <w:t>467,552</w:t>
            </w:r>
          </w:p>
        </w:tc>
        <w:tc>
          <w:tcPr>
            <w:tcW w:type="dxa" w:w="1426"/>
          </w:tcPr>
          <w:p>
            <w:pPr>
              <w:spacing w:after="20"/>
              <w:jc w:val="right"/>
            </w:pPr>
            <w:r>
              <w:rPr>
                <w:color w:val="1C3A36"/>
                <w:sz w:val="17"/>
              </w:rPr>
              <w:t>511,651</w:t>
            </w:r>
          </w:p>
        </w:tc>
        <w:tc>
          <w:tcPr>
            <w:tcW w:type="dxa" w:w="1426"/>
          </w:tcPr>
          <w:p>
            <w:pPr>
              <w:spacing w:after="20"/>
              <w:jc w:val="right"/>
            </w:pPr>
            <w:r>
              <w:rPr>
                <w:color w:val="1C3A36"/>
                <w:sz w:val="17"/>
              </w:rPr>
              <w:t>556,590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206,073</w:t>
            </w:r>
          </w:p>
        </w:tc>
        <w:tc>
          <w:tcPr>
            <w:tcW w:type="dxa" w:w="1426"/>
          </w:tcPr>
          <w:p>
            <w:pPr>
              <w:spacing w:after="20"/>
              <w:jc w:val="right"/>
            </w:pPr>
            <w:r>
              <w:rPr>
                <w:color w:val="1C3A36"/>
                <w:sz w:val="17"/>
              </w:rPr>
              <w:t>228,316</w:t>
            </w:r>
          </w:p>
        </w:tc>
        <w:tc>
          <w:tcPr>
            <w:tcW w:type="dxa" w:w="1426"/>
          </w:tcPr>
          <w:p>
            <w:pPr>
              <w:spacing w:after="20"/>
              <w:jc w:val="right"/>
            </w:pPr>
            <w:r>
              <w:rPr>
                <w:color w:val="1C3A36"/>
                <w:sz w:val="17"/>
              </w:rPr>
              <w:t>249,838</w:t>
            </w:r>
          </w:p>
        </w:tc>
        <w:tc>
          <w:tcPr>
            <w:tcW w:type="dxa" w:w="1426"/>
          </w:tcPr>
          <w:p>
            <w:pPr>
              <w:spacing w:after="20"/>
              <w:jc w:val="right"/>
            </w:pPr>
            <w:r>
              <w:rPr>
                <w:color w:val="1C3A36"/>
                <w:sz w:val="17"/>
              </w:rPr>
              <w:t>271,523</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216,847</w:t>
            </w:r>
          </w:p>
        </w:tc>
        <w:tc>
          <w:tcPr>
            <w:tcW w:type="dxa" w:w="1426"/>
          </w:tcPr>
          <w:p>
            <w:pPr>
              <w:spacing w:after="20"/>
              <w:jc w:val="right"/>
            </w:pPr>
            <w:r>
              <w:rPr>
                <w:color w:val="1C3A36"/>
                <w:sz w:val="17"/>
              </w:rPr>
              <w:t>239,236</w:t>
            </w:r>
          </w:p>
        </w:tc>
        <w:tc>
          <w:tcPr>
            <w:tcW w:type="dxa" w:w="1426"/>
          </w:tcPr>
          <w:p>
            <w:pPr>
              <w:spacing w:after="20"/>
              <w:jc w:val="right"/>
            </w:pPr>
            <w:r>
              <w:rPr>
                <w:color w:val="1C3A36"/>
                <w:sz w:val="17"/>
              </w:rPr>
              <w:t>261,813</w:t>
            </w:r>
          </w:p>
        </w:tc>
        <w:tc>
          <w:tcPr>
            <w:tcW w:type="dxa" w:w="1426"/>
          </w:tcPr>
          <w:p>
            <w:pPr>
              <w:spacing w:after="20"/>
              <w:jc w:val="right"/>
            </w:pPr>
            <w:r>
              <w:rPr>
                <w:color w:val="1C3A36"/>
                <w:sz w:val="17"/>
              </w:rPr>
              <w:t>285,067</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38,953</w:t>
            </w:r>
          </w:p>
        </w:tc>
        <w:tc>
          <w:tcPr>
            <w:tcW w:type="dxa" w:w="1426"/>
          </w:tcPr>
          <w:p>
            <w:pPr>
              <w:spacing w:after="20"/>
              <w:jc w:val="right"/>
            </w:pPr>
            <w:r>
              <w:rPr>
                <w:color w:val="1C3A36"/>
                <w:sz w:val="17"/>
              </w:rPr>
              <w:t>44,616</w:t>
            </w:r>
          </w:p>
        </w:tc>
        <w:tc>
          <w:tcPr>
            <w:tcW w:type="dxa" w:w="1426"/>
          </w:tcPr>
          <w:p>
            <w:pPr>
              <w:spacing w:after="20"/>
              <w:jc w:val="right"/>
            </w:pPr>
            <w:r>
              <w:rPr>
                <w:color w:val="1C3A36"/>
                <w:sz w:val="17"/>
              </w:rPr>
              <w:t>49,486</w:t>
            </w:r>
          </w:p>
        </w:tc>
        <w:tc>
          <w:tcPr>
            <w:tcW w:type="dxa" w:w="1426"/>
          </w:tcPr>
          <w:p>
            <w:pPr>
              <w:spacing w:after="20"/>
              <w:jc w:val="right"/>
            </w:pPr>
            <w:r>
              <w:rPr>
                <w:color w:val="1C3A36"/>
                <w:sz w:val="17"/>
              </w:rPr>
              <w:t>54,297</w:t>
            </w:r>
          </w:p>
        </w:tc>
        <w:tc>
          <w:tcPr>
            <w:tcW w:type="dxa" w:w="1426"/>
          </w:tcPr>
          <w:p>
            <w:pPr>
              <w:spacing w:after="20"/>
              <w:jc w:val="right"/>
            </w:pPr>
            <w:r>
              <w:rPr>
                <w:color w:val="1C3A36"/>
                <w:sz w:val="17"/>
              </w:rPr>
              <w:t>59,206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10.6%</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(5,287)</w:t>
            </w:r>
          </w:p>
        </w:tc>
        <w:tc>
          <w:tcPr>
            <w:tcW w:type="dxa" w:w="1426"/>
          </w:tcPr>
          <w:p>
            <w:pPr>
              <w:spacing w:after="20"/>
              <w:jc w:val="right"/>
            </w:pPr>
            <w:r>
              <w:rPr>
                <w:color w:val="1C3A36"/>
                <w:sz w:val="17"/>
              </w:rPr>
              <w:t>(5,844)</w:t>
            </w:r>
          </w:p>
        </w:tc>
        <w:tc>
          <w:tcPr>
            <w:tcW w:type="dxa" w:w="1426"/>
          </w:tcPr>
          <w:p>
            <w:pPr>
              <w:spacing w:after="20"/>
              <w:jc w:val="right"/>
            </w:pPr>
            <w:r>
              <w:rPr>
                <w:color w:val="1C3A36"/>
                <w:sz w:val="17"/>
              </w:rPr>
              <w:t>(6,396)</w:t>
            </w:r>
          </w:p>
        </w:tc>
        <w:tc>
          <w:tcPr>
            <w:tcW w:type="dxa" w:w="1426"/>
          </w:tcPr>
          <w:p>
            <w:pPr>
              <w:spacing w:after="20"/>
              <w:jc w:val="right"/>
            </w:pPr>
            <w:r>
              <w:rPr>
                <w:color w:val="1C3A36"/>
                <w:sz w:val="17"/>
              </w:rPr>
              <w:t>(6,957)</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39,330</w:t>
            </w:r>
          </w:p>
        </w:tc>
        <w:tc>
          <w:tcPr>
            <w:tcW w:type="dxa" w:w="1426"/>
          </w:tcPr>
          <w:p>
            <w:pPr>
              <w:spacing w:after="20"/>
              <w:jc w:val="right"/>
            </w:pPr>
            <w:r>
              <w:rPr>
                <w:color w:val="1C3A36"/>
                <w:sz w:val="17"/>
              </w:rPr>
              <w:t>43,642</w:t>
            </w:r>
          </w:p>
        </w:tc>
        <w:tc>
          <w:tcPr>
            <w:tcW w:type="dxa" w:w="1426"/>
          </w:tcPr>
          <w:p>
            <w:pPr>
              <w:spacing w:after="20"/>
              <w:jc w:val="right"/>
            </w:pPr>
            <w:r>
              <w:rPr>
                <w:color w:val="1C3A36"/>
                <w:sz w:val="17"/>
              </w:rPr>
              <w:t>47,901</w:t>
            </w:r>
          </w:p>
        </w:tc>
        <w:tc>
          <w:tcPr>
            <w:tcW w:type="dxa" w:w="1426"/>
          </w:tcPr>
          <w:p>
            <w:pPr>
              <w:spacing w:after="20"/>
              <w:jc w:val="right"/>
            </w:pPr>
            <w:r>
              <w:rPr>
                <w:color w:val="1C3A36"/>
                <w:sz w:val="17"/>
              </w:rPr>
              <w:t>52,249</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29,694</w:t>
            </w:r>
          </w:p>
        </w:tc>
        <w:tc>
          <w:tcPr>
            <w:tcW w:type="dxa" w:w="1426"/>
          </w:tcPr>
          <w:p>
            <w:pPr>
              <w:spacing w:after="20"/>
              <w:jc w:val="right"/>
            </w:pPr>
            <w:r>
              <w:rPr>
                <w:color w:val="1C3A36"/>
                <w:sz w:val="17"/>
              </w:rPr>
              <w:t>32,950</w:t>
            </w:r>
          </w:p>
        </w:tc>
        <w:tc>
          <w:tcPr>
            <w:tcW w:type="dxa" w:w="1426"/>
          </w:tcPr>
          <w:p>
            <w:pPr>
              <w:spacing w:after="20"/>
              <w:jc w:val="right"/>
            </w:pPr>
            <w:r>
              <w:rPr>
                <w:color w:val="1C3A36"/>
                <w:sz w:val="17"/>
              </w:rPr>
              <w:t>36,165</w:t>
            </w:r>
          </w:p>
        </w:tc>
        <w:tc>
          <w:tcPr>
            <w:tcW w:type="dxa" w:w="1426"/>
          </w:tcPr>
          <w:p>
            <w:pPr>
              <w:spacing w:after="20"/>
              <w:jc w:val="right"/>
            </w:pPr>
            <w:r>
              <w:rPr>
                <w:color w:val="1C3A36"/>
                <w:sz w:val="17"/>
              </w:rPr>
              <w:t>39,448</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5,287</w:t>
            </w:r>
          </w:p>
        </w:tc>
        <w:tc>
          <w:tcPr>
            <w:tcW w:type="dxa" w:w="1426"/>
          </w:tcPr>
          <w:p>
            <w:pPr>
              <w:spacing w:after="20"/>
              <w:jc w:val="right"/>
            </w:pPr>
            <w:r>
              <w:rPr>
                <w:color w:val="1C3A36"/>
                <w:sz w:val="17"/>
              </w:rPr>
              <w:t>5,844</w:t>
            </w:r>
          </w:p>
        </w:tc>
        <w:tc>
          <w:tcPr>
            <w:tcW w:type="dxa" w:w="1426"/>
          </w:tcPr>
          <w:p>
            <w:pPr>
              <w:spacing w:after="20"/>
              <w:jc w:val="right"/>
            </w:pPr>
            <w:r>
              <w:rPr>
                <w:color w:val="1C3A36"/>
                <w:sz w:val="17"/>
              </w:rPr>
              <w:t>6,396</w:t>
            </w:r>
          </w:p>
        </w:tc>
        <w:tc>
          <w:tcPr>
            <w:tcW w:type="dxa" w:w="1426"/>
          </w:tcPr>
          <w:p>
            <w:pPr>
              <w:spacing w:after="20"/>
              <w:jc w:val="right"/>
            </w:pPr>
            <w:r>
              <w:rPr>
                <w:color w:val="1C3A36"/>
                <w:sz w:val="17"/>
              </w:rPr>
              <w:t>6,957</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(15,116)</w:t>
            </w:r>
          </w:p>
        </w:tc>
        <w:tc>
          <w:tcPr>
            <w:tcW w:type="dxa" w:w="1426"/>
          </w:tcPr>
          <w:p>
            <w:pPr>
              <w:spacing w:after="20"/>
              <w:jc w:val="right"/>
            </w:pPr>
            <w:r>
              <w:rPr>
                <w:color w:val="1C3A36"/>
                <w:sz w:val="17"/>
              </w:rPr>
              <w:t>(16,711)</w:t>
            </w:r>
          </w:p>
        </w:tc>
        <w:tc>
          <w:tcPr>
            <w:tcW w:type="dxa" w:w="1426"/>
          </w:tcPr>
          <w:p>
            <w:pPr>
              <w:spacing w:after="20"/>
              <w:jc w:val="right"/>
            </w:pPr>
            <w:r>
              <w:rPr>
                <w:color w:val="1C3A36"/>
                <w:sz w:val="17"/>
              </w:rPr>
              <w:t>(18,288)</w:t>
            </w:r>
          </w:p>
        </w:tc>
        <w:tc>
          <w:tcPr>
            <w:tcW w:type="dxa" w:w="1426"/>
          </w:tcPr>
          <w:p>
            <w:pPr>
              <w:spacing w:after="20"/>
              <w:jc w:val="right"/>
            </w:pPr>
            <w:r>
              <w:rPr>
                <w:color w:val="1C3A36"/>
                <w:sz w:val="17"/>
              </w:rPr>
              <w:t>(19,894)</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(17,816)</w:t>
            </w:r>
          </w:p>
        </w:tc>
        <w:tc>
          <w:tcPr>
            <w:tcW w:type="dxa" w:w="1426"/>
          </w:tcPr>
          <w:p>
            <w:pPr>
              <w:spacing w:after="20"/>
              <w:jc w:val="right"/>
            </w:pPr>
            <w:r>
              <w:rPr>
                <w:color w:val="1C3A36"/>
                <w:sz w:val="17"/>
              </w:rPr>
              <w:t>(10,493)</w:t>
            </w:r>
          </w:p>
        </w:tc>
        <w:tc>
          <w:tcPr>
            <w:tcW w:type="dxa" w:w="1426"/>
          </w:tcPr>
          <w:p>
            <w:pPr>
              <w:spacing w:after="20"/>
              <w:jc w:val="right"/>
            </w:pPr>
            <w:r>
              <w:rPr>
                <w:color w:val="1C3A36"/>
                <w:sz w:val="17"/>
              </w:rPr>
              <w:t>(8,882)</w:t>
            </w:r>
          </w:p>
        </w:tc>
        <w:tc>
          <w:tcPr>
            <w:tcW w:type="dxa" w:w="1426"/>
          </w:tcPr>
          <w:p>
            <w:pPr>
              <w:spacing w:after="20"/>
              <w:jc w:val="right"/>
            </w:pPr>
            <w:r>
              <w:rPr>
                <w:color w:val="1C3A36"/>
                <w:sz w:val="17"/>
              </w:rPr>
              <w:t>(8,776)</w:t>
            </w:r>
          </w:p>
        </w:tc>
        <w:tc>
          <w:tcPr>
            <w:tcW w:type="dxa" w:w="1426"/>
          </w:tcPr>
          <w:p>
            <w:pPr>
              <w:spacing w:after="20"/>
              <w:jc w:val="right"/>
            </w:pPr>
            <w:r>
              <w:rPr>
                <w:color w:val="1C3A36"/>
                <w:sz w:val="17"/>
              </w:rPr>
              <w:t>(8,943)</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-505</w:t>
            </w:r>
          </w:p>
        </w:tc>
        <w:tc>
          <w:tcPr>
            <w:tcW w:type="dxa" w:w="1426"/>
            <w:shd w:val="clear" w:color="auto" w:fill="F6F1E6"/>
          </w:tcPr>
          <w:p>
            <w:pPr>
              <w:spacing w:after="20"/>
              <w:jc w:val="right"/>
            </w:pPr>
            <w:r>
              <w:rPr>
                <w:b/>
                <w:color w:val="1C3A36"/>
                <w:sz w:val="17"/>
              </w:rPr>
              <w:t>9,372</w:t>
            </w:r>
          </w:p>
        </w:tc>
        <w:tc>
          <w:tcPr>
            <w:tcW w:type="dxa" w:w="1426"/>
            <w:shd w:val="clear" w:color="auto" w:fill="F6F1E6"/>
          </w:tcPr>
          <w:p>
            <w:pPr>
              <w:spacing w:after="20"/>
              <w:jc w:val="right"/>
            </w:pPr>
            <w:r>
              <w:rPr>
                <w:b/>
                <w:color w:val="1C3A36"/>
                <w:sz w:val="17"/>
              </w:rPr>
              <w:t>13,201</w:t>
            </w:r>
          </w:p>
        </w:tc>
        <w:tc>
          <w:tcPr>
            <w:tcW w:type="dxa" w:w="1426"/>
            <w:shd w:val="clear" w:color="auto" w:fill="F6F1E6"/>
          </w:tcPr>
          <w:p>
            <w:pPr>
              <w:spacing w:after="20"/>
              <w:jc w:val="right"/>
            </w:pPr>
            <w:r>
              <w:rPr>
                <w:b/>
                <w:color w:val="1C3A36"/>
                <w:sz w:val="17"/>
              </w:rPr>
              <w:t>15,498</w:t>
            </w:r>
          </w:p>
        </w:tc>
        <w:tc>
          <w:tcPr>
            <w:tcW w:type="dxa" w:w="1426"/>
            <w:shd w:val="clear" w:color="auto" w:fill="F6F1E6"/>
          </w:tcPr>
          <w:p>
            <w:pPr>
              <w:spacing w:after="20"/>
              <w:jc w:val="right"/>
            </w:pPr>
            <w:r>
              <w:rPr>
                <w:b/>
                <w:color w:val="1C3A36"/>
                <w:sz w:val="17"/>
              </w:rPr>
              <w:t>17,569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25.5%</w:t>
            </w:r>
          </w:p>
        </w:tc>
        <w:tc>
          <w:tcPr>
            <w:tcW w:type="dxa" w:w="1426"/>
          </w:tcPr>
          <w:p>
            <w:pPr>
              <w:spacing w:after="20"/>
              <w:jc w:val="right"/>
            </w:pPr>
            <w:r>
              <w:rPr>
                <w:color w:val="1C3A36"/>
                <w:sz w:val="17"/>
              </w:rPr>
              <w:t>22.8%</w:t>
            </w:r>
          </w:p>
        </w:tc>
        <w:tc>
          <w:tcPr>
            <w:tcW w:type="dxa" w:w="1426"/>
          </w:tcPr>
          <w:p>
            <w:pPr>
              <w:spacing w:after="20"/>
              <w:jc w:val="right"/>
            </w:pPr>
            <w:r>
              <w:rPr>
                <w:color w:val="1C3A36"/>
                <w:sz w:val="17"/>
              </w:rPr>
              <w:t>20.6%</w:t>
            </w:r>
          </w:p>
        </w:tc>
        <w:tc>
          <w:tcPr>
            <w:tcW w:type="dxa" w:w="1426"/>
          </w:tcPr>
          <w:p>
            <w:pPr>
              <w:spacing w:after="20"/>
              <w:jc w:val="right"/>
            </w:pPr>
            <w:r>
              <w:rPr>
                <w:color w:val="1C3A36"/>
                <w:sz w:val="17"/>
              </w:rPr>
              <w:t>18.9%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0.6183</w:t>
            </w:r>
          </w:p>
        </w:tc>
        <w:tc>
          <w:tcPr>
            <w:tcW w:type="dxa" w:w="1426"/>
          </w:tcPr>
          <w:p>
            <w:pPr>
              <w:spacing w:after="20"/>
              <w:jc w:val="right"/>
            </w:pPr>
            <w:r>
              <w:rPr>
                <w:color w:val="1C3A36"/>
                <w:sz w:val="17"/>
              </w:rPr>
              <w:t>0.5036</w:t>
            </w:r>
          </w:p>
        </w:tc>
        <w:tc>
          <w:tcPr>
            <w:tcW w:type="dxa" w:w="1426"/>
          </w:tcPr>
          <w:p>
            <w:pPr>
              <w:spacing w:after="20"/>
              <w:jc w:val="right"/>
            </w:pPr>
            <w:r>
              <w:rPr>
                <w:color w:val="1C3A36"/>
                <w:sz w:val="17"/>
              </w:rPr>
              <w:t>0.4177</w:t>
            </w:r>
          </w:p>
        </w:tc>
        <w:tc>
          <w:tcPr>
            <w:tcW w:type="dxa" w:w="1426"/>
          </w:tcPr>
          <w:p>
            <w:pPr>
              <w:spacing w:after="20"/>
              <w:jc w:val="right"/>
            </w:pPr>
            <w:r>
              <w:rPr>
                <w:color w:val="1C3A36"/>
                <w:sz w:val="17"/>
              </w:rPr>
              <w:t>0.3512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-392</w:t>
            </w:r>
          </w:p>
        </w:tc>
        <w:tc>
          <w:tcPr>
            <w:tcW w:type="dxa" w:w="1426"/>
            <w:shd w:val="clear" w:color="auto" w:fill="F6F1E6"/>
          </w:tcPr>
          <w:p>
            <w:pPr>
              <w:spacing w:after="20"/>
              <w:jc w:val="right"/>
            </w:pPr>
            <w:r>
              <w:rPr>
                <w:b/>
                <w:color w:val="1C3A36"/>
                <w:sz w:val="17"/>
              </w:rPr>
              <w:t>5,795</w:t>
            </w:r>
          </w:p>
        </w:tc>
        <w:tc>
          <w:tcPr>
            <w:tcW w:type="dxa" w:w="1426"/>
            <w:shd w:val="clear" w:color="auto" w:fill="F6F1E6"/>
          </w:tcPr>
          <w:p>
            <w:pPr>
              <w:spacing w:after="20"/>
              <w:jc w:val="right"/>
            </w:pPr>
            <w:r>
              <w:rPr>
                <w:b/>
                <w:color w:val="1C3A36"/>
                <w:sz w:val="17"/>
              </w:rPr>
              <w:t>6,648</w:t>
            </w:r>
          </w:p>
        </w:tc>
        <w:tc>
          <w:tcPr>
            <w:tcW w:type="dxa" w:w="1426"/>
            <w:shd w:val="clear" w:color="auto" w:fill="F6F1E6"/>
          </w:tcPr>
          <w:p>
            <w:pPr>
              <w:spacing w:after="20"/>
              <w:jc w:val="right"/>
            </w:pPr>
            <w:r>
              <w:rPr>
                <w:b/>
                <w:color w:val="1C3A36"/>
                <w:sz w:val="17"/>
              </w:rPr>
              <w:t>6,473</w:t>
            </w:r>
          </w:p>
        </w:tc>
        <w:tc>
          <w:tcPr>
            <w:tcW w:type="dxa" w:w="1426"/>
            <w:shd w:val="clear" w:color="auto" w:fill="F6F1E6"/>
          </w:tcPr>
          <w:p>
            <w:pPr>
              <w:spacing w:after="20"/>
              <w:jc w:val="right"/>
            </w:pPr>
            <w:r>
              <w:rPr>
                <w:b/>
                <w:color w:val="1C3A36"/>
                <w:sz w:val="17"/>
              </w:rPr>
              <w:t>6,171</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24,696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28,027</w:t>
            </w:r>
          </w:p>
        </w:tc>
        <w:tc>
          <w:tcPr>
            <w:tcW w:type="dxa" w:w="4896"/>
          </w:tcPr>
          <w:p>
            <w:pPr>
              <w:spacing w:after="20"/>
              <w:jc w:val="right"/>
            </w:pPr>
            <w:r>
              <w:rPr>
                <w:color w:val="1C3A36"/>
                <w:sz w:val="16"/>
              </w:rPr>
              <w:t>FY2030E NOPAT grown 7% × (1 − reinvestment rate 33.6%); the reinvestment rate is forced to g ÷ terminal return on capital (20.8%)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82,540</w:t>
            </w:r>
          </w:p>
        </w:tc>
        <w:tc>
          <w:tcPr>
            <w:tcW w:type="dxa" w:w="4896"/>
          </w:tcPr>
          <w:p>
            <w:pPr>
              <w:spacing w:after="20"/>
              <w:jc w:val="right"/>
            </w:pPr>
            <w:r>
              <w:rPr>
                <w:color w:val="1C3A36"/>
                <w:sz w:val="16"/>
              </w:rPr>
              <w:t>the terminal cash flow capitalised at 18.9% − 7% = 234,993, discounted at the year-5 factor 0.3512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107,235</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77%</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(9,040)</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(10,290)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74,103</w:t>
            </w:r>
          </w:p>
        </w:tc>
        <w:tc>
          <w:tcPr>
            <w:tcW w:type="dxa" w:w="4896"/>
          </w:tcPr>
          <w:p>
            <w:pPr>
              <w:spacing w:after="20"/>
              <w:jc w:val="right"/>
            </w:pPr>
            <w:r>
              <w:rPr>
                <w:color w:val="1C3A36"/>
                <w:sz w:val="16"/>
              </w:rPr>
              <w:t>EGP 34.62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39.55</w:t>
            </w:r>
          </w:p>
        </w:tc>
        <w:tc>
          <w:tcPr>
            <w:tcW w:type="dxa" w:w="4896"/>
            <w:shd w:val="clear" w:color="auto" w:fill="F6F1E6"/>
          </w:tcPr>
          <w:p>
            <w:pPr>
              <w:spacing w:after="20"/>
              <w:jc w:val="right"/>
            </w:pPr>
            <w:r>
              <w:rPr>
                <w:b/>
                <w:color w:val="1C3A36"/>
                <w:sz w:val="16"/>
              </w:rPr>
              <w:t>against a spot of 130.00 (-70%)</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21.1% — a steady-state multiple takes a steady-state rate, not a five-year transitional one. (An earlier wording called this figure an 'average' of the two windows, which it never was; the actual average, 25.8%, is the construction behind this lens's published bear bound of 31.81.) That gives 1.2× book, or EGP 41.95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(-5,403)</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73.89</w:t>
            </w:r>
          </w:p>
        </w:tc>
        <w:tc>
          <w:tcPr>
            <w:tcW w:type="dxa" w:w="5688"/>
          </w:tcPr>
          <w:p>
            <w:pPr>
              <w:spacing w:after="20"/>
              <w:jc w:val="right"/>
            </w:pPr>
            <w:r>
              <w:rPr>
                <w:color w:val="1C3A36"/>
                <w:sz w:val="17"/>
              </w:rPr>
              <w:t>bear 61.67 at 5.5× / bull 92.23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140.27 per share instead of 73.89 — a EGP 66.38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39,182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(4,627)</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34,554</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(13,843)</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20,662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9.65</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102.05</w:t>
            </w:r>
          </w:p>
        </w:tc>
      </w:tr>
    </w:tbl>
    <w:p>
      <w:pPr>
        <w:spacing w:after="40"/>
      </w:pPr>
    </w:p>
    <w:p>
      <w:pPr>
        <w:spacing w:after="200" w:before="0"/>
      </w:pPr>
      <w:r>
        <w:rPr>
          <w:b w:val="0"/>
          <w:i/>
          <w:color w:val="6E7B77"/>
          <w:sz w:val="17"/>
        </w:rPr>
        <w:t>Bear 78.96 at 7.0× and bull 130.91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15.72</w:t>
            </w:r>
          </w:p>
        </w:tc>
        <w:tc>
          <w:tcPr>
            <w:tcW w:type="dxa" w:w="1238"/>
          </w:tcPr>
          <w:p>
            <w:pPr>
              <w:spacing w:after="20"/>
              <w:jc w:val="right"/>
            </w:pPr>
            <w:r>
              <w:rPr>
                <w:color w:val="1C3A36"/>
                <w:sz w:val="17"/>
              </w:rPr>
              <w:t>39.55</w:t>
            </w:r>
          </w:p>
        </w:tc>
        <w:tc>
          <w:tcPr>
            <w:tcW w:type="dxa" w:w="1238"/>
          </w:tcPr>
          <w:p>
            <w:pPr>
              <w:spacing w:after="20"/>
              <w:jc w:val="right"/>
            </w:pPr>
            <w:r>
              <w:rPr>
                <w:color w:val="1C3A36"/>
                <w:sz w:val="17"/>
              </w:rPr>
              <w:t>71.71</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-70%</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61.67</w:t>
            </w:r>
          </w:p>
        </w:tc>
        <w:tc>
          <w:tcPr>
            <w:tcW w:type="dxa" w:w="1238"/>
          </w:tcPr>
          <w:p>
            <w:pPr>
              <w:spacing w:after="20"/>
              <w:jc w:val="right"/>
            </w:pPr>
            <w:r>
              <w:rPr>
                <w:color w:val="1C3A36"/>
                <w:sz w:val="17"/>
              </w:rPr>
              <w:t>73.89</w:t>
            </w:r>
          </w:p>
        </w:tc>
        <w:tc>
          <w:tcPr>
            <w:tcW w:type="dxa" w:w="1238"/>
          </w:tcPr>
          <w:p>
            <w:pPr>
              <w:spacing w:after="20"/>
              <w:jc w:val="right"/>
            </w:pPr>
            <w:r>
              <w:rPr>
                <w:color w:val="1C3A36"/>
                <w:sz w:val="17"/>
              </w:rPr>
              <w:t>92.23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-43%</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78.96</w:t>
            </w:r>
          </w:p>
        </w:tc>
        <w:tc>
          <w:tcPr>
            <w:tcW w:type="dxa" w:w="1238"/>
          </w:tcPr>
          <w:p>
            <w:pPr>
              <w:spacing w:after="20"/>
              <w:jc w:val="right"/>
            </w:pPr>
            <w:r>
              <w:rPr>
                <w:color w:val="1C3A36"/>
                <w:sz w:val="17"/>
              </w:rPr>
              <w:t>102.05</w:t>
            </w:r>
          </w:p>
        </w:tc>
        <w:tc>
          <w:tcPr>
            <w:tcW w:type="dxa" w:w="1238"/>
          </w:tcPr>
          <w:p>
            <w:pPr>
              <w:spacing w:after="20"/>
              <w:jc w:val="right"/>
            </w:pPr>
            <w:r>
              <w:rPr>
                <w:color w:val="1C3A36"/>
                <w:sz w:val="17"/>
              </w:rPr>
              <w:t>130.91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31.81</w:t>
            </w:r>
          </w:p>
        </w:tc>
        <w:tc>
          <w:tcPr>
            <w:tcW w:type="dxa" w:w="1238"/>
          </w:tcPr>
          <w:p>
            <w:pPr>
              <w:spacing w:after="20"/>
              <w:jc w:val="right"/>
            </w:pPr>
            <w:r>
              <w:rPr>
                <w:color w:val="1C3A36"/>
                <w:sz w:val="17"/>
              </w:rPr>
              <w:t>41.95</w:t>
            </w:r>
          </w:p>
        </w:tc>
        <w:tc>
          <w:tcPr>
            <w:tcW w:type="dxa" w:w="1238"/>
          </w:tcPr>
          <w:p>
            <w:pPr>
              <w:spacing w:after="20"/>
              <w:jc w:val="right"/>
            </w:pPr>
            <w:r>
              <w:rPr>
                <w:color w:val="1C3A36"/>
                <w:sz w:val="17"/>
              </w:rPr>
              <w:t>47.26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-68%</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15.72</w:t>
            </w:r>
          </w:p>
        </w:tc>
        <w:tc>
          <w:tcPr>
            <w:tcW w:type="dxa" w:w="1238"/>
            <w:shd w:val="clear" w:color="auto" w:fill="F6F1E6"/>
          </w:tcPr>
          <w:p>
            <w:pPr>
              <w:spacing w:after="20"/>
              <w:jc w:val="right"/>
            </w:pPr>
            <w:r>
              <w:rPr>
                <w:b/>
                <w:color w:val="1C3A36"/>
                <w:sz w:val="17"/>
              </w:rPr>
              <w:t>39.55</w:t>
            </w:r>
          </w:p>
        </w:tc>
        <w:tc>
          <w:tcPr>
            <w:tcW w:type="dxa" w:w="1238"/>
            <w:shd w:val="clear" w:color="auto" w:fill="F6F1E6"/>
          </w:tcPr>
          <w:p>
            <w:pPr>
              <w:spacing w:after="20"/>
              <w:jc w:val="right"/>
            </w:pPr>
            <w:r>
              <w:rPr>
                <w:b/>
                <w:color w:val="1C3A36"/>
                <w:sz w:val="17"/>
              </w:rPr>
              <w:t>71.71</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-70%</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59.28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39.55, and the market-anchored reads are published beside it at their own values so a reader can judge the disagreement rather than receive a number in which it has already been settled by a weight. An earlier edition did settle it that way and reported EGP 59.28, -54% against the price where this study holds -70%.</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422,920</w:t>
            </w:r>
          </w:p>
        </w:tc>
        <w:tc>
          <w:tcPr>
            <w:tcW w:type="dxa" w:w="1426"/>
          </w:tcPr>
          <w:p>
            <w:pPr>
              <w:spacing w:after="20"/>
              <w:jc w:val="right"/>
            </w:pPr>
            <w:r>
              <w:rPr>
                <w:color w:val="1C3A36"/>
                <w:sz w:val="16"/>
              </w:rPr>
              <w:t>467,552</w:t>
            </w:r>
          </w:p>
        </w:tc>
        <w:tc>
          <w:tcPr>
            <w:tcW w:type="dxa" w:w="1426"/>
          </w:tcPr>
          <w:p>
            <w:pPr>
              <w:spacing w:after="20"/>
              <w:jc w:val="right"/>
            </w:pPr>
            <w:r>
              <w:rPr>
                <w:color w:val="1C3A36"/>
                <w:sz w:val="16"/>
              </w:rPr>
              <w:t>511,651</w:t>
            </w:r>
          </w:p>
        </w:tc>
        <w:tc>
          <w:tcPr>
            <w:tcW w:type="dxa" w:w="1426"/>
          </w:tcPr>
          <w:p>
            <w:pPr>
              <w:spacing w:after="20"/>
              <w:jc w:val="right"/>
            </w:pPr>
            <w:r>
              <w:rPr>
                <w:color w:val="1C3A36"/>
                <w:sz w:val="16"/>
              </w:rPr>
              <w:t>556,590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52,314</w:t>
            </w:r>
          </w:p>
        </w:tc>
        <w:tc>
          <w:tcPr>
            <w:tcW w:type="dxa" w:w="1426"/>
          </w:tcPr>
          <w:p>
            <w:pPr>
              <w:spacing w:after="20"/>
              <w:jc w:val="right"/>
            </w:pPr>
            <w:r>
              <w:rPr>
                <w:color w:val="1C3A36"/>
                <w:sz w:val="16"/>
              </w:rPr>
              <w:t>57,996</w:t>
            </w:r>
          </w:p>
        </w:tc>
        <w:tc>
          <w:tcPr>
            <w:tcW w:type="dxa" w:w="1426"/>
          </w:tcPr>
          <w:p>
            <w:pPr>
              <w:spacing w:after="20"/>
              <w:jc w:val="right"/>
            </w:pPr>
            <w:r>
              <w:rPr>
                <w:color w:val="1C3A36"/>
                <w:sz w:val="16"/>
              </w:rPr>
              <w:t>63,609</w:t>
            </w:r>
          </w:p>
        </w:tc>
        <w:tc>
          <w:tcPr>
            <w:tcW w:type="dxa" w:w="1426"/>
          </w:tcPr>
          <w:p>
            <w:pPr>
              <w:spacing w:after="20"/>
              <w:jc w:val="right"/>
            </w:pPr>
            <w:r>
              <w:rPr>
                <w:color w:val="1C3A36"/>
                <w:sz w:val="16"/>
              </w:rPr>
              <w:t>69,336</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12.5%</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(12,984)</w:t>
            </w:r>
          </w:p>
        </w:tc>
        <w:tc>
          <w:tcPr>
            <w:tcW w:type="dxa" w:w="1426"/>
          </w:tcPr>
          <w:p>
            <w:pPr>
              <w:spacing w:after="20"/>
              <w:jc w:val="right"/>
            </w:pPr>
            <w:r>
              <w:rPr>
                <w:color w:val="1C3A36"/>
                <w:sz w:val="16"/>
              </w:rPr>
              <w:t>(14,354)</w:t>
            </w:r>
          </w:p>
        </w:tc>
        <w:tc>
          <w:tcPr>
            <w:tcW w:type="dxa" w:w="1426"/>
          </w:tcPr>
          <w:p>
            <w:pPr>
              <w:spacing w:after="20"/>
              <w:jc w:val="right"/>
            </w:pPr>
            <w:r>
              <w:rPr>
                <w:color w:val="1C3A36"/>
                <w:sz w:val="16"/>
              </w:rPr>
              <w:t>(15,708)</w:t>
            </w:r>
          </w:p>
        </w:tc>
        <w:tc>
          <w:tcPr>
            <w:tcW w:type="dxa" w:w="1426"/>
          </w:tcPr>
          <w:p>
            <w:pPr>
              <w:spacing w:after="20"/>
              <w:jc w:val="right"/>
            </w:pPr>
            <w:r>
              <w:rPr>
                <w:color w:val="1C3A36"/>
                <w:sz w:val="16"/>
              </w:rPr>
              <w:t>(17,087)</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39,330</w:t>
            </w:r>
          </w:p>
        </w:tc>
        <w:tc>
          <w:tcPr>
            <w:tcW w:type="dxa" w:w="1426"/>
            <w:shd w:val="clear" w:color="auto" w:fill="F6F1E6"/>
          </w:tcPr>
          <w:p>
            <w:pPr>
              <w:spacing w:after="20"/>
              <w:jc w:val="right"/>
            </w:pPr>
            <w:r>
              <w:rPr>
                <w:b/>
                <w:color w:val="1C3A36"/>
                <w:sz w:val="16"/>
              </w:rPr>
              <w:t>43,642</w:t>
            </w:r>
          </w:p>
        </w:tc>
        <w:tc>
          <w:tcPr>
            <w:tcW w:type="dxa" w:w="1426"/>
            <w:shd w:val="clear" w:color="auto" w:fill="F6F1E6"/>
          </w:tcPr>
          <w:p>
            <w:pPr>
              <w:spacing w:after="20"/>
              <w:jc w:val="right"/>
            </w:pPr>
            <w:r>
              <w:rPr>
                <w:b/>
                <w:color w:val="1C3A36"/>
                <w:sz w:val="16"/>
              </w:rPr>
              <w:t>47,901</w:t>
            </w:r>
          </w:p>
        </w:tc>
        <w:tc>
          <w:tcPr>
            <w:tcW w:type="dxa" w:w="1426"/>
            <w:shd w:val="clear" w:color="auto" w:fill="F6F1E6"/>
          </w:tcPr>
          <w:p>
            <w:pPr>
              <w:spacing w:after="20"/>
              <w:jc w:val="right"/>
            </w:pPr>
            <w:r>
              <w:rPr>
                <w:b/>
                <w:color w:val="1C3A36"/>
                <w:sz w:val="16"/>
              </w:rPr>
              <w:t>52,249</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4,627</w:t>
            </w:r>
          </w:p>
        </w:tc>
        <w:tc>
          <w:tcPr>
            <w:tcW w:type="dxa" w:w="1426"/>
          </w:tcPr>
          <w:p>
            <w:pPr>
              <w:spacing w:after="20"/>
              <w:jc w:val="right"/>
            </w:pPr>
            <w:r>
              <w:rPr>
                <w:color w:val="1C3A36"/>
                <w:sz w:val="16"/>
              </w:rPr>
              <w:t>5,287</w:t>
            </w:r>
          </w:p>
        </w:tc>
        <w:tc>
          <w:tcPr>
            <w:tcW w:type="dxa" w:w="1426"/>
          </w:tcPr>
          <w:p>
            <w:pPr>
              <w:spacing w:after="20"/>
              <w:jc w:val="right"/>
            </w:pPr>
            <w:r>
              <w:rPr>
                <w:color w:val="1C3A36"/>
                <w:sz w:val="16"/>
              </w:rPr>
              <w:t>5,844</w:t>
            </w:r>
          </w:p>
        </w:tc>
        <w:tc>
          <w:tcPr>
            <w:tcW w:type="dxa" w:w="1426"/>
          </w:tcPr>
          <w:p>
            <w:pPr>
              <w:spacing w:after="20"/>
              <w:jc w:val="right"/>
            </w:pPr>
            <w:r>
              <w:rPr>
                <w:color w:val="1C3A36"/>
                <w:sz w:val="16"/>
              </w:rPr>
              <w:t>6,396</w:t>
            </w:r>
          </w:p>
        </w:tc>
        <w:tc>
          <w:tcPr>
            <w:tcW w:type="dxa" w:w="1426"/>
          </w:tcPr>
          <w:p>
            <w:pPr>
              <w:spacing w:after="20"/>
              <w:jc w:val="right"/>
            </w:pPr>
            <w:r>
              <w:rPr>
                <w:color w:val="1C3A36"/>
                <w:sz w:val="16"/>
              </w:rPr>
              <w:t>6,957</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38,953</w:t>
            </w:r>
          </w:p>
        </w:tc>
        <w:tc>
          <w:tcPr>
            <w:tcW w:type="dxa" w:w="1426"/>
            <w:shd w:val="clear" w:color="auto" w:fill="F6F1E6"/>
          </w:tcPr>
          <w:p>
            <w:pPr>
              <w:spacing w:after="20"/>
              <w:jc w:val="right"/>
            </w:pPr>
            <w:r>
              <w:rPr>
                <w:b/>
                <w:color w:val="1C3A36"/>
                <w:sz w:val="16"/>
              </w:rPr>
              <w:t>44,616</w:t>
            </w:r>
          </w:p>
        </w:tc>
        <w:tc>
          <w:tcPr>
            <w:tcW w:type="dxa" w:w="1426"/>
            <w:shd w:val="clear" w:color="auto" w:fill="F6F1E6"/>
          </w:tcPr>
          <w:p>
            <w:pPr>
              <w:spacing w:after="20"/>
              <w:jc w:val="right"/>
            </w:pPr>
            <w:r>
              <w:rPr>
                <w:b/>
                <w:color w:val="1C3A36"/>
                <w:sz w:val="16"/>
              </w:rPr>
              <w:t>49,486</w:t>
            </w:r>
          </w:p>
        </w:tc>
        <w:tc>
          <w:tcPr>
            <w:tcW w:type="dxa" w:w="1426"/>
            <w:shd w:val="clear" w:color="auto" w:fill="F6F1E6"/>
          </w:tcPr>
          <w:p>
            <w:pPr>
              <w:spacing w:after="20"/>
              <w:jc w:val="right"/>
            </w:pPr>
            <w:r>
              <w:rPr>
                <w:b/>
                <w:color w:val="1C3A36"/>
                <w:sz w:val="16"/>
              </w:rPr>
              <w:t>54,297</w:t>
            </w:r>
          </w:p>
        </w:tc>
        <w:tc>
          <w:tcPr>
            <w:tcW w:type="dxa" w:w="1426"/>
            <w:shd w:val="clear" w:color="auto" w:fill="F6F1E6"/>
          </w:tcPr>
          <w:p>
            <w:pPr>
              <w:spacing w:after="20"/>
              <w:jc w:val="right"/>
            </w:pPr>
            <w:r>
              <w:rPr>
                <w:b/>
                <w:color w:val="1C3A36"/>
                <w:sz w:val="16"/>
              </w:rPr>
              <w:t>59,206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10.6%</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302,515</w:t>
            </w:r>
          </w:p>
        </w:tc>
        <w:tc>
          <w:tcPr>
            <w:tcW w:type="dxa" w:w="1181"/>
          </w:tcPr>
          <w:p>
            <w:pPr>
              <w:spacing w:after="20"/>
              <w:jc w:val="right"/>
            </w:pPr>
            <w:r>
              <w:rPr>
                <w:color w:val="1C3A36"/>
                <w:sz w:val="16"/>
              </w:rPr>
              <w:t>54.4%</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172,678</w:t>
            </w:r>
          </w:p>
        </w:tc>
        <w:tc>
          <w:tcPr>
            <w:tcW w:type="dxa" w:w="1181"/>
          </w:tcPr>
          <w:p>
            <w:pPr>
              <w:spacing w:after="20"/>
              <w:jc w:val="right"/>
            </w:pPr>
            <w:r>
              <w:rPr>
                <w:color w:val="1C3A36"/>
                <w:sz w:val="16"/>
              </w:rPr>
              <w:t>31.0%</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81,396</w:t>
            </w:r>
          </w:p>
        </w:tc>
        <w:tc>
          <w:tcPr>
            <w:tcW w:type="dxa" w:w="1181"/>
          </w:tcPr>
          <w:p>
            <w:pPr>
              <w:spacing w:after="20"/>
              <w:jc w:val="right"/>
            </w:pPr>
            <w:r>
              <w:rPr>
                <w:color w:val="1C3A36"/>
                <w:sz w:val="16"/>
              </w:rPr>
              <w:t>14.6%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556,590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54.4%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17,816mn working-capital build cuts free cash flow to the firm to just EGP -505mn, against EGP 9,372mn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2.07-2.21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21.1%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18.9%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24.65 (against 39.55)</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14.91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44.19 (4.64)</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39.34 (-0.21)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24.65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52.39</w:t>
            </w:r>
          </w:p>
        </w:tc>
        <w:tc>
          <w:tcPr>
            <w:tcW w:type="dxa" w:w="1541"/>
          </w:tcPr>
          <w:p>
            <w:pPr>
              <w:spacing w:after="20"/>
              <w:jc w:val="right"/>
            </w:pPr>
            <w:r>
              <w:rPr>
                <w:color w:val="1C3A36"/>
                <w:sz w:val="16"/>
              </w:rPr>
              <w:t>50.81</w:t>
            </w:r>
          </w:p>
        </w:tc>
        <w:tc>
          <w:tcPr>
            <w:tcW w:type="dxa" w:w="1541"/>
          </w:tcPr>
          <w:p>
            <w:pPr>
              <w:spacing w:after="20"/>
              <w:jc w:val="right"/>
            </w:pPr>
            <w:r>
              <w:rPr>
                <w:color w:val="1C3A36"/>
                <w:sz w:val="16"/>
              </w:rPr>
              <w:t>49.28</w:t>
            </w:r>
          </w:p>
        </w:tc>
        <w:tc>
          <w:tcPr>
            <w:tcW w:type="dxa" w:w="1541"/>
          </w:tcPr>
          <w:p>
            <w:pPr>
              <w:spacing w:after="20"/>
              <w:jc w:val="right"/>
            </w:pPr>
            <w:r>
              <w:rPr>
                <w:color w:val="1C3A36"/>
                <w:sz w:val="16"/>
              </w:rPr>
              <w:t>47.81</w:t>
            </w:r>
          </w:p>
        </w:tc>
        <w:tc>
          <w:tcPr>
            <w:tcW w:type="dxa" w:w="1541"/>
          </w:tcPr>
          <w:p>
            <w:pPr>
              <w:spacing w:after="20"/>
              <w:jc w:val="right"/>
            </w:pPr>
            <w:r>
              <w:rPr>
                <w:color w:val="1C3A36"/>
                <w:sz w:val="16"/>
              </w:rPr>
              <w:t>46.39</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46.78</w:t>
            </w:r>
          </w:p>
        </w:tc>
        <w:tc>
          <w:tcPr>
            <w:tcW w:type="dxa" w:w="1541"/>
          </w:tcPr>
          <w:p>
            <w:pPr>
              <w:spacing w:after="20"/>
              <w:jc w:val="right"/>
            </w:pPr>
            <w:r>
              <w:rPr>
                <w:color w:val="1C3A36"/>
                <w:sz w:val="16"/>
              </w:rPr>
              <w:t>45.35</w:t>
            </w:r>
          </w:p>
        </w:tc>
        <w:tc>
          <w:tcPr>
            <w:tcW w:type="dxa" w:w="1541"/>
          </w:tcPr>
          <w:p>
            <w:pPr>
              <w:spacing w:after="20"/>
              <w:jc w:val="right"/>
            </w:pPr>
            <w:r>
              <w:rPr>
                <w:color w:val="1C3A36"/>
                <w:sz w:val="16"/>
              </w:rPr>
              <w:t>43.97</w:t>
            </w:r>
          </w:p>
        </w:tc>
        <w:tc>
          <w:tcPr>
            <w:tcW w:type="dxa" w:w="1541"/>
          </w:tcPr>
          <w:p>
            <w:pPr>
              <w:spacing w:after="20"/>
              <w:jc w:val="right"/>
            </w:pPr>
            <w:r>
              <w:rPr>
                <w:color w:val="1C3A36"/>
                <w:sz w:val="16"/>
              </w:rPr>
              <w:t>42.64</w:t>
            </w:r>
          </w:p>
        </w:tc>
        <w:tc>
          <w:tcPr>
            <w:tcW w:type="dxa" w:w="1541"/>
          </w:tcPr>
          <w:p>
            <w:pPr>
              <w:spacing w:after="20"/>
              <w:jc w:val="right"/>
            </w:pPr>
            <w:r>
              <w:rPr>
                <w:color w:val="1C3A36"/>
                <w:sz w:val="16"/>
              </w:rPr>
              <w:t>41.35</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42.11</w:t>
            </w:r>
          </w:p>
        </w:tc>
        <w:tc>
          <w:tcPr>
            <w:tcW w:type="dxa" w:w="1541"/>
          </w:tcPr>
          <w:p>
            <w:pPr>
              <w:spacing w:after="20"/>
              <w:jc w:val="right"/>
            </w:pPr>
            <w:r>
              <w:rPr>
                <w:color w:val="1C3A36"/>
                <w:sz w:val="16"/>
              </w:rPr>
              <w:t>40.81</w:t>
            </w:r>
          </w:p>
        </w:tc>
        <w:tc>
          <w:tcPr>
            <w:tcW w:type="dxa" w:w="1541"/>
          </w:tcPr>
          <w:p>
            <w:pPr>
              <w:spacing w:after="20"/>
              <w:jc w:val="right"/>
            </w:pPr>
            <w:r>
              <w:rPr>
                <w:color w:val="1C3A36"/>
                <w:sz w:val="16"/>
              </w:rPr>
              <w:t>39.55</w:t>
            </w:r>
          </w:p>
        </w:tc>
        <w:tc>
          <w:tcPr>
            <w:tcW w:type="dxa" w:w="1541"/>
          </w:tcPr>
          <w:p>
            <w:pPr>
              <w:spacing w:after="20"/>
              <w:jc w:val="right"/>
            </w:pPr>
            <w:r>
              <w:rPr>
                <w:color w:val="1C3A36"/>
                <w:sz w:val="16"/>
              </w:rPr>
              <w:t>38.34</w:t>
            </w:r>
          </w:p>
        </w:tc>
        <w:tc>
          <w:tcPr>
            <w:tcW w:type="dxa" w:w="1541"/>
          </w:tcPr>
          <w:p>
            <w:pPr>
              <w:spacing w:after="20"/>
              <w:jc w:val="right"/>
            </w:pPr>
            <w:r>
              <w:rPr>
                <w:color w:val="1C3A36"/>
                <w:sz w:val="16"/>
              </w:rPr>
              <w:t>37.17</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38.18</w:t>
            </w:r>
          </w:p>
        </w:tc>
        <w:tc>
          <w:tcPr>
            <w:tcW w:type="dxa" w:w="1541"/>
          </w:tcPr>
          <w:p>
            <w:pPr>
              <w:spacing w:after="20"/>
              <w:jc w:val="right"/>
            </w:pPr>
            <w:r>
              <w:rPr>
                <w:color w:val="1C3A36"/>
                <w:sz w:val="16"/>
              </w:rPr>
              <w:t>36.98</w:t>
            </w:r>
          </w:p>
        </w:tc>
        <w:tc>
          <w:tcPr>
            <w:tcW w:type="dxa" w:w="1541"/>
          </w:tcPr>
          <w:p>
            <w:pPr>
              <w:spacing w:after="20"/>
              <w:jc w:val="right"/>
            </w:pPr>
            <w:r>
              <w:rPr>
                <w:color w:val="1C3A36"/>
                <w:sz w:val="16"/>
              </w:rPr>
              <w:t>35.83</w:t>
            </w:r>
          </w:p>
        </w:tc>
        <w:tc>
          <w:tcPr>
            <w:tcW w:type="dxa" w:w="1541"/>
          </w:tcPr>
          <w:p>
            <w:pPr>
              <w:spacing w:after="20"/>
              <w:jc w:val="right"/>
            </w:pPr>
            <w:r>
              <w:rPr>
                <w:color w:val="1C3A36"/>
                <w:sz w:val="16"/>
              </w:rPr>
              <w:t>34.71</w:t>
            </w:r>
          </w:p>
        </w:tc>
        <w:tc>
          <w:tcPr>
            <w:tcW w:type="dxa" w:w="1541"/>
          </w:tcPr>
          <w:p>
            <w:pPr>
              <w:spacing w:after="20"/>
              <w:jc w:val="right"/>
            </w:pPr>
            <w:r>
              <w:rPr>
                <w:color w:val="1C3A36"/>
                <w:sz w:val="16"/>
              </w:rPr>
              <w:t>33.64</w:t>
            </w:r>
          </w:p>
        </w:tc>
      </w:tr>
      <w:tr>
        <w:tc>
          <w:tcPr>
            <w:tcW w:type="dxa" w:w="2333"/>
          </w:tcPr>
          <w:p>
            <w:pPr>
              <w:spacing w:after="20"/>
            </w:pPr>
            <w:r>
              <w:rPr>
                <w:color w:val="1C3A36"/>
                <w:sz w:val="16"/>
              </w:rPr>
              <w:t>terminal 20.9%</w:t>
            </w:r>
          </w:p>
        </w:tc>
        <w:tc>
          <w:tcPr>
            <w:tcW w:type="dxa" w:w="1541"/>
          </w:tcPr>
          <w:p>
            <w:pPr>
              <w:spacing w:after="20"/>
              <w:jc w:val="right"/>
            </w:pPr>
            <w:r>
              <w:rPr>
                <w:color w:val="1C3A36"/>
                <w:sz w:val="16"/>
              </w:rPr>
              <w:t>34.81</w:t>
            </w:r>
          </w:p>
        </w:tc>
        <w:tc>
          <w:tcPr>
            <w:tcW w:type="dxa" w:w="1541"/>
          </w:tcPr>
          <w:p>
            <w:pPr>
              <w:spacing w:after="20"/>
              <w:jc w:val="right"/>
            </w:pPr>
            <w:r>
              <w:rPr>
                <w:color w:val="1C3A36"/>
                <w:sz w:val="16"/>
              </w:rPr>
              <w:t>33.71</w:t>
            </w:r>
          </w:p>
        </w:tc>
        <w:tc>
          <w:tcPr>
            <w:tcW w:type="dxa" w:w="1541"/>
          </w:tcPr>
          <w:p>
            <w:pPr>
              <w:spacing w:after="20"/>
              <w:jc w:val="right"/>
            </w:pPr>
            <w:r>
              <w:rPr>
                <w:color w:val="1C3A36"/>
                <w:sz w:val="16"/>
              </w:rPr>
              <w:t>32.64</w:t>
            </w:r>
          </w:p>
        </w:tc>
        <w:tc>
          <w:tcPr>
            <w:tcW w:type="dxa" w:w="1541"/>
          </w:tcPr>
          <w:p>
            <w:pPr>
              <w:spacing w:after="20"/>
              <w:jc w:val="right"/>
            </w:pPr>
            <w:r>
              <w:rPr>
                <w:color w:val="1C3A36"/>
                <w:sz w:val="16"/>
              </w:rPr>
              <w:t>31.61</w:t>
            </w:r>
          </w:p>
        </w:tc>
        <w:tc>
          <w:tcPr>
            <w:tcW w:type="dxa" w:w="1541"/>
          </w:tcPr>
          <w:p>
            <w:pPr>
              <w:spacing w:after="20"/>
              <w:jc w:val="right"/>
            </w:pPr>
            <w:r>
              <w:rPr>
                <w:color w:val="1C3A36"/>
                <w:sz w:val="16"/>
              </w:rPr>
              <w:t>30.61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37.30 – 68.58</w:t>
            </w:r>
          </w:p>
        </w:tc>
        <w:tc>
          <w:tcPr>
            <w:tcW w:type="dxa" w:w="1944"/>
          </w:tcPr>
          <w:p>
            <w:pPr>
              <w:spacing w:after="20"/>
              <w:jc w:val="right"/>
            </w:pPr>
            <w:r>
              <w:rPr>
                <w:color w:val="1C3A36"/>
                <w:sz w:val="17"/>
              </w:rPr>
              <w:t>31.28</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39.55 – 39.55</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21.16 – 57.95</w:t>
            </w:r>
          </w:p>
        </w:tc>
        <w:tc>
          <w:tcPr>
            <w:tcW w:type="dxa" w:w="1944"/>
          </w:tcPr>
          <w:p>
            <w:pPr>
              <w:spacing w:after="20"/>
              <w:jc w:val="right"/>
            </w:pPr>
            <w:r>
              <w:rPr>
                <w:color w:val="1C3A36"/>
                <w:sz w:val="17"/>
              </w:rPr>
              <w:t>36.79</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39.55 – 39.55</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32.69 – 45.97</w:t>
            </w:r>
          </w:p>
        </w:tc>
        <w:tc>
          <w:tcPr>
            <w:tcW w:type="dxa" w:w="1944"/>
          </w:tcPr>
          <w:p>
            <w:pPr>
              <w:spacing w:after="20"/>
              <w:jc w:val="right"/>
            </w:pPr>
            <w:r>
              <w:rPr>
                <w:color w:val="1C3A36"/>
                <w:sz w:val="17"/>
              </w:rPr>
              <w:t>13.28</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37.13 – 51.78</w:t>
            </w:r>
          </w:p>
        </w:tc>
        <w:tc>
          <w:tcPr>
            <w:tcW w:type="dxa" w:w="1944"/>
          </w:tcPr>
          <w:p>
            <w:pPr>
              <w:spacing w:after="20"/>
              <w:jc w:val="right"/>
            </w:pPr>
            <w:r>
              <w:rPr>
                <w:color w:val="1C3A36"/>
                <w:sz w:val="17"/>
              </w:rPr>
              <w:t>14.65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36.97 – 39.55</w:t>
            </w:r>
          </w:p>
        </w:tc>
        <w:tc>
          <w:tcPr>
            <w:tcW w:type="dxa" w:w="1944"/>
          </w:tcPr>
          <w:p>
            <w:pPr>
              <w:spacing w:after="20"/>
              <w:jc w:val="right"/>
            </w:pPr>
            <w:r>
              <w:rPr>
                <w:color w:val="1C3A36"/>
                <w:sz w:val="17"/>
              </w:rPr>
              <w:t>2.59</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39.55 against the published central of 39.55. Until this edition the grids ran through a second function that re-implemented the terminal on a construction the study had already retired and omitted the employees' statutory share of profit that the bridge charges, so the surface was centred 25.7% above the answer it was supposed to be testing. Note also where the adopted point SITS in each range rather than assuming it is the middle: terminal growth is adopted at 7%, the TOP of the 3%–7%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39.55;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39.55 central, -70%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39.55, -70%</w:t>
            </w:r>
          </w:p>
        </w:tc>
        <w:tc>
          <w:tcPr>
            <w:tcW w:type="dxa" w:w="4248"/>
          </w:tcPr>
          <w:p>
            <w:pPr>
              <w:spacing w:after="20"/>
              <w:jc w:val="right"/>
            </w:pPr>
            <w:r>
              <w:rPr>
                <w:color w:val="1C3A36"/>
                <w:sz w:val="17"/>
              </w:rPr>
              <w:t>a cost of capital gliding 28.8% to 18.9%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57.01, -56%</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73.89, -43%</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57.01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39.55</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253,397</w:t>
            </w:r>
          </w:p>
        </w:tc>
        <w:tc>
          <w:tcPr>
            <w:tcW w:type="dxa" w:w="1728"/>
          </w:tcPr>
          <w:p>
            <w:pPr>
              <w:spacing w:after="20"/>
              <w:jc w:val="right"/>
            </w:pPr>
            <w:r>
              <w:rPr>
                <w:color w:val="1C3A36"/>
                <w:sz w:val="17"/>
              </w:rPr>
              <w:t>467,552</w:t>
            </w:r>
          </w:p>
        </w:tc>
        <w:tc>
          <w:tcPr>
            <w:tcW w:type="dxa" w:w="1728"/>
          </w:tcPr>
          <w:p>
            <w:pPr>
              <w:spacing w:after="20"/>
              <w:jc w:val="right"/>
            </w:pPr>
            <w:r>
              <w:rPr>
                <w:color w:val="1C3A36"/>
                <w:sz w:val="17"/>
              </w:rPr>
              <w:t>1,213,797</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183,535</w:t>
            </w:r>
          </w:p>
        </w:tc>
        <w:tc>
          <w:tcPr>
            <w:tcW w:type="dxa" w:w="1728"/>
          </w:tcPr>
          <w:p>
            <w:pPr>
              <w:spacing w:after="20"/>
              <w:jc w:val="right"/>
            </w:pPr>
            <w:r>
              <w:rPr>
                <w:color w:val="1C3A36"/>
                <w:sz w:val="17"/>
              </w:rPr>
              <w:t>511,651</w:t>
            </w:r>
          </w:p>
        </w:tc>
        <w:tc>
          <w:tcPr>
            <w:tcW w:type="dxa" w:w="1728"/>
          </w:tcPr>
          <w:p>
            <w:pPr>
              <w:spacing w:after="20"/>
              <w:jc w:val="right"/>
            </w:pPr>
            <w:r>
              <w:rPr>
                <w:color w:val="1C3A36"/>
                <w:sz w:val="17"/>
              </w:rPr>
              <w:t>1,735,156</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195,586</w:t>
            </w:r>
          </w:p>
        </w:tc>
        <w:tc>
          <w:tcPr>
            <w:tcW w:type="dxa" w:w="1728"/>
          </w:tcPr>
          <w:p>
            <w:pPr>
              <w:spacing w:after="20"/>
              <w:jc w:val="right"/>
            </w:pPr>
            <w:r>
              <w:rPr>
                <w:color w:val="1C3A36"/>
                <w:sz w:val="17"/>
              </w:rPr>
              <w:t>556,590</w:t>
            </w:r>
          </w:p>
        </w:tc>
        <w:tc>
          <w:tcPr>
            <w:tcW w:type="dxa" w:w="1728"/>
          </w:tcPr>
          <w:p>
            <w:pPr>
              <w:spacing w:after="20"/>
              <w:jc w:val="right"/>
            </w:pPr>
            <w:r>
              <w:rPr>
                <w:color w:val="1C3A36"/>
                <w:sz w:val="17"/>
              </w:rPr>
              <w:t>2,028,673</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26,825</w:t>
            </w:r>
          </w:p>
        </w:tc>
        <w:tc>
          <w:tcPr>
            <w:tcW w:type="dxa" w:w="1728"/>
          </w:tcPr>
          <w:p>
            <w:pPr>
              <w:spacing w:after="20"/>
              <w:jc w:val="right"/>
            </w:pPr>
            <w:r>
              <w:rPr>
                <w:color w:val="1C3A36"/>
                <w:sz w:val="17"/>
              </w:rPr>
              <w:t>57,996</w:t>
            </w:r>
          </w:p>
        </w:tc>
        <w:tc>
          <w:tcPr>
            <w:tcW w:type="dxa" w:w="1728"/>
          </w:tcPr>
          <w:p>
            <w:pPr>
              <w:spacing w:after="20"/>
              <w:jc w:val="right"/>
            </w:pPr>
            <w:r>
              <w:rPr>
                <w:color w:val="1C3A36"/>
                <w:sz w:val="17"/>
              </w:rPr>
              <w:t>166,122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24,630</w:t>
            </w:r>
          </w:p>
        </w:tc>
        <w:tc>
          <w:tcPr>
            <w:tcW w:type="dxa" w:w="1728"/>
          </w:tcPr>
          <w:p>
            <w:pPr>
              <w:spacing w:after="20"/>
              <w:jc w:val="right"/>
            </w:pPr>
            <w:r>
              <w:rPr>
                <w:color w:val="1C3A36"/>
                <w:sz w:val="17"/>
              </w:rPr>
              <w:t>63,609</w:t>
            </w:r>
          </w:p>
        </w:tc>
        <w:tc>
          <w:tcPr>
            <w:tcW w:type="dxa" w:w="1728"/>
          </w:tcPr>
          <w:p>
            <w:pPr>
              <w:spacing w:after="20"/>
              <w:jc w:val="right"/>
            </w:pPr>
            <w:r>
              <w:rPr>
                <w:color w:val="1C3A36"/>
                <w:sz w:val="17"/>
              </w:rPr>
              <w:t>269,445</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35,537</w:t>
            </w:r>
          </w:p>
        </w:tc>
        <w:tc>
          <w:tcPr>
            <w:tcW w:type="dxa" w:w="1728"/>
          </w:tcPr>
          <w:p>
            <w:pPr>
              <w:spacing w:after="20"/>
              <w:jc w:val="right"/>
            </w:pPr>
            <w:r>
              <w:rPr>
                <w:color w:val="1C3A36"/>
                <w:sz w:val="17"/>
              </w:rPr>
              <w:t>69,336</w:t>
            </w:r>
          </w:p>
        </w:tc>
        <w:tc>
          <w:tcPr>
            <w:tcW w:type="dxa" w:w="1728"/>
          </w:tcPr>
          <w:p>
            <w:pPr>
              <w:spacing w:after="20"/>
              <w:jc w:val="right"/>
            </w:pPr>
            <w:r>
              <w:rPr>
                <w:color w:val="1C3A36"/>
                <w:sz w:val="17"/>
              </w:rPr>
              <w:t>240,237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+6.79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57.01.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9,040mn (4.22 per share) from the equity value — EGP 1.83 per share MORE than deducting the audited book value of 5,119mn would (an earlier wording conflated the total charge with the excess; this states both). It is also the internally consistent choice: this study values the group's equity at 1.2×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422,920</w:t>
            </w:r>
          </w:p>
        </w:tc>
        <w:tc>
          <w:tcPr>
            <w:tcW w:type="dxa" w:w="950"/>
          </w:tcPr>
          <w:p>
            <w:pPr>
              <w:spacing w:after="20"/>
              <w:jc w:val="right"/>
            </w:pPr>
            <w:r>
              <w:rPr>
                <w:color w:val="1C3A36"/>
                <w:sz w:val="15"/>
              </w:rPr>
              <w:t>467,552</w:t>
            </w:r>
          </w:p>
        </w:tc>
        <w:tc>
          <w:tcPr>
            <w:tcW w:type="dxa" w:w="950"/>
          </w:tcPr>
          <w:p>
            <w:pPr>
              <w:spacing w:after="20"/>
              <w:jc w:val="right"/>
            </w:pPr>
            <w:r>
              <w:rPr>
                <w:color w:val="1C3A36"/>
                <w:sz w:val="15"/>
              </w:rPr>
              <w:t>511,651</w:t>
            </w:r>
          </w:p>
        </w:tc>
        <w:tc>
          <w:tcPr>
            <w:tcW w:type="dxa" w:w="950"/>
          </w:tcPr>
          <w:p>
            <w:pPr>
              <w:spacing w:after="20"/>
              <w:jc w:val="right"/>
            </w:pPr>
            <w:r>
              <w:rPr>
                <w:color w:val="1C3A36"/>
                <w:sz w:val="15"/>
              </w:rPr>
              <w:t>556,590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38,953</w:t>
            </w:r>
          </w:p>
        </w:tc>
        <w:tc>
          <w:tcPr>
            <w:tcW w:type="dxa" w:w="950"/>
            <w:shd w:val="clear" w:color="auto" w:fill="F6F1E6"/>
          </w:tcPr>
          <w:p>
            <w:pPr>
              <w:spacing w:after="20"/>
              <w:jc w:val="right"/>
            </w:pPr>
            <w:r>
              <w:rPr>
                <w:b/>
                <w:color w:val="1C3A36"/>
                <w:sz w:val="15"/>
              </w:rPr>
              <w:t>44,616</w:t>
            </w:r>
          </w:p>
        </w:tc>
        <w:tc>
          <w:tcPr>
            <w:tcW w:type="dxa" w:w="950"/>
            <w:shd w:val="clear" w:color="auto" w:fill="F6F1E6"/>
          </w:tcPr>
          <w:p>
            <w:pPr>
              <w:spacing w:after="20"/>
              <w:jc w:val="right"/>
            </w:pPr>
            <w:r>
              <w:rPr>
                <w:b/>
                <w:color w:val="1C3A36"/>
                <w:sz w:val="15"/>
              </w:rPr>
              <w:t>49,486</w:t>
            </w:r>
          </w:p>
        </w:tc>
        <w:tc>
          <w:tcPr>
            <w:tcW w:type="dxa" w:w="950"/>
            <w:shd w:val="clear" w:color="auto" w:fill="F6F1E6"/>
          </w:tcPr>
          <w:p>
            <w:pPr>
              <w:spacing w:after="20"/>
              <w:jc w:val="right"/>
            </w:pPr>
            <w:r>
              <w:rPr>
                <w:b/>
                <w:color w:val="1C3A36"/>
                <w:sz w:val="15"/>
              </w:rPr>
              <w:t>54,297</w:t>
            </w:r>
          </w:p>
        </w:tc>
        <w:tc>
          <w:tcPr>
            <w:tcW w:type="dxa" w:w="950"/>
            <w:shd w:val="clear" w:color="auto" w:fill="F6F1E6"/>
          </w:tcPr>
          <w:p>
            <w:pPr>
              <w:spacing w:after="20"/>
              <w:jc w:val="right"/>
            </w:pPr>
            <w:r>
              <w:rPr>
                <w:b/>
                <w:color w:val="1C3A36"/>
                <w:sz w:val="15"/>
              </w:rPr>
              <w:t>59,206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10.6%</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(4,627)</w:t>
            </w:r>
          </w:p>
        </w:tc>
        <w:tc>
          <w:tcPr>
            <w:tcW w:type="dxa" w:w="950"/>
          </w:tcPr>
          <w:p>
            <w:pPr>
              <w:spacing w:after="20"/>
              <w:jc w:val="right"/>
            </w:pPr>
            <w:r>
              <w:rPr>
                <w:color w:val="1C3A36"/>
                <w:sz w:val="15"/>
              </w:rPr>
              <w:t>(5,287)</w:t>
            </w:r>
          </w:p>
        </w:tc>
        <w:tc>
          <w:tcPr>
            <w:tcW w:type="dxa" w:w="950"/>
          </w:tcPr>
          <w:p>
            <w:pPr>
              <w:spacing w:after="20"/>
              <w:jc w:val="right"/>
            </w:pPr>
            <w:r>
              <w:rPr>
                <w:color w:val="1C3A36"/>
                <w:sz w:val="15"/>
              </w:rPr>
              <w:t>(5,844)</w:t>
            </w:r>
          </w:p>
        </w:tc>
        <w:tc>
          <w:tcPr>
            <w:tcW w:type="dxa" w:w="950"/>
          </w:tcPr>
          <w:p>
            <w:pPr>
              <w:spacing w:after="20"/>
              <w:jc w:val="right"/>
            </w:pPr>
            <w:r>
              <w:rPr>
                <w:color w:val="1C3A36"/>
                <w:sz w:val="15"/>
              </w:rPr>
              <w:t>(6,396)</w:t>
            </w:r>
          </w:p>
        </w:tc>
        <w:tc>
          <w:tcPr>
            <w:tcW w:type="dxa" w:w="950"/>
          </w:tcPr>
          <w:p>
            <w:pPr>
              <w:spacing w:after="20"/>
              <w:jc w:val="right"/>
            </w:pPr>
            <w:r>
              <w:rPr>
                <w:color w:val="1C3A36"/>
                <w:sz w:val="15"/>
              </w:rPr>
              <w:t>(6,957)</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39,330</w:t>
            </w:r>
          </w:p>
        </w:tc>
        <w:tc>
          <w:tcPr>
            <w:tcW w:type="dxa" w:w="950"/>
            <w:shd w:val="clear" w:color="auto" w:fill="F6F1E6"/>
          </w:tcPr>
          <w:p>
            <w:pPr>
              <w:spacing w:after="20"/>
              <w:jc w:val="right"/>
            </w:pPr>
            <w:r>
              <w:rPr>
                <w:b/>
                <w:color w:val="1C3A36"/>
                <w:sz w:val="15"/>
              </w:rPr>
              <w:t>43,642</w:t>
            </w:r>
          </w:p>
        </w:tc>
        <w:tc>
          <w:tcPr>
            <w:tcW w:type="dxa" w:w="950"/>
            <w:shd w:val="clear" w:color="auto" w:fill="F6F1E6"/>
          </w:tcPr>
          <w:p>
            <w:pPr>
              <w:spacing w:after="20"/>
              <w:jc w:val="right"/>
            </w:pPr>
            <w:r>
              <w:rPr>
                <w:b/>
                <w:color w:val="1C3A36"/>
                <w:sz w:val="15"/>
              </w:rPr>
              <w:t>47,901</w:t>
            </w:r>
          </w:p>
        </w:tc>
        <w:tc>
          <w:tcPr>
            <w:tcW w:type="dxa" w:w="950"/>
            <w:shd w:val="clear" w:color="auto" w:fill="F6F1E6"/>
          </w:tcPr>
          <w:p>
            <w:pPr>
              <w:spacing w:after="20"/>
              <w:jc w:val="right"/>
            </w:pPr>
            <w:r>
              <w:rPr>
                <w:b/>
                <w:color w:val="1C3A36"/>
                <w:sz w:val="15"/>
              </w:rPr>
              <w:t>52,249</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(2,135)</w:t>
            </w:r>
          </w:p>
        </w:tc>
        <w:tc>
          <w:tcPr>
            <w:tcW w:type="dxa" w:w="950"/>
          </w:tcPr>
          <w:p>
            <w:pPr>
              <w:spacing w:after="20"/>
              <w:jc w:val="right"/>
            </w:pPr>
            <w:r>
              <w:rPr>
                <w:color w:val="1C3A36"/>
                <w:sz w:val="15"/>
              </w:rPr>
              <w:t>(1,712)</w:t>
            </w:r>
          </w:p>
        </w:tc>
        <w:tc>
          <w:tcPr>
            <w:tcW w:type="dxa" w:w="950"/>
          </w:tcPr>
          <w:p>
            <w:pPr>
              <w:spacing w:after="20"/>
              <w:jc w:val="right"/>
            </w:pPr>
            <w:r>
              <w:rPr>
                <w:color w:val="1C3A36"/>
                <w:sz w:val="15"/>
              </w:rPr>
              <w:t>(1,019)</w:t>
            </w:r>
          </w:p>
        </w:tc>
        <w:tc>
          <w:tcPr>
            <w:tcW w:type="dxa" w:w="950"/>
          </w:tcPr>
          <w:p>
            <w:pPr>
              <w:spacing w:after="20"/>
              <w:jc w:val="right"/>
            </w:pPr>
            <w:r>
              <w:rPr>
                <w:color w:val="1C3A36"/>
                <w:sz w:val="15"/>
              </w:rPr>
              <w:t>(195)</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26,613</w:t>
            </w:r>
          </w:p>
        </w:tc>
        <w:tc>
          <w:tcPr>
            <w:tcW w:type="dxa" w:w="950"/>
            <w:shd w:val="clear" w:color="auto" w:fill="F6F1E6"/>
          </w:tcPr>
          <w:p>
            <w:pPr>
              <w:spacing w:after="20"/>
              <w:jc w:val="right"/>
            </w:pPr>
            <w:r>
              <w:rPr>
                <w:b/>
                <w:color w:val="1C3A36"/>
                <w:sz w:val="15"/>
              </w:rPr>
              <w:t>29,942</w:t>
            </w:r>
          </w:p>
        </w:tc>
        <w:tc>
          <w:tcPr>
            <w:tcW w:type="dxa" w:w="950"/>
            <w:shd w:val="clear" w:color="auto" w:fill="F6F1E6"/>
          </w:tcPr>
          <w:p>
            <w:pPr>
              <w:spacing w:after="20"/>
              <w:jc w:val="right"/>
            </w:pPr>
            <w:r>
              <w:rPr>
                <w:b/>
                <w:color w:val="1C3A36"/>
                <w:sz w:val="15"/>
              </w:rPr>
              <w:t>33,427</w:t>
            </w:r>
          </w:p>
        </w:tc>
        <w:tc>
          <w:tcPr>
            <w:tcW w:type="dxa" w:w="950"/>
            <w:shd w:val="clear" w:color="auto" w:fill="F6F1E6"/>
          </w:tcPr>
          <w:p>
            <w:pPr>
              <w:spacing w:after="20"/>
              <w:jc w:val="right"/>
            </w:pPr>
            <w:r>
              <w:rPr>
                <w:b/>
                <w:color w:val="1C3A36"/>
                <w:sz w:val="15"/>
              </w:rPr>
              <w:t>37,071</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12.43</w:t>
            </w:r>
          </w:p>
        </w:tc>
        <w:tc>
          <w:tcPr>
            <w:tcW w:type="dxa" w:w="950"/>
          </w:tcPr>
          <w:p>
            <w:pPr>
              <w:spacing w:after="20"/>
              <w:jc w:val="right"/>
            </w:pPr>
            <w:r>
              <w:rPr>
                <w:color w:val="1C3A36"/>
                <w:sz w:val="15"/>
              </w:rPr>
              <w:t>13.99</w:t>
            </w:r>
          </w:p>
        </w:tc>
        <w:tc>
          <w:tcPr>
            <w:tcW w:type="dxa" w:w="950"/>
          </w:tcPr>
          <w:p>
            <w:pPr>
              <w:spacing w:after="20"/>
              <w:jc w:val="right"/>
            </w:pPr>
            <w:r>
              <w:rPr>
                <w:color w:val="1C3A36"/>
                <w:sz w:val="15"/>
              </w:rPr>
              <w:t>15.61</w:t>
            </w:r>
          </w:p>
        </w:tc>
        <w:tc>
          <w:tcPr>
            <w:tcW w:type="dxa" w:w="950"/>
          </w:tcPr>
          <w:p>
            <w:pPr>
              <w:spacing w:after="20"/>
              <w:jc w:val="right"/>
            </w:pPr>
            <w:r>
              <w:rPr>
                <w:color w:val="1C3A36"/>
                <w:sz w:val="15"/>
              </w:rPr>
              <w:t>17.32</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73,669</w:t>
            </w:r>
          </w:p>
        </w:tc>
        <w:tc>
          <w:tcPr>
            <w:tcW w:type="dxa" w:w="1426"/>
          </w:tcPr>
          <w:p>
            <w:pPr>
              <w:spacing w:after="20"/>
              <w:jc w:val="right"/>
            </w:pPr>
            <w:r>
              <w:rPr>
                <w:color w:val="1C3A36"/>
                <w:sz w:val="16"/>
              </w:rPr>
              <w:t>84,161</w:t>
            </w:r>
          </w:p>
        </w:tc>
        <w:tc>
          <w:tcPr>
            <w:tcW w:type="dxa" w:w="1426"/>
          </w:tcPr>
          <w:p>
            <w:pPr>
              <w:spacing w:after="20"/>
              <w:jc w:val="right"/>
            </w:pPr>
            <w:r>
              <w:rPr>
                <w:color w:val="1C3A36"/>
                <w:sz w:val="16"/>
              </w:rPr>
              <w:t>93,043</w:t>
            </w:r>
          </w:p>
        </w:tc>
        <w:tc>
          <w:tcPr>
            <w:tcW w:type="dxa" w:w="1426"/>
          </w:tcPr>
          <w:p>
            <w:pPr>
              <w:spacing w:after="20"/>
              <w:jc w:val="right"/>
            </w:pPr>
            <w:r>
              <w:rPr>
                <w:color w:val="1C3A36"/>
                <w:sz w:val="16"/>
              </w:rPr>
              <w:t>101,818</w:t>
            </w:r>
          </w:p>
        </w:tc>
        <w:tc>
          <w:tcPr>
            <w:tcW w:type="dxa" w:w="1426"/>
          </w:tcPr>
          <w:p>
            <w:pPr>
              <w:spacing w:after="20"/>
              <w:jc w:val="right"/>
            </w:pPr>
            <w:r>
              <w:rPr>
                <w:color w:val="1C3A36"/>
                <w:sz w:val="16"/>
              </w:rPr>
              <w:t>110,761</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44,565</w:t>
            </w:r>
          </w:p>
        </w:tc>
        <w:tc>
          <w:tcPr>
            <w:tcW w:type="dxa" w:w="1426"/>
          </w:tcPr>
          <w:p>
            <w:pPr>
              <w:spacing w:after="20"/>
              <w:jc w:val="right"/>
            </w:pPr>
            <w:r>
              <w:rPr>
                <w:color w:val="1C3A36"/>
                <w:sz w:val="16"/>
              </w:rPr>
              <w:t>54,395</w:t>
            </w:r>
          </w:p>
        </w:tc>
        <w:tc>
          <w:tcPr>
            <w:tcW w:type="dxa" w:w="1426"/>
          </w:tcPr>
          <w:p>
            <w:pPr>
              <w:spacing w:after="20"/>
              <w:jc w:val="right"/>
            </w:pPr>
            <w:r>
              <w:rPr>
                <w:color w:val="1C3A36"/>
                <w:sz w:val="16"/>
              </w:rPr>
              <w:t>65,262</w:t>
            </w:r>
          </w:p>
        </w:tc>
        <w:tc>
          <w:tcPr>
            <w:tcW w:type="dxa" w:w="1426"/>
          </w:tcPr>
          <w:p>
            <w:pPr>
              <w:spacing w:after="20"/>
              <w:jc w:val="right"/>
            </w:pPr>
            <w:r>
              <w:rPr>
                <w:color w:val="1C3A36"/>
                <w:sz w:val="16"/>
              </w:rPr>
              <w:t>77,154</w:t>
            </w:r>
          </w:p>
        </w:tc>
        <w:tc>
          <w:tcPr>
            <w:tcW w:type="dxa" w:w="1426"/>
          </w:tcPr>
          <w:p>
            <w:pPr>
              <w:spacing w:after="20"/>
              <w:jc w:val="right"/>
            </w:pPr>
            <w:r>
              <w:rPr>
                <w:color w:val="1C3A36"/>
                <w:sz w:val="16"/>
              </w:rPr>
              <w:t>90,090</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119,983</w:t>
            </w:r>
          </w:p>
        </w:tc>
        <w:tc>
          <w:tcPr>
            <w:tcW w:type="dxa" w:w="1426"/>
          </w:tcPr>
          <w:p>
            <w:pPr>
              <w:spacing w:after="20"/>
              <w:jc w:val="right"/>
            </w:pPr>
            <w:r>
              <w:rPr>
                <w:color w:val="1C3A36"/>
                <w:sz w:val="16"/>
              </w:rPr>
              <w:t>140,305</w:t>
            </w:r>
          </w:p>
        </w:tc>
        <w:tc>
          <w:tcPr>
            <w:tcW w:type="dxa" w:w="1426"/>
          </w:tcPr>
          <w:p>
            <w:pPr>
              <w:spacing w:after="20"/>
              <w:jc w:val="right"/>
            </w:pPr>
            <w:r>
              <w:rPr>
                <w:color w:val="1C3A36"/>
                <w:sz w:val="16"/>
              </w:rPr>
              <w:t>160,054</w:t>
            </w:r>
          </w:p>
        </w:tc>
        <w:tc>
          <w:tcPr>
            <w:tcW w:type="dxa" w:w="1426"/>
          </w:tcPr>
          <w:p>
            <w:pPr>
              <w:spacing w:after="20"/>
              <w:jc w:val="right"/>
            </w:pPr>
            <w:r>
              <w:rPr>
                <w:color w:val="1C3A36"/>
                <w:sz w:val="16"/>
              </w:rPr>
              <w:t>180,721</w:t>
            </w:r>
          </w:p>
        </w:tc>
        <w:tc>
          <w:tcPr>
            <w:tcW w:type="dxa" w:w="1426"/>
          </w:tcPr>
          <w:p>
            <w:pPr>
              <w:spacing w:after="20"/>
              <w:jc w:val="right"/>
            </w:pPr>
            <w:r>
              <w:rPr>
                <w:color w:val="1C3A36"/>
                <w:sz w:val="16"/>
              </w:rPr>
              <w:t>202,600</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20.0%</w:t>
            </w:r>
          </w:p>
        </w:tc>
        <w:tc>
          <w:tcPr>
            <w:tcW w:type="dxa" w:w="1426"/>
          </w:tcPr>
          <w:p>
            <w:pPr>
              <w:spacing w:after="20"/>
              <w:jc w:val="right"/>
            </w:pPr>
            <w:r>
              <w:rPr>
                <w:color w:val="1C3A36"/>
                <w:sz w:val="16"/>
              </w:rPr>
              <w:t>19.5%</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(15,116)</w:t>
            </w:r>
          </w:p>
        </w:tc>
        <w:tc>
          <w:tcPr>
            <w:tcW w:type="dxa" w:w="1426"/>
          </w:tcPr>
          <w:p>
            <w:pPr>
              <w:spacing w:after="20"/>
              <w:jc w:val="right"/>
            </w:pPr>
            <w:r>
              <w:rPr>
                <w:color w:val="1C3A36"/>
                <w:sz w:val="16"/>
              </w:rPr>
              <w:t>(16,711)</w:t>
            </w:r>
          </w:p>
        </w:tc>
        <w:tc>
          <w:tcPr>
            <w:tcW w:type="dxa" w:w="1426"/>
          </w:tcPr>
          <w:p>
            <w:pPr>
              <w:spacing w:after="20"/>
              <w:jc w:val="right"/>
            </w:pPr>
            <w:r>
              <w:rPr>
                <w:color w:val="1C3A36"/>
                <w:sz w:val="16"/>
              </w:rPr>
              <w:t>(18,288)</w:t>
            </w:r>
          </w:p>
        </w:tc>
        <w:tc>
          <w:tcPr>
            <w:tcW w:type="dxa" w:w="1426"/>
          </w:tcPr>
          <w:p>
            <w:pPr>
              <w:spacing w:after="20"/>
              <w:jc w:val="right"/>
            </w:pPr>
            <w:r>
              <w:rPr>
                <w:color w:val="1C3A36"/>
                <w:sz w:val="16"/>
              </w:rPr>
              <w:t>(19,894)</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(17,816)</w:t>
            </w:r>
          </w:p>
        </w:tc>
        <w:tc>
          <w:tcPr>
            <w:tcW w:type="dxa" w:w="1426"/>
            <w:shd w:val="clear" w:color="auto" w:fill="F6F1E6"/>
          </w:tcPr>
          <w:p>
            <w:pPr>
              <w:spacing w:after="20"/>
              <w:jc w:val="right"/>
            </w:pPr>
            <w:r>
              <w:rPr>
                <w:b/>
                <w:color w:val="1C3A36"/>
                <w:sz w:val="16"/>
              </w:rPr>
              <w:t>(10,493)</w:t>
            </w:r>
          </w:p>
        </w:tc>
        <w:tc>
          <w:tcPr>
            <w:tcW w:type="dxa" w:w="1426"/>
            <w:shd w:val="clear" w:color="auto" w:fill="F6F1E6"/>
          </w:tcPr>
          <w:p>
            <w:pPr>
              <w:spacing w:after="20"/>
              <w:jc w:val="right"/>
            </w:pPr>
            <w:r>
              <w:rPr>
                <w:b/>
                <w:color w:val="1C3A36"/>
                <w:sz w:val="16"/>
              </w:rPr>
              <w:t>(8,882)</w:t>
            </w:r>
          </w:p>
        </w:tc>
        <w:tc>
          <w:tcPr>
            <w:tcW w:type="dxa" w:w="1426"/>
            <w:shd w:val="clear" w:color="auto" w:fill="F6F1E6"/>
          </w:tcPr>
          <w:p>
            <w:pPr>
              <w:spacing w:after="20"/>
              <w:jc w:val="right"/>
            </w:pPr>
            <w:r>
              <w:rPr>
                <w:b/>
                <w:color w:val="1C3A36"/>
                <w:sz w:val="16"/>
              </w:rPr>
              <w:t>(8,776)</w:t>
            </w:r>
          </w:p>
        </w:tc>
        <w:tc>
          <w:tcPr>
            <w:tcW w:type="dxa" w:w="1426"/>
            <w:shd w:val="clear" w:color="auto" w:fill="F6F1E6"/>
          </w:tcPr>
          <w:p>
            <w:pPr>
              <w:spacing w:after="20"/>
              <w:jc w:val="right"/>
            </w:pPr>
            <w:r>
              <w:rPr>
                <w:b/>
                <w:color w:val="1C3A36"/>
                <w:sz w:val="16"/>
              </w:rPr>
              <w:t>(8,943)</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-505</w:t>
            </w:r>
          </w:p>
        </w:tc>
        <w:tc>
          <w:tcPr>
            <w:tcW w:type="dxa" w:w="1426"/>
          </w:tcPr>
          <w:p>
            <w:pPr>
              <w:spacing w:after="20"/>
              <w:jc w:val="right"/>
            </w:pPr>
            <w:r>
              <w:rPr>
                <w:color w:val="1C3A36"/>
                <w:sz w:val="16"/>
              </w:rPr>
              <w:t>9,372</w:t>
            </w:r>
          </w:p>
        </w:tc>
        <w:tc>
          <w:tcPr>
            <w:tcW w:type="dxa" w:w="1426"/>
          </w:tcPr>
          <w:p>
            <w:pPr>
              <w:spacing w:after="20"/>
              <w:jc w:val="right"/>
            </w:pPr>
            <w:r>
              <w:rPr>
                <w:color w:val="1C3A36"/>
                <w:sz w:val="16"/>
              </w:rPr>
              <w:t>13,201</w:t>
            </w:r>
          </w:p>
        </w:tc>
        <w:tc>
          <w:tcPr>
            <w:tcW w:type="dxa" w:w="1426"/>
          </w:tcPr>
          <w:p>
            <w:pPr>
              <w:spacing w:after="20"/>
              <w:jc w:val="right"/>
            </w:pPr>
            <w:r>
              <w:rPr>
                <w:color w:val="1C3A36"/>
                <w:sz w:val="16"/>
              </w:rPr>
              <w:t>15,498</w:t>
            </w:r>
          </w:p>
        </w:tc>
        <w:tc>
          <w:tcPr>
            <w:tcW w:type="dxa" w:w="1426"/>
          </w:tcPr>
          <w:p>
            <w:pPr>
              <w:spacing w:after="20"/>
              <w:jc w:val="right"/>
            </w:pPr>
            <w:r>
              <w:rPr>
                <w:color w:val="1C3A36"/>
                <w:sz w:val="16"/>
              </w:rPr>
              <w:t>17,569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104,362</w:t>
            </w:r>
          </w:p>
        </w:tc>
        <w:tc>
          <w:tcPr>
            <w:tcW w:type="dxa" w:w="1426"/>
          </w:tcPr>
          <w:p>
            <w:pPr>
              <w:spacing w:after="20"/>
              <w:jc w:val="right"/>
            </w:pPr>
            <w:r>
              <w:rPr>
                <w:color w:val="1C3A36"/>
                <w:sz w:val="16"/>
              </w:rPr>
              <w:t>126,819</w:t>
            </w:r>
          </w:p>
        </w:tc>
        <w:tc>
          <w:tcPr>
            <w:tcW w:type="dxa" w:w="1426"/>
          </w:tcPr>
          <w:p>
            <w:pPr>
              <w:spacing w:after="20"/>
              <w:jc w:val="right"/>
            </w:pPr>
            <w:r>
              <w:rPr>
                <w:color w:val="1C3A36"/>
                <w:sz w:val="16"/>
              </w:rPr>
              <w:t>151,889</w:t>
            </w:r>
          </w:p>
        </w:tc>
        <w:tc>
          <w:tcPr>
            <w:tcW w:type="dxa" w:w="1426"/>
          </w:tcPr>
          <w:p>
            <w:pPr>
              <w:spacing w:after="20"/>
              <w:jc w:val="right"/>
            </w:pPr>
            <w:r>
              <w:rPr>
                <w:color w:val="1C3A36"/>
                <w:sz w:val="16"/>
              </w:rPr>
              <w:t>179,692</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28,225</w:t>
            </w:r>
          </w:p>
        </w:tc>
        <w:tc>
          <w:tcPr>
            <w:tcW w:type="dxa" w:w="1426"/>
          </w:tcPr>
          <w:p>
            <w:pPr>
              <w:spacing w:after="20"/>
              <w:jc w:val="right"/>
            </w:pPr>
            <w:r>
              <w:rPr>
                <w:color w:val="1C3A36"/>
                <w:sz w:val="16"/>
              </w:rPr>
              <w:t>27,118</w:t>
            </w:r>
          </w:p>
        </w:tc>
        <w:tc>
          <w:tcPr>
            <w:tcW w:type="dxa" w:w="1426"/>
          </w:tcPr>
          <w:p>
            <w:pPr>
              <w:spacing w:after="20"/>
              <w:jc w:val="right"/>
            </w:pPr>
            <w:r>
              <w:rPr>
                <w:color w:val="1C3A36"/>
                <w:sz w:val="16"/>
              </w:rPr>
              <w:t>22,695</w:t>
            </w:r>
          </w:p>
        </w:tc>
        <w:tc>
          <w:tcPr>
            <w:tcW w:type="dxa" w:w="1426"/>
          </w:tcPr>
          <w:p>
            <w:pPr>
              <w:spacing w:after="20"/>
              <w:jc w:val="right"/>
            </w:pPr>
            <w:r>
              <w:rPr>
                <w:color w:val="1C3A36"/>
                <w:sz w:val="16"/>
              </w:rPr>
              <w:t>16,323</w:t>
            </w:r>
          </w:p>
        </w:tc>
        <w:tc>
          <w:tcPr>
            <w:tcW w:type="dxa" w:w="1426"/>
          </w:tcPr>
          <w:p>
            <w:pPr>
              <w:spacing w:after="20"/>
              <w:jc w:val="right"/>
            </w:pPr>
            <w:r>
              <w:rPr>
                <w:color w:val="1C3A36"/>
                <w:sz w:val="16"/>
              </w:rPr>
              <w:t>8,169</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21.77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13.28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36.79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14.65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157.98 and 102.05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467,552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43,642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14.07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157.98</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115.92 – 200.04</w:t>
            </w:r>
          </w:p>
        </w:tc>
      </w:tr>
    </w:tbl>
    <w:p>
      <w:pPr>
        <w:spacing w:after="40"/>
      </w:pPr>
    </w:p>
    <w:p>
      <w:pPr>
        <w:spacing w:after="120" w:before="0"/>
      </w:pPr>
      <w:r>
        <w:rPr>
          <w:b w:val="0"/>
          <w:i w:val="0"/>
          <w:color w:val="1C3A36"/>
          <w:sz w:val="21"/>
        </w:rPr>
        <w:t>Named sensitivity: each one-turn change in the multiple is worth EGP 14.07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15,423</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(1,433)</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13,381</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(21.1%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54.99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31.99 – 50.72</w:t>
            </w:r>
          </w:p>
        </w:tc>
      </w:tr>
    </w:tbl>
    <w:p>
      <w:pPr>
        <w:spacing w:after="40"/>
      </w:pPr>
    </w:p>
    <w:p>
      <w:pPr>
        <w:spacing w:after="120" w:before="0"/>
      </w:pPr>
      <w:r>
        <w:rPr>
          <w:b w:val="0"/>
          <w:i w:val="0"/>
          <w:color w:val="1C3A36"/>
          <w:sz w:val="21"/>
        </w:rPr>
        <w:t>This is the harshest of the three readings, at EGP 54.99,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2,295</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3,526</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99,384</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41.34</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40.08 – 57.01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20.0%</w:t>
            </w:r>
          </w:p>
        </w:tc>
        <w:tc>
          <w:tcPr>
            <w:tcW w:type="dxa" w:w="1426"/>
          </w:tcPr>
          <w:p>
            <w:pPr>
              <w:spacing w:after="20"/>
              <w:jc w:val="right"/>
            </w:pPr>
            <w:r>
              <w:rPr>
                <w:color w:val="1C3A36"/>
                <w:sz w:val="16"/>
              </w:rPr>
              <w:t>19.5%</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25.5%</w:t>
            </w:r>
          </w:p>
        </w:tc>
        <w:tc>
          <w:tcPr>
            <w:tcW w:type="dxa" w:w="1426"/>
          </w:tcPr>
          <w:p>
            <w:pPr>
              <w:spacing w:after="20"/>
              <w:jc w:val="right"/>
            </w:pPr>
            <w:r>
              <w:rPr>
                <w:color w:val="1C3A36"/>
                <w:sz w:val="16"/>
              </w:rPr>
              <w:t>22.8%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18.9%</w:t>
            </w:r>
          </w:p>
        </w:tc>
      </w:tr>
      <w:tr>
        <w:tc>
          <w:tcPr>
            <w:tcW w:type="dxa" w:w="2952"/>
          </w:tcPr>
          <w:p>
            <w:pPr>
              <w:spacing w:after="20"/>
            </w:pPr>
            <w:r>
              <w:rPr>
                <w:color w:val="1C3A36"/>
                <w:sz w:val="16"/>
              </w:rPr>
              <w:t>Spread</w:t>
            </w:r>
          </w:p>
        </w:tc>
        <w:tc>
          <w:tcPr>
            <w:tcW w:type="dxa" w:w="1426"/>
          </w:tcPr>
          <w:p>
            <w:pPr>
              <w:spacing w:after="20"/>
              <w:jc w:val="right"/>
            </w:pPr>
            <w:r>
              <w:rPr>
                <w:color w:val="1C3A36"/>
                <w:sz w:val="16"/>
              </w:rPr>
              <w:t>-7.2pp</w:t>
            </w:r>
          </w:p>
        </w:tc>
        <w:tc>
          <w:tcPr>
            <w:tcW w:type="dxa" w:w="1426"/>
          </w:tcPr>
          <w:p>
            <w:pPr>
              <w:spacing w:after="20"/>
              <w:jc w:val="right"/>
            </w:pPr>
            <w:r>
              <w:rPr>
                <w:color w:val="1C3A36"/>
                <w:sz w:val="16"/>
              </w:rPr>
              <w:t>-4.4pp</w:t>
            </w:r>
          </w:p>
        </w:tc>
        <w:tc>
          <w:tcPr>
            <w:tcW w:type="dxa" w:w="1426"/>
          </w:tcPr>
          <w:p>
            <w:pPr>
              <w:spacing w:after="20"/>
              <w:jc w:val="right"/>
            </w:pPr>
            <w:r>
              <w:rPr>
                <w:color w:val="1C3A36"/>
                <w:sz w:val="16"/>
              </w:rPr>
              <w:t>-2.2pp</w:t>
            </w:r>
          </w:p>
        </w:tc>
        <w:tc>
          <w:tcPr>
            <w:tcW w:type="dxa" w:w="1426"/>
          </w:tcPr>
          <w:p>
            <w:pPr>
              <w:spacing w:after="20"/>
              <w:jc w:val="right"/>
            </w:pPr>
            <w:r>
              <w:rPr>
                <w:color w:val="1C3A36"/>
                <w:sz w:val="16"/>
              </w:rPr>
              <w:t>-0.6pp</w:t>
            </w:r>
          </w:p>
        </w:tc>
        <w:tc>
          <w:tcPr>
            <w:tcW w:type="dxa" w:w="1426"/>
          </w:tcPr>
          <w:p>
            <w:pPr>
              <w:spacing w:after="20"/>
              <w:jc w:val="right"/>
            </w:pPr>
            <w:r>
              <w:rPr>
                <w:color w:val="1C3A36"/>
                <w:sz w:val="16"/>
              </w:rPr>
              <w:t>+0.6pp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-1,064</w:t>
            </w:r>
          </w:p>
        </w:tc>
        <w:tc>
          <w:tcPr>
            <w:tcW w:type="dxa" w:w="1426"/>
            <w:shd w:val="clear" w:color="auto" w:fill="F6F1E6"/>
          </w:tcPr>
          <w:p>
            <w:pPr>
              <w:spacing w:after="20"/>
              <w:jc w:val="right"/>
            </w:pPr>
            <w:r>
              <w:rPr>
                <w:b/>
                <w:color w:val="1C3A36"/>
                <w:sz w:val="16"/>
              </w:rPr>
              <w:t>-938</w:t>
            </w:r>
          </w:p>
        </w:tc>
        <w:tc>
          <w:tcPr>
            <w:tcW w:type="dxa" w:w="1426"/>
            <w:shd w:val="clear" w:color="auto" w:fill="F6F1E6"/>
          </w:tcPr>
          <w:p>
            <w:pPr>
              <w:spacing w:after="20"/>
              <w:jc w:val="right"/>
            </w:pPr>
            <w:r>
              <w:rPr>
                <w:b/>
                <w:color w:val="1C3A36"/>
                <w:sz w:val="16"/>
              </w:rPr>
              <w:t>995</w:t>
            </w:r>
          </w:p>
        </w:tc>
        <w:tc>
          <w:tcPr>
            <w:tcW w:type="dxa" w:w="1426"/>
            <w:shd w:val="clear" w:color="auto" w:fill="F6F1E6"/>
          </w:tcPr>
          <w:p>
            <w:pPr>
              <w:spacing w:after="20"/>
              <w:jc w:val="right"/>
            </w:pPr>
            <w:r>
              <w:rPr>
                <w:b/>
                <w:color w:val="1C3A36"/>
                <w:sz w:val="16"/>
              </w:rPr>
              <w:t>3,240</w:t>
            </w:r>
          </w:p>
        </w:tc>
        <w:tc>
          <w:tcPr>
            <w:tcW w:type="dxa" w:w="1426"/>
            <w:shd w:val="clear" w:color="auto" w:fill="F6F1E6"/>
          </w:tcPr>
          <w:p>
            <w:pPr>
              <w:spacing w:after="20"/>
              <w:jc w:val="right"/>
            </w:pPr>
            <w:r>
              <w:rPr>
                <w:b/>
                <w:color w:val="1C3A36"/>
                <w:sz w:val="16"/>
              </w:rPr>
              <w:t>5,258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(99,384) and the DCF's (107,235) differ by 7,852: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54.99; the vertical line is the market price of 130.00.</w:t>
      </w:r>
    </w:p>
    <w:p>
      <w:pPr>
        <w:spacing w:after="120" w:before="0"/>
      </w:pPr>
      <w:r>
        <w:rPr>
          <w:b w:val="0"/>
          <w:i w:val="0"/>
          <w:color w:val="1C3A36"/>
          <w:sz w:val="21"/>
        </w:rPr>
        <w:t>The panel spans EGP 41.34 to 157.98 — a factor of 3.8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54.99 sits -58% against the market price and +39% against the study's own central of 39.55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21.1%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