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11.40 a share against a market price of EGP 13.50. Fair value sits 15.5% BELOW the price; equivalently the price stands 18.4% ABOVE fair value. The range across the lenses is EGP 1.67 to 23.90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12.74, -5.7%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10.58%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56%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1.67</w:t>
            </w:r>
          </w:p>
        </w:tc>
        <w:tc>
          <w:tcPr>
            <w:tcW w:type="dxa" w:w="1037"/>
          </w:tcPr>
          <w:p>
            <w:pPr>
              <w:spacing w:after="20"/>
              <w:jc w:val="right"/>
            </w:pPr>
            <w:r>
              <w:rPr>
                <w:color w:val="1C3A36"/>
                <w:sz w:val="18"/>
              </w:rPr>
              <w:t>11.40</w:t>
            </w:r>
          </w:p>
        </w:tc>
        <w:tc>
          <w:tcPr>
            <w:tcW w:type="dxa" w:w="1037"/>
          </w:tcPr>
          <w:p>
            <w:pPr>
              <w:spacing w:after="20"/>
              <w:jc w:val="right"/>
            </w:pPr>
            <w:r>
              <w:rPr>
                <w:color w:val="1C3A36"/>
                <w:sz w:val="18"/>
              </w:rPr>
              <w:t>23.90</w:t>
            </w:r>
          </w:p>
        </w:tc>
        <w:tc>
          <w:tcPr>
            <w:tcW w:type="dxa" w:w="1037"/>
          </w:tcPr>
          <w:p>
            <w:pPr>
              <w:spacing w:after="20"/>
              <w:jc w:val="right"/>
            </w:pPr>
            <w:r>
              <w:rPr>
                <w:color w:val="1C3A36"/>
                <w:sz w:val="18"/>
              </w:rPr>
              <w:t>-15.5%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7.01</w:t>
            </w:r>
          </w:p>
        </w:tc>
        <w:tc>
          <w:tcPr>
            <w:tcW w:type="dxa" w:w="1037"/>
          </w:tcPr>
          <w:p>
            <w:pPr>
              <w:spacing w:after="20"/>
              <w:jc w:val="right"/>
            </w:pPr>
            <w:r>
              <w:rPr>
                <w:color w:val="1C3A36"/>
                <w:sz w:val="18"/>
              </w:rPr>
              <w:t>9.06</w:t>
            </w:r>
          </w:p>
        </w:tc>
        <w:tc>
          <w:tcPr>
            <w:tcW w:type="dxa" w:w="1037"/>
          </w:tcPr>
          <w:p>
            <w:pPr>
              <w:spacing w:after="20"/>
              <w:jc w:val="right"/>
            </w:pPr>
            <w:r>
              <w:rPr>
                <w:color w:val="1C3A36"/>
                <w:sz w:val="18"/>
              </w:rPr>
              <w:t>11.12</w:t>
            </w:r>
          </w:p>
        </w:tc>
        <w:tc>
          <w:tcPr>
            <w:tcW w:type="dxa" w:w="1037"/>
          </w:tcPr>
          <w:p>
            <w:pPr>
              <w:spacing w:after="20"/>
              <w:jc w:val="right"/>
            </w:pPr>
            <w:r>
              <w:rPr>
                <w:color w:val="1C3A36"/>
                <w:sz w:val="18"/>
              </w:rPr>
              <w:t>-32.9%</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1.67</w:t>
            </w:r>
          </w:p>
        </w:tc>
        <w:tc>
          <w:tcPr>
            <w:tcW w:type="dxa" w:w="1037"/>
            <w:shd w:val="clear" w:color="auto" w:fill="F6F1E6"/>
          </w:tcPr>
          <w:p>
            <w:pPr>
              <w:spacing w:after="20"/>
              <w:jc w:val="right"/>
            </w:pPr>
            <w:r>
              <w:rPr>
                <w:b/>
                <w:color w:val="1C3A36"/>
                <w:sz w:val="18"/>
              </w:rPr>
              <w:t>11.40</w:t>
            </w:r>
          </w:p>
        </w:tc>
        <w:tc>
          <w:tcPr>
            <w:tcW w:type="dxa" w:w="1037"/>
            <w:shd w:val="clear" w:color="auto" w:fill="F6F1E6"/>
          </w:tcPr>
          <w:p>
            <w:pPr>
              <w:spacing w:after="20"/>
              <w:jc w:val="right"/>
            </w:pPr>
            <w:r>
              <w:rPr>
                <w:b/>
                <w:color w:val="1C3A36"/>
                <w:sz w:val="18"/>
              </w:rPr>
              <w:t>23.90</w:t>
            </w:r>
          </w:p>
        </w:tc>
        <w:tc>
          <w:tcPr>
            <w:tcW w:type="dxa" w:w="1037"/>
            <w:shd w:val="clear" w:color="auto" w:fill="F6F1E6"/>
          </w:tcPr>
          <w:p>
            <w:pPr>
              <w:spacing w:after="20"/>
              <w:jc w:val="right"/>
            </w:pPr>
            <w:r>
              <w:rPr>
                <w:b/>
                <w:color w:val="1C3A36"/>
                <w:sz w:val="18"/>
              </w:rPr>
              <w:t>-15.5%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1.67–23.90; that is reported as an ENVELOPE. The retired 45/20/20/15 blend of these four would read EGP 10.40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is shown against every lens base and against the cash-flow lens’s own bear-to-bull range.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11.69  (+2.5%)</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12.17  (+6.8%)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11.60  (+1.8%)</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120.80%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-20.80%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-20.8%,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47,997</w:t>
            </w:r>
          </w:p>
        </w:tc>
        <w:tc>
          <w:tcPr>
            <w:tcW w:type="dxa" w:w="1238"/>
          </w:tcPr>
          <w:p>
            <w:pPr>
              <w:spacing w:after="20"/>
              <w:jc w:val="right"/>
            </w:pPr>
            <w:r>
              <w:rPr>
                <w:color w:val="1C3A36"/>
                <w:sz w:val="17"/>
              </w:rPr>
              <w:t>52,434</w:t>
            </w:r>
          </w:p>
        </w:tc>
        <w:tc>
          <w:tcPr>
            <w:tcW w:type="dxa" w:w="1238"/>
          </w:tcPr>
          <w:p>
            <w:pPr>
              <w:spacing w:after="20"/>
              <w:jc w:val="right"/>
            </w:pPr>
            <w:r>
              <w:rPr>
                <w:color w:val="1C3A36"/>
                <w:sz w:val="17"/>
              </w:rPr>
              <w:t>55,752</w:t>
            </w:r>
          </w:p>
        </w:tc>
        <w:tc>
          <w:tcPr>
            <w:tcW w:type="dxa" w:w="1238"/>
          </w:tcPr>
          <w:p>
            <w:pPr>
              <w:spacing w:after="20"/>
              <w:jc w:val="right"/>
            </w:pPr>
            <w:r>
              <w:rPr>
                <w:color w:val="1C3A36"/>
                <w:sz w:val="17"/>
              </w:rPr>
              <w:t>58,465</w:t>
            </w:r>
          </w:p>
        </w:tc>
        <w:tc>
          <w:tcPr>
            <w:tcW w:type="dxa" w:w="1238"/>
          </w:tcPr>
          <w:p>
            <w:pPr>
              <w:spacing w:after="20"/>
              <w:jc w:val="right"/>
            </w:pPr>
            <w:r>
              <w:rPr>
                <w:color w:val="1C3A36"/>
                <w:sz w:val="17"/>
              </w:rPr>
              <w:t>61,026</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5,146</w:t>
            </w:r>
          </w:p>
        </w:tc>
        <w:tc>
          <w:tcPr>
            <w:tcW w:type="dxa" w:w="1238"/>
            <w:shd w:val="clear" w:color="auto" w:fill="F6F1E6"/>
          </w:tcPr>
          <w:p>
            <w:pPr>
              <w:spacing w:after="20"/>
              <w:jc w:val="right"/>
            </w:pPr>
            <w:r>
              <w:rPr>
                <w:b/>
                <w:color w:val="1C3A36"/>
                <w:sz w:val="17"/>
              </w:rPr>
              <w:t>5,635</w:t>
            </w:r>
          </w:p>
        </w:tc>
        <w:tc>
          <w:tcPr>
            <w:tcW w:type="dxa" w:w="1238"/>
            <w:shd w:val="clear" w:color="auto" w:fill="F6F1E6"/>
          </w:tcPr>
          <w:p>
            <w:pPr>
              <w:spacing w:after="20"/>
              <w:jc w:val="right"/>
            </w:pPr>
            <w:r>
              <w:rPr>
                <w:b/>
                <w:color w:val="1C3A36"/>
                <w:sz w:val="17"/>
              </w:rPr>
              <w:t>6,000</w:t>
            </w:r>
          </w:p>
        </w:tc>
        <w:tc>
          <w:tcPr>
            <w:tcW w:type="dxa" w:w="1238"/>
            <w:shd w:val="clear" w:color="auto" w:fill="F6F1E6"/>
          </w:tcPr>
          <w:p>
            <w:pPr>
              <w:spacing w:after="20"/>
              <w:jc w:val="right"/>
            </w:pPr>
            <w:r>
              <w:rPr>
                <w:b/>
                <w:color w:val="1C3A36"/>
                <w:sz w:val="17"/>
              </w:rPr>
              <w:t>6,299</w:t>
            </w:r>
          </w:p>
        </w:tc>
        <w:tc>
          <w:tcPr>
            <w:tcW w:type="dxa" w:w="1238"/>
            <w:shd w:val="clear" w:color="auto" w:fill="F6F1E6"/>
          </w:tcPr>
          <w:p>
            <w:pPr>
              <w:spacing w:after="20"/>
              <w:jc w:val="right"/>
            </w:pPr>
            <w:r>
              <w:rPr>
                <w:b/>
                <w:color w:val="1C3A36"/>
                <w:sz w:val="17"/>
              </w:rPr>
              <w:t>6,581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9.73%</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3,130</w:t>
            </w:r>
          </w:p>
        </w:tc>
        <w:tc>
          <w:tcPr>
            <w:tcW w:type="dxa" w:w="1238"/>
          </w:tcPr>
          <w:p>
            <w:pPr>
              <w:spacing w:after="20"/>
              <w:jc w:val="right"/>
            </w:pPr>
            <w:r>
              <w:rPr>
                <w:color w:val="1C3A36"/>
                <w:sz w:val="17"/>
              </w:rPr>
              <w:t>3,376</w:t>
            </w:r>
          </w:p>
        </w:tc>
        <w:tc>
          <w:tcPr>
            <w:tcW w:type="dxa" w:w="1238"/>
          </w:tcPr>
          <w:p>
            <w:pPr>
              <w:spacing w:after="20"/>
              <w:jc w:val="right"/>
            </w:pPr>
            <w:r>
              <w:rPr>
                <w:color w:val="1C3A36"/>
                <w:sz w:val="17"/>
              </w:rPr>
              <w:t>3,538</w:t>
            </w:r>
          </w:p>
        </w:tc>
        <w:tc>
          <w:tcPr>
            <w:tcW w:type="dxa" w:w="1238"/>
          </w:tcPr>
          <w:p>
            <w:pPr>
              <w:spacing w:after="20"/>
              <w:jc w:val="right"/>
            </w:pPr>
            <w:r>
              <w:rPr>
                <w:color w:val="1C3A36"/>
                <w:sz w:val="17"/>
              </w:rPr>
              <w:t>3,652</w:t>
            </w:r>
          </w:p>
        </w:tc>
        <w:tc>
          <w:tcPr>
            <w:tcW w:type="dxa" w:w="1238"/>
          </w:tcPr>
          <w:p>
            <w:pPr>
              <w:spacing w:after="20"/>
              <w:jc w:val="right"/>
            </w:pPr>
            <w:r>
              <w:rPr>
                <w:color w:val="1C3A36"/>
                <w:sz w:val="17"/>
              </w:rPr>
              <w:t>3,748</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2,949</w:t>
            </w:r>
          </w:p>
        </w:tc>
        <w:tc>
          <w:tcPr>
            <w:tcW w:type="dxa" w:w="1238"/>
          </w:tcPr>
          <w:p>
            <w:pPr>
              <w:spacing w:after="20"/>
              <w:jc w:val="right"/>
            </w:pPr>
            <w:r>
              <w:rPr>
                <w:color w:val="1C3A36"/>
                <w:sz w:val="17"/>
              </w:rPr>
              <w:t>3,185</w:t>
            </w:r>
          </w:p>
        </w:tc>
        <w:tc>
          <w:tcPr>
            <w:tcW w:type="dxa" w:w="1238"/>
          </w:tcPr>
          <w:p>
            <w:pPr>
              <w:spacing w:after="20"/>
              <w:jc w:val="right"/>
            </w:pPr>
            <w:r>
              <w:rPr>
                <w:color w:val="1C3A36"/>
                <w:sz w:val="17"/>
              </w:rPr>
              <w:t>3,335</w:t>
            </w:r>
          </w:p>
        </w:tc>
        <w:tc>
          <w:tcPr>
            <w:tcW w:type="dxa" w:w="1238"/>
          </w:tcPr>
          <w:p>
            <w:pPr>
              <w:spacing w:after="20"/>
              <w:jc w:val="right"/>
            </w:pPr>
            <w:r>
              <w:rPr>
                <w:color w:val="1C3A36"/>
                <w:sz w:val="17"/>
              </w:rPr>
              <w:t>3,437</w:t>
            </w:r>
          </w:p>
        </w:tc>
        <w:tc>
          <w:tcPr>
            <w:tcW w:type="dxa" w:w="1238"/>
          </w:tcPr>
          <w:p>
            <w:pPr>
              <w:spacing w:after="20"/>
              <w:jc w:val="right"/>
            </w:pPr>
            <w:r>
              <w:rPr>
                <w:color w:val="1C3A36"/>
                <w:sz w:val="17"/>
              </w:rPr>
              <w:t>3,520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2,166</w:t>
            </w:r>
          </w:p>
        </w:tc>
        <w:tc>
          <w:tcPr>
            <w:tcW w:type="dxa" w:w="1238"/>
          </w:tcPr>
          <w:p>
            <w:pPr>
              <w:spacing w:after="20"/>
              <w:jc w:val="right"/>
            </w:pPr>
            <w:r>
              <w:rPr>
                <w:color w:val="1C3A36"/>
                <w:sz w:val="17"/>
              </w:rPr>
              <w:t>2,339</w:t>
            </w:r>
          </w:p>
        </w:tc>
        <w:tc>
          <w:tcPr>
            <w:tcW w:type="dxa" w:w="1238"/>
          </w:tcPr>
          <w:p>
            <w:pPr>
              <w:spacing w:after="20"/>
              <w:jc w:val="right"/>
            </w:pPr>
            <w:r>
              <w:rPr>
                <w:color w:val="1C3A36"/>
                <w:sz w:val="17"/>
              </w:rPr>
              <w:t>2,450</w:t>
            </w:r>
          </w:p>
        </w:tc>
        <w:tc>
          <w:tcPr>
            <w:tcW w:type="dxa" w:w="1238"/>
          </w:tcPr>
          <w:p>
            <w:pPr>
              <w:spacing w:after="20"/>
              <w:jc w:val="right"/>
            </w:pPr>
            <w:r>
              <w:rPr>
                <w:color w:val="1C3A36"/>
                <w:sz w:val="17"/>
              </w:rPr>
              <w:t>2,524</w:t>
            </w:r>
          </w:p>
        </w:tc>
        <w:tc>
          <w:tcPr>
            <w:tcW w:type="dxa" w:w="1238"/>
          </w:tcPr>
          <w:p>
            <w:pPr>
              <w:spacing w:after="20"/>
              <w:jc w:val="right"/>
            </w:pPr>
            <w:r>
              <w:rPr>
                <w:color w:val="1C3A36"/>
                <w:sz w:val="17"/>
              </w:rPr>
              <w:t>2,585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1,718</w:t>
            </w:r>
          </w:p>
        </w:tc>
        <w:tc>
          <w:tcPr>
            <w:tcW w:type="dxa" w:w="1238"/>
            <w:shd w:val="clear" w:color="auto" w:fill="F6F1E6"/>
          </w:tcPr>
          <w:p>
            <w:pPr>
              <w:spacing w:after="20"/>
              <w:jc w:val="right"/>
            </w:pPr>
            <w:r>
              <w:rPr>
                <w:b/>
                <w:color w:val="1C3A36"/>
                <w:sz w:val="17"/>
              </w:rPr>
              <w:t>1,971</w:t>
            </w:r>
          </w:p>
        </w:tc>
        <w:tc>
          <w:tcPr>
            <w:tcW w:type="dxa" w:w="1238"/>
            <w:shd w:val="clear" w:color="auto" w:fill="F6F1E6"/>
          </w:tcPr>
          <w:p>
            <w:pPr>
              <w:spacing w:after="20"/>
              <w:jc w:val="right"/>
            </w:pPr>
            <w:r>
              <w:rPr>
                <w:b/>
                <w:color w:val="1C3A36"/>
                <w:sz w:val="17"/>
              </w:rPr>
              <w:t>2,165</w:t>
            </w:r>
          </w:p>
        </w:tc>
        <w:tc>
          <w:tcPr>
            <w:tcW w:type="dxa" w:w="1238"/>
            <w:shd w:val="clear" w:color="auto" w:fill="F6F1E6"/>
          </w:tcPr>
          <w:p>
            <w:pPr>
              <w:spacing w:after="20"/>
              <w:jc w:val="right"/>
            </w:pPr>
            <w:r>
              <w:rPr>
                <w:b/>
                <w:color w:val="1C3A36"/>
                <w:sz w:val="17"/>
              </w:rPr>
              <w:t>2,283</w:t>
            </w:r>
          </w:p>
        </w:tc>
        <w:tc>
          <w:tcPr>
            <w:tcW w:type="dxa" w:w="1238"/>
            <w:shd w:val="clear" w:color="auto" w:fill="F6F1E6"/>
          </w:tcPr>
          <w:p>
            <w:pPr>
              <w:spacing w:after="20"/>
              <w:jc w:val="right"/>
            </w:pPr>
            <w:r>
              <w:rPr>
                <w:b/>
                <w:color w:val="1C3A36"/>
                <w:sz w:val="17"/>
              </w:rPr>
              <w:t>2,353</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1,348</w:t>
            </w:r>
          </w:p>
        </w:tc>
        <w:tc>
          <w:tcPr>
            <w:tcW w:type="dxa" w:w="1238"/>
            <w:shd w:val="clear" w:color="auto" w:fill="F6F1E6"/>
          </w:tcPr>
          <w:p>
            <w:pPr>
              <w:spacing w:after="20"/>
              <w:jc w:val="right"/>
            </w:pPr>
            <w:r>
              <w:rPr>
                <w:b/>
                <w:color w:val="1C3A36"/>
                <w:sz w:val="17"/>
              </w:rPr>
              <w:t>1,261</w:t>
            </w:r>
          </w:p>
        </w:tc>
        <w:tc>
          <w:tcPr>
            <w:tcW w:type="dxa" w:w="1238"/>
            <w:shd w:val="clear" w:color="auto" w:fill="F6F1E6"/>
          </w:tcPr>
          <w:p>
            <w:pPr>
              <w:spacing w:after="20"/>
              <w:jc w:val="right"/>
            </w:pPr>
            <w:r>
              <w:rPr>
                <w:b/>
                <w:color w:val="1C3A36"/>
                <w:sz w:val="17"/>
              </w:rPr>
              <w:t>1,148</w:t>
            </w:r>
          </w:p>
        </w:tc>
        <w:tc>
          <w:tcPr>
            <w:tcW w:type="dxa" w:w="1238"/>
            <w:shd w:val="clear" w:color="auto" w:fill="F6F1E6"/>
          </w:tcPr>
          <w:p>
            <w:pPr>
              <w:spacing w:after="20"/>
              <w:jc w:val="right"/>
            </w:pPr>
            <w:r>
              <w:rPr>
                <w:b/>
                <w:color w:val="1C3A36"/>
                <w:sz w:val="17"/>
              </w:rPr>
              <w:t>1,016</w:t>
            </w:r>
          </w:p>
        </w:tc>
        <w:tc>
          <w:tcPr>
            <w:tcW w:type="dxa" w:w="1238"/>
            <w:shd w:val="clear" w:color="auto" w:fill="F6F1E6"/>
          </w:tcPr>
          <w:p>
            <w:pPr>
              <w:spacing w:after="20"/>
              <w:jc w:val="right"/>
            </w:pPr>
            <w:r>
              <w:rPr>
                <w:b/>
                <w:color w:val="1C3A36"/>
                <w:sz w:val="17"/>
              </w:rPr>
              <w:t>887</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5,660</w:t>
            </w:r>
          </w:p>
        </w:tc>
        <w:tc>
          <w:tcPr>
            <w:tcW w:type="dxa" w:w="1296"/>
          </w:tcPr>
          <w:p>
            <w:pPr>
              <w:spacing w:after="20"/>
              <w:jc w:val="right"/>
            </w:pPr>
            <w:r>
              <w:rPr>
                <w:color w:val="1C3A36"/>
                <w:sz w:val="17"/>
              </w:rPr>
              <w:t>4.38</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7,193</w:t>
            </w:r>
          </w:p>
        </w:tc>
        <w:tc>
          <w:tcPr>
            <w:tcW w:type="dxa" w:w="1296"/>
          </w:tcPr>
          <w:p>
            <w:pPr>
              <w:spacing w:after="20"/>
              <w:jc w:val="right"/>
            </w:pPr>
            <w:r>
              <w:rPr>
                <w:color w:val="1C3A36"/>
                <w:sz w:val="17"/>
              </w:rPr>
              <w:t>5.57</w:t>
            </w:r>
          </w:p>
        </w:tc>
        <w:tc>
          <w:tcPr>
            <w:tcW w:type="dxa" w:w="3600"/>
          </w:tcPr>
          <w:p>
            <w:pPr>
              <w:spacing w:after="20"/>
            </w:pPr>
            <w:r>
              <w:rPr>
                <w:color w:val="1C3A36"/>
                <w:sz w:val="17"/>
              </w:rPr>
              <w:t>56.0%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12,853</w:t>
            </w:r>
          </w:p>
        </w:tc>
        <w:tc>
          <w:tcPr>
            <w:tcW w:type="dxa" w:w="1296"/>
            <w:shd w:val="clear" w:color="auto" w:fill="F6F1E6"/>
          </w:tcPr>
          <w:p>
            <w:pPr>
              <w:spacing w:after="20"/>
              <w:jc w:val="right"/>
            </w:pPr>
            <w:r>
              <w:rPr>
                <w:b/>
                <w:color w:val="1C3A36"/>
                <w:sz w:val="17"/>
              </w:rPr>
              <w:t>9.95</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15,855</w:t>
            </w:r>
          </w:p>
        </w:tc>
        <w:tc>
          <w:tcPr>
            <w:tcW w:type="dxa" w:w="1296"/>
          </w:tcPr>
          <w:p>
            <w:pPr>
              <w:spacing w:after="20"/>
              <w:jc w:val="right"/>
            </w:pPr>
            <w:r>
              <w:rPr>
                <w:color w:val="1C3A36"/>
                <w:sz w:val="17"/>
              </w:rPr>
              <w:t>12.28</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(470)</w:t>
            </w:r>
          </w:p>
        </w:tc>
        <w:tc>
          <w:tcPr>
            <w:tcW w:type="dxa" w:w="1296"/>
          </w:tcPr>
          <w:p>
            <w:pPr>
              <w:spacing w:after="20"/>
              <w:jc w:val="right"/>
            </w:pPr>
            <w:r>
              <w:rPr>
                <w:color w:val="1C3A36"/>
                <w:sz w:val="17"/>
              </w:rPr>
              <w:t>(0.36)</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14,725</w:t>
            </w:r>
          </w:p>
        </w:tc>
        <w:tc>
          <w:tcPr>
            <w:tcW w:type="dxa" w:w="1296"/>
            <w:shd w:val="clear" w:color="auto" w:fill="F6F1E6"/>
          </w:tcPr>
          <w:p>
            <w:pPr>
              <w:spacing w:after="20"/>
              <w:jc w:val="right"/>
            </w:pPr>
            <w:r>
              <w:rPr>
                <w:b/>
                <w:color w:val="1C3A36"/>
                <w:sz w:val="17"/>
              </w:rPr>
              <w:t>11.40</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0.88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30.3%.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30.3% return, the terminal block reinvests 23.1% of profit. That is ABOVE the final explicit year’s 9.0%, so the terminal block is funded rather than flattered — a step of +14.16%, disclosed here because it RAISES nothing and a reader is entitled to see it either way. Terminal value carries 56.0%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10.46 at 3% to 11.40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9.14</w:t>
            </w:r>
          </w:p>
        </w:tc>
        <w:tc>
          <w:tcPr>
            <w:tcW w:type="dxa" w:w="1080"/>
          </w:tcPr>
          <w:p>
            <w:pPr>
              <w:spacing w:after="20"/>
              <w:jc w:val="right"/>
            </w:pPr>
            <w:r>
              <w:rPr>
                <w:color w:val="1C3A36"/>
                <w:sz w:val="17"/>
              </w:rPr>
              <w:t>10.27</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12.53</w:t>
            </w:r>
          </w:p>
        </w:tc>
        <w:tc>
          <w:tcPr>
            <w:tcW w:type="dxa" w:w="1080"/>
          </w:tcPr>
          <w:p>
            <w:pPr>
              <w:spacing w:after="20"/>
              <w:jc w:val="right"/>
            </w:pPr>
            <w:r>
              <w:rPr>
                <w:color w:val="1C3A36"/>
                <w:sz w:val="17"/>
              </w:rPr>
              <w:t>13.67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7.56</w:t>
            </w:r>
          </w:p>
        </w:tc>
        <w:tc>
          <w:tcPr>
            <w:tcW w:type="dxa" w:w="1080"/>
          </w:tcPr>
          <w:p>
            <w:pPr>
              <w:spacing w:after="20"/>
              <w:jc w:val="right"/>
            </w:pPr>
            <w:r>
              <w:rPr>
                <w:color w:val="1C3A36"/>
                <w:sz w:val="17"/>
              </w:rPr>
              <w:t>9.38</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13.19</w:t>
            </w:r>
          </w:p>
        </w:tc>
        <w:tc>
          <w:tcPr>
            <w:tcW w:type="dxa" w:w="1080"/>
          </w:tcPr>
          <w:p>
            <w:pPr>
              <w:spacing w:after="20"/>
              <w:jc w:val="right"/>
            </w:pPr>
            <w:r>
              <w:rPr>
                <w:color w:val="1C3A36"/>
                <w:sz w:val="17"/>
              </w:rPr>
              <w:t>15.18</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10.83</w:t>
            </w:r>
          </w:p>
        </w:tc>
        <w:tc>
          <w:tcPr>
            <w:tcW w:type="dxa" w:w="1080"/>
          </w:tcPr>
          <w:p>
            <w:pPr>
              <w:spacing w:after="20"/>
              <w:jc w:val="right"/>
            </w:pPr>
            <w:r>
              <w:rPr>
                <w:color w:val="1C3A36"/>
                <w:sz w:val="17"/>
              </w:rPr>
              <w:t>11.12</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11.69</w:t>
            </w:r>
          </w:p>
        </w:tc>
        <w:tc>
          <w:tcPr>
            <w:tcW w:type="dxa" w:w="1080"/>
          </w:tcPr>
          <w:p>
            <w:pPr>
              <w:spacing w:after="20"/>
              <w:jc w:val="right"/>
            </w:pPr>
            <w:r>
              <w:rPr>
                <w:color w:val="1C3A36"/>
                <w:sz w:val="17"/>
              </w:rPr>
              <w:t>11.98</w:t>
            </w:r>
          </w:p>
        </w:tc>
      </w:tr>
      <w:tr>
        <w:tc>
          <w:tcPr>
            <w:tcW w:type="dxa" w:w="4104"/>
          </w:tcPr>
          <w:p>
            <w:pPr>
              <w:spacing w:after="20"/>
            </w:pPr>
            <w:r>
              <w:rPr>
                <w:color w:val="1C3A36"/>
                <w:sz w:val="17"/>
              </w:rPr>
              <w:t>Beta</w:t>
            </w:r>
          </w:p>
        </w:tc>
        <w:tc>
          <w:tcPr>
            <w:tcW w:type="dxa" w:w="1080"/>
          </w:tcPr>
          <w:p>
            <w:pPr>
              <w:spacing w:after="20"/>
              <w:jc w:val="right"/>
            </w:pPr>
            <w:r>
              <w:rPr>
                <w:color w:val="1C3A36"/>
                <w:sz w:val="17"/>
              </w:rPr>
              <w:t>13.44</w:t>
            </w:r>
          </w:p>
        </w:tc>
        <w:tc>
          <w:tcPr>
            <w:tcW w:type="dxa" w:w="1080"/>
          </w:tcPr>
          <w:p>
            <w:pPr>
              <w:spacing w:after="20"/>
              <w:jc w:val="right"/>
            </w:pPr>
            <w:r>
              <w:rPr>
                <w:color w:val="1C3A36"/>
                <w:sz w:val="17"/>
              </w:rPr>
              <w:t>12.03</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10.23</w:t>
            </w:r>
          </w:p>
        </w:tc>
        <w:tc>
          <w:tcPr>
            <w:tcW w:type="dxa" w:w="1080"/>
          </w:tcPr>
          <w:p>
            <w:pPr>
              <w:spacing w:after="20"/>
              <w:jc w:val="right"/>
            </w:pPr>
            <w:r>
              <w:rPr>
                <w:color w:val="1C3A36"/>
                <w:sz w:val="17"/>
              </w:rPr>
              <w:t>9.64</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13.17</w:t>
            </w:r>
          </w:p>
        </w:tc>
        <w:tc>
          <w:tcPr>
            <w:tcW w:type="dxa" w:w="1080"/>
          </w:tcPr>
          <w:p>
            <w:pPr>
              <w:spacing w:after="20"/>
              <w:jc w:val="right"/>
            </w:pPr>
            <w:r>
              <w:rPr>
                <w:color w:val="1C3A36"/>
                <w:sz w:val="17"/>
              </w:rPr>
              <w:t>12.29</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10.52</w:t>
            </w:r>
          </w:p>
        </w:tc>
        <w:tc>
          <w:tcPr>
            <w:tcW w:type="dxa" w:w="1080"/>
          </w:tcPr>
          <w:p>
            <w:pPr>
              <w:spacing w:after="20"/>
              <w:jc w:val="right"/>
            </w:pPr>
            <w:r>
              <w:rPr>
                <w:color w:val="1C3A36"/>
                <w:sz w:val="17"/>
              </w:rPr>
              <w:t>9.63</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10.86</w:t>
            </w:r>
          </w:p>
        </w:tc>
        <w:tc>
          <w:tcPr>
            <w:tcW w:type="dxa" w:w="1080"/>
          </w:tcPr>
          <w:p>
            <w:pPr>
              <w:spacing w:after="20"/>
              <w:jc w:val="right"/>
            </w:pPr>
            <w:r>
              <w:rPr>
                <w:color w:val="1C3A36"/>
                <w:sz w:val="17"/>
              </w:rPr>
              <w:t>11.11</w:t>
            </w:r>
          </w:p>
        </w:tc>
        <w:tc>
          <w:tcPr>
            <w:tcW w:type="dxa" w:w="1080"/>
          </w:tcPr>
          <w:p>
            <w:pPr>
              <w:spacing w:after="20"/>
              <w:jc w:val="right"/>
            </w:pPr>
            <w:r>
              <w:rPr>
                <w:color w:val="1C3A36"/>
                <w:sz w:val="17"/>
              </w:rPr>
              <w:t>11.40</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1.13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12.54</w:t>
            </w:r>
          </w:p>
        </w:tc>
        <w:tc>
          <w:tcPr>
            <w:tcW w:type="dxa" w:w="1224"/>
          </w:tcPr>
          <w:p>
            <w:pPr>
              <w:spacing w:after="20"/>
              <w:jc w:val="right"/>
            </w:pPr>
            <w:r>
              <w:rPr>
                <w:color w:val="1C3A36"/>
                <w:sz w:val="17"/>
              </w:rPr>
              <w:t>13.03</w:t>
            </w:r>
          </w:p>
        </w:tc>
      </w:tr>
      <w:tr>
        <w:tc>
          <w:tcPr>
            <w:tcW w:type="dxa" w:w="3384"/>
          </w:tcPr>
          <w:p>
            <w:pPr>
              <w:spacing w:after="20"/>
            </w:pPr>
            <w:r>
              <w:rPr>
                <w:color w:val="1C3A36"/>
                <w:sz w:val="17"/>
              </w:rPr>
              <w:t>17.14%</w:t>
            </w:r>
          </w:p>
        </w:tc>
        <w:tc>
          <w:tcPr>
            <w:tcW w:type="dxa" w:w="1224"/>
          </w:tcPr>
          <w:p>
            <w:pPr>
              <w:spacing w:after="20"/>
              <w:jc w:val="right"/>
            </w:pPr>
            <w:r>
              <w:rPr>
                <w:color w:val="1C3A36"/>
                <w:sz w:val="17"/>
              </w:rPr>
              <w:t>10.95</w:t>
            </w:r>
          </w:p>
        </w:tc>
        <w:tc>
          <w:tcPr>
            <w:tcW w:type="dxa" w:w="1224"/>
          </w:tcPr>
          <w:p>
            <w:pPr>
              <w:spacing w:after="20"/>
              <w:jc w:val="right"/>
            </w:pPr>
            <w:r>
              <w:rPr>
                <w:color w:val="1C3A36"/>
                <w:sz w:val="17"/>
              </w:rPr>
              <w:t>11.18</w:t>
            </w:r>
          </w:p>
        </w:tc>
        <w:tc>
          <w:tcPr>
            <w:tcW w:type="dxa" w:w="1224"/>
          </w:tcPr>
          <w:p>
            <w:pPr>
              <w:spacing w:after="20"/>
              <w:jc w:val="right"/>
            </w:pPr>
            <w:r>
              <w:rPr>
                <w:color w:val="1C3A36"/>
                <w:sz w:val="17"/>
              </w:rPr>
              <w:t>11.45</w:t>
            </w:r>
          </w:p>
        </w:tc>
        <w:tc>
          <w:tcPr>
            <w:tcW w:type="dxa" w:w="1224"/>
          </w:tcPr>
          <w:p>
            <w:pPr>
              <w:spacing w:after="20"/>
              <w:jc w:val="right"/>
            </w:pPr>
            <w:r>
              <w:rPr>
                <w:color w:val="1C3A36"/>
                <w:sz w:val="17"/>
              </w:rPr>
              <w:t>11.76</w:t>
            </w:r>
          </w:p>
        </w:tc>
        <w:tc>
          <w:tcPr>
            <w:tcW w:type="dxa" w:w="1224"/>
          </w:tcPr>
          <w:p>
            <w:pPr>
              <w:spacing w:after="20"/>
              <w:jc w:val="right"/>
            </w:pPr>
            <w:r>
              <w:rPr>
                <w:color w:val="1C3A36"/>
                <w:sz w:val="17"/>
              </w:rPr>
              <w:t>12.14</w:t>
            </w:r>
          </w:p>
        </w:tc>
      </w:tr>
      <w:tr>
        <w:tc>
          <w:tcPr>
            <w:tcW w:type="dxa" w:w="3384"/>
          </w:tcPr>
          <w:p>
            <w:pPr>
              <w:spacing w:after="20"/>
            </w:pPr>
            <w:r>
              <w:rPr>
                <w:color w:val="1C3A36"/>
                <w:sz w:val="17"/>
              </w:rPr>
              <w:t>18.14%</w:t>
            </w:r>
          </w:p>
        </w:tc>
        <w:tc>
          <w:tcPr>
            <w:tcW w:type="dxa" w:w="1224"/>
          </w:tcPr>
          <w:p>
            <w:pPr>
              <w:spacing w:after="20"/>
              <w:jc w:val="right"/>
            </w:pPr>
            <w:r>
              <w:rPr>
                <w:color w:val="1C3A36"/>
                <w:sz w:val="17"/>
              </w:rPr>
              <w:t>10.46</w:t>
            </w:r>
          </w:p>
        </w:tc>
        <w:tc>
          <w:tcPr>
            <w:tcW w:type="dxa" w:w="1224"/>
          </w:tcPr>
          <w:p>
            <w:pPr>
              <w:spacing w:after="20"/>
              <w:jc w:val="right"/>
            </w:pPr>
            <w:r>
              <w:rPr>
                <w:color w:val="1C3A36"/>
                <w:sz w:val="17"/>
              </w:rPr>
              <w:t>10.65</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11.11</w:t>
            </w:r>
          </w:p>
        </w:tc>
        <w:tc>
          <w:tcPr>
            <w:tcW w:type="dxa" w:w="1224"/>
          </w:tcPr>
          <w:p>
            <w:pPr>
              <w:spacing w:after="20"/>
              <w:jc w:val="right"/>
            </w:pPr>
            <w:r>
              <w:rPr>
                <w:color w:val="1C3A36"/>
                <w:sz w:val="17"/>
              </w:rPr>
              <w:t>11.40</w:t>
            </w:r>
          </w:p>
        </w:tc>
      </w:tr>
      <w:tr>
        <w:tc>
          <w:tcPr>
            <w:tcW w:type="dxa" w:w="3384"/>
          </w:tcPr>
          <w:p>
            <w:pPr>
              <w:spacing w:after="20"/>
            </w:pPr>
            <w:r>
              <w:rPr>
                <w:color w:val="1C3A36"/>
                <w:sz w:val="17"/>
              </w:rPr>
              <w:t>19.14%</w:t>
            </w:r>
          </w:p>
        </w:tc>
        <w:tc>
          <w:tcPr>
            <w:tcW w:type="dxa" w:w="1224"/>
          </w:tcPr>
          <w:p>
            <w:pPr>
              <w:spacing w:after="20"/>
              <w:jc w:val="right"/>
            </w:pPr>
            <w:r>
              <w:rPr>
                <w:color w:val="1C3A36"/>
                <w:sz w:val="17"/>
              </w:rPr>
              <w:t>10.03</w:t>
            </w:r>
          </w:p>
        </w:tc>
        <w:tc>
          <w:tcPr>
            <w:tcW w:type="dxa" w:w="1224"/>
          </w:tcPr>
          <w:p>
            <w:pPr>
              <w:spacing w:after="20"/>
              <w:jc w:val="right"/>
            </w:pPr>
            <w:r>
              <w:rPr>
                <w:color w:val="1C3A36"/>
                <w:sz w:val="17"/>
              </w:rPr>
              <w:t>10.19</w:t>
            </w:r>
          </w:p>
        </w:tc>
        <w:tc>
          <w:tcPr>
            <w:tcW w:type="dxa" w:w="1224"/>
          </w:tcPr>
          <w:p>
            <w:pPr>
              <w:spacing w:after="20"/>
              <w:jc w:val="right"/>
            </w:pPr>
            <w:r>
              <w:rPr>
                <w:color w:val="1C3A36"/>
                <w:sz w:val="17"/>
              </w:rPr>
              <w:t>10.36</w:t>
            </w:r>
          </w:p>
        </w:tc>
        <w:tc>
          <w:tcPr>
            <w:tcW w:type="dxa" w:w="1224"/>
          </w:tcPr>
          <w:p>
            <w:pPr>
              <w:spacing w:after="20"/>
              <w:jc w:val="right"/>
            </w:pPr>
            <w:r>
              <w:rPr>
                <w:color w:val="1C3A36"/>
                <w:sz w:val="17"/>
              </w:rPr>
              <w:t>10.55</w:t>
            </w:r>
          </w:p>
        </w:tc>
        <w:tc>
          <w:tcPr>
            <w:tcW w:type="dxa" w:w="1224"/>
          </w:tcPr>
          <w:p>
            <w:pPr>
              <w:spacing w:after="20"/>
              <w:jc w:val="right"/>
            </w:pPr>
            <w:r>
              <w:rPr>
                <w:color w:val="1C3A36"/>
                <w:sz w:val="17"/>
              </w:rPr>
              <w:t>10.78</w:t>
            </w:r>
          </w:p>
        </w:tc>
      </w:tr>
      <w:tr>
        <w:tc>
          <w:tcPr>
            <w:tcW w:type="dxa" w:w="3384"/>
          </w:tcPr>
          <w:p>
            <w:pPr>
              <w:spacing w:after="20"/>
            </w:pPr>
            <w:r>
              <w:rPr>
                <w:color w:val="1C3A36"/>
                <w:sz w:val="17"/>
              </w:rPr>
              <w:t>20.14%</w:t>
            </w:r>
          </w:p>
        </w:tc>
        <w:tc>
          <w:tcPr>
            <w:tcW w:type="dxa" w:w="1224"/>
          </w:tcPr>
          <w:p>
            <w:pPr>
              <w:spacing w:after="20"/>
              <w:jc w:val="right"/>
            </w:pPr>
            <w:r>
              <w:rPr>
                <w:color w:val="1C3A36"/>
                <w:sz w:val="17"/>
              </w:rPr>
              <w:t>9.66</w:t>
            </w:r>
          </w:p>
        </w:tc>
        <w:tc>
          <w:tcPr>
            <w:tcW w:type="dxa" w:w="1224"/>
          </w:tcPr>
          <w:p>
            <w:pPr>
              <w:spacing w:after="20"/>
              <w:jc w:val="right"/>
            </w:pPr>
            <w:r>
              <w:rPr>
                <w:color w:val="1C3A36"/>
                <w:sz w:val="17"/>
              </w:rPr>
              <w:t>9.78</w:t>
            </w:r>
          </w:p>
        </w:tc>
        <w:tc>
          <w:tcPr>
            <w:tcW w:type="dxa" w:w="1224"/>
          </w:tcPr>
          <w:p>
            <w:pPr>
              <w:spacing w:after="20"/>
              <w:jc w:val="right"/>
            </w:pPr>
            <w:r>
              <w:rPr>
                <w:color w:val="1C3A36"/>
                <w:sz w:val="17"/>
              </w:rPr>
              <w:t>9.92</w:t>
            </w:r>
          </w:p>
        </w:tc>
        <w:tc>
          <w:tcPr>
            <w:tcW w:type="dxa" w:w="1224"/>
          </w:tcPr>
          <w:p>
            <w:pPr>
              <w:spacing w:after="20"/>
              <w:jc w:val="right"/>
            </w:pPr>
            <w:r>
              <w:rPr>
                <w:color w:val="1C3A36"/>
                <w:sz w:val="17"/>
              </w:rPr>
              <w:t>10.08</w:t>
            </w:r>
          </w:p>
        </w:tc>
        <w:tc>
          <w:tcPr>
            <w:tcW w:type="dxa" w:w="1224"/>
          </w:tcPr>
          <w:p>
            <w:pPr>
              <w:spacing w:after="20"/>
              <w:jc w:val="right"/>
            </w:pPr>
            <w:r>
              <w:rPr>
                <w:color w:val="1C3A36"/>
                <w:sz w:val="17"/>
              </w:rPr>
              <w:t>10.26</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1.67</w:t>
            </w:r>
          </w:p>
        </w:tc>
        <w:tc>
          <w:tcPr>
            <w:tcW w:type="dxa" w:w="1512"/>
          </w:tcPr>
          <w:p>
            <w:pPr>
              <w:spacing w:after="20"/>
              <w:jc w:val="right"/>
            </w:pPr>
            <w:r>
              <w:rPr>
                <w:color w:val="1C3A36"/>
                <w:sz w:val="17"/>
              </w:rPr>
              <w:t>11.40</w:t>
            </w:r>
          </w:p>
        </w:tc>
        <w:tc>
          <w:tcPr>
            <w:tcW w:type="dxa" w:w="1512"/>
          </w:tcPr>
          <w:p>
            <w:pPr>
              <w:spacing w:after="20"/>
              <w:jc w:val="right"/>
            </w:pPr>
            <w:r>
              <w:rPr>
                <w:color w:val="1C3A36"/>
                <w:sz w:val="17"/>
              </w:rPr>
              <w:t>23.90</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1.841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9.06.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12.17</w:t>
            </w:r>
          </w:p>
        </w:tc>
        <w:tc>
          <w:tcPr>
            <w:tcW w:type="dxa" w:w="1224"/>
          </w:tcPr>
          <w:p>
            <w:pPr>
              <w:spacing w:after="20"/>
              <w:jc w:val="right"/>
            </w:pPr>
            <w:r>
              <w:rPr>
                <w:color w:val="1C3A36"/>
                <w:sz w:val="17"/>
              </w:rPr>
              <w:t>-9.8%</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11.60</w:t>
            </w:r>
          </w:p>
        </w:tc>
        <w:tc>
          <w:tcPr>
            <w:tcW w:type="dxa" w:w="1224"/>
          </w:tcPr>
          <w:p>
            <w:pPr>
              <w:spacing w:after="20"/>
              <w:jc w:val="right"/>
            </w:pPr>
            <w:r>
              <w:rPr>
                <w:color w:val="1C3A36"/>
                <w:sz w:val="17"/>
              </w:rPr>
              <w:t>-14.1%</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11.69</w:t>
            </w:r>
          </w:p>
        </w:tc>
        <w:tc>
          <w:tcPr>
            <w:tcW w:type="dxa" w:w="1224"/>
          </w:tcPr>
          <w:p>
            <w:pPr>
              <w:spacing w:after="20"/>
              <w:jc w:val="right"/>
            </w:pPr>
            <w:r>
              <w:rPr>
                <w:color w:val="1C3A36"/>
                <w:sz w:val="17"/>
              </w:rPr>
              <w:t>-13.4%</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-19.6%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12.74</w:t>
            </w:r>
          </w:p>
        </w:tc>
        <w:tc>
          <w:tcPr>
            <w:tcW w:type="dxa" w:w="1224"/>
            <w:shd w:val="clear" w:color="auto" w:fill="F6F1E6"/>
          </w:tcPr>
          <w:p>
            <w:pPr>
              <w:spacing w:after="20"/>
              <w:jc w:val="right"/>
            </w:pPr>
            <w:r>
              <w:rPr>
                <w:b/>
                <w:color w:val="1C3A36"/>
                <w:sz w:val="17"/>
              </w:rPr>
              <w:t>-5.7%</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5.7%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9.22;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11.82.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10.58% sustained in EVERY forecast year and in perpetuity, against a base year of 9.65% — that is a REDUCTION of -0.93%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10.58%.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1.22x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11.40</w:t>
            </w:r>
          </w:p>
        </w:tc>
        <w:tc>
          <w:tcPr>
            <w:tcW w:type="dxa" w:w="2376"/>
          </w:tcPr>
          <w:p>
            <w:pPr>
              <w:spacing w:after="20"/>
              <w:jc w:val="right"/>
            </w:pPr>
            <w:r>
              <w:rPr>
                <w:color w:val="1C3A36"/>
                <w:sz w:val="17"/>
              </w:rPr>
              <w:t>4.8%</w:t>
            </w:r>
          </w:p>
        </w:tc>
        <w:tc>
          <w:tcPr>
            <w:tcW w:type="dxa" w:w="2376"/>
          </w:tcPr>
          <w:p>
            <w:pPr>
              <w:spacing w:after="20"/>
              <w:jc w:val="right"/>
            </w:pPr>
            <w:r>
              <w:rPr>
                <w:color w:val="1C3A36"/>
                <w:sz w:val="17"/>
              </w:rPr>
              <w:t>27.5%</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11.40  (range 1.67–23.90)</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1.13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11.40 (fair value)</w:t>
            </w:r>
          </w:p>
        </w:tc>
        <w:tc>
          <w:tcPr>
            <w:tcW w:type="dxa" w:w="2736"/>
          </w:tcPr>
          <w:p>
            <w:pPr>
              <w:spacing w:after="20"/>
              <w:jc w:val="right"/>
            </w:pPr>
            <w:r>
              <w:rPr>
                <w:color w:val="1C3A36"/>
                <w:sz w:val="18"/>
              </w:rPr>
              <w:t>3.8%</w:t>
            </w:r>
          </w:p>
        </w:tc>
      </w:tr>
      <w:tr>
        <w:tc>
          <w:tcPr>
            <w:tcW w:type="dxa" w:w="6048"/>
          </w:tcPr>
          <w:p>
            <w:pPr>
              <w:spacing w:after="20"/>
            </w:pPr>
            <w:r>
              <w:rPr>
                <w:color w:val="1C3A36"/>
                <w:sz w:val="18"/>
              </w:rPr>
              <w:t>EGP 11.40 (fair value) to EGP 13.50 (the traded price)</w:t>
            </w:r>
          </w:p>
        </w:tc>
        <w:tc>
          <w:tcPr>
            <w:tcW w:type="dxa" w:w="2736"/>
          </w:tcPr>
          <w:p>
            <w:pPr>
              <w:spacing w:after="20"/>
              <w:jc w:val="right"/>
            </w:pPr>
            <w:r>
              <w:rPr>
                <w:color w:val="1C3A36"/>
                <w:sz w:val="18"/>
              </w:rPr>
              <w:t>12.2%</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56.0%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47,997</w:t>
            </w:r>
          </w:p>
        </w:tc>
        <w:tc>
          <w:tcPr>
            <w:tcW w:type="dxa" w:w="1224"/>
          </w:tcPr>
          <w:p>
            <w:pPr>
              <w:spacing w:after="20"/>
              <w:jc w:val="right"/>
            </w:pPr>
            <w:r>
              <w:rPr>
                <w:color w:val="1C3A36"/>
                <w:sz w:val="15"/>
              </w:rPr>
              <w:t>52,434</w:t>
            </w:r>
          </w:p>
        </w:tc>
        <w:tc>
          <w:tcPr>
            <w:tcW w:type="dxa" w:w="1224"/>
          </w:tcPr>
          <w:p>
            <w:pPr>
              <w:spacing w:after="20"/>
              <w:jc w:val="right"/>
            </w:pPr>
            <w:r>
              <w:rPr>
                <w:color w:val="1C3A36"/>
                <w:sz w:val="15"/>
              </w:rPr>
              <w:t>55,752</w:t>
            </w:r>
          </w:p>
        </w:tc>
        <w:tc>
          <w:tcPr>
            <w:tcW w:type="dxa" w:w="1224"/>
          </w:tcPr>
          <w:p>
            <w:pPr>
              <w:spacing w:after="20"/>
              <w:jc w:val="right"/>
            </w:pPr>
            <w:r>
              <w:rPr>
                <w:color w:val="1C3A36"/>
                <w:sz w:val="15"/>
              </w:rPr>
              <w:t>58,465</w:t>
            </w:r>
          </w:p>
        </w:tc>
        <w:tc>
          <w:tcPr>
            <w:tcW w:type="dxa" w:w="1224"/>
          </w:tcPr>
          <w:p>
            <w:pPr>
              <w:spacing w:after="20"/>
              <w:jc w:val="right"/>
            </w:pPr>
            <w:r>
              <w:rPr>
                <w:color w:val="1C3A36"/>
                <w:sz w:val="15"/>
              </w:rPr>
              <w:t>61,026</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5,146</w:t>
            </w:r>
          </w:p>
        </w:tc>
        <w:tc>
          <w:tcPr>
            <w:tcW w:type="dxa" w:w="1224"/>
          </w:tcPr>
          <w:p>
            <w:pPr>
              <w:spacing w:after="20"/>
              <w:jc w:val="right"/>
            </w:pPr>
            <w:r>
              <w:rPr>
                <w:color w:val="1C3A36"/>
                <w:sz w:val="15"/>
              </w:rPr>
              <w:t>5,635</w:t>
            </w:r>
          </w:p>
        </w:tc>
        <w:tc>
          <w:tcPr>
            <w:tcW w:type="dxa" w:w="1224"/>
          </w:tcPr>
          <w:p>
            <w:pPr>
              <w:spacing w:after="20"/>
              <w:jc w:val="right"/>
            </w:pPr>
            <w:r>
              <w:rPr>
                <w:color w:val="1C3A36"/>
                <w:sz w:val="15"/>
              </w:rPr>
              <w:t>6,000</w:t>
            </w:r>
          </w:p>
        </w:tc>
        <w:tc>
          <w:tcPr>
            <w:tcW w:type="dxa" w:w="1224"/>
          </w:tcPr>
          <w:p>
            <w:pPr>
              <w:spacing w:after="20"/>
              <w:jc w:val="right"/>
            </w:pPr>
            <w:r>
              <w:rPr>
                <w:color w:val="1C3A36"/>
                <w:sz w:val="15"/>
              </w:rPr>
              <w:t>6,299</w:t>
            </w:r>
          </w:p>
        </w:tc>
        <w:tc>
          <w:tcPr>
            <w:tcW w:type="dxa" w:w="1224"/>
          </w:tcPr>
          <w:p>
            <w:pPr>
              <w:spacing w:after="20"/>
              <w:jc w:val="right"/>
            </w:pPr>
            <w:r>
              <w:rPr>
                <w:color w:val="1C3A36"/>
                <w:sz w:val="15"/>
              </w:rPr>
              <w:t>6,581</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9.68%</w:t>
            </w:r>
          </w:p>
        </w:tc>
        <w:tc>
          <w:tcPr>
            <w:tcW w:type="dxa" w:w="1224"/>
          </w:tcPr>
          <w:p>
            <w:pPr>
              <w:spacing w:after="20"/>
              <w:jc w:val="right"/>
            </w:pPr>
            <w:r>
              <w:rPr>
                <w:color w:val="1C3A36"/>
                <w:sz w:val="15"/>
              </w:rPr>
              <w:t>9.70%</w:t>
            </w:r>
          </w:p>
        </w:tc>
        <w:tc>
          <w:tcPr>
            <w:tcW w:type="dxa" w:w="1224"/>
          </w:tcPr>
          <w:p>
            <w:pPr>
              <w:spacing w:after="20"/>
              <w:jc w:val="right"/>
            </w:pPr>
            <w:r>
              <w:rPr>
                <w:color w:val="1C3A36"/>
                <w:sz w:val="15"/>
              </w:rPr>
              <w:t>9.72%</w:t>
            </w:r>
          </w:p>
        </w:tc>
        <w:tc>
          <w:tcPr>
            <w:tcW w:type="dxa" w:w="1224"/>
          </w:tcPr>
          <w:p>
            <w:pPr>
              <w:spacing w:after="20"/>
              <w:jc w:val="right"/>
            </w:pPr>
            <w:r>
              <w:rPr>
                <w:color w:val="1C3A36"/>
                <w:sz w:val="15"/>
              </w:rPr>
              <w:t>9.73%</w:t>
            </w:r>
          </w:p>
        </w:tc>
        <w:tc>
          <w:tcPr>
            <w:tcW w:type="dxa" w:w="1224"/>
          </w:tcPr>
          <w:p>
            <w:pPr>
              <w:spacing w:after="20"/>
              <w:jc w:val="right"/>
            </w:pPr>
            <w:r>
              <w:rPr>
                <w:color w:val="1C3A36"/>
                <w:sz w:val="15"/>
              </w:rPr>
              <w:t>9.73%</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2,949</w:t>
            </w:r>
          </w:p>
        </w:tc>
        <w:tc>
          <w:tcPr>
            <w:tcW w:type="dxa" w:w="1224"/>
          </w:tcPr>
          <w:p>
            <w:pPr>
              <w:spacing w:after="20"/>
              <w:jc w:val="right"/>
            </w:pPr>
            <w:r>
              <w:rPr>
                <w:color w:val="1C3A36"/>
                <w:sz w:val="15"/>
              </w:rPr>
              <w:t>3,185</w:t>
            </w:r>
          </w:p>
        </w:tc>
        <w:tc>
          <w:tcPr>
            <w:tcW w:type="dxa" w:w="1224"/>
          </w:tcPr>
          <w:p>
            <w:pPr>
              <w:spacing w:after="20"/>
              <w:jc w:val="right"/>
            </w:pPr>
            <w:r>
              <w:rPr>
                <w:color w:val="1C3A36"/>
                <w:sz w:val="15"/>
              </w:rPr>
              <w:t>3,335</w:t>
            </w:r>
          </w:p>
        </w:tc>
        <w:tc>
          <w:tcPr>
            <w:tcW w:type="dxa" w:w="1224"/>
          </w:tcPr>
          <w:p>
            <w:pPr>
              <w:spacing w:after="20"/>
              <w:jc w:val="right"/>
            </w:pPr>
            <w:r>
              <w:rPr>
                <w:color w:val="1C3A36"/>
                <w:sz w:val="15"/>
              </w:rPr>
              <w:t>3,437</w:t>
            </w:r>
          </w:p>
        </w:tc>
        <w:tc>
          <w:tcPr>
            <w:tcW w:type="dxa" w:w="1224"/>
          </w:tcPr>
          <w:p>
            <w:pPr>
              <w:spacing w:after="20"/>
              <w:jc w:val="right"/>
            </w:pPr>
            <w:r>
              <w:rPr>
                <w:color w:val="1C3A36"/>
                <w:sz w:val="15"/>
              </w:rPr>
              <w:t>3,520</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367</w:t>
            </w:r>
          </w:p>
        </w:tc>
        <w:tc>
          <w:tcPr>
            <w:tcW w:type="dxa" w:w="1224"/>
          </w:tcPr>
          <w:p>
            <w:pPr>
              <w:spacing w:after="20"/>
              <w:jc w:val="right"/>
            </w:pPr>
            <w:r>
              <w:rPr>
                <w:color w:val="1C3A36"/>
                <w:sz w:val="15"/>
              </w:rPr>
              <w:t>266</w:t>
            </w:r>
          </w:p>
        </w:tc>
        <w:tc>
          <w:tcPr>
            <w:tcW w:type="dxa" w:w="1224"/>
          </w:tcPr>
          <w:p>
            <w:pPr>
              <w:spacing w:after="20"/>
              <w:jc w:val="right"/>
            </w:pPr>
            <w:r>
              <w:rPr>
                <w:color w:val="1C3A36"/>
                <w:sz w:val="15"/>
              </w:rPr>
              <w:t>196</w:t>
            </w:r>
          </w:p>
        </w:tc>
        <w:tc>
          <w:tcPr>
            <w:tcW w:type="dxa" w:w="1224"/>
          </w:tcPr>
          <w:p>
            <w:pPr>
              <w:spacing w:after="20"/>
              <w:jc w:val="right"/>
            </w:pPr>
            <w:r>
              <w:rPr>
                <w:color w:val="1C3A36"/>
                <w:sz w:val="15"/>
              </w:rPr>
              <w:t>142</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2,568</w:t>
            </w:r>
          </w:p>
        </w:tc>
        <w:tc>
          <w:tcPr>
            <w:tcW w:type="dxa" w:w="1224"/>
          </w:tcPr>
          <w:p>
            <w:pPr>
              <w:spacing w:after="20"/>
              <w:jc w:val="right"/>
            </w:pPr>
            <w:r>
              <w:rPr>
                <w:color w:val="1C3A36"/>
                <w:sz w:val="15"/>
              </w:rPr>
              <w:t>2,638</w:t>
            </w:r>
          </w:p>
        </w:tc>
        <w:tc>
          <w:tcPr>
            <w:tcW w:type="dxa" w:w="1224"/>
          </w:tcPr>
          <w:p>
            <w:pPr>
              <w:spacing w:after="20"/>
              <w:jc w:val="right"/>
            </w:pPr>
            <w:r>
              <w:rPr>
                <w:color w:val="1C3A36"/>
                <w:sz w:val="15"/>
              </w:rPr>
              <w:t>2,674</w:t>
            </w:r>
          </w:p>
        </w:tc>
        <w:tc>
          <w:tcPr>
            <w:tcW w:type="dxa" w:w="1224"/>
          </w:tcPr>
          <w:p>
            <w:pPr>
              <w:spacing w:after="20"/>
              <w:jc w:val="right"/>
            </w:pPr>
            <w:r>
              <w:rPr>
                <w:color w:val="1C3A36"/>
                <w:sz w:val="15"/>
              </w:rPr>
              <w:t>2,698</w:t>
            </w:r>
          </w:p>
        </w:tc>
        <w:tc>
          <w:tcPr>
            <w:tcW w:type="dxa" w:w="1224"/>
          </w:tcPr>
          <w:p>
            <w:pPr>
              <w:spacing w:after="20"/>
              <w:jc w:val="right"/>
            </w:pPr>
            <w:r>
              <w:rPr>
                <w:color w:val="1C3A36"/>
                <w:sz w:val="15"/>
              </w:rPr>
              <w:t>2,720</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9.68%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17.62 a share against the published EGP 11.40.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2,470</w:t>
            </w:r>
          </w:p>
        </w:tc>
        <w:tc>
          <w:tcPr>
            <w:tcW w:type="dxa" w:w="1037"/>
          </w:tcPr>
          <w:p>
            <w:pPr>
              <w:spacing w:after="20"/>
              <w:jc w:val="right"/>
            </w:pPr>
            <w:r>
              <w:rPr>
                <w:color w:val="1C3A36"/>
                <w:sz w:val="16"/>
              </w:rPr>
              <w:t>1,991</w:t>
            </w:r>
          </w:p>
        </w:tc>
        <w:tc>
          <w:tcPr>
            <w:tcW w:type="dxa" w:w="1037"/>
          </w:tcPr>
          <w:p>
            <w:pPr>
              <w:spacing w:after="20"/>
              <w:jc w:val="right"/>
            </w:pPr>
            <w:r>
              <w:rPr>
                <w:color w:val="1C3A36"/>
                <w:sz w:val="16"/>
              </w:rPr>
              <w:t>1,588</w:t>
            </w:r>
          </w:p>
        </w:tc>
        <w:tc>
          <w:tcPr>
            <w:tcW w:type="dxa" w:w="1037"/>
          </w:tcPr>
          <w:p>
            <w:pPr>
              <w:spacing w:after="20"/>
              <w:jc w:val="right"/>
            </w:pPr>
            <w:r>
              <w:rPr>
                <w:color w:val="1C3A36"/>
                <w:sz w:val="16"/>
              </w:rPr>
              <w:t>1,226</w:t>
            </w:r>
          </w:p>
        </w:tc>
        <w:tc>
          <w:tcPr>
            <w:tcW w:type="dxa" w:w="1037"/>
          </w:tcPr>
          <w:p>
            <w:pPr>
              <w:spacing w:after="20"/>
              <w:jc w:val="right"/>
            </w:pPr>
            <w:r>
              <w:rPr>
                <w:color w:val="1C3A36"/>
                <w:sz w:val="16"/>
              </w:rPr>
              <w:t>870</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-2,453</w:t>
            </w:r>
          </w:p>
        </w:tc>
        <w:tc>
          <w:tcPr>
            <w:tcW w:type="dxa" w:w="1037"/>
          </w:tcPr>
          <w:p>
            <w:pPr>
              <w:spacing w:after="20"/>
              <w:jc w:val="right"/>
            </w:pPr>
            <w:r>
              <w:rPr>
                <w:color w:val="1C3A36"/>
                <w:sz w:val="16"/>
              </w:rPr>
              <w:t>-1,974</w:t>
            </w:r>
          </w:p>
        </w:tc>
        <w:tc>
          <w:tcPr>
            <w:tcW w:type="dxa" w:w="1037"/>
          </w:tcPr>
          <w:p>
            <w:pPr>
              <w:spacing w:after="20"/>
              <w:jc w:val="right"/>
            </w:pPr>
            <w:r>
              <w:rPr>
                <w:color w:val="1C3A36"/>
                <w:sz w:val="16"/>
              </w:rPr>
              <w:t>-1,572</w:t>
            </w:r>
          </w:p>
        </w:tc>
        <w:tc>
          <w:tcPr>
            <w:tcW w:type="dxa" w:w="1037"/>
          </w:tcPr>
          <w:p>
            <w:pPr>
              <w:spacing w:after="20"/>
              <w:jc w:val="right"/>
            </w:pPr>
            <w:r>
              <w:rPr>
                <w:color w:val="1C3A36"/>
                <w:sz w:val="16"/>
              </w:rPr>
              <w:t>-1,209</w:t>
            </w:r>
          </w:p>
        </w:tc>
        <w:tc>
          <w:tcPr>
            <w:tcW w:type="dxa" w:w="1037"/>
          </w:tcPr>
          <w:p>
            <w:pPr>
              <w:spacing w:after="20"/>
              <w:jc w:val="right"/>
            </w:pPr>
            <w:r>
              <w:rPr>
                <w:color w:val="1C3A36"/>
                <w:sz w:val="16"/>
              </w:rPr>
              <w:t>-853</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5,975</w:t>
            </w:r>
          </w:p>
        </w:tc>
        <w:tc>
          <w:tcPr>
            <w:tcW w:type="dxa" w:w="1037"/>
          </w:tcPr>
          <w:p>
            <w:pPr>
              <w:spacing w:after="20"/>
              <w:jc w:val="right"/>
            </w:pPr>
            <w:r>
              <w:rPr>
                <w:color w:val="1C3A36"/>
                <w:sz w:val="16"/>
              </w:rPr>
              <w:t>5,877</w:t>
            </w:r>
          </w:p>
        </w:tc>
        <w:tc>
          <w:tcPr>
            <w:tcW w:type="dxa" w:w="1037"/>
          </w:tcPr>
          <w:p>
            <w:pPr>
              <w:spacing w:after="20"/>
              <w:jc w:val="right"/>
            </w:pPr>
            <w:r>
              <w:rPr>
                <w:color w:val="1C3A36"/>
                <w:sz w:val="16"/>
              </w:rPr>
              <w:t>5,778</w:t>
            </w:r>
          </w:p>
        </w:tc>
        <w:tc>
          <w:tcPr>
            <w:tcW w:type="dxa" w:w="1037"/>
          </w:tcPr>
          <w:p>
            <w:pPr>
              <w:spacing w:after="20"/>
              <w:jc w:val="right"/>
            </w:pPr>
            <w:r>
              <w:rPr>
                <w:color w:val="1C3A36"/>
                <w:sz w:val="16"/>
              </w:rPr>
              <w:t>5,677</w:t>
            </w:r>
          </w:p>
        </w:tc>
        <w:tc>
          <w:tcPr>
            <w:tcW w:type="dxa" w:w="1037"/>
          </w:tcPr>
          <w:p>
            <w:pPr>
              <w:spacing w:after="20"/>
              <w:jc w:val="right"/>
            </w:pPr>
            <w:r>
              <w:rPr>
                <w:color w:val="1C3A36"/>
                <w:sz w:val="16"/>
              </w:rPr>
              <w:t>5,576</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2,166</w:t>
            </w:r>
          </w:p>
        </w:tc>
        <w:tc>
          <w:tcPr>
            <w:tcW w:type="dxa" w:w="1195"/>
          </w:tcPr>
          <w:p>
            <w:pPr>
              <w:spacing w:after="20"/>
              <w:jc w:val="right"/>
            </w:pPr>
            <w:r>
              <w:rPr>
                <w:color w:val="1C3A36"/>
                <w:sz w:val="16"/>
              </w:rPr>
              <w:t>2,339</w:t>
            </w:r>
          </w:p>
        </w:tc>
        <w:tc>
          <w:tcPr>
            <w:tcW w:type="dxa" w:w="1195"/>
          </w:tcPr>
          <w:p>
            <w:pPr>
              <w:spacing w:after="20"/>
              <w:jc w:val="right"/>
            </w:pPr>
            <w:r>
              <w:rPr>
                <w:color w:val="1C3A36"/>
                <w:sz w:val="16"/>
              </w:rPr>
              <w:t>2,450</w:t>
            </w:r>
          </w:p>
        </w:tc>
        <w:tc>
          <w:tcPr>
            <w:tcW w:type="dxa" w:w="1195"/>
          </w:tcPr>
          <w:p>
            <w:pPr>
              <w:spacing w:after="20"/>
              <w:jc w:val="right"/>
            </w:pPr>
            <w:r>
              <w:rPr>
                <w:color w:val="1C3A36"/>
                <w:sz w:val="16"/>
              </w:rPr>
              <w:t>2,524</w:t>
            </w:r>
          </w:p>
        </w:tc>
        <w:tc>
          <w:tcPr>
            <w:tcW w:type="dxa" w:w="1195"/>
          </w:tcPr>
          <w:p>
            <w:pPr>
              <w:spacing w:after="20"/>
              <w:jc w:val="right"/>
            </w:pPr>
            <w:r>
              <w:rPr>
                <w:color w:val="1C3A36"/>
                <w:sz w:val="16"/>
              </w:rPr>
              <w:t>2,585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1,718</w:t>
            </w:r>
          </w:p>
        </w:tc>
        <w:tc>
          <w:tcPr>
            <w:tcW w:type="dxa" w:w="1195"/>
            <w:shd w:val="clear" w:color="auto" w:fill="F6F1E6"/>
          </w:tcPr>
          <w:p>
            <w:pPr>
              <w:spacing w:after="20"/>
              <w:jc w:val="right"/>
            </w:pPr>
            <w:r>
              <w:rPr>
                <w:b/>
                <w:color w:val="1C3A36"/>
                <w:sz w:val="16"/>
              </w:rPr>
              <w:t>1,971</w:t>
            </w:r>
          </w:p>
        </w:tc>
        <w:tc>
          <w:tcPr>
            <w:tcW w:type="dxa" w:w="1195"/>
            <w:shd w:val="clear" w:color="auto" w:fill="F6F1E6"/>
          </w:tcPr>
          <w:p>
            <w:pPr>
              <w:spacing w:after="20"/>
              <w:jc w:val="right"/>
            </w:pPr>
            <w:r>
              <w:rPr>
                <w:b/>
                <w:color w:val="1C3A36"/>
                <w:sz w:val="16"/>
              </w:rPr>
              <w:t>2,165</w:t>
            </w:r>
          </w:p>
        </w:tc>
        <w:tc>
          <w:tcPr>
            <w:tcW w:type="dxa" w:w="1195"/>
            <w:shd w:val="clear" w:color="auto" w:fill="F6F1E6"/>
          </w:tcPr>
          <w:p>
            <w:pPr>
              <w:spacing w:after="20"/>
              <w:jc w:val="right"/>
            </w:pPr>
            <w:r>
              <w:rPr>
                <w:b/>
                <w:color w:val="1C3A36"/>
                <w:sz w:val="16"/>
              </w:rPr>
              <w:t>2,283</w:t>
            </w:r>
          </w:p>
        </w:tc>
        <w:tc>
          <w:tcPr>
            <w:tcW w:type="dxa" w:w="1195"/>
            <w:shd w:val="clear" w:color="auto" w:fill="F6F1E6"/>
          </w:tcPr>
          <w:p>
            <w:pPr>
              <w:spacing w:after="20"/>
              <w:jc w:val="right"/>
            </w:pPr>
            <w:r>
              <w:rPr>
                <w:b/>
                <w:color w:val="1C3A36"/>
                <w:sz w:val="16"/>
              </w:rPr>
              <w:t>2,353</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42.3%</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41.9%</w:t>
            </w:r>
          </w:p>
        </w:tc>
        <w:tc>
          <w:tcPr>
            <w:tcW w:type="dxa" w:w="1195"/>
          </w:tcPr>
          <w:p>
            <w:pPr>
              <w:spacing w:after="20"/>
              <w:jc w:val="right"/>
            </w:pPr>
            <w:r>
              <w:rPr>
                <w:color w:val="1C3A36"/>
                <w:sz w:val="16"/>
              </w:rPr>
              <w:t>41.4%</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13.44 to 9.64,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9.22. On GROSS rather than net debt weights — the construction this study rejects, because it counts the cash pile twice — the lens is EGP 11.40.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3,335</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266</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2.071</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14.50</w:t>
            </w:r>
          </w:p>
        </w:tc>
      </w:tr>
    </w:tbl>
    <w:p>
      <w:pPr>
        <w:spacing w:after="40"/>
      </w:pPr>
    </w:p>
    <w:p>
      <w:pPr>
        <w:spacing w:after="200" w:before="0"/>
      </w:pPr>
      <w:r>
        <w:rPr>
          <w:b w:val="0"/>
          <w:i/>
          <w:color w:val="6E7B77"/>
          <w:sz w:val="17"/>
        </w:rPr>
        <w:t>Table C.1 — Expert 1. Range EGP 10.35 to 19.67 on a 5.0x to 9.5x multiple band. This is the HIGHEST of the three and it is still 7.4%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2,017</w:t>
            </w:r>
          </w:p>
        </w:tc>
        <w:tc>
          <w:tcPr>
            <w:tcW w:type="dxa" w:w="1296"/>
          </w:tcPr>
          <w:p>
            <w:pPr>
              <w:spacing w:after="20"/>
              <w:jc w:val="right"/>
            </w:pPr>
            <w:r>
              <w:rPr>
                <w:color w:val="1C3A36"/>
                <w:sz w:val="16"/>
              </w:rPr>
              <w:t>2,152</w:t>
            </w:r>
          </w:p>
        </w:tc>
        <w:tc>
          <w:tcPr>
            <w:tcW w:type="dxa" w:w="1296"/>
          </w:tcPr>
          <w:p>
            <w:pPr>
              <w:spacing w:after="20"/>
              <w:jc w:val="right"/>
            </w:pPr>
            <w:r>
              <w:rPr>
                <w:color w:val="1C3A36"/>
                <w:sz w:val="16"/>
              </w:rPr>
              <w:t>2,261</w:t>
            </w:r>
          </w:p>
        </w:tc>
        <w:tc>
          <w:tcPr>
            <w:tcW w:type="dxa" w:w="1296"/>
          </w:tcPr>
          <w:p>
            <w:pPr>
              <w:spacing w:after="20"/>
              <w:jc w:val="right"/>
            </w:pPr>
            <w:r>
              <w:rPr>
                <w:color w:val="1C3A36"/>
                <w:sz w:val="16"/>
              </w:rPr>
              <w:t>2,323</w:t>
            </w:r>
          </w:p>
        </w:tc>
        <w:tc>
          <w:tcPr>
            <w:tcW w:type="dxa" w:w="1296"/>
          </w:tcPr>
          <w:p>
            <w:pPr>
              <w:spacing w:after="20"/>
              <w:jc w:val="right"/>
            </w:pPr>
            <w:r>
              <w:rPr>
                <w:color w:val="1C3A36"/>
                <w:sz w:val="16"/>
              </w:rPr>
              <w:t>2,350</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1,582</w:t>
            </w:r>
          </w:p>
        </w:tc>
        <w:tc>
          <w:tcPr>
            <w:tcW w:type="dxa" w:w="1296"/>
          </w:tcPr>
          <w:p>
            <w:pPr>
              <w:spacing w:after="20"/>
              <w:jc w:val="right"/>
            </w:pPr>
            <w:r>
              <w:rPr>
                <w:color w:val="1C3A36"/>
                <w:sz w:val="16"/>
              </w:rPr>
              <w:t>1,373</w:t>
            </w:r>
          </w:p>
        </w:tc>
        <w:tc>
          <w:tcPr>
            <w:tcW w:type="dxa" w:w="1296"/>
          </w:tcPr>
          <w:p>
            <w:pPr>
              <w:spacing w:after="20"/>
              <w:jc w:val="right"/>
            </w:pPr>
            <w:r>
              <w:rPr>
                <w:color w:val="1C3A36"/>
                <w:sz w:val="16"/>
              </w:rPr>
              <w:t>1,190</w:t>
            </w:r>
          </w:p>
        </w:tc>
        <w:tc>
          <w:tcPr>
            <w:tcW w:type="dxa" w:w="1296"/>
          </w:tcPr>
          <w:p>
            <w:pPr>
              <w:spacing w:after="20"/>
              <w:jc w:val="right"/>
            </w:pPr>
            <w:r>
              <w:rPr>
                <w:color w:val="1C3A36"/>
                <w:sz w:val="16"/>
              </w:rPr>
              <w:t>1,021</w:t>
            </w:r>
          </w:p>
        </w:tc>
        <w:tc>
          <w:tcPr>
            <w:tcW w:type="dxa" w:w="1296"/>
          </w:tcPr>
          <w:p>
            <w:pPr>
              <w:spacing w:after="20"/>
              <w:jc w:val="right"/>
            </w:pPr>
            <w:r>
              <w:rPr>
                <w:color w:val="1C3A36"/>
                <w:sz w:val="16"/>
              </w:rPr>
              <w:t>869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6,035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6,028</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12,063</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9.34</w:t>
            </w:r>
          </w:p>
        </w:tc>
      </w:tr>
    </w:tbl>
    <w:p>
      <w:pPr>
        <w:spacing w:after="40"/>
      </w:pPr>
    </w:p>
    <w:p>
      <w:pPr>
        <w:spacing w:after="200" w:before="0"/>
      </w:pPr>
      <w:r>
        <w:rPr>
          <w:b w:val="0"/>
          <w:i/>
          <w:color w:val="6E7B77"/>
          <w:sz w:val="17"/>
        </w:rPr>
        <w:t>Table C.2 — Expert 2. Range EGP 0.58 to 19.86. This is the LOWEST of the three at -30.8%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3,338</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5,521</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13,536</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12.32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882</w:t>
            </w:r>
          </w:p>
        </w:tc>
        <w:tc>
          <w:tcPr>
            <w:tcW w:type="dxa" w:w="1224"/>
          </w:tcPr>
          <w:p>
            <w:pPr>
              <w:spacing w:after="20"/>
              <w:jc w:val="right"/>
            </w:pPr>
            <w:r>
              <w:rPr>
                <w:color w:val="1C3A36"/>
                <w:sz w:val="17"/>
              </w:rPr>
              <w:t>1,179</w:t>
            </w:r>
          </w:p>
        </w:tc>
        <w:tc>
          <w:tcPr>
            <w:tcW w:type="dxa" w:w="1224"/>
          </w:tcPr>
          <w:p>
            <w:pPr>
              <w:spacing w:after="20"/>
              <w:jc w:val="right"/>
            </w:pPr>
            <w:r>
              <w:rPr>
                <w:color w:val="1C3A36"/>
                <w:sz w:val="17"/>
              </w:rPr>
              <w:t>1,316</w:t>
            </w:r>
          </w:p>
        </w:tc>
        <w:tc>
          <w:tcPr>
            <w:tcW w:type="dxa" w:w="1224"/>
          </w:tcPr>
          <w:p>
            <w:pPr>
              <w:spacing w:after="20"/>
              <w:jc w:val="right"/>
            </w:pPr>
            <w:r>
              <w:rPr>
                <w:color w:val="1C3A36"/>
                <w:sz w:val="17"/>
              </w:rPr>
              <w:t>1,418</w:t>
            </w:r>
          </w:p>
        </w:tc>
        <w:tc>
          <w:tcPr>
            <w:tcW w:type="dxa" w:w="1224"/>
          </w:tcPr>
          <w:p>
            <w:pPr>
              <w:spacing w:after="20"/>
              <w:jc w:val="right"/>
            </w:pPr>
            <w:r>
              <w:rPr>
                <w:color w:val="1C3A36"/>
                <w:sz w:val="17"/>
              </w:rPr>
              <w:t>1,493</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14.81%</w:t>
            </w:r>
          </w:p>
        </w:tc>
        <w:tc>
          <w:tcPr>
            <w:tcW w:type="dxa" w:w="1224"/>
          </w:tcPr>
          <w:p>
            <w:pPr>
              <w:spacing w:after="20"/>
              <w:jc w:val="right"/>
            </w:pPr>
            <w:r>
              <w:rPr>
                <w:color w:val="1C3A36"/>
                <w:sz w:val="17"/>
              </w:rPr>
              <w:t>19.95%</w:t>
            </w:r>
          </w:p>
        </w:tc>
        <w:tc>
          <w:tcPr>
            <w:tcW w:type="dxa" w:w="1224"/>
          </w:tcPr>
          <w:p>
            <w:pPr>
              <w:spacing w:after="20"/>
              <w:jc w:val="right"/>
            </w:pPr>
            <w:r>
              <w:rPr>
                <w:color w:val="1C3A36"/>
                <w:sz w:val="17"/>
              </w:rPr>
              <w:t>21.76%</w:t>
            </w:r>
          </w:p>
        </w:tc>
        <w:tc>
          <w:tcPr>
            <w:tcW w:type="dxa" w:w="1224"/>
          </w:tcPr>
          <w:p>
            <w:pPr>
              <w:spacing w:after="20"/>
              <w:jc w:val="right"/>
            </w:pPr>
            <w:r>
              <w:rPr>
                <w:color w:val="1C3A36"/>
                <w:sz w:val="17"/>
              </w:rPr>
              <w:t>22.80%</w:t>
            </w:r>
          </w:p>
        </w:tc>
        <w:tc>
          <w:tcPr>
            <w:tcW w:type="dxa" w:w="1224"/>
          </w:tcPr>
          <w:p>
            <w:pPr>
              <w:spacing w:after="20"/>
              <w:jc w:val="right"/>
            </w:pPr>
            <w:r>
              <w:rPr>
                <w:color w:val="1C3A36"/>
                <w:sz w:val="17"/>
              </w:rPr>
              <w:t>23.22%</w:t>
            </w:r>
          </w:p>
        </w:tc>
      </w:tr>
    </w:tbl>
    <w:p>
      <w:pPr>
        <w:spacing w:after="40"/>
      </w:pPr>
    </w:p>
    <w:p>
      <w:pPr>
        <w:spacing w:after="200" w:before="0"/>
      </w:pPr>
      <w:r>
        <w:rPr>
          <w:b w:val="0"/>
          <w:i/>
          <w:color w:val="6E7B77"/>
          <w:sz w:val="17"/>
        </w:rPr>
        <w:t>Table C.3 — Expert 3. Range EGP 0.88 to 24.62.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8.10, not 14.50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50.0%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56.0%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34.6% of its enterprise value is capital already in the ground and 40.8%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9.34 and EGP 14.50, a spread of 55.2% of the lower number, with a median of EGP 12.32 against a market price of EGP 13.50 — -8.8%. Two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14.8% rising to 23.2%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8.10 to EGP 12.32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5.15</w:t>
            </w:r>
          </w:p>
        </w:tc>
        <w:tc>
          <w:tcPr>
            <w:tcW w:type="dxa" w:w="792"/>
          </w:tcPr>
          <w:p>
            <w:pPr>
              <w:spacing w:after="20"/>
              <w:jc w:val="right"/>
            </w:pPr>
            <w:r>
              <w:rPr>
                <w:color w:val="1C3A36"/>
                <w:sz w:val="16"/>
              </w:rPr>
              <w:t>55.2%</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1.24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2.18</w:t>
            </w:r>
          </w:p>
        </w:tc>
        <w:tc>
          <w:tcPr>
            <w:tcW w:type="dxa" w:w="792"/>
          </w:tcPr>
          <w:p>
            <w:pPr>
              <w:spacing w:after="20"/>
              <w:jc w:val="right"/>
            </w:pPr>
            <w:r>
              <w:rPr>
                <w:color w:val="1C3A36"/>
                <w:sz w:val="16"/>
              </w:rPr>
              <w:t>17.7%</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4.22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2.98</w:t>
            </w:r>
          </w:p>
        </w:tc>
        <w:tc>
          <w:tcPr>
            <w:tcW w:type="dxa" w:w="792"/>
          </w:tcPr>
          <w:p>
            <w:pPr>
              <w:spacing w:after="20"/>
              <w:jc w:val="right"/>
            </w:pPr>
            <w:r>
              <w:rPr>
                <w:color w:val="1C3A36"/>
                <w:sz w:val="16"/>
              </w:rPr>
              <w:t>31.9%</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+0.43</w:t>
            </w:r>
          </w:p>
        </w:tc>
        <w:tc>
          <w:tcPr>
            <w:tcW w:type="dxa" w:w="2664"/>
          </w:tcPr>
          <w:p>
            <w:pPr>
              <w:spacing w:after="20"/>
            </w:pPr>
            <w:r>
              <w:rPr>
                <w:color w:val="1C3A36"/>
                <w:sz w:val="16"/>
              </w:rPr>
              <w:t>0.23</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0.92</w:t>
            </w:r>
          </w:p>
        </w:tc>
        <w:tc>
          <w:tcPr>
            <w:tcW w:type="dxa" w:w="792"/>
          </w:tcPr>
          <w:p>
            <w:pPr>
              <w:spacing w:after="20"/>
              <w:jc w:val="right"/>
            </w:pPr>
            <w:r>
              <w:rPr>
                <w:color w:val="1C3A36"/>
                <w:sz w:val="16"/>
              </w:rPr>
              <w:t>8.0%</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9.77 — so the price of time is worth only EGP 0.43 of a 2.98 gap, about 14%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14.50</w:t>
            </w:r>
          </w:p>
        </w:tc>
        <w:tc>
          <w:tcPr>
            <w:tcW w:type="dxa" w:w="1728"/>
          </w:tcPr>
          <w:p>
            <w:pPr>
              <w:spacing w:after="20"/>
              <w:jc w:val="right"/>
            </w:pPr>
            <w:r>
              <w:rPr>
                <w:color w:val="1C3A36"/>
                <w:sz w:val="17"/>
              </w:rPr>
              <w:t>10.35–19.67</w:t>
            </w:r>
          </w:p>
        </w:tc>
        <w:tc>
          <w:tcPr>
            <w:tcW w:type="dxa" w:w="1296"/>
          </w:tcPr>
          <w:p>
            <w:pPr>
              <w:spacing w:after="20"/>
              <w:jc w:val="right"/>
            </w:pPr>
            <w:r>
              <w:rPr>
                <w:color w:val="1C3A36"/>
                <w:sz w:val="17"/>
              </w:rPr>
              <w:t>7.4%</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9.34</w:t>
            </w:r>
          </w:p>
        </w:tc>
        <w:tc>
          <w:tcPr>
            <w:tcW w:type="dxa" w:w="1728"/>
          </w:tcPr>
          <w:p>
            <w:pPr>
              <w:spacing w:after="20"/>
              <w:jc w:val="right"/>
            </w:pPr>
            <w:r>
              <w:rPr>
                <w:color w:val="1C3A36"/>
                <w:sz w:val="17"/>
              </w:rPr>
              <w:t>0.58–19.86</w:t>
            </w:r>
          </w:p>
        </w:tc>
        <w:tc>
          <w:tcPr>
            <w:tcW w:type="dxa" w:w="1296"/>
          </w:tcPr>
          <w:p>
            <w:pPr>
              <w:spacing w:after="20"/>
              <w:jc w:val="right"/>
            </w:pPr>
            <w:r>
              <w:rPr>
                <w:color w:val="1C3A36"/>
                <w:sz w:val="17"/>
              </w:rPr>
              <w:t>-30.8%</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12.32</w:t>
            </w:r>
          </w:p>
        </w:tc>
        <w:tc>
          <w:tcPr>
            <w:tcW w:type="dxa" w:w="1728"/>
          </w:tcPr>
          <w:p>
            <w:pPr>
              <w:spacing w:after="20"/>
              <w:jc w:val="right"/>
            </w:pPr>
            <w:r>
              <w:rPr>
                <w:color w:val="1C3A36"/>
                <w:sz w:val="17"/>
              </w:rPr>
              <w:t>0.88–24.62</w:t>
            </w:r>
          </w:p>
        </w:tc>
        <w:tc>
          <w:tcPr>
            <w:tcW w:type="dxa" w:w="1296"/>
          </w:tcPr>
          <w:p>
            <w:pPr>
              <w:spacing w:after="20"/>
              <w:jc w:val="right"/>
            </w:pPr>
            <w:r>
              <w:rPr>
                <w:color w:val="1C3A36"/>
                <w:sz w:val="17"/>
              </w:rPr>
              <w:t>-8.8%</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12.32</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-8.8%</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