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color w:val="8F7326"/>
          <w:sz w:val="18"/>
        </w:rPr>
        <w:t>TESTAHIL · Standing Research Protocol · 02 September 2026</w:t>
      </w:r>
    </w:p>
    <w:p>
      <w:pPr>
        <w:pStyle w:val="Heading1"/>
      </w:pPr>
      <w:r>
        <w:t>Fundamental Method Reassessment</w:t>
      </w:r>
    </w:p>
    <w:p>
      <w:r>
        <w:rPr>
          <w:i/>
          <w:color w:val="5B6672"/>
          <w:sz w:val="23"/>
        </w:rPr>
        <w:t>Why the house is systematically pessimistic, measured cause by cause; the programme that ends it without deferring to the price; and the timeline through the calibration of every market.</w:t>
      </w:r>
    </w:p>
    <w:p>
      <w:r>
        <w:rPr>
          <w:b/>
        </w:rPr>
        <w:t>02 September 2026.</w:t>
      </w:r>
      <w:r>
        <w:t xml:space="preserve"> Prepared on the principal's instruction of the same day: </w:t>
      </w:r>
      <w:r>
        <w:rPr>
          <w:i/>
        </w:rPr>
        <w:t>"A reassessment of the fundamental analysis method and of the fundamental calibration is needed. The goal is an accurate fundamental analysis, an accurate calibration to project the financial statements, and from those a realistic fair value, because we are ridiculously pessimistic."</w:t>
      </w:r>
    </w:p>
    <w:p>
      <w:r>
        <w:t>Everything in Part A was read or computed from the repository by a panel of independent agents — eight evidence readers, three diagnosticians from different schools, and three adversarial skeptics per root cause — and every cause below survived refutation. Where a claim was narrowed under challenge, the narrowed form is what appears here. Nothing is asserted from memory.</w:t>
      </w:r>
    </w:p>
    <w:p>
      <w:pPr>
        <w:pStyle w:val="Heading2"/>
      </w:pPr>
      <w:r>
        <w:t>Part A — Diagnosis in one page</w:t>
      </w:r>
    </w:p>
    <w:p>
      <w:r>
        <w:rPr>
          <w:b/>
        </w:rPr>
        <w:t>The house is systematically pessimistic on Egypt, and the pessimism does not come from the statement calibration. It comes from a valuation layer that has never been calibrated against anything, sitting on top of statements that are.</w:t>
      </w:r>
    </w:p>
    <w:p>
      <w:r>
        <w:t xml:space="preserve">Five calibrated Egyptian names now stand at a mean signed gap of </w:t>
      </w:r>
      <w:r>
        <w:rPr>
          <w:b/>
        </w:rPr>
        <w:t>−34.9%</w:t>
      </w:r>
      <w:r>
        <w:t xml:space="preserve"> to price (AMOC −5.1, ARCC −8.3, EGCH −73.1, PHDC −28.0, TMGH −59.8), all five below, where two sat above before the campaign. Across the whole EGX book the published median fair value sits </w:t>
      </w:r>
      <w:r>
        <w:rPr>
          <w:b/>
        </w:rPr>
        <w:t>15% below</w:t>
      </w:r>
      <w:r>
        <w:t xml:space="preserve"> price with 21 of 37 names more than 10% under — while the same method's </w:t>
      </w:r>
      <w:r>
        <w:rPr>
          <w:i/>
        </w:rPr>
        <w:t>medians</w:t>
      </w:r>
      <w:r>
        <w:t xml:space="preserve"> on ADX (+1.3%) and Tadawul (+4.2%) are centred. The lean is strongest where inflation is highest, but it is not confined to Egypt: BOROUGE (−38%), AAPL (−38%), LGES (−32%), AIRARABIA (−20%), TSLA (−18%), ADNOCDRILL (−17%) and FERTIGLB (−15%) sit well below price on the site today, and NASDAQ's three-name median is −18%. A method whose errors scale with the inflation embedded in its rate is mis-specified for inflation, and its lens and bridge defects travel everywhere.</w:t>
      </w:r>
    </w:p>
    <w:p>
      <w:r>
        <w:rPr>
          <w:b/>
        </w:rPr>
        <w:t>What actually moved PHDC and TMGH.</w:t>
      </w:r>
      <w:r>
        <w:t xml:space="preserve"> The </w:t>
      </w:r>
      <w:r>
        <w:rPr>
          <w:rFonts w:ascii="Consolas" w:hAnsi="Consolas"/>
          <w:color w:val="8F7326"/>
          <w:sz w:val="19"/>
        </w:rPr>
        <w:t>[R-FCAL-01]</w:t>
      </w:r>
      <w:r>
        <w:t xml:space="preserve"> statement walk-forward changed exactly one number across roughly 170 scored cells (ARCC's manufacturing depreciation, ×1.0298). TMGH's four "adopted" corrections carried 0.000 into its projection and its committed </w:t>
      </w:r>
      <w:r>
        <w:rPr>
          <w:rFonts w:ascii="Consolas" w:hAnsi="Consolas"/>
          <w:sz w:val="19"/>
        </w:rPr>
        <w:t>corrections_log.json</w:t>
      </w:r>
      <w:r>
        <w:t xml:space="preserve"> is empty. The collapses — PHDC 15.89 → 10.94, TMGH 147.12 → 39.33 — were the cost-of-capital step in the same rebuild: a hardcoded 18% replaced by 26.25% and 35.79% </w:t>
      </w:r>
      <w:r>
        <w:rPr>
          <w:b/>
        </w:rPr>
        <w:t>held flat into perpetuity</w:t>
      </w:r>
      <w:r>
        <w:t xml:space="preserve">. TMGH's own grid says so: 195.38 at 18%, 107.56 at 22%, 80.15 at 26%, 53.05 at 35.79%. </w:t>
      </w:r>
      <w:r>
        <w:rPr>
          <w:i/>
        </w:rPr>
        <w:t>The rebuild made it worse and the calibration did nothing.</w:t>
      </w:r>
    </w:p>
    <w:p>
      <w:r>
        <w:rPr>
          <w:b/>
        </w:rPr>
        <w:t>The confirmed causes, ranked by measured share:</w:t>
      </w:r>
    </w:p>
    <w:tbl>
      <w:tblPr>
        <w:tblStyle w:val="TableGrid"/>
        <w:tblW w:type="auto" w:w="0"/>
        <w:jc w:val="center"/>
        <w:tblLayout w:type="fixed"/>
        <w:tblLook w:firstColumn="1" w:firstRow="1" w:lastColumn="0" w:lastRow="0" w:noHBand="0" w:noVBand="1" w:val="04A0"/>
      </w:tblPr>
      <w:tblGrid>
        <w:gridCol w:w="454"/>
        <w:gridCol w:w="3515"/>
        <w:gridCol w:w="1134"/>
        <w:gridCol w:w="2211"/>
        <w:gridCol w:w="2098"/>
      </w:tblGrid>
      <w:tr>
        <w:tc>
          <w:tcPr>
            <w:tcW w:type="dxa" w:w="454"/>
            <w:shd w:val="clear" w:color="auto" w:fill="EDF0F3"/>
          </w:tcPr>
          <w:p>
            <w:r>
              <w:rPr>
                <w:b/>
              </w:rPr>
            </w:r>
            <w:r>
              <w:rPr>
                <w:b/>
                <w:sz w:val="16"/>
              </w:rPr>
              <w:t>#</w:t>
            </w:r>
          </w:p>
        </w:tc>
        <w:tc>
          <w:tcPr>
            <w:tcW w:type="dxa" w:w="3515"/>
            <w:shd w:val="clear" w:color="auto" w:fill="EDF0F3"/>
          </w:tcPr>
          <w:p>
            <w:r>
              <w:rPr>
                <w:b/>
              </w:rPr>
            </w:r>
            <w:r>
              <w:rPr>
                <w:b/>
                <w:sz w:val="16"/>
              </w:rPr>
              <w:t>Cause</w:t>
            </w:r>
          </w:p>
        </w:tc>
        <w:tc>
          <w:tcPr>
            <w:tcW w:type="dxa" w:w="1134"/>
            <w:shd w:val="clear" w:color="auto" w:fill="EDF0F3"/>
          </w:tcPr>
          <w:p>
            <w:r>
              <w:rPr>
                <w:b/>
              </w:rPr>
            </w:r>
            <w:r>
              <w:rPr>
                <w:b/>
                <w:sz w:val="16"/>
              </w:rPr>
              <w:t>Layer</w:t>
            </w:r>
          </w:p>
        </w:tc>
        <w:tc>
          <w:tcPr>
            <w:tcW w:type="dxa" w:w="2211"/>
            <w:shd w:val="clear" w:color="auto" w:fill="EDF0F3"/>
          </w:tcPr>
          <w:p>
            <w:r>
              <w:rPr>
                <w:b/>
              </w:rPr>
            </w:r>
            <w:r>
              <w:rPr>
                <w:b/>
                <w:sz w:val="16"/>
              </w:rPr>
              <w:t>Measured effect</w:t>
            </w:r>
          </w:p>
        </w:tc>
        <w:tc>
          <w:tcPr>
            <w:tcW w:type="dxa" w:w="2098"/>
            <w:shd w:val="clear" w:color="auto" w:fill="EDF0F3"/>
          </w:tcPr>
          <w:p>
            <w:r>
              <w:rPr>
                <w:b/>
              </w:rPr>
            </w:r>
            <w:r>
              <w:rPr>
                <w:b/>
                <w:sz w:val="16"/>
              </w:rPr>
              <w:t>Where the rule already exists</w:t>
            </w:r>
          </w:p>
        </w:tc>
      </w:tr>
      <w:tr>
        <w:tc>
          <w:tcPr>
            <w:tcW w:type="dxa" w:w="454"/>
          </w:tcPr>
          <w:p>
            <w:r/>
            <w:r>
              <w:rPr>
                <w:sz w:val="16"/>
              </w:rPr>
              <w:t>1</w:t>
            </w:r>
          </w:p>
        </w:tc>
        <w:tc>
          <w:tcPr>
            <w:tcW w:type="dxa" w:w="3515"/>
          </w:tcPr>
          <w:p>
            <w:r/>
            <w:r>
              <w:rPr>
                <w:b/>
                <w:sz w:val="16"/>
              </w:rPr>
              <w:t>A flat crisis-era WACC applied to every year and the perpetuity</w:t>
            </w:r>
            <w:r>
              <w:rPr>
                <w:sz w:val="16"/>
              </w:rPr>
              <w:t xml:space="preserve"> on PHDC (26.25%) and TMGH (35.79%), asserting Egypt never disinflates. AMOC and ARCC glide in code; PHDC and TMGH do not, and no gate checks.</w:t>
            </w:r>
          </w:p>
        </w:tc>
        <w:tc>
          <w:tcPr>
            <w:tcW w:type="dxa" w:w="1134"/>
          </w:tcPr>
          <w:p>
            <w:r/>
            <w:r>
              <w:rPr>
                <w:sz w:val="16"/>
              </w:rPr>
              <w:t xml:space="preserve">rate </w:t>
            </w:r>
            <w:r>
              <w:rPr>
                <w:b/>
                <w:sz w:val="16"/>
              </w:rPr>
              <w:t>path</w:t>
            </w:r>
          </w:p>
        </w:tc>
        <w:tc>
          <w:tcPr>
            <w:tcW w:type="dxa" w:w="2211"/>
          </w:tcPr>
          <w:p>
            <w:r/>
            <w:r>
              <w:rPr>
                <w:sz w:val="16"/>
              </w:rPr>
              <w:t>PHDC DCF 14.86 → 27.83 on the house's own glide (central → 16.78, +10% vs price); TMGH capacity 53.05 → 74–86</w:t>
            </w:r>
          </w:p>
        </w:tc>
        <w:tc>
          <w:tcPr>
            <w:tcW w:type="dxa" w:w="2098"/>
          </w:tcPr>
          <w:p>
            <w:r/>
            <w:r>
              <w:rPr>
                <w:rFonts w:ascii="Consolas" w:hAnsi="Consolas"/>
                <w:sz w:val="16"/>
              </w:rPr>
              <w:t>Standing_Research_Protocol.md</w:t>
            </w:r>
            <w:r>
              <w:rPr>
                <w:sz w:val="16"/>
              </w:rPr>
              <w:t xml:space="preserve"> lines 300–348, 13-Jul-2026: "WACC_TERM &lt; WACC_EXP is a hard ASSERT … The build fails, it does not warn." Enforced nowhere.</w:t>
            </w:r>
          </w:p>
        </w:tc>
      </w:tr>
      <w:tr>
        <w:tc>
          <w:tcPr>
            <w:tcW w:type="dxa" w:w="454"/>
          </w:tcPr>
          <w:p>
            <w:r/>
            <w:r>
              <w:rPr>
                <w:sz w:val="16"/>
              </w:rPr>
              <w:t>2</w:t>
            </w:r>
          </w:p>
        </w:tc>
        <w:tc>
          <w:tcPr>
            <w:tcW w:type="dxa" w:w="3515"/>
          </w:tcPr>
          <w:p>
            <w:r/>
            <w:r>
              <w:rPr>
                <w:b/>
                <w:sz w:val="16"/>
              </w:rPr>
              <w:t>The four-lens blend manufactures the discount</w:t>
            </w:r>
            <w:r>
              <w:rPr>
                <w:sz w:val="16"/>
              </w:rPr>
              <w:t xml:space="preserve"> on every name whose DCF is near price. Typed weights copied from ADNOCLS; normalised earnings at a </w:t>
            </w:r>
            <w:r>
              <w:rPr>
                <w:i/>
                <w:sz w:val="16"/>
              </w:rPr>
              <w:t>nominal</w:t>
            </w:r>
            <w:r>
              <w:rPr>
                <w:sz w:val="16"/>
              </w:rPr>
              <w:t xml:space="preserve"> Ke with </w:t>
            </w:r>
            <w:r>
              <w:rPr>
                <w:i/>
                <w:sz w:val="16"/>
              </w:rPr>
              <w:t>zero</w:t>
            </w:r>
            <w:r>
              <w:rPr>
                <w:sz w:val="16"/>
              </w:rPr>
              <w:t xml:space="preserve"> nominal growth (a run-off value, 1/1.9 of the Fisher-consistent form at 15% inflation); historical-cost book after a 3× devaluation at justified P/B of 0.07–1.0×; AMOC's relative lens is circular. Five different constructions across five names.</w:t>
            </w:r>
          </w:p>
        </w:tc>
        <w:tc>
          <w:tcPr>
            <w:tcW w:type="dxa" w:w="1134"/>
          </w:tcPr>
          <w:p>
            <w:r/>
            <w:r>
              <w:rPr>
                <w:sz w:val="16"/>
              </w:rPr>
              <w:t>lens blend</w:t>
            </w:r>
          </w:p>
        </w:tc>
        <w:tc>
          <w:tcPr>
            <w:tcW w:type="dxa" w:w="2211"/>
          </w:tcPr>
          <w:p>
            <w:r/>
            <w:r>
              <w:rPr>
                <w:sz w:val="16"/>
              </w:rPr>
              <w:t>92–96% of PHDC's gap, &gt;100% of AMOC's, 71% of ARCC's. DCF alone: PHDC −2.2%, AMOC +7.4%, ARCC −2.4%</w:t>
            </w:r>
          </w:p>
        </w:tc>
        <w:tc>
          <w:tcPr>
            <w:tcW w:type="dxa" w:w="2098"/>
          </w:tcPr>
          <w:p>
            <w:r/>
            <w:r>
              <w:rPr>
                <w:sz w:val="16"/>
              </w:rPr>
              <w:t>The PROMOTION RULE — violated by the house's own central number, whose weights have never been tested out of sample.</w:t>
            </w:r>
          </w:p>
        </w:tc>
      </w:tr>
      <w:tr>
        <w:tc>
          <w:tcPr>
            <w:tcW w:type="dxa" w:w="454"/>
          </w:tcPr>
          <w:p>
            <w:r/>
            <w:r>
              <w:rPr>
                <w:sz w:val="16"/>
              </w:rPr>
              <w:t>3</w:t>
            </w:r>
          </w:p>
        </w:tc>
        <w:tc>
          <w:tcPr>
            <w:tcW w:type="dxa" w:w="3515"/>
          </w:tcPr>
          <w:p>
            <w:r/>
            <w:r>
              <w:rPr>
                <w:b/>
                <w:sz w:val="16"/>
              </w:rPr>
              <w:t>No house macro path.</w:t>
            </w:r>
            <w:r>
              <w:rPr>
                <w:sz w:val="16"/>
              </w:rPr>
              <w:t xml:space="preserve"> Five FY2026 inflation rates for one fiscal year (25.2 / 14.5 / 11.5 / 10 / none), three sovereign quotes, terminal inflations of 5%, 7% and ~15%. ARCC charges terminal reinvestment g/ROIC on </w:t>
            </w:r>
            <w:r>
              <w:rPr>
                <w:b/>
                <w:sz w:val="16"/>
              </w:rPr>
              <w:t>replacement-cost</w:t>
            </w:r>
            <w:r>
              <w:rPr>
                <w:sz w:val="16"/>
              </w:rPr>
              <w:t xml:space="preserve"> capital (EGP 50.5bn vs book 5.8bn) for inflation-only growth. PHDC's terminal g 12% against ~14.6% embedded inflation.</w:t>
            </w:r>
          </w:p>
        </w:tc>
        <w:tc>
          <w:tcPr>
            <w:tcW w:type="dxa" w:w="1134"/>
          </w:tcPr>
          <w:p>
            <w:r/>
            <w:r>
              <w:rPr>
                <w:sz w:val="16"/>
              </w:rPr>
              <w:t>macro / terminal</w:t>
            </w:r>
          </w:p>
        </w:tc>
        <w:tc>
          <w:tcPr>
            <w:tcW w:type="dxa" w:w="2211"/>
          </w:tcPr>
          <w:p>
            <w:r/>
            <w:r>
              <w:rPr>
                <w:sz w:val="16"/>
              </w:rPr>
              <w:t>ARCC central 54.10 → 66.92 on coherent reinvestment (+12.8/sh); PHDC +0.65/sh on the NEP lens alone</w:t>
            </w:r>
          </w:p>
        </w:tc>
        <w:tc>
          <w:tcPr>
            <w:tcW w:type="dxa" w:w="2098"/>
          </w:tcPr>
          <w:p>
            <w:r/>
            <w:r>
              <w:rPr>
                <w:sz w:val="16"/>
              </w:rPr>
              <w:t xml:space="preserve">L-048, L-055 — registered, bind nothing. </w:t>
            </w:r>
            <w:r>
              <w:rPr>
                <w:rFonts w:ascii="Consolas" w:hAnsi="Consolas"/>
                <w:sz w:val="16"/>
              </w:rPr>
              <w:t>Cost_of_Capital_Reference.md</w:t>
            </w:r>
            <w:r>
              <w:rPr>
                <w:sz w:val="16"/>
              </w:rPr>
              <w:t xml:space="preserve"> — referenced by three modules, does not exist.</w:t>
            </w:r>
          </w:p>
        </w:tc>
      </w:tr>
      <w:tr>
        <w:tc>
          <w:tcPr>
            <w:tcW w:type="dxa" w:w="454"/>
          </w:tcPr>
          <w:p>
            <w:r/>
            <w:r>
              <w:rPr>
                <w:sz w:val="16"/>
              </w:rPr>
              <w:t>4</w:t>
            </w:r>
          </w:p>
        </w:tc>
        <w:tc>
          <w:tcPr>
            <w:tcW w:type="dxa" w:w="3515"/>
          </w:tcPr>
          <w:p>
            <w:r/>
            <w:r>
              <w:rPr>
                <w:b/>
                <w:sz w:val="16"/>
              </w:rPr>
              <w:t>Minority and bridge invented per study.</w:t>
            </w:r>
            <w:r>
              <w:rPr>
                <w:sz w:val="16"/>
              </w:rPr>
              <w:t xml:space="preserve"> TMGH deducts NCI at 45% of book against a 21% filed profit share; AMOC at profit share × group value including the parent's cash; PHDC deducts none.</w:t>
            </w:r>
          </w:p>
        </w:tc>
        <w:tc>
          <w:tcPr>
            <w:tcW w:type="dxa" w:w="1134"/>
          </w:tcPr>
          <w:p>
            <w:r/>
            <w:r>
              <w:rPr>
                <w:sz w:val="16"/>
              </w:rPr>
              <w:t>bridge</w:t>
            </w:r>
          </w:p>
        </w:tc>
        <w:tc>
          <w:tcPr>
            <w:tcW w:type="dxa" w:w="2211"/>
          </w:tcPr>
          <w:p>
            <w:r/>
            <w:r>
              <w:rPr>
                <w:sz w:val="16"/>
              </w:rPr>
              <w:t>TMGH capacity 53.05 → 70.93 on a value-share proxy (47% of its gap)</w:t>
            </w:r>
          </w:p>
        </w:tc>
        <w:tc>
          <w:tcPr>
            <w:tcW w:type="dxa" w:w="2098"/>
          </w:tcPr>
          <w:p>
            <w:r/>
            <w:r>
              <w:rPr>
                <w:rFonts w:ascii="Consolas" w:hAnsi="Consolas"/>
                <w:sz w:val="16"/>
              </w:rPr>
              <w:t>Standing_Research_Protocol.md</w:t>
            </w:r>
            <w:r>
              <w:rPr>
                <w:sz w:val="16"/>
              </w:rPr>
              <w:t xml:space="preserve"> lines 383–387: "NCI at fair value, never at book, never profit share on EV." Enforced nowhere.</w:t>
            </w:r>
          </w:p>
        </w:tc>
      </w:tr>
      <w:tr>
        <w:tc>
          <w:tcPr>
            <w:tcW w:type="dxa" w:w="454"/>
          </w:tcPr>
          <w:p>
            <w:r/>
            <w:r>
              <w:rPr>
                <w:sz w:val="16"/>
              </w:rPr>
              <w:t>5</w:t>
            </w:r>
          </w:p>
        </w:tc>
        <w:tc>
          <w:tcPr>
            <w:tcW w:type="dxa" w:w="3515"/>
          </w:tcPr>
          <w:p>
            <w:r/>
            <w:r>
              <w:rPr>
                <w:b/>
                <w:sz w:val="16"/>
              </w:rPr>
              <w:t>Drivers set below the house's own measured record.</w:t>
            </w:r>
            <w:r>
              <w:rPr>
                <w:sz w:val="16"/>
              </w:rPr>
              <w:t xml:space="preserve"> TMGH's contracted sales start below every filed year and below its walk-forward's range low, then fade 15% a year </w:t>
            </w:r>
            <w:r>
              <w:rPr>
                <w:i/>
                <w:sz w:val="16"/>
              </w:rPr>
              <w:t>nominal</w:t>
            </w:r>
            <w:r>
              <w:rPr>
                <w:sz w:val="16"/>
              </w:rPr>
              <w:t xml:space="preserve"> (≈ −26% real). EGCH's walk-forward found revenue under-forecast in 55 of 55 cells (−0.60 log) and the correction rule refused it. Book-wide the method under-forecasts revenue on four of five names (AMOC −43%, ARCC −24%, EGCH −45%, TMGH −58%) and loses to "freeze last year" at one year on four of five; every bias became a watch flag. PHDC is the exception: profit </w:t>
            </w:r>
            <w:r>
              <w:rPr>
                <w:i/>
                <w:sz w:val="16"/>
              </w:rPr>
              <w:t>over</w:t>
            </w:r>
            <w:r>
              <w:rPr>
                <w:sz w:val="16"/>
              </w:rPr>
              <w:t>-forecast 3×.</w:t>
            </w:r>
          </w:p>
        </w:tc>
        <w:tc>
          <w:tcPr>
            <w:tcW w:type="dxa" w:w="1134"/>
          </w:tcPr>
          <w:p>
            <w:r/>
            <w:r>
              <w:rPr>
                <w:sz w:val="16"/>
              </w:rPr>
              <w:t>statement drivers</w:t>
            </w:r>
          </w:p>
        </w:tc>
        <w:tc>
          <w:tcPr>
            <w:tcW w:type="dxa" w:w="2211"/>
          </w:tcPr>
          <w:p>
            <w:r/>
            <w:r>
              <w:rPr>
                <w:sz w:val="16"/>
              </w:rPr>
              <w:t>TMGH 53.05 → 76.51 on a flat-real path (60% of its gap); with cause 4, 89.47 (−8.5%) at the unchanged rate</w:t>
            </w:r>
          </w:p>
        </w:tc>
        <w:tc>
          <w:tcPr>
            <w:tcW w:type="dxa" w:w="2098"/>
          </w:tcPr>
          <w:p>
            <w:r/>
            <w:r>
              <w:rPr>
                <w:rFonts w:ascii="Consolas" w:hAnsi="Consolas"/>
                <w:color w:val="8F7326"/>
                <w:sz w:val="16"/>
              </w:rPr>
              <w:t>[R-FCAL-01]</w:t>
            </w:r>
            <w:r>
              <w:rPr>
                <w:sz w:val="16"/>
              </w:rPr>
              <w:t>'s own pre-registration; L-101</w:t>
            </w:r>
          </w:p>
        </w:tc>
      </w:tr>
      <w:tr>
        <w:tc>
          <w:tcPr>
            <w:tcW w:type="dxa" w:w="454"/>
          </w:tcPr>
          <w:p>
            <w:r/>
            <w:r>
              <w:rPr>
                <w:sz w:val="16"/>
              </w:rPr>
              <w:t>6</w:t>
            </w:r>
          </w:p>
        </w:tc>
        <w:tc>
          <w:tcPr>
            <w:tcW w:type="dxa" w:w="3515"/>
          </w:tcPr>
          <w:p>
            <w:r/>
            <w:r>
              <w:rPr>
                <w:b/>
                <w:sz w:val="16"/>
              </w:rPr>
              <w:t>Cost-of-equity basis and construction.</w:t>
            </w:r>
            <w:r>
              <w:rPr>
                <w:sz w:val="16"/>
              </w:rPr>
              <w:t xml:space="preserve"> The level (rf* + β × Damodaran ERP) is defensible and the price-implied rates on AMOC (&gt;30%), ARCC (25.1%) and PHDC (26.05%) sit at or near it — so a uniform rate cut would overshoot three names to rescue two. But: the CDS-vs-rating basis is un-ruled and </w:t>
            </w:r>
            <w:r>
              <w:rPr>
                <w:i/>
                <w:sz w:val="16"/>
              </w:rPr>
              <w:t>split</w:t>
            </w:r>
            <w:r>
              <w:rPr>
                <w:sz w:val="16"/>
              </w:rPr>
              <w:t xml:space="preserve"> (CDS on the two names near price, rating on the three far below; worth 1.2–3.7pp); the country premium is charged at 1.52 × β × spread against 1.0 × spread stripped from rf (+7.9pp net on TMGH); betas are unshrunk (Blume computed, never applied) and Dimson-summed regardless of significance (+0.3 on TMGH); ARCC's tier-2 beta skipped unlever/relever (+3/sh). A 31–37% Ke exceeds any ten-year return the EGX30 has ever delivered (p90 19.6%).</w:t>
            </w:r>
          </w:p>
        </w:tc>
        <w:tc>
          <w:tcPr>
            <w:tcW w:type="dxa" w:w="1134"/>
          </w:tcPr>
          <w:p>
            <w:r/>
            <w:r>
              <w:rPr>
                <w:sz w:val="16"/>
              </w:rPr>
              <w:t>cost of capital</w:t>
            </w:r>
          </w:p>
        </w:tc>
        <w:tc>
          <w:tcPr>
            <w:tcW w:type="dxa" w:w="2211"/>
          </w:tcPr>
          <w:p>
            <w:r/>
            <w:r>
              <w:rPr>
                <w:sz w:val="16"/>
              </w:rPr>
              <w:t>basis alone: 21% of PHDC's gap, 15% of TMGH's</w:t>
            </w:r>
          </w:p>
        </w:tc>
        <w:tc>
          <w:tcPr>
            <w:tcW w:type="dxa" w:w="2098"/>
          </w:tcPr>
          <w:p>
            <w:r/>
            <w:r>
              <w:rPr>
                <w:rFonts w:ascii="Consolas" w:hAnsi="Consolas"/>
                <w:sz w:val="16"/>
              </w:rPr>
              <w:t>Standing_Research_Protocol.md</w:t>
            </w:r>
            <w:r>
              <w:rPr>
                <w:sz w:val="16"/>
              </w:rPr>
              <w:t xml:space="preserve"> line 327 names CDS as PRIMARY; the digest says only "publish both".</w:t>
            </w:r>
          </w:p>
        </w:tc>
      </w:tr>
      <w:tr>
        <w:tc>
          <w:tcPr>
            <w:tcW w:type="dxa" w:w="454"/>
          </w:tcPr>
          <w:p>
            <w:r/>
            <w:r>
              <w:rPr>
                <w:sz w:val="16"/>
              </w:rPr>
              <w:t>7</w:t>
            </w:r>
          </w:p>
        </w:tc>
        <w:tc>
          <w:tcPr>
            <w:tcW w:type="dxa" w:w="3515"/>
          </w:tcPr>
          <w:p>
            <w:r/>
            <w:r>
              <w:rPr>
                <w:b/>
                <w:sz w:val="16"/>
              </w:rPr>
              <w:t>Input hygiene.</w:t>
            </w:r>
            <w:r>
              <w:rPr>
                <w:sz w:val="16"/>
              </w:rPr>
              <w:t xml:space="preserve"> Three stale ten-year quotes for one sovereign (22.31 / 22.95 / 23.00, 24–42 days old at build); an unsourced sovereign + 250bp Kd on PHDC/TMGH; the Kd floor "sovereign 10y + spread" contradicted by ARCC's audited facility at corridor + 0.6% = 20.6%; the Kd-integrity three-assert gate exists in prose and ARCC shipped with </w:t>
            </w:r>
            <w:r>
              <w:rPr>
                <w:rFonts w:ascii="Consolas" w:hAnsi="Consolas"/>
                <w:sz w:val="16"/>
              </w:rPr>
              <w:t>kd_gate.bound_met=false</w:t>
            </w:r>
            <w:r>
              <w:rPr>
                <w:sz w:val="16"/>
              </w:rPr>
              <w:t>.</w:t>
            </w:r>
          </w:p>
        </w:tc>
        <w:tc>
          <w:tcPr>
            <w:tcW w:type="dxa" w:w="1134"/>
          </w:tcPr>
          <w:p>
            <w:r/>
            <w:r>
              <w:rPr>
                <w:sz w:val="16"/>
              </w:rPr>
              <w:t>cost of capital</w:t>
            </w:r>
          </w:p>
        </w:tc>
        <w:tc>
          <w:tcPr>
            <w:tcW w:type="dxa" w:w="2211"/>
          </w:tcPr>
          <w:p>
            <w:r/>
            <w:r>
              <w:rPr>
                <w:sz w:val="16"/>
              </w:rPr>
              <w:t>~4–6% of value per 1pp of rf on a 55–75% terminal-share DCF</w:t>
            </w:r>
          </w:p>
        </w:tc>
        <w:tc>
          <w:tcPr>
            <w:tcW w:type="dxa" w:w="2098"/>
          </w:tcPr>
          <w:p>
            <w:r/>
            <w:r>
              <w:rPr>
                <w:sz w:val="16"/>
              </w:rPr>
              <w:t>Lines 338–345: "All three raise." No code.</w:t>
            </w:r>
          </w:p>
        </w:tc>
      </w:tr>
      <w:tr>
        <w:tc>
          <w:tcPr>
            <w:tcW w:type="dxa" w:w="454"/>
          </w:tcPr>
          <w:p>
            <w:r/>
            <w:r>
              <w:rPr>
                <w:sz w:val="16"/>
              </w:rPr>
              <w:t>8</w:t>
            </w:r>
          </w:p>
        </w:tc>
        <w:tc>
          <w:tcPr>
            <w:tcW w:type="dxa" w:w="3515"/>
          </w:tcPr>
          <w:p>
            <w:r/>
            <w:r>
              <w:rPr>
                <w:b/>
                <w:sz w:val="16"/>
              </w:rPr>
              <w:t>[R-FCAL-01] is a measurement instrument with no actuator and the wrong target.</w:t>
            </w:r>
            <w:r>
              <w:rPr>
                <w:sz w:val="16"/>
              </w:rPr>
              <w:t xml:space="preserve"> It scores drivers against later statements — never a rate, terminal, lens, bridge or fair value against anything — so it is blind by construction to where causes 1–4 live. Its 0.5 "half strength" is a stated, not derived, parameter.</w:t>
            </w:r>
          </w:p>
        </w:tc>
        <w:tc>
          <w:tcPr>
            <w:tcW w:type="dxa" w:w="1134"/>
          </w:tcPr>
          <w:p>
            <w:r/>
            <w:r>
              <w:rPr>
                <w:sz w:val="16"/>
              </w:rPr>
              <w:t>calibration</w:t>
            </w:r>
          </w:p>
        </w:tc>
        <w:tc>
          <w:tcPr>
            <w:tcW w:type="dxa" w:w="2211"/>
          </w:tcPr>
          <w:p>
            <w:r/>
            <w:r>
              <w:rPr>
                <w:sz w:val="16"/>
              </w:rPr>
              <w:t>0% of the fair-value movement</w:t>
            </w:r>
          </w:p>
        </w:tc>
        <w:tc>
          <w:tcPr>
            <w:tcW w:type="dxa" w:w="2098"/>
          </w:tcPr>
          <w:p>
            <w:r/>
            <w:r>
              <w:rPr>
                <w:sz w:val="16"/>
              </w:rPr>
              <w:t>—</w:t>
            </w:r>
          </w:p>
        </w:tc>
      </w:tr>
      <w:tr>
        <w:tc>
          <w:tcPr>
            <w:tcW w:type="dxa" w:w="454"/>
          </w:tcPr>
          <w:p>
            <w:r/>
            <w:r>
              <w:rPr>
                <w:sz w:val="16"/>
              </w:rPr>
              <w:t>9</w:t>
            </w:r>
          </w:p>
        </w:tc>
        <w:tc>
          <w:tcPr>
            <w:tcW w:type="dxa" w:w="3515"/>
          </w:tcPr>
          <w:p>
            <w:r/>
            <w:r>
              <w:rPr>
                <w:b/>
                <w:sz w:val="16"/>
              </w:rPr>
              <w:t>No gate examines the valuation layer's output or constructions.</w:t>
            </w:r>
            <w:r>
              <w:rPr>
                <w:sz w:val="16"/>
              </w:rPr>
              <w:t xml:space="preserve"> The five </w:t>
            </w:r>
            <w:r>
              <w:rPr>
                <w:rFonts w:ascii="Consolas" w:hAnsi="Consolas"/>
                <w:sz w:val="16"/>
              </w:rPr>
              <w:t>research_protocol</w:t>
            </w:r>
            <w:r>
              <w:rPr>
                <w:sz w:val="16"/>
              </w:rPr>
              <w:t xml:space="preserve"> asserts test provenance and shape; every CI gate passed AMOC at −39% with six model defects behind it; the gap reviews computed corrections that shipped unapplied. Every valuation-layer defect on the book was found by a human asking a question.</w:t>
            </w:r>
          </w:p>
        </w:tc>
        <w:tc>
          <w:tcPr>
            <w:tcW w:type="dxa" w:w="1134"/>
          </w:tcPr>
          <w:p>
            <w:r/>
            <w:r>
              <w:rPr>
                <w:sz w:val="16"/>
              </w:rPr>
              <w:t>governance</w:t>
            </w:r>
          </w:p>
        </w:tc>
        <w:tc>
          <w:tcPr>
            <w:tcW w:type="dxa" w:w="2211"/>
          </w:tcPr>
          <w:p>
            <w:r/>
            <w:r>
              <w:rPr>
                <w:sz w:val="16"/>
              </w:rPr>
              <w:t>the persistence term — why the same defects recur across editions</w:t>
            </w:r>
          </w:p>
        </w:tc>
        <w:tc>
          <w:tcPr>
            <w:tcW w:type="dxa" w:w="2098"/>
          </w:tcPr>
          <w:p>
            <w:r/>
            <w:r>
              <w:rPr>
                <w:rFonts w:ascii="Consolas" w:hAnsi="Consolas"/>
                <w:color w:val="8F7326"/>
                <w:sz w:val="16"/>
              </w:rPr>
              <w:t>[R-ENF-01]</w:t>
            </w:r>
            <w:r>
              <w:rPr>
                <w:sz w:val="16"/>
              </w:rPr>
              <w:t xml:space="preserve"> itself: "a rule that can be checked must be checked from outside"</w:t>
            </w:r>
          </w:p>
        </w:tc>
      </w:tr>
      <w:tr>
        <w:tc>
          <w:tcPr>
            <w:tcW w:type="dxa" w:w="454"/>
          </w:tcPr>
          <w:p>
            <w:r/>
            <w:r>
              <w:rPr>
                <w:sz w:val="16"/>
              </w:rPr>
              <w:t>10</w:t>
            </w:r>
          </w:p>
        </w:tc>
        <w:tc>
          <w:tcPr>
            <w:tcW w:type="dxa" w:w="3515"/>
          </w:tcPr>
          <w:p>
            <w:r/>
            <w:r>
              <w:rPr>
                <w:b/>
                <w:sz w:val="16"/>
              </w:rPr>
              <w:t>A one-sided defence.</w:t>
            </w:r>
            <w:r>
              <w:rPr>
                <w:sz w:val="16"/>
              </w:rPr>
              <w:t xml:space="preserve"> The rule set was adopted from an audit (CLHO) where every defect biased </w:t>
            </w:r>
            <w:r>
              <w:rPr>
                <w:i/>
                <w:sz w:val="16"/>
              </w:rPr>
              <w:t>upward</w:t>
            </w:r>
            <w:r>
              <w:rPr>
                <w:sz w:val="16"/>
              </w:rPr>
              <w:t>; the gap gate fires only below price; on TMGH four or five "publish both" choices resolved to the punitive side. Book-wide the lean is not systematic (7 low / 8 high where both are computed), but it is where it hurt.</w:t>
            </w:r>
          </w:p>
        </w:tc>
        <w:tc>
          <w:tcPr>
            <w:tcW w:type="dxa" w:w="1134"/>
          </w:tcPr>
          <w:p>
            <w:r/>
            <w:r>
              <w:rPr>
                <w:sz w:val="16"/>
              </w:rPr>
              <w:t>process</w:t>
            </w:r>
          </w:p>
        </w:tc>
        <w:tc>
          <w:tcPr>
            <w:tcW w:type="dxa" w:w="2211"/>
          </w:tcPr>
          <w:p>
            <w:r/>
            <w:r>
              <w:rPr>
                <w:sz w:val="16"/>
              </w:rPr>
              <w:t>compounding on TMGH from 53 to ~89 before any rate change</w:t>
            </w:r>
          </w:p>
        </w:tc>
        <w:tc>
          <w:tcPr>
            <w:tcW w:type="dxa" w:w="2098"/>
          </w:tcPr>
          <w:p>
            <w:r/>
            <w:r>
              <w:rPr>
                <w:sz w:val="16"/>
              </w:rPr>
              <w:t>—</w:t>
            </w:r>
          </w:p>
        </w:tc>
      </w:tr>
      <w:tr>
        <w:tc>
          <w:tcPr>
            <w:tcW w:type="dxa" w:w="454"/>
          </w:tcPr>
          <w:p>
            <w:r/>
            <w:r>
              <w:rPr>
                <w:sz w:val="16"/>
              </w:rPr>
              <w:t>11</w:t>
            </w:r>
          </w:p>
        </w:tc>
        <w:tc>
          <w:tcPr>
            <w:tcW w:type="dxa" w:w="3515"/>
          </w:tcPr>
          <w:p>
            <w:r/>
            <w:r>
              <w:rPr>
                <w:b/>
                <w:sz w:val="16"/>
              </w:rPr>
              <w:t>EGCH is the one genuine disagreement</w:t>
            </w:r>
            <w:r>
              <w:rPr>
                <w:sz w:val="16"/>
              </w:rPr>
              <w:t>, and it lives in the statements: the EGP 14.7bn ANNA programme at zero EBIT after depreciation, a urea path declining 6.7% a year real frozen into the perpetuity, statutory tax on a company that pays none. No discount rate closes it (implied 7.9%). Its own walk-forward record contradicts its driver model.</w:t>
            </w:r>
          </w:p>
        </w:tc>
        <w:tc>
          <w:tcPr>
            <w:tcW w:type="dxa" w:w="1134"/>
          </w:tcPr>
          <w:p>
            <w:r/>
            <w:r>
              <w:rPr>
                <w:sz w:val="16"/>
              </w:rPr>
              <w:t>statement drivers</w:t>
            </w:r>
          </w:p>
        </w:tc>
        <w:tc>
          <w:tcPr>
            <w:tcW w:type="dxa" w:w="2211"/>
          </w:tcPr>
          <w:p>
            <w:r/>
            <w:r>
              <w:rPr>
                <w:sz w:val="16"/>
              </w:rPr>
              <w:t>closes ≤11% on any valuation-layer change</w:t>
            </w:r>
          </w:p>
        </w:tc>
        <w:tc>
          <w:tcPr>
            <w:tcW w:type="dxa" w:w="2098"/>
          </w:tcPr>
          <w:p>
            <w:r/>
            <w:r>
              <w:rPr>
                <w:rFonts w:ascii="Consolas" w:hAnsi="Consolas"/>
                <w:color w:val="8F7326"/>
                <w:sz w:val="16"/>
              </w:rPr>
              <w:t>[R-FCAL-01]</w:t>
            </w:r>
            <w:r>
              <w:rPr>
                <w:sz w:val="16"/>
              </w:rPr>
              <w:t xml:space="preserve"> correction rule</w:t>
            </w:r>
          </w:p>
        </w:tc>
      </w:tr>
    </w:tbl>
    <w:p/>
    <w:p>
      <w:r>
        <w:rPr>
          <w:b/>
        </w:rPr>
        <w:t>Two things that are not causes</w:t>
      </w:r>
      <w:r>
        <w:t xml:space="preserve">, stated because a lazy diagnosis would blame them: the statement walk-forward (it moved nothing); and beta </w:t>
      </w:r>
      <w:r>
        <w:rPr>
          <w:i/>
        </w:rPr>
        <w:t>provenance</w:t>
      </w:r>
      <w:r>
        <w:t xml:space="preserve"> (the composite-to-index fix on ARCC pushed value </w:t>
      </w:r>
      <w:r>
        <w:rPr>
          <w:i/>
        </w:rPr>
        <w:t>down</w:t>
      </w:r>
      <w:r>
        <w:t>, −4.27/sh — that campaign was a source of pessimism, not a cure).</w:t>
      </w:r>
    </w:p>
    <w:p>
      <w:r>
        <w:rPr>
          <w:b/>
        </w:rPr>
        <w:t>The market's side of the ledger, for balance.</w:t>
      </w:r>
      <w:r>
        <w:t xml:space="preserve"> The EGX30's 15-year price-only CAGR is 17.0% and its 10-year 21.9%; TMGH's price implies a discount rate of 23.1% — the sovereign yield, i.e. no equity premium at all; EGX retail-driven momentum is real. The plan does not assume the market is right. It assumes the method must be </w:t>
      </w:r>
      <w:r>
        <w:rPr>
          <w:i/>
        </w:rPr>
        <w:t>measured</w:t>
      </w:r>
      <w:r>
        <w:t xml:space="preserve"> against what happened, which it never has been.</w:t>
      </w:r>
    </w:p>
    <w:p>
      <w:r>
        <w:rPr>
          <w:b/>
        </w:rPr>
        <w:t>What already-written rules alone would do.</w:t>
      </w:r>
      <w:r>
        <w:t xml:space="preserve"> Applying only rules the house has already adopted — the glide, the minority rule, the gap reviews' own computed corrections, Fisher-consistent lenses — puts PHDC's blended central at 16.8 (+10%) and TMGH's capacity case at 89–96 (−8% to −1%) </w:t>
      </w:r>
      <w:r>
        <w:rPr>
          <w:b/>
        </w:rPr>
        <w:t>before any change to the level of the cost of capital</w:t>
      </w:r>
      <w:r>
        <w:t>, and AMOC and ARCC are already within 3–8% on their DCF alone. The pessimism is method incoherence, not a view about the companies. That is the finding, and it is also the reason the fix is tractable.</w:t>
      </w:r>
    </w:p>
    <w:p>
      <w:r>
        <w:rPr>
          <w:b/>
        </w:rPr>
        <w:t>The warning inside that finding — read this before concluding "cut the rate".</w:t>
      </w:r>
      <w:r>
        <w:t xml:space="preserve"> Verified this session on PHDC's own code: under the house glide (26.25% → a norm-built 16.26%, terminal growth 7%) its DCF lens goes from 14.86 to </w:t>
      </w:r>
      <w:r>
        <w:rPr>
          <w:b/>
        </w:rPr>
        <w:t>27.83, which is 83% above the price</w:t>
      </w:r>
      <w:r>
        <w:t xml:space="preserve">, and the terminal becomes 74% of enterprise value. That is not a realistic fair value either. PHDC's DCF discounts a cash-conversion margin on revenue that compounds at 44% nominal for five years, and its walk-forward found the </w:t>
      </w:r>
      <w:r>
        <w:rPr>
          <w:i/>
        </w:rPr>
        <w:t>mechanical</w:t>
      </w:r>
      <w:r>
        <w:t xml:space="preserve"> method over-forecasts net profit 3× in 97% of tested cells — while the </w:t>
      </w:r>
      <w:r>
        <w:rPr>
          <w:i/>
        </w:rPr>
        <w:t>delivered</w:t>
      </w:r>
      <w:r>
        <w:t xml:space="preserve"> study's FY2026 profit (3,549) sits below the record's own p10 (4,295) and below the FY2025 actual (4,217). The layers disagree in both directions: the revenue and conversion path is optimistic, the profit path is below the record, and a punitive rate with two floor lenses was cancelling the net. Correcting the growth leg alone at the flat rate takes the DCF from 14.86 to 10.44. </w:t>
      </w:r>
      <w:r>
        <w:rPr>
          <w:b/>
        </w:rPr>
        <w:t>PHDC carries offsetting errors, and TMGH's are all one-way.</w:t>
      </w:r>
      <w:r>
        <w:t xml:space="preserve"> No PHDC number moves until WS5(b) has reconciled its drivers to its record, before the calibration's pre-registration is hashed. Two consequences run through every workstream below: the two layers are fixed </w:t>
      </w:r>
      <w:r>
        <w:rPr>
          <w:i/>
        </w:rPr>
        <w:t>together</w:t>
      </w:r>
      <w:r>
        <w:t xml:space="preserve"> or the answer swings from one absurdity to the other; and the rate glide requires an explicit window long enough for growth to converge to the terminal rate, or the terminal swallows the valuation.</w:t>
      </w:r>
    </w:p>
    <w:p>
      <w:pPr>
        <w:pStyle w:val="Heading2"/>
      </w:pPr>
      <w:r>
        <w:t>Part B — Principles</w:t>
      </w:r>
    </w:p>
    <w:p>
      <w:pPr>
        <w:pStyle w:val="ListNumber"/>
        <w:numPr>
          <w:ilvl w:val="0"/>
          <w:numId w:val="10"/>
        </w:numPr>
      </w:pPr>
      <w:r>
        <w:rPr>
          <w:b/>
        </w:rPr>
        <w:t>One date, one price of time.</w:t>
      </w:r>
      <w:r>
        <w:t xml:space="preserve"> A cash flow arriving on a date is discounted at that date's forward rate whether it sits in the explicit window, a residual annuity or the terminal. The term structure is the rule; a flat rate is the exception that must be argued. (Already written at protocol line 314. Now executable.)</w:t>
      </w:r>
    </w:p>
    <w:p>
      <w:pPr>
        <w:pStyle w:val="ListNumber"/>
        <w:numPr>
          <w:ilvl w:val="0"/>
          <w:numId w:val="10"/>
        </w:numPr>
      </w:pPr>
      <w:r>
        <w:rPr>
          <w:b/>
        </w:rPr>
        <w:t>Fisher consistency everywhere.</w:t>
      </w:r>
      <w:r>
        <w:t xml:space="preserve"> Every nominal quantity in a model — growth, price, cost, terminal growth, capitalisation rate — is a real component plus </w:t>
      </w:r>
      <w:r>
        <w:rPr>
          <w:i/>
        </w:rPr>
        <w:t>one</w:t>
      </w:r>
      <w:r>
        <w:t xml:space="preserve"> house inflation path per market, dated and sourced. A rate that embeds 15% inflation may not sit beside a growth rate that embeds 5%. A gate asserts it.</w:t>
      </w:r>
    </w:p>
    <w:p>
      <w:pPr>
        <w:pStyle w:val="ListNumber"/>
        <w:numPr>
          <w:ilvl w:val="0"/>
          <w:numId w:val="10"/>
        </w:numPr>
      </w:pPr>
      <w:r>
        <w:rPr>
          <w:b/>
        </w:rPr>
        <w:t>The DCF is the central. Everything else is a cross-check that shapes the range.</w:t>
      </w:r>
      <w:r>
        <w:t xml:space="preserve"> Lenses are published side by side and never averaged into the answer. A blend of a present value with a run-off value and a historical-cost floor at typed weights is not a valuation, and the house's own promotion rule already forbids it.</w:t>
      </w:r>
    </w:p>
    <w:p>
      <w:pPr>
        <w:pStyle w:val="ListNumber"/>
        <w:numPr>
          <w:ilvl w:val="0"/>
          <w:numId w:val="10"/>
        </w:numPr>
      </w:pPr>
      <w:r>
        <w:rPr>
          <w:b/>
        </w:rPr>
        <w:t>The valuation layer is calibrated on its own clock, like the cone and the statements.</w:t>
      </w:r>
      <w:r>
        <w:t xml:space="preserve"> A fair value struck at a past origin is graded against the price that followed, out of sample, and the method's bias is a number with a confidence interval. Price grades the method; it never enters a study. (</w:t>
      </w:r>
      <w:r>
        <w:rPr>
          <w:rFonts w:ascii="Consolas" w:hAnsi="Consolas"/>
          <w:color w:val="8F7326"/>
          <w:sz w:val="19"/>
        </w:rPr>
        <w:t>[R-LENS-01]</w:t>
      </w:r>
      <w:r>
        <w:t xml:space="preserve"> permits exactly this and forbids exactly that.)</w:t>
      </w:r>
    </w:p>
    <w:p>
      <w:pPr>
        <w:pStyle w:val="ListNumber"/>
        <w:numPr>
          <w:ilvl w:val="0"/>
          <w:numId w:val="10"/>
        </w:numPr>
      </w:pPr>
      <w:r>
        <w:rPr>
          <w:b/>
        </w:rPr>
        <w:t>Where a standard can be read off the delivered file, it is read off the delivered file.</w:t>
      </w:r>
      <w:r>
        <w:t xml:space="preserve"> Every rule in Part C is a script that opens the study's committed record and fails. Attestations survive only for judgements a script cannot make.</w:t>
      </w:r>
    </w:p>
    <w:p>
      <w:pPr>
        <w:pStyle w:val="ListNumber"/>
        <w:numPr>
          <w:ilvl w:val="0"/>
          <w:numId w:val="10"/>
        </w:numPr>
      </w:pPr>
      <w:r>
        <w:rPr>
          <w:b/>
        </w:rPr>
        <w:t>Symmetric guards.</w:t>
      </w:r>
      <w:r>
        <w:t xml:space="preserve"> The gap gate fires above as well as below. The calibration measures over-optimism with the same instrument. No parameter is chosen because it moves a name toward its price; parameters enter only through leave-one-name-out, era-split, out-of-sample tests — the same bar the cone clears.</w:t>
      </w:r>
    </w:p>
    <w:p>
      <w:pPr>
        <w:pStyle w:val="ListNumber"/>
        <w:numPr>
          <w:ilvl w:val="0"/>
          <w:numId w:val="10"/>
        </w:numPr>
      </w:pPr>
      <w:r>
        <w:rPr>
          <w:b/>
        </w:rPr>
        <w:t>A correction that is computed is applied or blocks.</w:t>
      </w:r>
      <w:r>
        <w:t xml:space="preserve"> A review that quantifies a defect and ships without it has not finished.</w:t>
      </w:r>
    </w:p>
    <w:p>
      <w:pPr>
        <w:pStyle w:val="Heading3"/>
      </w:pPr>
      <w:r>
        <w:t>Three classes of change, and what each needs before it ships</w:t>
      </w:r>
    </w:p>
    <w:p>
      <w:r>
        <w:t>Every change in Part C is labelled, in the plan and in each study's committed record, as one of:</w:t>
      </w:r>
    </w:p>
    <w:p>
      <w:pPr>
        <w:pStyle w:val="ListBullet"/>
      </w:pPr>
      <w:r>
        <w:rPr>
          <w:b/>
        </w:rPr>
        <w:t>Class A — compliance and specification fixes.</w:t>
      </w:r>
      <w:r>
        <w:t xml:space="preserve"> The house's own written rule is applied where it was not (the glide on PHDC/TMGH; the minority rule; the Kd gate; corrections reconciling to their log; drivers inside the study's own record). No out-of-sample evidence is needed to apply a rule already adopted; each class-A change ships with a </w:t>
      </w:r>
      <w:r>
        <w:rPr>
          <w:b/>
        </w:rPr>
        <w:t>pre-registered revert condition</w:t>
      </w:r>
      <w:r>
        <w:t xml:space="preserve"> written into the valuation calibration's pre-registration (for example: </w:t>
      </w:r>
      <w:r>
        <w:rPr>
          <w:i/>
        </w:rPr>
        <w:t>if the pooled contemporaneous bias under the glide is further from zero than under flat, LONO-stable and in both eras, the glide reverts book-wide and protocol line 314 is amended</w:t>
      </w:r>
      <w:r>
        <w:t>), so "apply now" is accountable and never per-name.</w:t>
      </w:r>
    </w:p>
    <w:p>
      <w:pPr>
        <w:pStyle w:val="ListBullet"/>
      </w:pPr>
      <w:r>
        <w:rPr>
          <w:b/>
        </w:rPr>
        <w:t>Class B — level and design choices.</w:t>
      </w:r>
      <w:r>
        <w:t xml:space="preserve"> Terminal ERP norm, terminal inflation choice, terminal real-rate convention, long-run Kd norm, glide length, the country-premium scaling λ, beta shrinkage prior, the CDS-vs-rating basis </w:t>
      </w:r>
      <w:r>
        <w:rPr>
          <w:i/>
        </w:rPr>
        <w:t>as a level</w:t>
      </w:r>
      <w:r>
        <w:t xml:space="preserve">, the terminal capital basis, any lens set that is not the class primary. Each is pre-registered as a </w:t>
      </w:r>
      <w:r>
        <w:rPr>
          <w:b/>
        </w:rPr>
        <w:t>finite candidate set derived from a named external principle</w:t>
      </w:r>
      <w:r>
        <w:t xml:space="preserve"> (CBE target, Damodaran's mature-market ERP, Fisher, Koller's value driver) with a default, and adopted only where the valuation calibration shows the stacked pooled bias moving toward zero (WS6). Every class-B level in a delivered study carries either its calibration score id or the literal word </w:t>
      </w:r>
      <w:r>
        <w:rPr>
          <w:b/>
        </w:rPr>
        <w:t>untested</w:t>
      </w:r>
      <w:r>
        <w:t>.</w:t>
      </w:r>
    </w:p>
    <w:p>
      <w:pPr>
        <w:pStyle w:val="ListBullet"/>
      </w:pPr>
      <w:r>
        <w:rPr>
          <w:b/>
        </w:rPr>
        <w:t>Class C — outside enforcement.</w:t>
      </w:r>
      <w:r>
        <w:t xml:space="preserve"> Every class-A rule and every promoted class-B level ships with a script that opens the delivered record and fails.</w:t>
      </w:r>
    </w:p>
    <w:p>
      <w:pPr>
        <w:pStyle w:val="Heading3"/>
      </w:pPr>
      <w:r>
        <w:t>Day 0 — before anything else</w:t>
      </w:r>
    </w:p>
    <w:p>
      <w:pPr>
        <w:pStyle w:val="ListBullet"/>
      </w:pPr>
      <w:r>
        <w:rPr>
          <w:b/>
        </w:rPr>
        <w:t>Merge the branches.</w:t>
      </w:r>
      <w:r>
        <w:t xml:space="preserve"> This plan and the PHDC register correction sit on </w:t>
      </w:r>
      <w:r>
        <w:rPr>
          <w:rFonts w:ascii="Consolas" w:hAnsi="Consolas"/>
          <w:sz w:val="19"/>
        </w:rPr>
        <w:t>claude/arcc-fundamental-calibration-ebhtjk</w:t>
      </w:r>
      <w:r>
        <w:t xml:space="preserve">; the EGCH calibration is on </w:t>
      </w:r>
      <w:r>
        <w:rPr>
          <w:rFonts w:ascii="Consolas" w:hAnsi="Consolas"/>
          <w:sz w:val="19"/>
        </w:rPr>
        <w:t>main</w:t>
      </w:r>
      <w:r>
        <w:t xml:space="preserve">. </w:t>
      </w:r>
      <w:r>
        <w:rPr>
          <w:rFonts w:ascii="Consolas" w:hAnsi="Consolas"/>
          <w:sz w:val="19"/>
        </w:rPr>
        <w:t>git merge-tree</w:t>
      </w:r>
      <w:r>
        <w:t xml:space="preserve"> reports content conflicts in the fair-value register, the lessons register, both governing documents, </w:t>
      </w:r>
      <w:r>
        <w:rPr>
          <w:rFonts w:ascii="Consolas" w:hAnsi="Consolas"/>
          <w:sz w:val="19"/>
        </w:rPr>
        <w:t>fv_movement.json</w:t>
      </w:r>
      <w:r>
        <w:t xml:space="preserve"> and </w:t>
      </w:r>
      <w:r>
        <w:rPr>
          <w:rFonts w:ascii="Consolas" w:hAnsi="Consolas"/>
          <w:sz w:val="19"/>
        </w:rPr>
        <w:t>gap_outstanding.json</w:t>
      </w:r>
      <w:r>
        <w:t>. One merge commit resolving each by name, gates green, before day one.</w:t>
      </w:r>
    </w:p>
    <w:p>
      <w:pPr>
        <w:pStyle w:val="ListBullet"/>
      </w:pPr>
      <w:r>
        <w:rPr>
          <w:b/>
        </w:rPr>
        <w:t>Bring the primary documents into the repo.</w:t>
      </w:r>
      <w:r>
        <w:t xml:space="preserve"> The walk-forwards' filings were read from session scratch paths; </w:t>
      </w:r>
      <w:r>
        <w:rPr>
          <w:rFonts w:ascii="Consolas" w:hAnsi="Consolas"/>
          <w:sz w:val="19"/>
        </w:rPr>
        <w:t>tmgh_walkforward</w:t>
      </w:r>
      <w:r>
        <w:t xml:space="preserve"> holds no PDFs on disk. Re-fetch every document from the committed registers' URLs and verify each against the sha256 the registers carry; where a fetch fails, a dated STOP-AND-ASK. Nothing in Phase 1 re-reads a filing that is not committed.</w:t>
      </w:r>
    </w:p>
    <w:p>
      <w:pPr>
        <w:pStyle w:val="ListBullet"/>
      </w:pPr>
      <w:r>
        <w:rPr>
          <w:b/>
        </w:rPr>
        <w:t>Stamp the standard.</w:t>
      </w:r>
      <w:r>
        <w:t xml:space="preserve"> PHDC and TMGH carry no </w:t>
      </w:r>
      <w:r>
        <w:rPr>
          <w:rFonts w:ascii="Consolas" w:hAnsi="Consolas"/>
          <w:sz w:val="19"/>
        </w:rPr>
        <w:t>standard_version</w:t>
      </w:r>
      <w:r>
        <w:t xml:space="preserve"> in their numbers files (the queue prints "study carries no stamp"); the builders write it.</w:t>
      </w:r>
    </w:p>
    <w:p>
      <w:pPr>
        <w:pStyle w:val="ListBullet"/>
      </w:pPr>
      <w:r>
        <w:rPr>
          <w:b/>
        </w:rPr>
        <w:t>The minimum shippable increment, day 1–2.</w:t>
      </w:r>
      <w:r>
        <w:t xml:space="preserve"> Apply the corrections the gap reviews have already computed and reviewed — TMGH's flat-real sales path and value-share minority (89.47 at the unchanged rate), PHDC's 31-Mar-2026 balance sheet and minority — as an internal class-A edition with </w:t>
      </w:r>
      <w:r>
        <w:rPr>
          <w:rFonts w:ascii="Consolas" w:hAnsi="Consolas"/>
          <w:sz w:val="19"/>
        </w:rPr>
        <w:t>check_corrections_applied</w:t>
      </w:r>
      <w:r>
        <w:t xml:space="preserve"> green, before WS1–WS4 land. It needs no new module and it moves the two named names on day two.</w:t>
      </w:r>
    </w:p>
    <w:p>
      <w:pPr>
        <w:pStyle w:val="Heading3"/>
      </w:pPr>
      <w:r>
        <w:t>Day-0 decisions for the principal</w:t>
      </w:r>
    </w:p>
    <w:p>
      <w:r>
        <w:t>The live site today shows TMGH at 147.12 (+50% above 97.80) and PHDC at 15.89 beside committed studies that print −60% and −28%, and will do so for the programme's duration. Before day one the principal decides one of: hold the old numbers as they are; flag the five pages "under re-issue" with no number moved; or publish AMOC and ARCC now (both inside 10%) and flag the other three. Under Part H the programme proceeds on the first — nothing on the site moves — and the other two remain open to the principal at any time. The same day, the principal confirms or declines the two amendments to their own instructions named in WS10: the two-sided gap gate, and the campaign as the finite rebuild queue — which is prospective under the 13-Jul rule's own wording, "every Egyptian study that is next substantively updated", and is stated here so it is not read as retrospective.</w:t>
      </w:r>
    </w:p>
    <w:p>
      <w:pPr>
        <w:pStyle w:val="Heading2"/>
      </w:pPr>
      <w:r>
        <w:t>Part C — Workstreams</w:t>
      </w:r>
    </w:p>
    <w:p>
      <w:r>
        <w:t>Each names the problem, the change, the files, the test that promotes it, the rule it creates or amends, and its dependencies. Effort is in agent-runs (one focused agent session) and calendar days assuming the parallelism stated in Part D.</w:t>
      </w:r>
    </w:p>
    <w:p>
      <w:pPr>
        <w:pStyle w:val="Heading3"/>
      </w:pPr>
      <w:r>
        <w:t>WS1 — The cost-of-capital standard, in code  [R-COC-01]</w:t>
      </w:r>
    </w:p>
    <w:p>
      <w:r>
        <w:rPr>
          <w:b/>
        </w:rPr>
        <w:t>Problem.</w:t>
      </w:r>
      <w:r>
        <w:t xml:space="preserve"> Causes 1, 6, 7. The r2 glide, the Kd-integrity gate and the CDS-primary basis exist as prose; two of five studies breach the first, all breach the second, the third is split. </w:t>
      </w:r>
      <w:r>
        <w:rPr>
          <w:b/>
        </w:rPr>
        <w:t>Change.</w:t>
      </w:r>
      <w:r>
        <w:t xml:space="preserve"> </w:t>
      </w:r>
      <w:r>
        <w:rPr>
          <w:rFonts w:ascii="Consolas" w:hAnsi="Consolas"/>
          <w:sz w:val="19"/>
        </w:rPr>
        <w:t>engine/cost_of_capital.py</w:t>
      </w:r>
      <w:r>
        <w:t xml:space="preserve">: one function that takes a market, a beta record, the debt book and the house macro path (WS2) and returns the full schedule — explicit-window Ke/Kd/WACC, a glide tied to the policy-rate path, a norm-built terminal (terminal rf = the central bank's target + the stated real-rate convention; terminal Kd = the long-run corporate norm; terminal ERP normalised), and the cumulative discount factor by year. Hard asserts inside it: </w:t>
      </w:r>
      <w:r>
        <w:rPr>
          <w:rFonts w:ascii="Consolas" w:hAnsi="Consolas"/>
          <w:sz w:val="19"/>
        </w:rPr>
        <w:t>WACC_TERM &lt; WACC_EXP</w:t>
      </w:r>
      <w:r>
        <w:t xml:space="preserve"> where the market is in transition; the Kd three-assert gate (currency composition sourced; independently computed effective rate over two periods; Kd within 150bp of it and ≤ 50bp above the peak-year rate); one ERP basis as CENTRAL (CDS, per line 327) with the rating basis published as a sensitivity; the country premium scaled by a stated λ, default 1.0, with the 1.52 scaling published beside it; beta shrinkage (Vasicek toward the market-class prior, Blume as cross-check) and Dimson terms kept only where the lag/lead coefficients are individually significant at 10%; tier-2 betas unlevered and re-levered. Every input carries a source and a date. A sovereign quote older than 14 days at build (a convention, stated as one, not a derivation) does not fail silently: it triggers a dated STOP-AND-ASK to the principal recorded in </w:t>
      </w:r>
      <w:r>
        <w:rPr>
          <w:rFonts w:ascii="Consolas" w:hAnsi="Consolas"/>
          <w:sz w:val="19"/>
        </w:rPr>
        <w:t>fetch_attempts.json</w:t>
      </w:r>
      <w:r>
        <w:t xml:space="preserve">, and the build proceeds with the age printed on the cost-of-capital table — a gate with no release path is the stall </w:t>
      </w:r>
      <w:r>
        <w:rPr>
          <w:rFonts w:ascii="Consolas" w:hAnsi="Consolas"/>
          <w:color w:val="8F7326"/>
          <w:sz w:val="19"/>
        </w:rPr>
        <w:t>[R-CAL-01]</w:t>
      </w:r>
      <w:r>
        <w:t xml:space="preserve"> forbids. </w:t>
      </w:r>
      <w:r>
        <w:rPr>
          <w:b/>
        </w:rPr>
        <w:t>The terminal ERP norm is constructed, not asserted:</w:t>
      </w:r>
      <w:r>
        <w:t xml:space="preserve"> Damodaran's mature-market ERP plus the country premium at the sovereign's medium-term target rating, with the long-run average of the Egypt row across the vintages WS6 sources as the pre-registered alternative — both stated before either is applied to PHDC or TMGH. Tier-2 betas carry a record shape (</w:t>
      </w:r>
      <w:r>
        <w:rPr>
          <w:rFonts w:ascii="Consolas" w:hAnsi="Consolas"/>
          <w:sz w:val="19"/>
        </w:rPr>
        <w:t>peers</w:t>
      </w:r>
      <w:r>
        <w:t xml:space="preserve">, </w:t>
      </w:r>
      <w:r>
        <w:rPr>
          <w:rFonts w:ascii="Consolas" w:hAnsi="Consolas"/>
          <w:sz w:val="19"/>
        </w:rPr>
        <w:t>unlevered</w:t>
      </w:r>
      <w:r>
        <w:t xml:space="preserve">, </w:t>
      </w:r>
      <w:r>
        <w:rPr>
          <w:rFonts w:ascii="Consolas" w:hAnsi="Consolas"/>
          <w:sz w:val="19"/>
        </w:rPr>
        <w:t>relevered_at</w:t>
      </w:r>
      <w:r>
        <w:t xml:space="preserve">) that </w:t>
      </w:r>
      <w:r>
        <w:rPr>
          <w:rFonts w:ascii="Consolas" w:hAnsi="Consolas"/>
          <w:sz w:val="19"/>
        </w:rPr>
        <w:t>assert_beta_provenance</w:t>
      </w:r>
      <w:r>
        <w:t xml:space="preserve"> inspects — ARCC ships a raw peer median with the relever step skipped, a class-A breach worth about 3/sh. </w:t>
      </w:r>
      <w:r>
        <w:rPr>
          <w:b/>
        </w:rPr>
        <w:t>Record.</w:t>
      </w:r>
      <w:r>
        <w:t xml:space="preserve"> </w:t>
      </w:r>
      <w:r>
        <w:rPr>
          <w:rFonts w:ascii="Consolas" w:hAnsi="Consolas"/>
          <w:sz w:val="19"/>
        </w:rPr>
        <w:t>engine/build_depth_audit/coc_state.json</w:t>
      </w:r>
      <w:r>
        <w:t xml:space="preserve"> already holds a per-study cost-of-capital state (class, tier, exchange) for all 24 studies; the gate extends it rather than seeding a second list. </w:t>
      </w:r>
      <w:r>
        <w:rPr>
          <w:b/>
        </w:rPr>
        <w:t>Seed.</w:t>
      </w:r>
      <w:r>
        <w:t xml:space="preserve"> AMOC's existing glide (</w:t>
      </w:r>
      <w:r>
        <w:rPr>
          <w:rFonts w:ascii="Consolas" w:hAnsi="Consolas"/>
          <w:sz w:val="19"/>
        </w:rPr>
        <w:t>compute.py</w:t>
      </w:r>
      <w:r>
        <w:t xml:space="preserve"> lines 1233–1249, with its monotonicity and </w:t>
      </w:r>
      <w:r>
        <w:rPr>
          <w:rFonts w:ascii="Consolas" w:hAnsi="Consolas"/>
          <w:sz w:val="19"/>
        </w:rPr>
        <w:t>wacc_term &lt; wacc_exp</w:t>
      </w:r>
      <w:r>
        <w:t xml:space="preserve"> asserts) is the only in-repo implementation of the protocol's r2 procedure and becomes the module's first version. The beta record carries the index as-of date and the lag to the strike date (EGX30 ends 22-Jul-2026 against 23-Aug closes). </w:t>
      </w:r>
      <w:r>
        <w:rPr>
          <w:b/>
        </w:rPr>
        <w:t>Deliverables.</w:t>
      </w:r>
      <w:r>
        <w:t xml:space="preserve"> </w:t>
      </w:r>
      <w:r>
        <w:rPr>
          <w:rFonts w:ascii="Consolas" w:hAnsi="Consolas"/>
          <w:sz w:val="19"/>
        </w:rPr>
        <w:t>engine/cost_of_capital.py</w:t>
      </w:r>
      <w:r>
        <w:t xml:space="preserve">; </w:t>
      </w:r>
      <w:r>
        <w:rPr>
          <w:rFonts w:ascii="Consolas" w:hAnsi="Consolas"/>
          <w:sz w:val="19"/>
        </w:rPr>
        <w:t>scripts/check_cost_of_capital.py</w:t>
      </w:r>
      <w:r>
        <w:t xml:space="preserve"> (opens every </w:t>
      </w:r>
      <w:r>
        <w:rPr>
          <w:rFonts w:ascii="Consolas" w:hAnsi="Consolas"/>
          <w:sz w:val="19"/>
        </w:rPr>
        <w:t>engine/*_study/</w:t>
      </w:r>
      <w:r>
        <w:t xml:space="preserve"> committed cost-of-capital record, asserts the schedule shape and every rule above; ratcheted, population-anchored, negative-controlled); </w:t>
      </w:r>
      <w:r>
        <w:rPr>
          <w:rFonts w:ascii="Consolas" w:hAnsi="Consolas"/>
          <w:sz w:val="19"/>
        </w:rPr>
        <w:t>wacc_builder.py</w:t>
      </w:r>
      <w:r>
        <w:t xml:space="preserve"> reduced to a thin caller; the five studies migrated. </w:t>
      </w:r>
      <w:r>
        <w:rPr>
          <w:b/>
        </w:rPr>
        <w:t>Test.</w:t>
      </w:r>
      <w:r>
        <w:t xml:space="preserve"> The schedule reproduces AMOC's and ARCC's existing glides to 1e-6 (they already comply) and moves PHDC/TMGH by the glide alone. Promotion of any </w:t>
      </w:r>
      <w:r>
        <w:rPr>
          <w:i/>
        </w:rPr>
        <w:t>parameter</w:t>
      </w:r>
      <w:r>
        <w:t xml:space="preserve"> (λ, basis, shrinkage) is by WS6's out-of-sample record, not by this workstream. </w:t>
      </w:r>
      <w:r>
        <w:rPr>
          <w:b/>
        </w:rPr>
        <w:t>Effort.</w:t>
      </w:r>
      <w:r>
        <w:t xml:space="preserve"> 6–8 agent-runs, 3 days. </w:t>
      </w:r>
      <w:r>
        <w:rPr>
          <w:b/>
        </w:rPr>
        <w:t>Depends on</w:t>
      </w:r>
      <w:r>
        <w:t xml:space="preserve"> WS2 (macro path) for the terminal anchors; can start on a stub.</w:t>
      </w:r>
    </w:p>
    <w:p>
      <w:pPr>
        <w:pStyle w:val="Heading3"/>
      </w:pPr>
      <w:r>
        <w:t>WS2 — One house macro path per market  [R-MACRO-01]</w:t>
      </w:r>
    </w:p>
    <w:p>
      <w:r>
        <w:rPr>
          <w:b/>
        </w:rPr>
        <w:t>Problem.</w:t>
      </w:r>
      <w:r>
        <w:t xml:space="preserve"> Cause 3. Five studies, five inflation paths; terminal growth incoherent with terminal inflation; replacement-cost reinvestment charged on inflation-only growth; </w:t>
      </w:r>
      <w:r>
        <w:rPr>
          <w:rFonts w:ascii="Consolas" w:hAnsi="Consolas"/>
          <w:sz w:val="19"/>
        </w:rPr>
        <w:t>Cost_of_Capital_Reference.md</w:t>
      </w:r>
      <w:r>
        <w:t xml:space="preserve"> absent. </w:t>
      </w:r>
      <w:r>
        <w:rPr>
          <w:b/>
        </w:rPr>
        <w:t>Change.</w:t>
      </w:r>
      <w:r>
        <w:t xml:space="preserve"> </w:t>
      </w:r>
      <w:r>
        <w:rPr>
          <w:rFonts w:ascii="Consolas" w:hAnsi="Consolas"/>
          <w:sz w:val="19"/>
        </w:rPr>
        <w:t>engine/macro_path.py</w:t>
      </w:r>
      <w:r>
        <w:t xml:space="preserve"> + </w:t>
      </w:r>
      <w:r>
        <w:rPr>
          <w:rFonts w:ascii="Consolas" w:hAnsi="Consolas"/>
          <w:sz w:val="19"/>
        </w:rPr>
        <w:t>engine/macro_paths/{EG,AE,SA,QA,IN,KR,US}.json</w:t>
      </w:r>
      <w:r>
        <w:t xml:space="preserve">: per market, a dated and sourced inflation ladder (central-bank target path to terminal), FX path, policy-rate glide, sovereign curve point, terminal inflation, long-run corporate Kd norm, real-rate convention. Every study imports it; no study may carry its own inflation number. </w:t>
      </w:r>
      <w:r>
        <w:rPr>
          <w:rFonts w:ascii="Consolas" w:hAnsi="Consolas"/>
          <w:sz w:val="19"/>
        </w:rPr>
        <w:t>research_protocol.assert_macro_coherence(model_record)</w:t>
      </w:r>
      <w:r>
        <w:t xml:space="preserve">: every growth rate in a model's committed record is stored as (real, inflation-path id) and recomputes to its nominal; terminal g ≡ terminal inflation + a stated real g (default zero); terminal reinvestment by the value-driver formula on </w:t>
      </w:r>
      <w:r>
        <w:rPr>
          <w:b/>
        </w:rPr>
        <w:t>one basis</w:t>
      </w:r>
      <w:r>
        <w:t xml:space="preserve"> — nominal g against a nominal return on the same invested-capital measure NOPAT is earned on (protocol line 377 stands); what ARCC breaches is the basis, charging g/ROIC where ROIC is struck on replacement-cost capital nine times the book measure its NOPAT sits on. The </w:t>
      </w:r>
      <w:r>
        <w:rPr>
          <w:i/>
        </w:rPr>
        <w:t>choice</w:t>
      </w:r>
      <w:r>
        <w:t xml:space="preserve"> of capital basis (book, replacement, blended) is a class-B lever with a pre-registered candidate set, not an identity, and moves ARCC by up to +24%; the NEP lens, where kept, at E/(Ke − π) or in real terms. </w:t>
      </w:r>
      <w:r>
        <w:rPr>
          <w:b/>
        </w:rPr>
        <w:t>Explicit horizon rule:</w:t>
      </w:r>
      <w:r>
        <w:t xml:space="preserve"> the explicit window runs until the modelled growth path is within 2pp of terminal growth (</w:t>
      </w:r>
      <w:r>
        <w:rPr>
          <w:rFonts w:ascii="Consolas" w:hAnsi="Consolas"/>
          <w:sz w:val="19"/>
        </w:rPr>
        <w:t>assert_horizon_converged</w:t>
      </w:r>
      <w:r>
        <w:t xml:space="preserve">); a five-year window on a name compounding at 44% nominal, capitalised at a normalised terminal rate, makes the terminal 75–87% of value and is the second half of the PHDC swing. The file the protocol has referenced since July gets written: </w:t>
      </w:r>
      <w:r>
        <w:rPr>
          <w:rFonts w:ascii="Consolas" w:hAnsi="Consolas"/>
          <w:sz w:val="19"/>
        </w:rPr>
        <w:t>engine/Cost_of_Capital_Reference.md</w:t>
      </w:r>
      <w:r>
        <w:t xml:space="preserve">, generated from the JSON, never typed. </w:t>
      </w:r>
      <w:r>
        <w:rPr>
          <w:b/>
        </w:rPr>
        <w:t>Deliverables.</w:t>
      </w:r>
      <w:r>
        <w:t xml:space="preserve"> the module, the seven JSON files with sources, </w:t>
      </w:r>
      <w:r>
        <w:rPr>
          <w:rFonts w:ascii="Consolas" w:hAnsi="Consolas"/>
          <w:sz w:val="19"/>
        </w:rPr>
        <w:t>scripts/check_macro_coherence.py</w:t>
      </w:r>
      <w:r>
        <w:t xml:space="preserve"> (+ negative control), the reference document, L-048/L-055 promoted from lessons to a gate. </w:t>
      </w:r>
      <w:r>
        <w:rPr>
          <w:b/>
        </w:rPr>
        <w:t>Test.</w:t>
      </w:r>
      <w:r>
        <w:t xml:space="preserve"> Every model on the book re-expresses its growth rates against the path with zero unexplained residual; ARCC's terminal reinvestment recomputes on one basis. </w:t>
      </w:r>
      <w:r>
        <w:rPr>
          <w:b/>
        </w:rPr>
        <w:t>Effort.</w:t>
      </w:r>
      <w:r>
        <w:t xml:space="preserve"> 5–6 agent-runs, 3 days. </w:t>
      </w:r>
      <w:r>
        <w:rPr>
          <w:b/>
        </w:rPr>
        <w:t>Depends on</w:t>
      </w:r>
      <w:r>
        <w:t xml:space="preserve"> nothing.</w:t>
      </w:r>
    </w:p>
    <w:p>
      <w:pPr>
        <w:pStyle w:val="Heading3"/>
      </w:pPr>
      <w:r>
        <w:t>WS3 — Lens architecture v2: DCF central, cross-checks as range, per class  [R-LENS-03]</w:t>
      </w:r>
    </w:p>
    <w:p>
      <w:r>
        <w:rPr>
          <w:b/>
        </w:rPr>
        <w:t>Problem.</w:t>
      </w:r>
      <w:r>
        <w:t xml:space="preserve"> Cause 2. </w:t>
      </w:r>
      <w:r>
        <w:rPr>
          <w:b/>
        </w:rPr>
        <w:t>Change.</w:t>
      </w:r>
      <w:r>
        <w:t xml:space="preserve"> </w:t>
      </w:r>
      <w:r>
        <w:rPr>
          <w:rFonts w:ascii="Consolas" w:hAnsi="Consolas"/>
          <w:sz w:val="19"/>
        </w:rPr>
        <w:t>research_protocol.LENS_REGISTRY</w:t>
      </w:r>
      <w:r>
        <w:t xml:space="preserve"> keyed on </w:t>
      </w:r>
      <w:r>
        <w:rPr>
          <w:rFonts w:ascii="Consolas" w:hAnsi="Consolas"/>
          <w:sz w:val="19"/>
        </w:rPr>
        <w:t>lessons_register.CLASSES</w:t>
      </w:r>
      <w:r>
        <w:t xml:space="preserve"> by import — the ten registered classes, including the two developer sub-classes — never a second taxonomy for the same companies. By class: developer → DCF + RNAV (the digest's own LENS BY CLASS rule, never asserted — PHDC shipped with no RNAV). </w:t>
      </w:r>
      <w:r>
        <w:rPr>
          <w:b/>
        </w:rPr>
        <w:t>RNAV is specified before it can be a central:</w:t>
      </w:r>
      <w:r>
        <w:t xml:space="preserve"> a </w:t>
      </w:r>
      <w:r>
        <w:rPr>
          <w:i/>
        </w:rPr>
        <w:t>present-value</w:t>
      </w:r>
      <w:r>
        <w:t xml:space="preserve"> RNAV on one clock — land at cost with a labelled market cross-check (never market as the base), absorption on the company's own delivery rate, discounted at the WS1 schedule, no gross NAV; where land value per square metre is an undisclosed gap the class primary stays the DCF and RNAV is a cross-check (SIGCM clause 8); refiner/processor → DCF + EV/EBITDA on own history + replacement cost; fertiliser/cement → DCF + EV per tonne; bank → DDM + RI; holdco → SOTP. The DCF (or the class primary) is </w:t>
      </w:r>
      <w:r>
        <w:rPr>
          <w:rFonts w:ascii="Consolas" w:hAnsi="Consolas"/>
          <w:sz w:val="19"/>
        </w:rPr>
        <w:t>fair.base</w:t>
      </w:r>
      <w:r>
        <w:t xml:space="preserve">. The cross-checks are published in the same table and define </w:t>
      </w:r>
      <w:r>
        <w:rPr>
          <w:rFonts w:ascii="Consolas" w:hAnsi="Consolas"/>
          <w:sz w:val="19"/>
        </w:rPr>
        <w:t>fair.bear</w:t>
      </w:r>
      <w:r>
        <w:t>/</w:t>
      </w:r>
      <w:r>
        <w:rPr>
          <w:rFonts w:ascii="Consolas" w:hAnsi="Consolas"/>
          <w:sz w:val="19"/>
        </w:rPr>
        <w:t>fair.full</w:t>
      </w:r>
      <w:r>
        <w:t xml:space="preserve"> as the envelope of </w:t>
      </w:r>
      <w:r>
        <w:rPr>
          <w:i/>
        </w:rPr>
        <w:t>present-value</w:t>
      </w:r>
      <w:r>
        <w:t xml:space="preserve"> lenses (one clock), never averaged. Normalised earnings is Fisher-consistent or dropped. Book value is a disclosed floor, not a lens. Relative multiples are non-circular (forward earnings × a multiple from peers or own </w:t>
      </w:r>
      <w:r>
        <w:rPr>
          <w:i/>
        </w:rPr>
        <w:t>history</w:t>
      </w:r>
      <w:r>
        <w:t xml:space="preserve">, never the current price). </w:t>
      </w:r>
      <w:r>
        <w:rPr>
          <w:rFonts w:ascii="Consolas" w:hAnsi="Consolas"/>
          <w:sz w:val="19"/>
        </w:rPr>
        <w:t>assert_lens_design(study_record)</w:t>
      </w:r>
      <w:r>
        <w:t xml:space="preserve"> fails on a typed weight, a nominal-stasis lens, a circular multiple, a class with a missing primary. </w:t>
      </w:r>
      <w:r>
        <w:rPr>
          <w:b/>
        </w:rPr>
        <w:t>Deliverables.</w:t>
      </w:r>
      <w:r>
        <w:t xml:space="preserve"> the registry, the assert, </w:t>
      </w:r>
      <w:r>
        <w:rPr>
          <w:rFonts w:ascii="Consolas" w:hAnsi="Consolas"/>
          <w:sz w:val="19"/>
        </w:rPr>
        <w:t>scripts/check_lens_design.py</w:t>
      </w:r>
      <w:r>
        <w:t xml:space="preserve">, the five studies' lens tables rebuilt. </w:t>
      </w:r>
      <w:r>
        <w:rPr>
          <w:b/>
        </w:rPr>
        <w:t>Test.</w:t>
      </w:r>
      <w:r>
        <w:t xml:space="preserve"> On the five: the central becomes the DCF (PHDC 14.86, AMOC 9.77, ARCC 57.60 before WS1/WS2 effects); WS6 later tests whether </w:t>
      </w:r>
      <w:r>
        <w:rPr>
          <w:i/>
        </w:rPr>
        <w:t>any</w:t>
      </w:r>
      <w:r>
        <w:t xml:space="preserve"> blend beats DCF-only out of sample — if one does, it is promoted; the typed blend is retired now because it never cleared the bar it was required to. </w:t>
      </w:r>
      <w:r>
        <w:rPr>
          <w:b/>
        </w:rPr>
        <w:t>Effort.</w:t>
      </w:r>
      <w:r>
        <w:t xml:space="preserve"> 4–5 agent-runs, 2 days. </w:t>
      </w:r>
      <w:r>
        <w:rPr>
          <w:b/>
        </w:rPr>
        <w:t>Depends on</w:t>
      </w:r>
      <w:r>
        <w:t xml:space="preserve"> nothing.</w:t>
      </w:r>
    </w:p>
    <w:p>
      <w:pPr>
        <w:pStyle w:val="Heading3"/>
      </w:pPr>
      <w:r>
        <w:t>WS4 — The bridge standard, in code  [R-BRIDGE-01]</w:t>
      </w:r>
    </w:p>
    <w:p>
      <w:r>
        <w:rPr>
          <w:b/>
        </w:rPr>
        <w:t>Problem.</w:t>
      </w:r>
      <w:r>
        <w:t xml:space="preserve"> Cause 4. </w:t>
      </w:r>
      <w:r>
        <w:rPr>
          <w:b/>
        </w:rPr>
        <w:t>Change.</w:t>
      </w:r>
      <w:r>
        <w:t xml:space="preserve"> </w:t>
      </w:r>
      <w:r>
        <w:rPr>
          <w:rFonts w:ascii="Consolas" w:hAnsi="Consolas"/>
          <w:sz w:val="19"/>
        </w:rPr>
        <w:t>research_protocol.assert_bridge(record)</w:t>
      </w:r>
      <w:r>
        <w:t xml:space="preserve">: NCI at its share of </w:t>
      </w:r>
      <w:r>
        <w:rPr>
          <w:i/>
        </w:rPr>
        <w:t>value</w:t>
      </w:r>
      <w:r>
        <w:t xml:space="preserve"> — subsidiary-level where the minority's subsidiaries are disclosed, otherwise the value-weighted proxy, with book, profit-share and proportional published side by side and the adopted basis named; cash and deposits charged exactly once (in the bridge, never also in the flow); net-debt weights where the net cash is non-operating; dividends deducted only if declared after the bridge's balance-sheet date; leases; associates at market where listed, else book; the bridge stands on the latest disclosed balance sheet — asserted against the filing date in the study's sweep or IR register, which today exists only for ARCC, EGCH (sweep) and AMOC, PHDC, TMGH (walk-forward IR register); a name with neither is a FAIL, not a skip, per </w:t>
      </w:r>
      <w:r>
        <w:rPr>
          <w:rFonts w:ascii="Consolas" w:hAnsi="Consolas"/>
          <w:color w:val="8F7326"/>
          <w:sz w:val="19"/>
        </w:rPr>
        <w:t>[R-ENF-04]</w:t>
      </w:r>
      <w:r>
        <w:t xml:space="preserve">. </w:t>
      </w:r>
      <w:r>
        <w:rPr>
          <w:b/>
        </w:rPr>
        <w:t>Deliverables.</w:t>
      </w:r>
      <w:r>
        <w:t xml:space="preserve"> the assert, </w:t>
      </w:r>
      <w:r>
        <w:rPr>
          <w:rFonts w:ascii="Consolas" w:hAnsi="Consolas"/>
          <w:sz w:val="19"/>
        </w:rPr>
        <w:t>scripts/check_bridge.py</w:t>
      </w:r>
      <w:r>
        <w:t xml:space="preserve">, the five studies migrated. </w:t>
      </w:r>
      <w:r>
        <w:rPr>
          <w:b/>
        </w:rPr>
        <w:t>Test.</w:t>
      </w:r>
      <w:r>
        <w:t xml:space="preserve"> Reproduces AMOC's corrected bridge; moves TMGH and PHDC by the minority basis alone. </w:t>
      </w:r>
      <w:r>
        <w:rPr>
          <w:b/>
        </w:rPr>
        <w:t>Effort.</w:t>
      </w:r>
      <w:r>
        <w:t xml:space="preserve"> 3–4 agent-runs, 2 days. </w:t>
      </w:r>
      <w:r>
        <w:rPr>
          <w:b/>
        </w:rPr>
        <w:t>Depends on</w:t>
      </w:r>
      <w:r>
        <w:t xml:space="preserve"> nothing.</w:t>
      </w:r>
    </w:p>
    <w:p>
      <w:pPr>
        <w:pStyle w:val="Heading3"/>
      </w:pPr>
      <w:r>
        <w:t>WS5 — Statement calibration v2: from measurement to actuator  [R-FCAL-01 amended]</w:t>
      </w:r>
    </w:p>
    <w:p>
      <w:r>
        <w:rPr>
          <w:b/>
        </w:rPr>
        <w:t>Problem.</w:t>
      </w:r>
      <w:r>
        <w:t xml:space="preserve"> Causes 5, 8, 11. The walk-forward measures and never acts; studies build below their own record; the log does not reconcile to the claim. </w:t>
      </w:r>
      <w:r>
        <w:rPr>
          <w:b/>
        </w:rPr>
        <w:t>Why this workstream is not optional.</w:t>
      </w:r>
      <w:r>
        <w:t xml:space="preserve"> PHDC's profit over-forecast (+1.12 log, 97% of cells) is what turns the corrected rate into a +83% DCF; TMGH's sales under-forecast (−0.88 log) is what turns the uncorrected rate into a −60% one. The valuation layer cannot be fixed on top of an unactuated statement layer. </w:t>
      </w:r>
      <w:r>
        <w:rPr>
          <w:b/>
        </w:rPr>
        <w:t>Change.</w:t>
      </w:r>
      <w:r>
        <w:t xml:space="preserve"> (a) A pre-registered </w:t>
      </w:r>
      <w:r>
        <w:rPr>
          <w:i/>
        </w:rPr>
        <w:t>decision rule</w:t>
      </w:r>
      <w:r>
        <w:t xml:space="preserve"> replaces "watch flag by default": a bias is corrected when it is era-stable, the corrected forecast beats FREEZE out of sample under the block bootstrap, and the correction strength comes from shrinkage toward zero by its own standard error — not a typed 0.5. Any change to the rule hypothesised from one name's record (the TMGH break-reset case) is tested with that record </w:t>
      </w:r>
      <w:r>
        <w:rPr>
          <w:b/>
        </w:rPr>
        <w:t>excluded</w:t>
      </w:r>
      <w:r>
        <w:t xml:space="preserve"> from the adoption count. (b) </w:t>
      </w:r>
      <w:r>
        <w:rPr>
          <w:rFonts w:ascii="Consolas" w:hAnsi="Consolas"/>
          <w:sz w:val="19"/>
        </w:rPr>
        <w:t>assert_forward_inside_record(study, walkforward)</w:t>
      </w:r>
      <w:r>
        <w:t xml:space="preserve">: every forward driver in a study sits inside its own walk-forward's p10–p90, or the study names the mechanism and prices the exception. (c) </w:t>
      </w:r>
      <w:r>
        <w:rPr>
          <w:rFonts w:ascii="Consolas" w:hAnsi="Consolas"/>
          <w:sz w:val="19"/>
        </w:rPr>
        <w:t>assert_corrections_reconcile</w:t>
      </w:r>
      <w:r>
        <w:t xml:space="preserve">: the study's claimed adoptions equal </w:t>
      </w:r>
      <w:r>
        <w:rPr>
          <w:rFonts w:ascii="Consolas" w:hAnsi="Consolas"/>
          <w:sz w:val="19"/>
        </w:rPr>
        <w:t>corrections_log.json</w:t>
      </w:r>
      <w:r>
        <w:t xml:space="preserve">. (d) The revenue rule gets what the record says it lacks — the method under-forecasts revenue on four of five names, so the volume/sales driver class acquires a growth term estimated from the record and tested against FREEZE and TREND. (e) The over-forecast on PHDC's profit is treated the same way in the other direction — the instrument is symmetric. </w:t>
      </w:r>
      <w:r>
        <w:rPr>
          <w:b/>
        </w:rPr>
        <w:t>Deliverables.</w:t>
      </w:r>
      <w:r>
        <w:t xml:space="preserve"> </w:t>
      </w:r>
      <w:r>
        <w:rPr>
          <w:rFonts w:ascii="Consolas" w:hAnsi="Consolas"/>
          <w:sz w:val="19"/>
        </w:rPr>
        <w:t>engine/walkforward/decision_rule.py</w:t>
      </w:r>
      <w:r>
        <w:t xml:space="preserve">; the two asserts; </w:t>
      </w:r>
      <w:r>
        <w:rPr>
          <w:rFonts w:ascii="Consolas" w:hAnsi="Consolas"/>
          <w:sz w:val="19"/>
        </w:rPr>
        <w:t>scripts/check_walkforward_actuation.py</w:t>
      </w:r>
      <w:r>
        <w:t xml:space="preserve">; the five training records re-scored under the rule (no new data needed); </w:t>
      </w:r>
      <w:r>
        <w:rPr>
          <w:rFonts w:ascii="Consolas" w:hAnsi="Consolas"/>
          <w:sz w:val="19"/>
        </w:rPr>
        <w:t>Fundamental_Walkforward_Prompt.md</w:t>
      </w:r>
      <w:r>
        <w:t xml:space="preserve"> amended. </w:t>
      </w:r>
      <w:r>
        <w:rPr>
          <w:b/>
        </w:rPr>
        <w:t>Test.</w:t>
      </w:r>
      <w:r>
        <w:t xml:space="preserve"> On the five records, the rule's adopted corrections beat FREEZE out of sample; TMGH's log reconciles; every study's forward drivers pass (b) or carry a priced exception. </w:t>
      </w:r>
      <w:r>
        <w:rPr>
          <w:b/>
        </w:rPr>
        <w:t>Effort.</w:t>
      </w:r>
      <w:r>
        <w:t xml:space="preserve"> 6–8 agent-runs, 4 days. </w:t>
      </w:r>
      <w:r>
        <w:rPr>
          <w:b/>
        </w:rPr>
        <w:t>Depends on</w:t>
      </w:r>
      <w:r>
        <w:t xml:space="preserve"> nothing for (a)–(c); (d) benefits from WS6.</w:t>
      </w:r>
    </w:p>
    <w:p>
      <w:pPr>
        <w:pStyle w:val="Heading3"/>
      </w:pPr>
      <w:r>
        <w:t>WS6 — The valuation calibration  [R-VCAL-01] — the walk-forward that answers the question</w:t>
      </w:r>
    </w:p>
    <w:p>
      <w:r>
        <w:rPr>
          <w:color w:val="5B6672"/>
          <w:sz w:val="18"/>
        </w:rPr>
        <w:t xml:space="preserve">Directory </w:t>
      </w:r>
      <w:r>
        <w:rPr>
          <w:rFonts w:ascii="Consolas" w:hAnsi="Consolas"/>
          <w:color w:val="5B6672"/>
          <w:sz w:val="18"/>
        </w:rPr>
        <w:t>engine/valuation_calibration/</w:t>
      </w:r>
      <w:r>
        <w:rPr>
          <w:color w:val="5B6672"/>
          <w:sz w:val="18"/>
        </w:rPr>
        <w:t xml:space="preserve">, deliberately not </w:t>
      </w:r>
      <w:r>
        <w:rPr>
          <w:rFonts w:ascii="Consolas" w:hAnsi="Consolas"/>
          <w:color w:val="5B6672"/>
          <w:sz w:val="18"/>
        </w:rPr>
        <w:t>*_walkforward</w:t>
      </w:r>
      <w:r>
        <w:rPr>
          <w:color w:val="5B6672"/>
          <w:sz w:val="18"/>
        </w:rPr>
        <w:t>: the lessons gate anchors its population on that suffix and would fail a directory with no harvested lesson.</w:t>
      </w:r>
    </w:p>
    <w:p>
      <w:r>
        <w:rPr>
          <w:b/>
        </w:rPr>
        <w:t>Problem.</w:t>
      </w:r>
      <w:r>
        <w:t xml:space="preserve"> Cause 9 in its deepest form: no fair value has ever been graded against what happened. The principal's test — </w:t>
      </w:r>
      <w:r>
        <w:rPr>
          <w:i/>
        </w:rPr>
        <w:t>does calibration bring the fair value closer to the actual price</w:t>
      </w:r>
      <w:r>
        <w:t xml:space="preserve"> — has no instrument. </w:t>
      </w:r>
      <w:r>
        <w:rPr>
          <w:b/>
        </w:rPr>
        <w:t>Change.</w:t>
      </w:r>
      <w:r>
        <w:t xml:space="preserve"> At each year-end origin from 2013 to 2023, rebuild the house fair value with point-in-time information only and grade it against the price 1, 2 and 3 years later and against realised total return.</w:t>
      </w:r>
    </w:p>
    <w:p>
      <w:pPr>
        <w:pStyle w:val="ListBullet"/>
      </w:pPr>
      <w:r>
        <w:rPr>
          <w:b/>
        </w:rPr>
        <w:t>Population.</w:t>
      </w:r>
      <w:r>
        <w:t xml:space="preserve"> FULL on the names with parsed statements (the five, then each name the campaign adds); LIGHT on the 26 further EGX names with ≥10 years of prices, using a fixed point-in-time proxy model (trailing statement lines from the filings the walk-forward already parses, or where absent a declared reduced form) — declared as a proxy, never dressed as the full method.</w:t>
      </w:r>
    </w:p>
    <w:p>
      <w:pPr>
        <w:pStyle w:val="ListBullet"/>
      </w:pPr>
      <w:r>
        <w:rPr>
          <w:b/>
        </w:rPr>
        <w:t>Frozen at origin.</w:t>
      </w:r>
      <w:r>
        <w:t xml:space="preserve"> Drivers from the statement walk-forward at that origin; cost of capital from the point-in-time sovereign curve, CPI print, policy rate and ERP vintage — which requires </w:t>
      </w:r>
      <w:r>
        <w:rPr>
          <w:b/>
        </w:rPr>
        <w:t>`engine/macro_history/EG.json`</w:t>
      </w:r>
      <w:r>
        <w:t>, a dated archive assembled from CBE, treasury auction and Damodaran vintages (the long pole; see risks); the lens set and bridge from WS3/WS4.</w:t>
      </w:r>
    </w:p>
    <w:p>
      <w:pPr>
        <w:pStyle w:val="ListBullet"/>
      </w:pPr>
      <w:r>
        <w:rPr>
          <w:b/>
        </w:rPr>
        <w:t>Score — two pre-registered series, because a fair value struck today is not a forecast of the price in three years.</w:t>
      </w:r>
      <w:r>
        <w:t xml:space="preserve"> At a 27–37% cost of equity a fair value that agrees with the price at t </w:t>
      </w:r>
      <w:r>
        <w:rPr>
          <w:i/>
        </w:rPr>
        <w:t>should</w:t>
      </w:r>
      <w:r>
        <w:t xml:space="preserve"> sit 15–30 log points below the price at t+1 by construction, so a raw log(FV_t / P_{t+h}) with a zero-bias acceptance is mis-specified. Pre-registered instead: (i) </w:t>
      </w:r>
      <w:r>
        <w:rPr>
          <w:b/>
        </w:rPr>
        <w:t>contemporaneous agreement</w:t>
      </w:r>
      <w:r>
        <w:t xml:space="preserve">, log(FV_t / P_t) at every origin — the direct measure of the house lean; (ii) </w:t>
      </w:r>
      <w:r>
        <w:rPr>
          <w:b/>
        </w:rPr>
        <w:t>gap closure</w:t>
      </w:r>
      <w:r>
        <w:t xml:space="preserve">, whether log(FV_t / P_t) predicts the subsequent one-, two- and three-year total return net of carry — the measure of whether the lean is information. Bias, MAE, sign, block-bootstrap CI over origins (blocks 2–4, seed 42), split by era (pre/post the 2016 and 2022–24 devaluations), leave-one-name-out across the panel; the effective independent n (about the origin count) printed beside the cell count. </w:t>
      </w:r>
      <w:r>
        <w:rPr>
          <w:b/>
        </w:rPr>
        <w:t>Two fair-value series</w:t>
      </w:r>
      <w:r>
        <w:t xml:space="preserve">, because mechanical drivers at past origins cannot reproduce a 2025 study built on judgement drivers: (a) the mechanical-method fair value at every origin including 2025, and (b) the as-delivered fair value at 2025 only, reconciled to (a) with the difference attributed to named judgement drivers. Origins need a price date, and no publication-date field exists in the repo (the PHDC register's </w:t>
      </w:r>
      <w:r>
        <w:rPr>
          <w:rFonts w:ascii="Consolas" w:hAnsi="Consolas"/>
          <w:sz w:val="19"/>
        </w:rPr>
        <w:t>last_modified</w:t>
      </w:r>
      <w:r>
        <w:t xml:space="preserve"> is a 2022 content-management stamp on 2015–2021 documents; TMGH carries period only; ARCC has no register). Pre-registered: the origin price is the first close on or after a fixed lag from fiscal year-end (Egypt: 90 days, the disclosure deadline), with the EGX disclosure date substituted per filing wherever it is added to the register through a Day-0 STOP-AND-ASK. </w:t>
      </w:r>
      <w:r>
        <w:rPr>
          <w:b/>
        </w:rPr>
        <w:t>Decomposition</w:t>
      </w:r>
      <w:r>
        <w:t xml:space="preserve"> by re-running each origin with one lever at its realised value: cost-of-capital path, level, terminal, lens, bridge, drivers — so the plan's Part A shares become measured, not inferred. </w:t>
      </w:r>
      <w:r>
        <w:rPr>
          <w:b/>
        </w:rPr>
        <w:t>Benchmarks:</w:t>
      </w:r>
      <w:r>
        <w:t xml:space="preserve"> FV = P_t (no skill), FV = trailing P/E × EPS, FV = book. A method that cannot beat "the price is right" has not earned a fair value.</w:t>
      </w:r>
    </w:p>
    <w:p>
      <w:pPr>
        <w:pStyle w:val="ListBullet"/>
      </w:pPr>
      <w:r>
        <w:rPr>
          <w:b/>
        </w:rPr>
        <w:t>Promotion — sequential, in a pre-registered order, with a stop rule.</w:t>
      </w:r>
      <w:r>
        <w:t xml:space="preserve"> Levers are evaluated one at a time on the current stack in the order written into the pre-registration (glide → terminal anchors → basis → λ → shrinkage → lens set), and a lever is promoted only while the stacked pooled contemporaneous bias moves toward zero </w:t>
      </w:r>
      <w:r>
        <w:rPr>
          <w:b/>
        </w:rPr>
        <w:t>without crossing it by more than the bootstrap half-width</w:t>
      </w:r>
      <w:r>
        <w:t>; promotion stops the moment it would. This replaces any per-lever "improves on three of four names" rule, which can stack five individually-justified moves into an overshoot. The symmetric guard: a positive bias is a finding exactly as a negative one is.</w:t>
      </w:r>
    </w:p>
    <w:p>
      <w:pPr>
        <w:pStyle w:val="ListBullet"/>
      </w:pPr>
      <w:r>
        <w:rPr>
          <w:b/>
        </w:rPr>
        <w:t>The pre-registration is hashed and committed before any score exists</w:t>
      </w:r>
      <w:r>
        <w:t xml:space="preserve">, and </w:t>
      </w:r>
      <w:r>
        <w:rPr>
          <w:rFonts w:ascii="Consolas" w:hAnsi="Consolas"/>
          <w:sz w:val="19"/>
        </w:rPr>
        <w:t>check_valuation_calibration.py</w:t>
      </w:r>
      <w:r>
        <w:t xml:space="preserve"> asserts that the pre-registration commit precedes every score file — the only mechanical proof that no lever was fitted to the gap.</w:t>
      </w:r>
    </w:p>
    <w:p>
      <w:pPr>
        <w:pStyle w:val="ListBullet"/>
      </w:pPr>
      <w:r>
        <w:rPr>
          <w:b/>
        </w:rPr>
        <w:t>What it is not.</w:t>
      </w:r>
      <w:r>
        <w:t xml:space="preserve"> Not an input to any study. Not a way to fit fair values to prices — the promotion bar is out-of-sample and cross-name, the CRPS-selection precedent applies in full.</w:t>
      </w:r>
    </w:p>
    <w:p>
      <w:r>
        <w:rPr>
          <w:b/>
        </w:rPr>
        <w:t>Deliverables.</w:t>
      </w:r>
      <w:r>
        <w:t xml:space="preserve"> </w:t>
      </w:r>
      <w:r>
        <w:rPr>
          <w:rFonts w:ascii="Consolas" w:hAnsi="Consolas"/>
          <w:sz w:val="19"/>
        </w:rPr>
        <w:t>engine/fv_vintages.json</w:t>
      </w:r>
      <w:r>
        <w:t xml:space="preserve"> — a dated archive of every published fair value, written by every re-issue and by the site build, because </w:t>
      </w:r>
      <w:r>
        <w:rPr>
          <w:rFonts w:ascii="Consolas" w:hAnsi="Consolas"/>
          <w:sz w:val="19"/>
        </w:rPr>
        <w:t>assets/data.js</w:t>
      </w:r>
      <w:r>
        <w:t xml:space="preserve"> carries one undated </w:t>
      </w:r>
      <w:r>
        <w:rPr>
          <w:rFonts w:ascii="Consolas" w:hAnsi="Consolas"/>
          <w:sz w:val="19"/>
        </w:rPr>
        <w:t>fair{}</w:t>
      </w:r>
      <w:r>
        <w:t xml:space="preserve"> per name and the value-gap backtest had to reconstruct vintages from git history (32 observations, one month); the calibration and every future backtest read vintages from here. </w:t>
      </w:r>
      <w:r>
        <w:rPr>
          <w:rFonts w:ascii="Consolas" w:hAnsi="Consolas"/>
          <w:sz w:val="19"/>
        </w:rPr>
        <w:t>engine/valuation_calibration/</w:t>
      </w:r>
      <w:r>
        <w:t xml:space="preserve"> (</w:t>
      </w:r>
      <w:r>
        <w:rPr>
          <w:rFonts w:ascii="Consolas" w:hAnsi="Consolas"/>
          <w:sz w:val="19"/>
        </w:rPr>
        <w:t>PRE_REGISTRATION_{date}.md</w:t>
      </w:r>
      <w:r>
        <w:t xml:space="preserve"> first, hashed; then </w:t>
      </w:r>
      <w:r>
        <w:rPr>
          <w:rFonts w:ascii="Consolas" w:hAnsi="Consolas"/>
          <w:sz w:val="19"/>
        </w:rPr>
        <w:t>panel.py</w:t>
      </w:r>
      <w:r>
        <w:t xml:space="preserve">, </w:t>
      </w:r>
      <w:r>
        <w:rPr>
          <w:rFonts w:ascii="Consolas" w:hAnsi="Consolas"/>
          <w:sz w:val="19"/>
        </w:rPr>
        <w:t>score.py</w:t>
      </w:r>
      <w:r>
        <w:t xml:space="preserve">, </w:t>
      </w:r>
      <w:r>
        <w:rPr>
          <w:rFonts w:ascii="Consolas" w:hAnsi="Consolas"/>
          <w:sz w:val="19"/>
        </w:rPr>
        <w:t>decompose.py</w:t>
      </w:r>
      <w:r>
        <w:t xml:space="preserve">, </w:t>
      </w:r>
      <w:r>
        <w:rPr>
          <w:rFonts w:ascii="Consolas" w:hAnsi="Consolas"/>
          <w:sz w:val="19"/>
        </w:rPr>
        <w:t>report.py</w:t>
      </w:r>
      <w:r>
        <w:t xml:space="preserve">; </w:t>
      </w:r>
      <w:r>
        <w:rPr>
          <w:rFonts w:ascii="Consolas" w:hAnsi="Consolas"/>
          <w:sz w:val="19"/>
        </w:rPr>
        <w:t>PREDICTIONS_{date}.md</w:t>
      </w:r>
      <w:r>
        <w:t xml:space="preserve"> carrying the plan's own graded predictions, Part E); </w:t>
      </w:r>
      <w:r>
        <w:rPr>
          <w:rFonts w:ascii="Consolas" w:hAnsi="Consolas"/>
          <w:sz w:val="19"/>
        </w:rPr>
        <w:t>engine/macro_history/EG.json</w:t>
      </w:r>
      <w:r>
        <w:t xml:space="preserve"> with sources; the training record; </w:t>
      </w:r>
      <w:r>
        <w:rPr>
          <w:rFonts w:ascii="Consolas" w:hAnsi="Consolas"/>
          <w:sz w:val="19"/>
        </w:rPr>
        <w:t>scripts/check_valuation_calibration.py</w:t>
      </w:r>
      <w:r>
        <w:t xml:space="preserve"> (population anchored on the price libraries after Step 0.0 per </w:t>
      </w:r>
      <w:r>
        <w:rPr>
          <w:rFonts w:ascii="Consolas" w:hAnsi="Consolas"/>
          <w:color w:val="8F7326"/>
          <w:sz w:val="19"/>
        </w:rPr>
        <w:t>[R-ENF-04]</w:t>
      </w:r>
      <w:r>
        <w:t xml:space="preserve">; negative-controlled); the rule in both governing documents. </w:t>
      </w:r>
      <w:r>
        <w:rPr>
          <w:b/>
        </w:rPr>
        <w:t>Test.</w:t>
      </w:r>
      <w:r>
        <w:t xml:space="preserve"> The pre-registered score on the five, then the panel; the record is the acceptance criterion in Part E. </w:t>
      </w:r>
      <w:r>
        <w:rPr>
          <w:b/>
        </w:rPr>
        <w:t>Effort.</w:t>
      </w:r>
      <w:r>
        <w:t xml:space="preserve"> 12–16 agent-runs, 8–10 days (the archive is 3–4 of them). </w:t>
      </w:r>
      <w:r>
        <w:rPr>
          <w:b/>
        </w:rPr>
        <w:t>Depends on</w:t>
      </w:r>
      <w:r>
        <w:t xml:space="preserve"> WS1–WS4 for the method it grades; the data assembly starts day one.</w:t>
      </w:r>
    </w:p>
    <w:p>
      <w:pPr>
        <w:pStyle w:val="Heading3"/>
      </w:pPr>
      <w:r>
        <w:t>WS7 — Output gates: the process audits its own answer  [R-GAP-01 amended, R-ENF-05]</w:t>
      </w:r>
    </w:p>
    <w:p>
      <w:r>
        <w:rPr>
          <w:b/>
        </w:rPr>
        <w:t>Problem.</w:t>
      </w:r>
      <w:r>
        <w:t xml:space="preserve"> Cause 9 and 10; the principal must never again prompt "check the cost of capital, the revenue, the cost". </w:t>
      </w:r>
      <w:r>
        <w:rPr>
          <w:b/>
        </w:rPr>
        <w:t>The artefact every gate reads.</w:t>
      </w:r>
      <w:r>
        <w:t xml:space="preserve"> Each study commits a machine-readable </w:t>
      </w:r>
      <w:r>
        <w:rPr>
          <w:b/>
        </w:rPr>
        <w:t>`answer.json`</w:t>
      </w:r>
      <w:r>
        <w:t xml:space="preserve"> — central, bear and full with their basis; the spot and its date; the site's published value at the time; every class-B level with its calibration score id or the word </w:t>
      </w:r>
      <w:r>
        <w:rPr>
          <w:i/>
        </w:rPr>
        <w:t>untested</w:t>
      </w:r>
      <w:r>
        <w:t xml:space="preserve">; the study SHA and numbers-file edition; the reverse-DCF; the contested-judgements sign test. Every output gate below reads that file and nothing else, so a gate cannot be pointed at a superseded edition (the ARCC lesson, L-067). This is </w:t>
      </w:r>
      <w:r>
        <w:rPr>
          <w:rFonts w:ascii="Consolas" w:hAnsi="Consolas"/>
          <w:color w:val="8F7326"/>
          <w:sz w:val="19"/>
        </w:rPr>
        <w:t>[R-ENF-05]</w:t>
      </w:r>
      <w:r>
        <w:t xml:space="preserve">. </w:t>
      </w:r>
      <w:r>
        <w:rPr>
          <w:b/>
        </w:rPr>
        <w:t>Change.</w:t>
      </w:r>
      <w:r>
        <w:t xml:space="preserve"> (a) The gap gate becomes </w:t>
      </w:r>
      <w:r>
        <w:rPr>
          <w:b/>
        </w:rPr>
        <w:t>two-sided</w:t>
      </w:r>
      <w:r>
        <w:t xml:space="preserve">: a central more than 10% </w:t>
      </w:r>
      <w:r>
        <w:rPr>
          <w:i/>
        </w:rPr>
        <w:t>above</w:t>
      </w:r>
      <w:r>
        <w:t xml:space="preserve"> price gets the same eight-heading review — the instruction was one-sided and the plan recommends symmetry because the diagnosis found a one-sided defence is how the lean survived. </w:t>
      </w:r>
      <w:r>
        <w:rPr>
          <w:b/>
        </w:rPr>
        <w:t>Mandatory inside this programme, not only at publish:</w:t>
      </w:r>
      <w:r>
        <w:t xml:space="preserve"> the programme's own numbers put TMGH's corrected capacity case above 97.80 and possibly above the 147.12 on the site, so every re-issue that lands more than 10% either side of price gets its review before its files are staged. (b) Every study prints a </w:t>
      </w:r>
      <w:r>
        <w:rPr>
          <w:b/>
        </w:rPr>
        <w:t>"what you must believe" table</w:t>
      </w:r>
      <w:r>
        <w:t xml:space="preserve"> — the reverse-DCF: the discount rate, growth, margin and conversion the price implies under the study's drivers — as a standing diagnostic beside the answer. It lives in a separate </w:t>
      </w:r>
      <w:r>
        <w:rPr>
          <w:rFonts w:ascii="Consolas" w:hAnsi="Consolas"/>
          <w:sz w:val="19"/>
        </w:rPr>
        <w:t>diagnostics.json</w:t>
      </w:r>
      <w:r>
        <w:t xml:space="preserve">, </w:t>
      </w:r>
      <w:r>
        <w:rPr>
          <w:b/>
        </w:rPr>
        <w:t>never in the numbers file every builder reads</w:t>
      </w:r>
      <w:r>
        <w:t xml:space="preserve"> (a price-derived rate inside the cost-of-capital builder is what protocol r2 item 4 prohibits), and </w:t>
      </w:r>
      <w:r>
        <w:rPr>
          <w:rFonts w:ascii="Consolas" w:hAnsi="Consolas"/>
          <w:sz w:val="19"/>
        </w:rPr>
        <w:t>assert_reverse_dcf_present</w:t>
      </w:r>
      <w:r>
        <w:t xml:space="preserve"> also asserts that no builder imports it. (b′) </w:t>
      </w:r>
      <w:r>
        <w:rPr>
          <w:b/>
        </w:rPr>
        <w:t>The selection lean gets an instrument:</w:t>
      </w:r>
      <w:r>
        <w:t xml:space="preserve"> every study commits </w:t>
      </w:r>
      <w:r>
        <w:rPr>
          <w:rFonts w:ascii="Consolas" w:hAnsi="Consolas"/>
          <w:sz w:val="19"/>
        </w:rPr>
        <w:t>contested_judgements.json</w:t>
      </w:r>
      <w:r>
        <w:t xml:space="preserve"> — every choice worth more than 5% of value, both framings' values, the side adopted and why — with a sign test printed on the answer card and a CI flag when a study resolves all such choices one way at p &lt; 0.05. (c) The four construction gates (WS1–WS4) and the two actuation asserts (WS5) run in CI over every study, negative-controlled; each ratchet list is written by its own gate's first run against a population counted elsewhere, in the same commit as the gate — never seeded by hand. (d) </w:t>
      </w:r>
      <w:r>
        <w:rPr>
          <w:b/>
        </w:rPr>
        <w:t>A computed correction is applied or blocks:</w:t>
      </w:r>
      <w:r>
        <w:t xml:space="preserve"> a </w:t>
      </w:r>
      <w:r>
        <w:rPr>
          <w:rFonts w:ascii="Consolas" w:hAnsi="Consolas"/>
          <w:sz w:val="19"/>
        </w:rPr>
        <w:t>GAP_REVIEW</w:t>
      </w:r>
      <w:r>
        <w:t xml:space="preserve"> that quantifies a correction either lands it in the same commit or registers it in a </w:t>
      </w:r>
      <w:r>
        <w:rPr>
          <w:rFonts w:ascii="Consolas" w:hAnsi="Consolas"/>
          <w:sz w:val="19"/>
        </w:rPr>
        <w:t>gap_outstanding</w:t>
      </w:r>
      <w:r>
        <w:t xml:space="preserve"> entry with a date — a review that leaves a computed correction unapplied fails the gate; every review carries the study SHA and numbers-file edition it audited, so a re-issue cannot inherit a stale clean bill (the L-066/L-067 species). The answer card also prints the site's published value beside the committed one, so the direction of every future site move is visible before any publish. (e) The bear/full range is asserted to be a present-value envelope that contains the central and is stated with its basis (scenario spread is not a probability range and is labelled as such). </w:t>
      </w:r>
      <w:r>
        <w:rPr>
          <w:b/>
        </w:rPr>
        <w:t>Deliverables.</w:t>
      </w:r>
      <w:r>
        <w:t xml:space="preserve"> </w:t>
      </w:r>
      <w:r>
        <w:rPr>
          <w:rFonts w:ascii="Consolas" w:hAnsi="Consolas"/>
          <w:sz w:val="19"/>
        </w:rPr>
        <w:t>check_valuation_gap.py</w:t>
      </w:r>
      <w:r>
        <w:t xml:space="preserve"> amended + negative control; </w:t>
      </w:r>
      <w:r>
        <w:rPr>
          <w:rFonts w:ascii="Consolas" w:hAnsi="Consolas"/>
          <w:sz w:val="19"/>
        </w:rPr>
        <w:t>research_protocol.assert_reverse_dcf</w:t>
      </w:r>
      <w:r>
        <w:t xml:space="preserve">; </w:t>
      </w:r>
      <w:r>
        <w:rPr>
          <w:rFonts w:ascii="Consolas" w:hAnsi="Consolas"/>
          <w:sz w:val="19"/>
        </w:rPr>
        <w:t>scripts/check_corrections_applied.py</w:t>
      </w:r>
      <w:r>
        <w:t>; the CI workflow — checked out at full depth (</w:t>
      </w:r>
      <w:r>
        <w:rPr>
          <w:rFonts w:ascii="Consolas" w:hAnsi="Consolas"/>
          <w:sz w:val="19"/>
        </w:rPr>
        <w:t>fetch-depth: 0</w:t>
      </w:r>
      <w:r>
        <w:t xml:space="preserve">), because the pre-registration-precedes-scores check and the value-gap backtest both read git history and the existing study-provenance job runs at depth 1; trigger paths covering </w:t>
      </w:r>
      <w:r>
        <w:rPr>
          <w:rFonts w:ascii="Consolas" w:hAnsi="Consolas"/>
          <w:sz w:val="19"/>
        </w:rPr>
        <w:t>engine/valuation_calibration/**</w:t>
      </w:r>
      <w:r>
        <w:t xml:space="preserve">, </w:t>
      </w:r>
      <w:r>
        <w:rPr>
          <w:rFonts w:ascii="Consolas" w:hAnsi="Consolas"/>
          <w:sz w:val="19"/>
        </w:rPr>
        <w:t>engine/macro_paths/**</w:t>
      </w:r>
      <w:r>
        <w:t xml:space="preserve">, </w:t>
      </w:r>
      <w:r>
        <w:rPr>
          <w:rFonts w:ascii="Consolas" w:hAnsi="Consolas"/>
          <w:sz w:val="19"/>
        </w:rPr>
        <w:t>engine/macro_history/**</w:t>
      </w:r>
      <w:r>
        <w:t xml:space="preserve"> and </w:t>
      </w:r>
      <w:r>
        <w:rPr>
          <w:rFonts w:ascii="Consolas" w:hAnsi="Consolas"/>
          <w:sz w:val="19"/>
        </w:rPr>
        <w:t>engine/gates/**</w:t>
      </w:r>
      <w:r>
        <w:t xml:space="preserve">. </w:t>
      </w:r>
      <w:r>
        <w:rPr>
          <w:b/>
        </w:rPr>
        <w:t>The asserts live in per-area modules</w:t>
      </w:r>
      <w:r>
        <w:t xml:space="preserve"> — </w:t>
      </w:r>
      <w:r>
        <w:rPr>
          <w:rFonts w:ascii="Consolas" w:hAnsi="Consolas"/>
          <w:sz w:val="19"/>
        </w:rPr>
        <w:t>engine/gates/{rate_path,macro,lens,bridge,record,answer}.py</w:t>
      </w:r>
      <w:r>
        <w:t xml:space="preserve">, re-exported by </w:t>
      </w:r>
      <w:r>
        <w:rPr>
          <w:rFonts w:ascii="Consolas" w:hAnsi="Consolas"/>
          <w:sz w:val="19"/>
        </w:rPr>
        <w:t>research_protocol.py</w:t>
      </w:r>
      <w:r>
        <w:t xml:space="preserve"> — so six lanes are not editing one file and both governing documents at once. </w:t>
      </w:r>
      <w:r>
        <w:rPr>
          <w:b/>
        </w:rPr>
        <w:t>Effort.</w:t>
      </w:r>
      <w:r>
        <w:t xml:space="preserve"> 4–5 agent-runs, 2 days. </w:t>
      </w:r>
      <w:r>
        <w:rPr>
          <w:b/>
        </w:rPr>
        <w:t>Depends on</w:t>
      </w:r>
      <w:r>
        <w:t xml:space="preserve"> WS1–WS5 for what it checks.</w:t>
      </w:r>
    </w:p>
    <w:p>
      <w:pPr>
        <w:pStyle w:val="Heading3"/>
      </w:pPr>
      <w:r>
        <w:t>WS8 — Re-issue the five on the new standard, then publish the batch</w:t>
      </w:r>
    </w:p>
    <w:p>
      <w:r>
        <w:rPr>
          <w:b/>
        </w:rPr>
        <w:t>Order and why.</w:t>
      </w:r>
      <w:r>
        <w:t xml:space="preserve"> TMGH (largest gap, every cause present, all one-way), PHDC (glide, lenses, RNAV, minority — </w:t>
      </w:r>
      <w:r>
        <w:rPr>
          <w:b/>
        </w:rPr>
        <w:t>and the optimistic profit path its own record measured, corrected in the same pass under WS5, or the glide alone prints +83%</w:t>
      </w:r>
      <w:r>
        <w:t xml:space="preserve">), ARCC (reinvestment basis, beta tiering, basis rule), EGCH (three driver-specification breaches, each a class-A item against its own record: a urea export path declining 6.7% a year real frozen into the perpetuity, unsourced; statutory 22.5% tax on a company that has booked no current tax through the ANNA years; and the EGP 14.7bn ANNA programme carried at zero EBIT after depreciation while the walk-forward found revenue under-forecast in 55 of 55 cells — the one name where a large residual discount may legitimately survive, and it must survive </w:t>
      </w:r>
      <w:r>
        <w:rPr>
          <w:i/>
        </w:rPr>
        <w:t>on the statements</w:t>
      </w:r>
      <w:r>
        <w:t xml:space="preserve">, published beside its reverse-DCF), AMOC (basis rule, lens registry). Each carries the reverse-DCF table, the four gates green, the drivers inside its record, and a two-sided gap review if it still breaches either way. Then rebuild the publish queue (two files per name) and publish the batch as instructed. </w:t>
      </w:r>
      <w:r>
        <w:rPr>
          <w:b/>
        </w:rPr>
        <w:t>Effort.</w:t>
      </w:r>
      <w:r>
        <w:t xml:space="preserve"> TMGH, PHDC, EGCH 3–4 agent-runs each; AMOC (27 files, six backup generations of its builders) and ARCC (a 9,300-line compute) 4–5 each — about 20 runs, 6 days after WS1–WS4 land. </w:t>
      </w:r>
      <w:r>
        <w:rPr>
          <w:b/>
        </w:rPr>
        <w:t>Depends on</w:t>
      </w:r>
      <w:r>
        <w:t xml:space="preserve"> WS1–WS5, WS7.</w:t>
      </w:r>
    </w:p>
    <w:p>
      <w:pPr>
        <w:pStyle w:val="Heading3"/>
      </w:pPr>
      <w:r>
        <w:t>WS9 — Generalise beyond the five</w:t>
      </w:r>
    </w:p>
    <w:p>
      <w:r>
        <w:rPr>
          <w:b/>
        </w:rPr>
        <w:t>Change.</w:t>
      </w:r>
      <w:r>
        <w:t xml:space="preserve"> Run the four construction gates as a </w:t>
      </w:r>
      <w:r>
        <w:rPr>
          <w:i/>
        </w:rPr>
        <w:t>report</w:t>
      </w:r>
      <w:r>
        <w:t xml:space="preserve"> over the other 32 EGX names and the GCC/other books: which would fail, on what. The Egypt-specific effect is expected (pegged markets are centred and the glide collapses to flat there by the protocol's own scope rule); the gates apply everywhere. The report becomes the campaign's finite rebuild queue under the existing wrapper, in the standing market order. The reference set stays at three; inflation adaptation is part of the </w:t>
      </w:r>
      <w:r>
        <w:rPr>
          <w:i/>
        </w:rPr>
        <w:t>standard</w:t>
      </w:r>
      <w:r>
        <w:t xml:space="preserve">, not a fourth exemplar. </w:t>
      </w:r>
      <w:r>
        <w:rPr>
          <w:b/>
        </w:rPr>
        <w:t>Effort.</w:t>
      </w:r>
      <w:r>
        <w:t xml:space="preserve"> 3–4 agent-runs, 2 days. </w:t>
      </w:r>
      <w:r>
        <w:rPr>
          <w:b/>
        </w:rPr>
        <w:t>Depends on</w:t>
      </w:r>
      <w:r>
        <w:t xml:space="preserve"> WS1–WS4.</w:t>
      </w:r>
    </w:p>
    <w:p>
      <w:pPr>
        <w:pStyle w:val="Heading3"/>
      </w:pPr>
      <w:r>
        <w:t>WS10 — Governance</w:t>
      </w:r>
    </w:p>
    <w:p>
      <w:r>
        <w:t>Both governing documents amended in one commit each with the new and amended ids (</w:t>
      </w:r>
      <w:r>
        <w:rPr>
          <w:rFonts w:ascii="Consolas" w:hAnsi="Consolas"/>
          <w:color w:val="8F7326"/>
          <w:sz w:val="19"/>
        </w:rPr>
        <w:t>[R-COC-01]</w:t>
      </w:r>
      <w:r>
        <w:t xml:space="preserve">, </w:t>
      </w:r>
      <w:r>
        <w:rPr>
          <w:rFonts w:ascii="Consolas" w:hAnsi="Consolas"/>
          <w:color w:val="8F7326"/>
          <w:sz w:val="19"/>
        </w:rPr>
        <w:t>[R-MACRO-01]</w:t>
      </w:r>
      <w:r>
        <w:t xml:space="preserve">, </w:t>
      </w:r>
      <w:r>
        <w:rPr>
          <w:rFonts w:ascii="Consolas" w:hAnsi="Consolas"/>
          <w:color w:val="8F7326"/>
          <w:sz w:val="19"/>
        </w:rPr>
        <w:t>[R-LENS-03]</w:t>
      </w:r>
      <w:r>
        <w:t xml:space="preserve">, </w:t>
      </w:r>
      <w:r>
        <w:rPr>
          <w:rFonts w:ascii="Consolas" w:hAnsi="Consolas"/>
          <w:color w:val="8F7326"/>
          <w:sz w:val="19"/>
        </w:rPr>
        <w:t>[R-BRIDGE-01]</w:t>
      </w:r>
      <w:r>
        <w:t xml:space="preserve">, </w:t>
      </w:r>
      <w:r>
        <w:rPr>
          <w:rFonts w:ascii="Consolas" w:hAnsi="Consolas"/>
          <w:color w:val="8F7326"/>
          <w:sz w:val="19"/>
        </w:rPr>
        <w:t>[R-VCAL-01]</w:t>
      </w:r>
      <w:r>
        <w:t xml:space="preserve">, </w:t>
      </w:r>
      <w:r>
        <w:rPr>
          <w:rFonts w:ascii="Consolas" w:hAnsi="Consolas"/>
          <w:color w:val="8F7326"/>
          <w:sz w:val="19"/>
        </w:rPr>
        <w:t>[R-ENF-05]</w:t>
      </w:r>
      <w:r>
        <w:t xml:space="preserve"> new; </w:t>
      </w:r>
      <w:r>
        <w:rPr>
          <w:rFonts w:ascii="Consolas" w:hAnsi="Consolas"/>
          <w:color w:val="8F7326"/>
          <w:sz w:val="19"/>
        </w:rPr>
        <w:t>[R-FCAL-01]</w:t>
      </w:r>
      <w:r>
        <w:t xml:space="preserve"> and </w:t>
      </w:r>
      <w:r>
        <w:rPr>
          <w:rFonts w:ascii="Consolas" w:hAnsi="Consolas"/>
          <w:color w:val="8F7326"/>
          <w:sz w:val="19"/>
        </w:rPr>
        <w:t>[R-GAP-01]</w:t>
      </w:r>
      <w:r>
        <w:t xml:space="preserve"> amended in place, or — where the principal prefers an instruction of theirs to stand unedited — a distinct </w:t>
      </w:r>
      <w:r>
        <w:rPr>
          <w:rFonts w:ascii="Consolas" w:hAnsi="Consolas"/>
          <w:color w:val="8F7326"/>
          <w:sz w:val="19"/>
        </w:rPr>
        <w:t>[R-FCAL-02]</w:t>
      </w:r>
      <w:r>
        <w:t xml:space="preserve"> and </w:t>
      </w:r>
      <w:r>
        <w:rPr>
          <w:rFonts w:ascii="Consolas" w:hAnsi="Consolas"/>
          <w:color w:val="8F7326"/>
          <w:sz w:val="19"/>
        </w:rPr>
        <w:t>[R-GAP-02]</w:t>
      </w:r>
      <w:r>
        <w:t xml:space="preserve"> adopted beside them; every id carries a code hit, which </w:t>
      </w:r>
      <w:r>
        <w:rPr>
          <w:rFonts w:ascii="Consolas" w:hAnsi="Consolas"/>
          <w:sz w:val="19"/>
        </w:rPr>
        <w:t>check_protocol_sync.py</w:t>
      </w:r>
      <w:r>
        <w:t xml:space="preserve"> will fail on for any id adopted from this date without one), digest revision bumped and its full text sent to the principal, lessons registered through the harvest path (the diagnosis above yields at least eight ALL-scope lessons), the walk-forward prompt and the study-initiation prompt updated, the model report's cost-of-capital, lens and bridge sections regenerated from the new standard </w:t>
      </w:r>
      <w:r>
        <w:rPr>
          <w:b/>
        </w:rPr>
        <w:t>when ADNOCLS is itself re-issued in Phase 2's UAE tranche</w:t>
      </w:r>
      <w:r>
        <w:t xml:space="preserve"> — a recorded re-issue with its own fair-value movement entry, since its section 1.5 blends at typed weights and its number moves; until then the standard lives in the protocol and the model report keeps its structure. The reference set stays at three. </w:t>
      </w:r>
      <w:r>
        <w:rPr>
          <w:b/>
        </w:rPr>
        <w:t>Effort.</w:t>
      </w:r>
      <w:r>
        <w:t xml:space="preserve"> 2–3 agent-runs, 1 day, continuous.</w:t>
      </w:r>
    </w:p>
    <w:p>
      <w:pPr>
        <w:pStyle w:val="Heading2"/>
      </w:pPr>
      <w:r>
        <w:t>Part D — Timeline: Phase 1 (the method) and Phase 2 (the other 85 names)</w:t>
      </w:r>
    </w:p>
    <w:p>
      <w:pPr>
        <w:pStyle w:val="Heading3"/>
      </w:pPr>
      <w:r>
        <w:t>The budget the timeline is cut to</w:t>
      </w:r>
    </w:p>
    <w:p>
      <w:r>
        <w:t xml:space="preserve">The principal's plan is the individual maximum (US$200/month) and </w:t>
      </w:r>
      <w:r>
        <w:rPr>
          <w:b/>
        </w:rPr>
        <w:t>this programme may use at most half of it</w:t>
      </w:r>
      <w:r>
        <w:t xml:space="preserve">; the other half is reserved. The one throughput measurement on record is this session's diagnosis: 47 agent-runs and about 9 million tokens in roughly three hours before a five-hour window closed. At the 50% ceiling that is about </w:t>
      </w:r>
      <w:r>
        <w:rPr>
          <w:b/>
        </w:rPr>
        <w:t>20–25 Fable-weight agent-runs per window, or about 30 with Sonnet on the mechanical stages</w:t>
      </w:r>
      <w:r>
        <w:t xml:space="preserve">. The timeline below assumes </w:t>
      </w:r>
      <w:r>
        <w:rPr>
          <w:b/>
        </w:rPr>
        <w:t>five such half-windows a week</w:t>
      </w:r>
      <w:r>
        <w:t xml:space="preserve"> (one per working day); the weekly cap is not known and will be measured in the first window, and the total scales inversely with it (three a week ≈ ×1.7; seven a week ≈ ×0.7).</w:t>
      </w:r>
    </w:p>
    <w:p>
      <w:pPr>
        <w:pStyle w:val="Heading3"/>
      </w:pPr>
      <w:r>
        <w:t>Phase 1 — the method, 3 weeks</w:t>
      </w:r>
    </w:p>
    <w:p>
      <w:r>
        <w:t>Ten workstreams as in Part C, on the five calibrated names. Four stages must run in sequence, each in its own window; everything else overlaps. First movement on TMGH and PHDC at about day six.</w:t>
      </w:r>
    </w:p>
    <w:p>
      <w:pPr>
        <w:pStyle w:val="Heading3"/>
      </w:pPr>
      <w:r>
        <w:t>Phase 2 — split into 2a and 2b  [AMENDED 03-Sep-2026, per instruction]</w:t>
      </w:r>
    </w:p>
    <w:p>
      <w:r>
        <w:rPr>
          <w:b/>
        </w:rPr>
        <w:t>The instruction:</w:t>
      </w:r>
      <w:r>
        <w:t xml:space="preserve"> </w:t>
      </w:r>
      <w:r>
        <w:rPr>
          <w:i/>
        </w:rPr>
        <w:t>"For phase 2 I want to divide it to 2a and 2b. 2a is when we finish the backtesting for the 90 stocks and 2b is when we finish the testing of the real results … as of today means going forward."</w:t>
      </w:r>
      <w:r>
        <w:t xml:space="preserve"> Strictly sequential: 2a gates 2b.</w:t>
      </w:r>
    </w:p>
    <w:p>
      <w:r>
        <w:rPr>
          <w:b/>
        </w:rPr>
        <w:t>Why the split is worth making, in the principal's own terms.</w:t>
      </w:r>
      <w:r>
        <w:t xml:space="preserve"> The two halves are bounded by different things and confusing them is how a programme reports progress it has not made. </w:t>
      </w:r>
      <w:r>
        <w:rPr>
          <w:b/>
        </w:rPr>
        <w:t>2a is bounded by WORK</w:t>
      </w:r>
      <w:r>
        <w:t xml:space="preserve"> — ninety backtests, and throughput decides when they are done. </w:t>
      </w:r>
      <w:r>
        <w:rPr>
          <w:b/>
        </w:rPr>
        <w:t>2b is bounded by the CALENDAR</w:t>
      </w:r>
      <w:r>
        <w:t xml:space="preserve"> — a claim struck today cannot be graded until what it claimed has happened, and no amount of capacity shortens that. A single "Phase 2" percentage mixes the two and moves when the easy half moves.</w:t>
      </w:r>
    </w:p>
    <w:p>
      <w:r>
        <w:rPr>
          <w:b/>
        </w:rPr>
        <w:t>And they answer different questions.</w:t>
      </w:r>
      <w:r>
        <w:t xml:space="preserve"> 2a asks whether the method would have been right in the past, on evidence we assemble. 2b asks whether it </w:t>
      </w:r>
      <w:r>
        <w:rPr>
          <w:i/>
        </w:rPr>
        <w:t>is</w:t>
      </w:r>
      <w:r>
        <w:t xml:space="preserve"> right, on evidence reality supplies and nobody can tune. Only the second is genuinely out of sample, which is why it is the one that closes the programme.</w:t>
      </w:r>
    </w:p>
    <w:p>
      <w:r>
        <w:rPr>
          <w:b/>
        </w:rPr>
        <w:t>One reading was explicitly rejected</w:t>
      </w:r>
      <w:r>
        <w:t>, and it is recorded because it is the tempting one: finishing all ninety rebuilds and comparing each central against today's price is NOT 2b. That measures AGREEMENT WITH THE MARKET, and agreeing with the market is being ordinary rather than being right — a method tuned toward it would score well while knowing nothing. It is a useful diagnostic and it is already published per name; it is not the acceptance test, and it may not be presented as one.</w:t>
      </w:r>
    </w:p>
    <w:p>
      <w:pPr>
        <w:pStyle w:val="Heading4"/>
      </w:pPr>
      <w:r>
        <w:t>Phase 2a — the backtest across the book</w:t>
      </w:r>
    </w:p>
    <w:p>
      <w:r>
        <w:t xml:space="preserve">The point-in-time valuation calibration </w:t>
      </w:r>
      <w:r>
        <w:rPr>
          <w:rFonts w:ascii="Consolas" w:hAnsi="Consolas"/>
          <w:color w:val="8F7326"/>
          <w:sz w:val="19"/>
        </w:rPr>
        <w:t>[R-VCAL-01]</w:t>
      </w:r>
      <w:r>
        <w:t xml:space="preserve"> extended from the five to </w:t>
      </w:r>
      <w:r>
        <w:rPr>
          <w:b/>
        </w:rPr>
        <w:t>all ninety covered names</w:t>
      </w:r>
      <w:r>
        <w:t>: at every usable historical origin, rebuild that name's fair value from what was published at that date and score it, contemporaneous agreement and gap closure both. Point-in-time discipline is absolute and unchanged — an origin whose required figures are not all sourced is DROPPED and the window shortened, never filled.</w:t>
      </w:r>
    </w:p>
    <w:p>
      <w:r>
        <w:rPr>
          <w:b/>
        </w:rPr>
        <w:t>2a is complete when</w:t>
      </w:r>
      <w:r>
        <w:t xml:space="preserve"> every queued name carries a backtest record at its stated scope, or a recorded reason it cannot carry one (insufficient sourceable history, no usable origin), with no name simply absent. The population is the campaign queue read live, never a written list, and a run examining fewer names than the queue holds FAILS rather than reporting clean </w:t>
      </w:r>
      <w:r>
        <w:rPr>
          <w:rFonts w:ascii="Consolas" w:hAnsi="Consolas"/>
          <w:color w:val="8F7326"/>
          <w:sz w:val="19"/>
        </w:rPr>
        <w:t>[R-ENF-04]</w:t>
      </w:r>
      <w:r>
        <w:t>.</w:t>
      </w:r>
    </w:p>
    <w:p>
      <w:r>
        <w:rPr>
          <w:b/>
        </w:rPr>
        <w:t>The rebuilds run inside 2a, not beside it.</w:t>
      </w:r>
      <w:r>
        <w:t xml:space="preserve"> The standing market order and the hard stop after EGX are unchanged; what changes is that a market is not finished when its four files are built, it is finished when its names are also backtested.</w:t>
      </w:r>
    </w:p>
    <w:p>
      <w:pPr>
        <w:pStyle w:val="Heading4"/>
      </w:pPr>
      <w:r>
        <w:t>Phase 2b — the live test, going forward</w:t>
      </w:r>
    </w:p>
    <w:p>
      <w:r>
        <w:rPr>
          <w:b/>
        </w:rPr>
        <w:t>From the day 2a closes</w:t>
      </w:r>
      <w:r>
        <w:t xml:space="preserve">, every fair value the house publishes is a dated claim graded against what actually happens, on the fundamental lens's own clock — up to one year </w:t>
      </w:r>
      <w:r>
        <w:rPr>
          <w:rFonts w:ascii="Consolas" w:hAnsi="Consolas"/>
          <w:color w:val="8F7326"/>
          <w:sz w:val="19"/>
        </w:rPr>
        <w:t>[R-LENS-02]</w:t>
      </w:r>
      <w:r>
        <w:t>, and never on a shorter horizon because a shorter one is the price cone's question wearing this lens's name.</w:t>
      </w:r>
    </w:p>
    <w:p>
      <w:r>
        <w:rPr>
          <w:b/>
        </w:rPr>
        <w:t>2b grades only claims struck after 2a closed.</w:t>
      </w:r>
      <w:r>
        <w:t xml:space="preserve"> That is what "strictly sequential" buys and it is the whole point of the ordering: no claim inside 2b was made by a method that had not already passed its historical test, so a 2b result cannot be explained away as the old method's residue.</w:t>
      </w:r>
    </w:p>
    <w:p>
      <w:r>
        <w:rPr>
          <w:b/>
        </w:rPr>
        <w:t>2b is complete when</w:t>
      </w:r>
      <w:r>
        <w:t xml:space="preserve"> the first full forward cohort has matured and been scored, with the pooled bias, its block-bootstrap interval and its leave-one-name-out stability reported under the pre-registration's existing statistics — the same instrument, pointed forward.</w:t>
      </w:r>
    </w:p>
    <w:p>
      <w:r>
        <w:rPr>
          <w:b/>
        </w:rPr>
        <w:t>Its end date is a maturity date, not a throughput estimate, and must never be published as one.</w:t>
      </w:r>
      <w:r>
        <w:t xml:space="preserve"> Because the horizon is up to a year, </w:t>
      </w:r>
      <w:r>
        <w:rPr>
          <w:b/>
        </w:rPr>
        <w:t>2b cannot complete earlier than roughly one year after 2a closes</w:t>
      </w:r>
      <w:r>
        <w:t>, whatever capacity is available. A dashboard that projects 2b from a work rate is reporting a number it cannot know; 2b's date moves only when 2a's does.</w:t>
      </w:r>
    </w:p>
    <w:p>
      <w:r>
        <w:rPr>
          <w:b/>
        </w:rPr>
        <w:t>The cost of the sequencing is stated rather than discovered.</w:t>
      </w:r>
      <w:r>
        <w:t xml:space="preserve"> Overlapping would start 2b's clock now and produce first readings roughly a year sooner, at the price of grading a mixed population — some claims from the corrected method, some from the method under test. The principal chose the clean population on 03-Sep-2026 and the cost is written here so the choice can be revisited on evidence rather than on frustration with the wait.</w:t>
      </w:r>
    </w:p>
    <w:p>
      <w:pPr>
        <w:pStyle w:val="Heading3"/>
      </w:pPr>
      <w:r>
        <w:t>Phase 2a's build half — the other 85 names, in the standing market order, about 9 weeks</w:t>
      </w:r>
    </w:p>
    <w:p>
      <w:r>
        <w:rPr>
          <w:b/>
        </w:rPr>
        <w:t>WHAT "FIRST BUILD" MEANS HERE, CORRECTED 04-Sep-2026 ON THE PRINCIPAL'S CHALLENGE.</w:t>
      </w:r>
      <w:r>
        <w:t xml:space="preserve"> This table's second column called 67 names a "first build", which reads as 67 studies to be written from nothing. That is wrong and the correction matters for the estimate. Measured on the day it was named: </w:t>
      </w:r>
      <w:r>
        <w:rPr>
          <w:b/>
        </w:rPr>
        <w:t>93 names carry a delivered valuation study document AND a delivered live 16-sheet formula workbook</w:t>
      </w:r>
      <w:r>
        <w:t xml:space="preserve"> — sampled, they run 500 to 2,200 live formulas each — and </w:t>
      </w:r>
      <w:r>
        <w:rPr>
          <w:b/>
        </w:rPr>
        <w:t>21 carry a committed build chain</w:t>
      </w:r>
      <w:r>
        <w:t xml:space="preserve"> (</w:t>
      </w:r>
      <w:r>
        <w:rPr>
          <w:rFonts w:ascii="Consolas" w:hAnsi="Consolas"/>
          <w:sz w:val="19"/>
        </w:rPr>
        <w:t>compute.py</w:t>
      </w:r>
      <w:r>
        <w:t xml:space="preserve"> writing </w:t>
      </w:r>
      <w:r>
        <w:rPr>
          <w:rFonts w:ascii="Consolas" w:hAnsi="Consolas"/>
          <w:sz w:val="19"/>
        </w:rPr>
        <w:t>study_numbers.json</w:t>
      </w:r>
      <w:r>
        <w:t>, builders that read only that file, and the study's own recalculation, driver and gate scripts). The analysis is done on all 93. What the other ~70 lack is the SOURCE that produces the delivered files.</w:t>
      </w:r>
    </w:p>
    <w:p>
      <w:r>
        <w:t xml:space="preserve">The distinction is not "model / no model". It is whether a correction can be pushed through automatically. A name with a chain rebuilds by re-running one script and every repo gate then reads its answer; a name without one has to have the correction applied by hand in the workbook, which does not survive the gates and does not scale to ninety names. It is also why the gate output reads </w:t>
      </w:r>
      <w:r>
        <w:rPr>
          <w:i/>
        </w:rPr>
        <w:t>"study directories: 24 · readable: 14 · unreadable: 10"</w:t>
      </w:r>
      <w:r>
        <w:t xml:space="preserve"> — a gate can only examine a study that exposes a machine-readable answer, and the ~70 are not in the population at all.</w:t>
      </w:r>
    </w:p>
    <w:p>
      <w:r>
        <w:t xml:space="preserve">So the work per name is a </w:t>
      </w:r>
      <w:r>
        <w:rPr>
          <w:b/>
        </w:rPr>
        <w:t>migration</w:t>
      </w:r>
      <w:r>
        <w:t>, not new research: put a build chain behind an existing delivered model, with the panel re-footed to primary filings under SIGCM clause 1 and the corrected modules called rather than hand-rolled. The estimate below stands (the per-name run counts were costed on the work, not on the label), and the label is corrected so nobody reads it as ninety studies' worth of analysis still to do.</w:t>
      </w:r>
    </w:p>
    <w:p>
      <w:r>
        <w:t xml:space="preserve">The existing campaign wrapper, unchanged in order and hard stop, run on the corrected method. </w:t>
      </w:r>
      <w:r>
        <w:rPr>
          <w:b/>
        </w:rPr>
        <w:t>Every name delivers four files:</w:t>
      </w:r>
      <w:r>
        <w:t xml:space="preserve"> the valuation study in docx and PDF, the standalone bibliography, and the 16-sheet workbook — plus its statement walk-forward record at FULL, LIGHT or SKIP scope by history, its lessons, and a gap review if the two-sided gate fires. Per name on the new standard, with Sonnet on the mechanics: a </w:t>
      </w:r>
      <w:r>
        <w:rPr>
          <w:b/>
        </w:rPr>
        <w:t>first build</w:t>
      </w:r>
      <w:r>
        <w:t xml:space="preserve"> (sweep, primary filings with OCR where scanned, a footed 12–15-year panel, walk-forward, study, four files, QC, gates) is about 8–10 agent-runs, so </w:t>
      </w:r>
      <w:r>
        <w:rPr>
          <w:b/>
        </w:rPr>
        <w:t>two per window</w:t>
      </w:r>
      <w:r>
        <w:t xml:space="preserve">; a </w:t>
      </w:r>
      <w:r>
        <w:rPr>
          <w:b/>
        </w:rPr>
        <w:t>re-issue</w:t>
      </w:r>
      <w:r>
        <w:t xml:space="preserve"> of a name that already has a 16-sheet study migrates onto the modules and asserts, about 5–7 runs, so </w:t>
      </w:r>
      <w:r>
        <w:rPr>
          <w:b/>
        </w:rPr>
        <w:t>three to four per window</w:t>
      </w:r>
      <w:r>
        <w:t>. Non-Egyptian names are already centred and mostly migrate; the pegged markets' glide collapses to flat by the protocol's own scope rule.</w:t>
      </w:r>
    </w:p>
    <w:tbl>
      <w:tblPr>
        <w:tblStyle w:val="TableGrid"/>
        <w:tblW w:type="auto" w:w="0"/>
        <w:jc w:val="center"/>
        <w:tblLayout w:type="fixed"/>
        <w:tblLook w:firstColumn="1" w:firstRow="1" w:lastColumn="0" w:lastRow="0" w:noHBand="0" w:noVBand="1" w:val="04A0"/>
      </w:tblPr>
      <w:tblGrid>
        <w:gridCol w:w="1474"/>
        <w:gridCol w:w="850"/>
        <w:gridCol w:w="1247"/>
        <w:gridCol w:w="1020"/>
        <w:gridCol w:w="964"/>
        <w:gridCol w:w="3855"/>
      </w:tblGrid>
      <w:tr>
        <w:tc>
          <w:tcPr>
            <w:tcW w:type="dxa" w:w="1474"/>
            <w:shd w:val="clear" w:color="auto" w:fill="EDF0F3"/>
          </w:tcPr>
          <w:p>
            <w:r>
              <w:rPr>
                <w:b/>
              </w:rPr>
            </w:r>
            <w:r>
              <w:rPr>
                <w:b/>
                <w:sz w:val="16"/>
              </w:rPr>
              <w:t>Market</w:t>
            </w:r>
          </w:p>
        </w:tc>
        <w:tc>
          <w:tcPr>
            <w:tcW w:type="dxa" w:w="850"/>
            <w:shd w:val="clear" w:color="auto" w:fill="EDF0F3"/>
          </w:tcPr>
          <w:p>
            <w:r>
              <w:rPr>
                <w:b/>
              </w:rPr>
            </w:r>
            <w:r>
              <w:rPr>
                <w:b/>
                <w:sz w:val="16"/>
              </w:rPr>
              <w:t>Names</w:t>
            </w:r>
          </w:p>
        </w:tc>
        <w:tc>
          <w:tcPr>
            <w:tcW w:type="dxa" w:w="1247"/>
            <w:shd w:val="clear" w:color="auto" w:fill="EDF0F3"/>
          </w:tcPr>
          <w:p>
            <w:r>
              <w:rPr>
                <w:b/>
              </w:rPr>
            </w:r>
            <w:r>
              <w:rPr>
                <w:b/>
                <w:sz w:val="16"/>
              </w:rPr>
              <w:t>Re-issue / chain migration</w:t>
            </w:r>
          </w:p>
        </w:tc>
        <w:tc>
          <w:tcPr>
            <w:tcW w:type="dxa" w:w="1020"/>
            <w:shd w:val="clear" w:color="auto" w:fill="EDF0F3"/>
          </w:tcPr>
          <w:p>
            <w:r>
              <w:rPr>
                <w:b/>
              </w:rPr>
            </w:r>
            <w:r>
              <w:rPr>
                <w:b/>
                <w:sz w:val="16"/>
              </w:rPr>
              <w:t>Windows</w:t>
            </w:r>
          </w:p>
        </w:tc>
        <w:tc>
          <w:tcPr>
            <w:tcW w:type="dxa" w:w="964"/>
            <w:shd w:val="clear" w:color="auto" w:fill="EDF0F3"/>
          </w:tcPr>
          <w:p>
            <w:r>
              <w:rPr>
                <w:b/>
              </w:rPr>
            </w:r>
            <w:r>
              <w:rPr>
                <w:b/>
                <w:sz w:val="16"/>
              </w:rPr>
              <w:t>Weeks at 5/week</w:t>
            </w:r>
          </w:p>
        </w:tc>
        <w:tc>
          <w:tcPr>
            <w:tcW w:type="dxa" w:w="3855"/>
            <w:shd w:val="clear" w:color="auto" w:fill="EDF0F3"/>
          </w:tcPr>
          <w:p>
            <w:r>
              <w:rPr>
                <w:b/>
              </w:rPr>
            </w:r>
            <w:r>
              <w:rPr>
                <w:b/>
                <w:sz w:val="16"/>
              </w:rPr>
              <w:t>Notes</w:t>
            </w:r>
          </w:p>
        </w:tc>
      </w:tr>
      <w:tr>
        <w:tc>
          <w:tcPr>
            <w:tcW w:type="dxa" w:w="1474"/>
          </w:tcPr>
          <w:p>
            <w:r/>
            <w:r>
              <w:rPr>
                <w:sz w:val="16"/>
              </w:rPr>
              <w:t>Egypt / EGX</w:t>
            </w:r>
          </w:p>
        </w:tc>
        <w:tc>
          <w:tcPr>
            <w:tcW w:type="dxa" w:w="850"/>
          </w:tcPr>
          <w:p>
            <w:r/>
            <w:r>
              <w:rPr>
                <w:sz w:val="16"/>
              </w:rPr>
              <w:t>32</w:t>
            </w:r>
          </w:p>
        </w:tc>
        <w:tc>
          <w:tcPr>
            <w:tcW w:type="dxa" w:w="1247"/>
          </w:tcPr>
          <w:p>
            <w:r/>
            <w:r>
              <w:rPr>
                <w:sz w:val="16"/>
              </w:rPr>
              <w:t>5 / 27</w:t>
            </w:r>
          </w:p>
        </w:tc>
        <w:tc>
          <w:tcPr>
            <w:tcW w:type="dxa" w:w="1020"/>
          </w:tcPr>
          <w:p>
            <w:r/>
            <w:r>
              <w:rPr>
                <w:sz w:val="16"/>
              </w:rPr>
              <w:t>15</w:t>
            </w:r>
          </w:p>
        </w:tc>
        <w:tc>
          <w:tcPr>
            <w:tcW w:type="dxa" w:w="964"/>
          </w:tcPr>
          <w:p>
            <w:r/>
            <w:r>
              <w:rPr>
                <w:sz w:val="16"/>
              </w:rPr>
              <w:t>3.0</w:t>
            </w:r>
          </w:p>
        </w:tc>
        <w:tc>
          <w:tcPr>
            <w:tcW w:type="dxa" w:w="3855"/>
          </w:tcPr>
          <w:p>
            <w:r/>
            <w:r>
              <w:rPr>
                <w:sz w:val="16"/>
              </w:rPr>
              <w:t xml:space="preserve">EMFD blocked on filings — parked, not on the critical path. </w:t>
            </w:r>
            <w:r>
              <w:rPr>
                <w:b/>
                <w:sz w:val="16"/>
              </w:rPr>
              <w:t>Hard stop after EGX</w:t>
            </w:r>
            <w:r>
              <w:rPr>
                <w:sz w:val="16"/>
              </w:rPr>
              <w:t xml:space="preserve"> (3 days): does the corrected method generalise?</w:t>
            </w:r>
          </w:p>
        </w:tc>
      </w:tr>
      <w:tr>
        <w:tc>
          <w:tcPr>
            <w:tcW w:type="dxa" w:w="1474"/>
          </w:tcPr>
          <w:p>
            <w:r/>
            <w:r>
              <w:rPr>
                <w:sz w:val="16"/>
              </w:rPr>
              <w:t>UAE / ADX + DFM</w:t>
            </w:r>
          </w:p>
        </w:tc>
        <w:tc>
          <w:tcPr>
            <w:tcW w:type="dxa" w:w="850"/>
          </w:tcPr>
          <w:p>
            <w:r/>
            <w:r>
              <w:rPr>
                <w:sz w:val="16"/>
              </w:rPr>
              <w:t>28</w:t>
            </w:r>
          </w:p>
        </w:tc>
        <w:tc>
          <w:tcPr>
            <w:tcW w:type="dxa" w:w="1247"/>
          </w:tcPr>
          <w:p>
            <w:r/>
            <w:r>
              <w:rPr>
                <w:sz w:val="16"/>
              </w:rPr>
              <w:t>10 / 18</w:t>
            </w:r>
          </w:p>
        </w:tc>
        <w:tc>
          <w:tcPr>
            <w:tcW w:type="dxa" w:w="1020"/>
          </w:tcPr>
          <w:p>
            <w:r/>
            <w:r>
              <w:rPr>
                <w:sz w:val="16"/>
              </w:rPr>
              <w:t>12</w:t>
            </w:r>
          </w:p>
        </w:tc>
        <w:tc>
          <w:tcPr>
            <w:tcW w:type="dxa" w:w="964"/>
          </w:tcPr>
          <w:p>
            <w:r/>
            <w:r>
              <w:rPr>
                <w:sz w:val="16"/>
              </w:rPr>
              <w:t>2.4</w:t>
            </w:r>
          </w:p>
        </w:tc>
        <w:tc>
          <w:tcPr>
            <w:tcW w:type="dxa" w:w="3855"/>
          </w:tcPr>
          <w:p>
            <w:r/>
            <w:r>
              <w:rPr>
                <w:sz w:val="16"/>
              </w:rPr>
              <w:t>ADNOCLS is the model report — its re-issue regenerates the reference's cost-of-capital, lens and bridge sections (WS10). DFM names stay on the FADGI interim, disclosed.</w:t>
            </w:r>
          </w:p>
        </w:tc>
      </w:tr>
      <w:tr>
        <w:tc>
          <w:tcPr>
            <w:tcW w:type="dxa" w:w="1474"/>
          </w:tcPr>
          <w:p>
            <w:r/>
            <w:r>
              <w:rPr>
                <w:sz w:val="16"/>
              </w:rPr>
              <w:t>Saudi / Tadawul</w:t>
            </w:r>
          </w:p>
        </w:tc>
        <w:tc>
          <w:tcPr>
            <w:tcW w:type="dxa" w:w="850"/>
          </w:tcPr>
          <w:p>
            <w:r/>
            <w:r>
              <w:rPr>
                <w:sz w:val="16"/>
              </w:rPr>
              <w:t>13</w:t>
            </w:r>
          </w:p>
        </w:tc>
        <w:tc>
          <w:tcPr>
            <w:tcW w:type="dxa" w:w="1247"/>
          </w:tcPr>
          <w:p>
            <w:r/>
            <w:r>
              <w:rPr>
                <w:sz w:val="16"/>
              </w:rPr>
              <w:t>3 / 10</w:t>
            </w:r>
          </w:p>
        </w:tc>
        <w:tc>
          <w:tcPr>
            <w:tcW w:type="dxa" w:w="1020"/>
          </w:tcPr>
          <w:p>
            <w:r/>
            <w:r>
              <w:rPr>
                <w:sz w:val="16"/>
              </w:rPr>
              <w:t>6</w:t>
            </w:r>
          </w:p>
        </w:tc>
        <w:tc>
          <w:tcPr>
            <w:tcW w:type="dxa" w:w="964"/>
          </w:tcPr>
          <w:p>
            <w:r/>
            <w:r>
              <w:rPr>
                <w:sz w:val="16"/>
              </w:rPr>
              <w:t>1.2</w:t>
            </w:r>
          </w:p>
        </w:tc>
        <w:tc>
          <w:tcPr>
            <w:tcW w:type="dxa" w:w="3855"/>
          </w:tcPr>
          <w:p>
            <w:r/>
            <w:r>
              <w:rPr>
                <w:sz w:val="16"/>
              </w:rPr>
              <w:t>STC and GBCO-style WACC re-issues need each sovereign's own Damodaran row read fresh.</w:t>
            </w:r>
          </w:p>
        </w:tc>
      </w:tr>
      <w:tr>
        <w:tc>
          <w:tcPr>
            <w:tcW w:type="dxa" w:w="1474"/>
          </w:tcPr>
          <w:p>
            <w:r/>
            <w:r>
              <w:rPr>
                <w:sz w:val="16"/>
              </w:rPr>
              <w:t>Qatar / QSE</w:t>
            </w:r>
          </w:p>
        </w:tc>
        <w:tc>
          <w:tcPr>
            <w:tcW w:type="dxa" w:w="850"/>
          </w:tcPr>
          <w:p>
            <w:r/>
            <w:r>
              <w:rPr>
                <w:sz w:val="16"/>
              </w:rPr>
              <w:t>3</w:t>
            </w:r>
          </w:p>
        </w:tc>
        <w:tc>
          <w:tcPr>
            <w:tcW w:type="dxa" w:w="1247"/>
          </w:tcPr>
          <w:p>
            <w:r/>
            <w:r>
              <w:rPr>
                <w:sz w:val="16"/>
              </w:rPr>
              <w:t>0 / 3</w:t>
            </w:r>
          </w:p>
        </w:tc>
        <w:tc>
          <w:tcPr>
            <w:tcW w:type="dxa" w:w="1020"/>
          </w:tcPr>
          <w:p>
            <w:r/>
            <w:r>
              <w:rPr>
                <w:sz w:val="16"/>
              </w:rPr>
              <w:t>1.5</w:t>
            </w:r>
          </w:p>
        </w:tc>
        <w:tc>
          <w:tcPr>
            <w:tcW w:type="dxa" w:w="964"/>
          </w:tcPr>
          <w:p>
            <w:r/>
            <w:r>
              <w:rPr>
                <w:sz w:val="16"/>
              </w:rPr>
              <w:t>0.3</w:t>
            </w:r>
          </w:p>
        </w:tc>
        <w:tc>
          <w:tcPr>
            <w:tcW w:type="dxa" w:w="3855"/>
          </w:tcPr>
          <w:p>
            <w:r/>
            <w:r>
              <w:rPr>
                <w:sz w:val="16"/>
              </w:rPr>
              <w:t>QATAR10 weekly-only caveat quoted wherever the beta is.</w:t>
            </w:r>
          </w:p>
        </w:tc>
      </w:tr>
      <w:tr>
        <w:tc>
          <w:tcPr>
            <w:tcW w:type="dxa" w:w="1474"/>
          </w:tcPr>
          <w:p>
            <w:r/>
            <w:r>
              <w:rPr>
                <w:sz w:val="16"/>
              </w:rPr>
              <w:t>India / NSE</w:t>
            </w:r>
          </w:p>
        </w:tc>
        <w:tc>
          <w:tcPr>
            <w:tcW w:type="dxa" w:w="850"/>
          </w:tcPr>
          <w:p>
            <w:r/>
            <w:r>
              <w:rPr>
                <w:sz w:val="16"/>
              </w:rPr>
              <w:t>3</w:t>
            </w:r>
          </w:p>
        </w:tc>
        <w:tc>
          <w:tcPr>
            <w:tcW w:type="dxa" w:w="1247"/>
          </w:tcPr>
          <w:p>
            <w:r/>
            <w:r>
              <w:rPr>
                <w:sz w:val="16"/>
              </w:rPr>
              <w:t>0 / 3</w:t>
            </w:r>
          </w:p>
        </w:tc>
        <w:tc>
          <w:tcPr>
            <w:tcW w:type="dxa" w:w="1020"/>
          </w:tcPr>
          <w:p>
            <w:r/>
            <w:r>
              <w:rPr>
                <w:sz w:val="16"/>
              </w:rPr>
              <w:t>1.5</w:t>
            </w:r>
          </w:p>
        </w:tc>
        <w:tc>
          <w:tcPr>
            <w:tcW w:type="dxa" w:w="964"/>
          </w:tcPr>
          <w:p>
            <w:r/>
            <w:r>
              <w:rPr>
                <w:sz w:val="16"/>
              </w:rPr>
              <w:t>0.3</w:t>
            </w:r>
          </w:p>
        </w:tc>
        <w:tc>
          <w:tcPr>
            <w:tcW w:type="dxa" w:w="3855"/>
          </w:tcPr>
          <w:p>
            <w:r/>
          </w:p>
        </w:tc>
      </w:tr>
      <w:tr>
        <w:tc>
          <w:tcPr>
            <w:tcW w:type="dxa" w:w="1474"/>
          </w:tcPr>
          <w:p>
            <w:r/>
            <w:r>
              <w:rPr>
                <w:sz w:val="16"/>
              </w:rPr>
              <w:t>Korea / KRX</w:t>
            </w:r>
          </w:p>
        </w:tc>
        <w:tc>
          <w:tcPr>
            <w:tcW w:type="dxa" w:w="850"/>
          </w:tcPr>
          <w:p>
            <w:r/>
            <w:r>
              <w:rPr>
                <w:sz w:val="16"/>
              </w:rPr>
              <w:t>3</w:t>
            </w:r>
          </w:p>
        </w:tc>
        <w:tc>
          <w:tcPr>
            <w:tcW w:type="dxa" w:w="1247"/>
          </w:tcPr>
          <w:p>
            <w:r/>
            <w:r>
              <w:rPr>
                <w:sz w:val="16"/>
              </w:rPr>
              <w:t>0 / 3</w:t>
            </w:r>
          </w:p>
        </w:tc>
        <w:tc>
          <w:tcPr>
            <w:tcW w:type="dxa" w:w="1020"/>
          </w:tcPr>
          <w:p>
            <w:r/>
            <w:r>
              <w:rPr>
                <w:sz w:val="16"/>
              </w:rPr>
              <w:t>1.5</w:t>
            </w:r>
          </w:p>
        </w:tc>
        <w:tc>
          <w:tcPr>
            <w:tcW w:type="dxa" w:w="964"/>
          </w:tcPr>
          <w:p>
            <w:r/>
            <w:r>
              <w:rPr>
                <w:sz w:val="16"/>
              </w:rPr>
              <w:t>0.3</w:t>
            </w:r>
          </w:p>
        </w:tc>
        <w:tc>
          <w:tcPr>
            <w:tcW w:type="dxa" w:w="3855"/>
          </w:tcPr>
          <w:p>
            <w:r/>
          </w:p>
        </w:tc>
      </w:tr>
      <w:tr>
        <w:tc>
          <w:tcPr>
            <w:tcW w:type="dxa" w:w="1474"/>
          </w:tcPr>
          <w:p>
            <w:r/>
            <w:r>
              <w:rPr>
                <w:sz w:val="16"/>
              </w:rPr>
              <w:t>USA / NASDAQ</w:t>
            </w:r>
          </w:p>
        </w:tc>
        <w:tc>
          <w:tcPr>
            <w:tcW w:type="dxa" w:w="850"/>
          </w:tcPr>
          <w:p>
            <w:r/>
            <w:r>
              <w:rPr>
                <w:sz w:val="16"/>
              </w:rPr>
              <w:t>3</w:t>
            </w:r>
          </w:p>
        </w:tc>
        <w:tc>
          <w:tcPr>
            <w:tcW w:type="dxa" w:w="1247"/>
          </w:tcPr>
          <w:p>
            <w:r/>
            <w:r>
              <w:rPr>
                <w:sz w:val="16"/>
              </w:rPr>
              <w:t>0 / 3</w:t>
            </w:r>
          </w:p>
        </w:tc>
        <w:tc>
          <w:tcPr>
            <w:tcW w:type="dxa" w:w="1020"/>
          </w:tcPr>
          <w:p>
            <w:r/>
            <w:r>
              <w:rPr>
                <w:sz w:val="16"/>
              </w:rPr>
              <w:t>1.5</w:t>
            </w:r>
          </w:p>
        </w:tc>
        <w:tc>
          <w:tcPr>
            <w:tcW w:type="dxa" w:w="964"/>
          </w:tcPr>
          <w:p>
            <w:r/>
            <w:r>
              <w:rPr>
                <w:sz w:val="16"/>
              </w:rPr>
              <w:t>0.3</w:t>
            </w:r>
          </w:p>
        </w:tc>
        <w:tc>
          <w:tcPr>
            <w:tcW w:type="dxa" w:w="3855"/>
          </w:tcPr>
          <w:p>
            <w:r/>
          </w:p>
        </w:tc>
      </w:tr>
      <w:tr>
        <w:tc>
          <w:tcPr>
            <w:tcW w:type="dxa" w:w="1474"/>
          </w:tcPr>
          <w:p>
            <w:r/>
            <w:r>
              <w:rPr>
                <w:sz w:val="16"/>
              </w:rPr>
              <w:t>Batch publishes (7 market stops), walk-forward record refresh as names add statements, promotion re-check</w:t>
            </w:r>
          </w:p>
        </w:tc>
        <w:tc>
          <w:tcPr>
            <w:tcW w:type="dxa" w:w="850"/>
          </w:tcPr>
          <w:p>
            <w:r/>
          </w:p>
        </w:tc>
        <w:tc>
          <w:tcPr>
            <w:tcW w:type="dxa" w:w="1247"/>
          </w:tcPr>
          <w:p>
            <w:r/>
          </w:p>
        </w:tc>
        <w:tc>
          <w:tcPr>
            <w:tcW w:type="dxa" w:w="1020"/>
          </w:tcPr>
          <w:p>
            <w:r/>
            <w:r>
              <w:rPr>
                <w:sz w:val="16"/>
              </w:rPr>
              <w:t>5</w:t>
            </w:r>
          </w:p>
        </w:tc>
        <w:tc>
          <w:tcPr>
            <w:tcW w:type="dxa" w:w="964"/>
          </w:tcPr>
          <w:p>
            <w:r/>
            <w:r>
              <w:rPr>
                <w:sz w:val="16"/>
              </w:rPr>
              <w:t>1.0</w:t>
            </w:r>
          </w:p>
        </w:tc>
        <w:tc>
          <w:tcPr>
            <w:tcW w:type="dxa" w:w="3855"/>
          </w:tcPr>
          <w:p>
            <w:r/>
          </w:p>
        </w:tc>
      </w:tr>
      <w:tr>
        <w:tc>
          <w:tcPr>
            <w:tcW w:type="dxa" w:w="1474"/>
          </w:tcPr>
          <w:p>
            <w:r/>
            <w:r>
              <w:rPr>
                <w:b/>
                <w:sz w:val="16"/>
              </w:rPr>
              <w:t>Phase 2 total</w:t>
            </w:r>
          </w:p>
        </w:tc>
        <w:tc>
          <w:tcPr>
            <w:tcW w:type="dxa" w:w="850"/>
          </w:tcPr>
          <w:p>
            <w:r/>
            <w:r>
              <w:rPr>
                <w:b/>
                <w:sz w:val="16"/>
              </w:rPr>
              <w:t>85</w:t>
            </w:r>
          </w:p>
        </w:tc>
        <w:tc>
          <w:tcPr>
            <w:tcW w:type="dxa" w:w="1247"/>
          </w:tcPr>
          <w:p>
            <w:r/>
            <w:r>
              <w:rPr>
                <w:b/>
                <w:sz w:val="16"/>
              </w:rPr>
              <w:t>18 / 67</w:t>
            </w:r>
          </w:p>
        </w:tc>
        <w:tc>
          <w:tcPr>
            <w:tcW w:type="dxa" w:w="1020"/>
          </w:tcPr>
          <w:p>
            <w:r/>
            <w:r>
              <w:rPr>
                <w:b/>
                <w:sz w:val="16"/>
              </w:rPr>
              <w:t>≈ 44</w:t>
            </w:r>
          </w:p>
        </w:tc>
        <w:tc>
          <w:tcPr>
            <w:tcW w:type="dxa" w:w="964"/>
          </w:tcPr>
          <w:p>
            <w:r/>
            <w:r>
              <w:rPr>
                <w:b/>
                <w:sz w:val="16"/>
              </w:rPr>
              <w:t>≈ 9</w:t>
            </w:r>
          </w:p>
        </w:tc>
        <w:tc>
          <w:tcPr>
            <w:tcW w:type="dxa" w:w="3855"/>
          </w:tcPr>
          <w:p>
            <w:r/>
          </w:p>
        </w:tc>
      </w:tr>
    </w:tbl>
    <w:p/>
    <w:p>
      <w:pPr>
        <w:pStyle w:val="Heading3"/>
      </w:pPr>
      <w:r>
        <w:t>Gantt — week by week (base case: five half-windows a week)</w:t>
      </w:r>
    </w:p>
    <w:tbl>
      <w:tblPr>
        <w:tblW w:type="auto" w:w="0"/>
        <w:jc w:val="center"/>
        <w:tblLayout w:type="fixed"/>
        <w:tblLook w:firstColumn="1" w:firstRow="1" w:lastColumn="0" w:lastRow="0" w:noHBand="0" w:noVBand="1" w:val="04A0"/>
        <w:tblLayout w:type="fixed"/>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W w:w="9374" w:type="dxa"/>
      </w:tblPr>
      <w:tblGrid>
        <w:gridCol w:w="3628"/>
        <w:gridCol w:w="221"/>
        <w:gridCol w:w="221"/>
        <w:gridCol w:w="221"/>
        <w:gridCol w:w="221"/>
        <w:gridCol w:w="221"/>
        <w:gridCol w:w="221"/>
        <w:gridCol w:w="221"/>
        <w:gridCol w:w="221"/>
        <w:gridCol w:w="221"/>
        <w:gridCol w:w="221"/>
        <w:gridCol w:w="221"/>
        <w:gridCol w:w="221"/>
        <w:gridCol w:w="221"/>
        <w:gridCol w:w="221"/>
        <w:gridCol w:w="221"/>
        <w:gridCol w:w="221"/>
        <w:gridCol w:w="221"/>
        <w:gridCol w:w="221"/>
        <w:gridCol w:w="221"/>
        <w:gridCol w:w="221"/>
        <w:gridCol w:w="221"/>
        <w:gridCol w:w="221"/>
        <w:gridCol w:w="221"/>
        <w:gridCol w:w="221"/>
        <w:gridCol w:w="221"/>
        <w:gridCol w:w="221"/>
      </w:tblGrid>
      <w:tr>
        <w:trPr>
          <w:trHeight w:val="238"/>
          <w:cantSplit/>
        </w:trPr>
        <w:tc>
          <w:tcPr>
            <w:tcW w:type="dxa" w:w="3628"/>
            <w:tcMar>
              <w:top w:w="20" w:type="dxa"/>
              <w:bottom w:w="20" w:type="dxa"/>
              <w:left w:w="60" w:type="dxa"/>
              <w:right w:w="60" w:type="dxa"/>
            </w:tcMar>
            <w:shd w:val="clear" w:color="auto" w:fill="EDF0F3"/>
          </w:tcPr>
          <w:p>
            <w:pPr>
              <w:keepNext/>
              <w:spacing w:after="0" w:before="0" w:line="240" w:lineRule="auto"/>
            </w:pPr>
            <w:r>
              <w:rPr>
                <w:b/>
                <w:color w:val="5B6672"/>
                <w:sz w:val="15"/>
              </w:rPr>
              <w:t>Task  ·  columns are weeks 1–13</w:t>
            </w:r>
          </w:p>
        </w:tc>
        <w:tc>
          <w:tcPr>
            <w:tcW w:type="dxa" w:w="442"/>
            <w:gridSpan w:val="2"/>
            <w:tcMar>
              <w:top w:w="20" w:type="dxa"/>
              <w:bottom w:w="20" w:type="dxa"/>
              <w:left w:w="15" w:type="dxa"/>
              <w:right w:w="15" w:type="dxa"/>
            </w:tcMar>
            <w:shd w:val="clear" w:color="auto" w:fill="EDF0F3"/>
          </w:tcPr>
          <w:p>
            <w:pPr>
              <w:keepNext/>
              <w:spacing w:after="0" w:before="0" w:line="240" w:lineRule="auto"/>
              <w:jc w:val="center"/>
            </w:pPr>
            <w:r>
              <w:rPr>
                <w:b/>
                <w:color w:val="5B6672"/>
                <w:sz w:val="13"/>
              </w:rPr>
              <w:t>1</w:t>
            </w:r>
          </w:p>
        </w:tc>
        <w:tc>
          <w:tcPr>
            <w:tcW w:type="dxa" w:w="442"/>
            <w:gridSpan w:val="2"/>
            <w:tcMar>
              <w:top w:w="20" w:type="dxa"/>
              <w:bottom w:w="20" w:type="dxa"/>
              <w:left w:w="15" w:type="dxa"/>
              <w:right w:w="15" w:type="dxa"/>
            </w:tcMar>
            <w:shd w:val="clear" w:color="auto" w:fill="EDF0F3"/>
          </w:tcPr>
          <w:p>
            <w:pPr>
              <w:keepNext/>
              <w:spacing w:after="0" w:before="0" w:line="240" w:lineRule="auto"/>
              <w:jc w:val="center"/>
            </w:pPr>
            <w:r>
              <w:rPr>
                <w:b/>
                <w:color w:val="5B6672"/>
                <w:sz w:val="13"/>
              </w:rPr>
              <w:t>2</w:t>
            </w:r>
          </w:p>
        </w:tc>
        <w:tc>
          <w:tcPr>
            <w:tcW w:type="dxa" w:w="442"/>
            <w:gridSpan w:val="2"/>
            <w:tcMar>
              <w:top w:w="20" w:type="dxa"/>
              <w:bottom w:w="20" w:type="dxa"/>
              <w:left w:w="15" w:type="dxa"/>
              <w:right w:w="15" w:type="dxa"/>
            </w:tcMar>
            <w:shd w:val="clear" w:color="auto" w:fill="EDF0F3"/>
          </w:tcPr>
          <w:p>
            <w:pPr>
              <w:keepNext/>
              <w:spacing w:after="0" w:before="0" w:line="240" w:lineRule="auto"/>
              <w:jc w:val="center"/>
            </w:pPr>
            <w:r>
              <w:rPr>
                <w:b/>
                <w:color w:val="5B6672"/>
                <w:sz w:val="13"/>
              </w:rPr>
              <w:t>3</w:t>
            </w:r>
          </w:p>
        </w:tc>
        <w:tc>
          <w:tcPr>
            <w:tcW w:type="dxa" w:w="442"/>
            <w:gridSpan w:val="2"/>
            <w:tcMar>
              <w:top w:w="20" w:type="dxa"/>
              <w:bottom w:w="20" w:type="dxa"/>
              <w:left w:w="15" w:type="dxa"/>
              <w:right w:w="15" w:type="dxa"/>
            </w:tcMar>
            <w:shd w:val="clear" w:color="auto" w:fill="EDF0F3"/>
          </w:tcPr>
          <w:p>
            <w:pPr>
              <w:keepNext/>
              <w:spacing w:after="0" w:before="0" w:line="240" w:lineRule="auto"/>
              <w:jc w:val="center"/>
            </w:pPr>
            <w:r>
              <w:rPr>
                <w:b/>
                <w:color w:val="5B6672"/>
                <w:sz w:val="13"/>
              </w:rPr>
              <w:t>4</w:t>
            </w:r>
          </w:p>
        </w:tc>
        <w:tc>
          <w:tcPr>
            <w:tcW w:type="dxa" w:w="442"/>
            <w:gridSpan w:val="2"/>
            <w:tcMar>
              <w:top w:w="20" w:type="dxa"/>
              <w:bottom w:w="20" w:type="dxa"/>
              <w:left w:w="15" w:type="dxa"/>
              <w:right w:w="15" w:type="dxa"/>
            </w:tcMar>
            <w:shd w:val="clear" w:color="auto" w:fill="EDF0F3"/>
          </w:tcPr>
          <w:p>
            <w:pPr>
              <w:keepNext/>
              <w:spacing w:after="0" w:before="0" w:line="240" w:lineRule="auto"/>
              <w:jc w:val="center"/>
            </w:pPr>
            <w:r>
              <w:rPr>
                <w:b/>
                <w:color w:val="5B6672"/>
                <w:sz w:val="13"/>
              </w:rPr>
              <w:t>5</w:t>
            </w:r>
          </w:p>
        </w:tc>
        <w:tc>
          <w:tcPr>
            <w:tcW w:type="dxa" w:w="442"/>
            <w:gridSpan w:val="2"/>
            <w:tcMar>
              <w:top w:w="20" w:type="dxa"/>
              <w:bottom w:w="20" w:type="dxa"/>
              <w:left w:w="15" w:type="dxa"/>
              <w:right w:w="15" w:type="dxa"/>
            </w:tcMar>
            <w:shd w:val="clear" w:color="auto" w:fill="EDF0F3"/>
          </w:tcPr>
          <w:p>
            <w:pPr>
              <w:keepNext/>
              <w:spacing w:after="0" w:before="0" w:line="240" w:lineRule="auto"/>
              <w:jc w:val="center"/>
            </w:pPr>
            <w:r>
              <w:rPr>
                <w:b/>
                <w:color w:val="5B6672"/>
                <w:sz w:val="13"/>
              </w:rPr>
              <w:t>6</w:t>
            </w:r>
          </w:p>
        </w:tc>
        <w:tc>
          <w:tcPr>
            <w:tcW w:type="dxa" w:w="442"/>
            <w:gridSpan w:val="2"/>
            <w:tcMar>
              <w:top w:w="20" w:type="dxa"/>
              <w:bottom w:w="20" w:type="dxa"/>
              <w:left w:w="15" w:type="dxa"/>
              <w:right w:w="15" w:type="dxa"/>
            </w:tcMar>
            <w:shd w:val="clear" w:color="auto" w:fill="EDF0F3"/>
          </w:tcPr>
          <w:p>
            <w:pPr>
              <w:keepNext/>
              <w:spacing w:after="0" w:before="0" w:line="240" w:lineRule="auto"/>
              <w:jc w:val="center"/>
            </w:pPr>
            <w:r>
              <w:rPr>
                <w:b/>
                <w:color w:val="5B6672"/>
                <w:sz w:val="13"/>
              </w:rPr>
              <w:t>7</w:t>
            </w:r>
          </w:p>
        </w:tc>
        <w:tc>
          <w:tcPr>
            <w:tcW w:type="dxa" w:w="442"/>
            <w:gridSpan w:val="2"/>
            <w:tcMar>
              <w:top w:w="20" w:type="dxa"/>
              <w:bottom w:w="20" w:type="dxa"/>
              <w:left w:w="15" w:type="dxa"/>
              <w:right w:w="15" w:type="dxa"/>
            </w:tcMar>
            <w:shd w:val="clear" w:color="auto" w:fill="EDF0F3"/>
          </w:tcPr>
          <w:p>
            <w:pPr>
              <w:keepNext/>
              <w:spacing w:after="0" w:before="0" w:line="240" w:lineRule="auto"/>
              <w:jc w:val="center"/>
            </w:pPr>
            <w:r>
              <w:rPr>
                <w:b/>
                <w:color w:val="5B6672"/>
                <w:sz w:val="13"/>
              </w:rPr>
              <w:t>8</w:t>
            </w:r>
          </w:p>
        </w:tc>
        <w:tc>
          <w:tcPr>
            <w:tcW w:type="dxa" w:w="442"/>
            <w:gridSpan w:val="2"/>
            <w:tcMar>
              <w:top w:w="20" w:type="dxa"/>
              <w:bottom w:w="20" w:type="dxa"/>
              <w:left w:w="15" w:type="dxa"/>
              <w:right w:w="15" w:type="dxa"/>
            </w:tcMar>
            <w:shd w:val="clear" w:color="auto" w:fill="EDF0F3"/>
          </w:tcPr>
          <w:p>
            <w:pPr>
              <w:keepNext/>
              <w:spacing w:after="0" w:before="0" w:line="240" w:lineRule="auto"/>
              <w:jc w:val="center"/>
            </w:pPr>
            <w:r>
              <w:rPr>
                <w:b/>
                <w:color w:val="5B6672"/>
                <w:sz w:val="13"/>
              </w:rPr>
              <w:t>9</w:t>
            </w:r>
          </w:p>
        </w:tc>
        <w:tc>
          <w:tcPr>
            <w:tcW w:type="dxa" w:w="442"/>
            <w:gridSpan w:val="2"/>
            <w:tcMar>
              <w:top w:w="20" w:type="dxa"/>
              <w:bottom w:w="20" w:type="dxa"/>
              <w:left w:w="15" w:type="dxa"/>
              <w:right w:w="15" w:type="dxa"/>
            </w:tcMar>
            <w:shd w:val="clear" w:color="auto" w:fill="EDF0F3"/>
          </w:tcPr>
          <w:p>
            <w:pPr>
              <w:keepNext/>
              <w:spacing w:after="0" w:before="0" w:line="240" w:lineRule="auto"/>
              <w:jc w:val="center"/>
            </w:pPr>
            <w:r>
              <w:rPr>
                <w:b/>
                <w:color w:val="5B6672"/>
                <w:sz w:val="13"/>
              </w:rPr>
              <w:t>10</w:t>
            </w:r>
          </w:p>
        </w:tc>
        <w:tc>
          <w:tcPr>
            <w:tcW w:type="dxa" w:w="442"/>
            <w:gridSpan w:val="2"/>
            <w:tcMar>
              <w:top w:w="20" w:type="dxa"/>
              <w:bottom w:w="20" w:type="dxa"/>
              <w:left w:w="15" w:type="dxa"/>
              <w:right w:w="15" w:type="dxa"/>
            </w:tcMar>
            <w:shd w:val="clear" w:color="auto" w:fill="EDF0F3"/>
          </w:tcPr>
          <w:p>
            <w:pPr>
              <w:keepNext/>
              <w:spacing w:after="0" w:before="0" w:line="240" w:lineRule="auto"/>
              <w:jc w:val="center"/>
            </w:pPr>
            <w:r>
              <w:rPr>
                <w:b/>
                <w:color w:val="5B6672"/>
                <w:sz w:val="13"/>
              </w:rPr>
              <w:t>11</w:t>
            </w:r>
          </w:p>
        </w:tc>
        <w:tc>
          <w:tcPr>
            <w:tcW w:type="dxa" w:w="442"/>
            <w:gridSpan w:val="2"/>
            <w:tcMar>
              <w:top w:w="20" w:type="dxa"/>
              <w:bottom w:w="20" w:type="dxa"/>
              <w:left w:w="15" w:type="dxa"/>
              <w:right w:w="15" w:type="dxa"/>
            </w:tcMar>
            <w:shd w:val="clear" w:color="auto" w:fill="EDF0F3"/>
          </w:tcPr>
          <w:p>
            <w:pPr>
              <w:keepNext/>
              <w:spacing w:after="0" w:before="0" w:line="240" w:lineRule="auto"/>
              <w:jc w:val="center"/>
            </w:pPr>
            <w:r>
              <w:rPr>
                <w:b/>
                <w:color w:val="5B6672"/>
                <w:sz w:val="13"/>
              </w:rPr>
              <w:t>12</w:t>
            </w:r>
          </w:p>
        </w:tc>
        <w:tc>
          <w:tcPr>
            <w:tcW w:type="dxa" w:w="442"/>
            <w:gridSpan w:val="2"/>
            <w:tcMar>
              <w:top w:w="20" w:type="dxa"/>
              <w:bottom w:w="20" w:type="dxa"/>
              <w:left w:w="15" w:type="dxa"/>
              <w:right w:w="15" w:type="dxa"/>
            </w:tcMar>
            <w:shd w:val="clear" w:color="auto" w:fill="EDF0F3"/>
          </w:tcPr>
          <w:p>
            <w:pPr>
              <w:keepNext/>
              <w:spacing w:after="0" w:before="0" w:line="240" w:lineRule="auto"/>
              <w:jc w:val="center"/>
            </w:pPr>
            <w:r>
              <w:rPr>
                <w:b/>
                <w:color w:val="5B6672"/>
                <w:sz w:val="13"/>
              </w:rPr>
              <w:t>13</w:t>
            </w:r>
          </w:p>
        </w:tc>
      </w:tr>
      <w:tr>
        <w:trPr>
          <w:trHeight w:val="238"/>
          <w:cantSplit/>
        </w:trPr>
        <w:tc>
          <w:tcPr>
            <w:tcW w:type="dxa" w:w="9374"/>
            <w:gridSpan w:val="27"/>
            <w:tcMar>
              <w:top w:w="20" w:type="dxa"/>
              <w:bottom w:w="20" w:type="dxa"/>
              <w:left w:w="60" w:type="dxa"/>
              <w:right w:w="60" w:type="dxa"/>
            </w:tcMar>
            <w:shd w:val="clear" w:color="auto" w:fill="EDF0F3"/>
          </w:tcPr>
          <w:p>
            <w:pPr>
              <w:keepNext/>
              <w:spacing w:after="0" w:before="0" w:line="240" w:lineRule="auto"/>
            </w:pPr>
            <w:r>
              <w:rPr>
                <w:b/>
                <w:sz w:val="15"/>
              </w:rPr>
              <w:t>PHASE 1 — the method (weeks 1–3)</w:t>
            </w:r>
          </w:p>
        </w:tc>
      </w:tr>
      <w:tr>
        <w:trPr>
          <w:trHeight w:val="238"/>
          <w:cantSplit/>
        </w:trPr>
        <w:tc>
          <w:tcPr>
            <w:tcW w:type="dxa" w:w="3628"/>
            <w:tcMar>
              <w:top w:w="20" w:type="dxa"/>
              <w:bottom w:w="20" w:type="dxa"/>
              <w:left w:w="60" w:type="dxa"/>
              <w:right w:w="60" w:type="dxa"/>
            </w:tcMar>
          </w:tcPr>
          <w:p>
            <w:pPr>
              <w:keepNext/>
              <w:spacing w:after="0" w:before="0" w:line="240" w:lineRule="auto"/>
            </w:pPr>
            <w:r>
              <w:rPr>
                <w:b w:val="0"/>
                <w:sz w:val="15"/>
              </w:rPr>
              <w:t>Day 0: merge · refetch filings · stamps</w:t>
            </w: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r>
      <w:tr>
        <w:trPr>
          <w:trHeight w:val="238"/>
          <w:cantSplit/>
        </w:trPr>
        <w:tc>
          <w:tcPr>
            <w:tcW w:type="dxa" w:w="3628"/>
            <w:tcMar>
              <w:top w:w="20" w:type="dxa"/>
              <w:bottom w:w="20" w:type="dxa"/>
              <w:left w:w="60" w:type="dxa"/>
              <w:right w:w="60" w:type="dxa"/>
            </w:tcMar>
          </w:tcPr>
          <w:p>
            <w:pPr>
              <w:keepNext/>
              <w:spacing w:after="0" w:before="0" w:line="240" w:lineRule="auto"/>
            </w:pPr>
            <w:r>
              <w:rPr>
                <w:b w:val="0"/>
                <w:sz w:val="15"/>
              </w:rPr>
              <w:t>Day 1–2: apply reviewed corrections (class A)</w:t>
            </w: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r>
      <w:tr>
        <w:trPr>
          <w:trHeight w:val="238"/>
          <w:cantSplit/>
        </w:trPr>
        <w:tc>
          <w:tcPr>
            <w:tcW w:type="dxa" w:w="3628"/>
            <w:tcMar>
              <w:top w:w="20" w:type="dxa"/>
              <w:bottom w:w="20" w:type="dxa"/>
              <w:left w:w="60" w:type="dxa"/>
              <w:right w:w="60" w:type="dxa"/>
            </w:tcMar>
          </w:tcPr>
          <w:p>
            <w:pPr>
              <w:keepNext/>
              <w:spacing w:after="0" w:before="0" w:line="240" w:lineRule="auto"/>
            </w:pPr>
            <w:r>
              <w:rPr>
                <w:b w:val="0"/>
                <w:sz w:val="15"/>
              </w:rPr>
              <w:t>WS2 macro path · WS3 lenses · WS4 bridge</w:t>
            </w: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r>
      <w:tr>
        <w:trPr>
          <w:trHeight w:val="238"/>
          <w:cantSplit/>
        </w:trPr>
        <w:tc>
          <w:tcPr>
            <w:tcW w:type="dxa" w:w="3628"/>
            <w:tcMar>
              <w:top w:w="20" w:type="dxa"/>
              <w:bottom w:w="20" w:type="dxa"/>
              <w:left w:w="60" w:type="dxa"/>
              <w:right w:w="60" w:type="dxa"/>
            </w:tcMar>
          </w:tcPr>
          <w:p>
            <w:pPr>
              <w:keepNext/>
              <w:spacing w:after="0" w:before="0" w:line="240" w:lineRule="auto"/>
            </w:pPr>
            <w:r>
              <w:rPr>
                <w:b w:val="0"/>
                <w:sz w:val="15"/>
              </w:rPr>
              <w:t>WS1 cost of capital</w:t>
            </w: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r>
      <w:tr>
        <w:trPr>
          <w:trHeight w:val="238"/>
          <w:cantSplit/>
        </w:trPr>
        <w:tc>
          <w:tcPr>
            <w:tcW w:type="dxa" w:w="3628"/>
            <w:tcMar>
              <w:top w:w="20" w:type="dxa"/>
              <w:bottom w:w="20" w:type="dxa"/>
              <w:left w:w="60" w:type="dxa"/>
              <w:right w:w="60" w:type="dxa"/>
            </w:tcMar>
          </w:tcPr>
          <w:p>
            <w:pPr>
              <w:keepNext/>
              <w:spacing w:after="0" w:before="0" w:line="240" w:lineRule="auto"/>
            </w:pPr>
            <w:r>
              <w:rPr>
                <w:b w:val="0"/>
                <w:sz w:val="15"/>
              </w:rPr>
              <w:t>WS6 macro-history archive (sourcing)</w:t>
            </w: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r>
      <w:tr>
        <w:trPr>
          <w:trHeight w:val="238"/>
          <w:cantSplit/>
        </w:trPr>
        <w:tc>
          <w:tcPr>
            <w:tcW w:type="dxa" w:w="3628"/>
            <w:tcMar>
              <w:top w:w="20" w:type="dxa"/>
              <w:bottom w:w="20" w:type="dxa"/>
              <w:left w:w="60" w:type="dxa"/>
              <w:right w:w="60" w:type="dxa"/>
            </w:tcMar>
          </w:tcPr>
          <w:p>
            <w:pPr>
              <w:keepNext/>
              <w:spacing w:after="0" w:before="0" w:line="240" w:lineRule="auto"/>
            </w:pPr>
            <w:r>
              <w:rPr>
                <w:b w:val="0"/>
                <w:sz w:val="15"/>
              </w:rPr>
              <w:t>WS7 output gates + negative controls</w:t>
            </w: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r>
      <w:tr>
        <w:trPr>
          <w:trHeight w:val="238"/>
          <w:cantSplit/>
        </w:trPr>
        <w:tc>
          <w:tcPr>
            <w:tcW w:type="dxa" w:w="3628"/>
            <w:tcMar>
              <w:top w:w="20" w:type="dxa"/>
              <w:bottom w:w="20" w:type="dxa"/>
              <w:left w:w="60" w:type="dxa"/>
              <w:right w:w="60" w:type="dxa"/>
            </w:tcMar>
          </w:tcPr>
          <w:p>
            <w:pPr>
              <w:keepNext/>
              <w:spacing w:after="0" w:before="0" w:line="240" w:lineRule="auto"/>
            </w:pPr>
            <w:r>
              <w:rPr>
                <w:b w:val="0"/>
                <w:sz w:val="15"/>
              </w:rPr>
              <w:t>WS5 actuator (decision rule, asserts)</w:t>
            </w: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r>
      <w:tr>
        <w:trPr>
          <w:trHeight w:val="238"/>
          <w:cantSplit/>
        </w:trPr>
        <w:tc>
          <w:tcPr>
            <w:tcW w:type="dxa" w:w="3628"/>
            <w:tcMar>
              <w:top w:w="20" w:type="dxa"/>
              <w:bottom w:w="20" w:type="dxa"/>
              <w:left w:w="60" w:type="dxa"/>
              <w:right w:w="60" w:type="dxa"/>
            </w:tcMar>
          </w:tcPr>
          <w:p>
            <w:pPr>
              <w:keepNext/>
              <w:spacing w:after="0" w:before="0" w:line="240" w:lineRule="auto"/>
            </w:pPr>
            <w:r>
              <w:rPr>
                <w:b w:val="0"/>
                <w:sz w:val="15"/>
              </w:rPr>
              <w:t>WS8 re-issue TMGH → PHDC → ARCC</w:t>
            </w: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r>
      <w:tr>
        <w:trPr>
          <w:trHeight w:val="238"/>
          <w:cantSplit/>
        </w:trPr>
        <w:tc>
          <w:tcPr>
            <w:tcW w:type="dxa" w:w="3628"/>
            <w:tcMar>
              <w:top w:w="20" w:type="dxa"/>
              <w:bottom w:w="20" w:type="dxa"/>
              <w:left w:w="60" w:type="dxa"/>
              <w:right w:w="60" w:type="dxa"/>
            </w:tcMar>
          </w:tcPr>
          <w:p>
            <w:pPr>
              <w:keepNext/>
              <w:spacing w:after="0" w:before="0" w:line="240" w:lineRule="auto"/>
            </w:pPr>
            <w:r>
              <w:rPr>
                <w:b w:val="0"/>
                <w:sz w:val="15"/>
              </w:rPr>
              <w:t>WS6 valuation walk-forward, five names</w:t>
            </w: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r>
      <w:tr>
        <w:trPr>
          <w:trHeight w:val="238"/>
          <w:cantSplit/>
        </w:trPr>
        <w:tc>
          <w:tcPr>
            <w:tcW w:type="dxa" w:w="3628"/>
            <w:tcMar>
              <w:top w:w="20" w:type="dxa"/>
              <w:bottom w:w="20" w:type="dxa"/>
              <w:left w:w="60" w:type="dxa"/>
              <w:right w:w="60" w:type="dxa"/>
            </w:tcMar>
          </w:tcPr>
          <w:p>
            <w:pPr>
              <w:keepNext/>
              <w:spacing w:after="0" w:before="0" w:line="240" w:lineRule="auto"/>
            </w:pPr>
            <w:r>
              <w:rPr>
                <w:b w:val="0"/>
                <w:sz w:val="15"/>
              </w:rPr>
              <w:t>WS10 governance, lessons, digest</w:t>
            </w: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r>
      <w:tr>
        <w:trPr>
          <w:trHeight w:val="238"/>
          <w:cantSplit/>
        </w:trPr>
        <w:tc>
          <w:tcPr>
            <w:tcW w:type="dxa" w:w="3628"/>
            <w:tcMar>
              <w:top w:w="20" w:type="dxa"/>
              <w:bottom w:w="20" w:type="dxa"/>
              <w:left w:w="60" w:type="dxa"/>
              <w:right w:w="60" w:type="dxa"/>
            </w:tcMar>
          </w:tcPr>
          <w:p>
            <w:pPr>
              <w:keepNext/>
              <w:spacing w:after="0" w:before="0" w:line="240" w:lineRule="auto"/>
            </w:pPr>
            <w:r>
              <w:rPr>
                <w:b w:val="0"/>
                <w:sz w:val="15"/>
              </w:rPr>
              <w:t>WS8 EGCH → AMOC · WS9 sweep report</w:t>
            </w: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r>
      <w:tr>
        <w:trPr>
          <w:trHeight w:val="238"/>
          <w:cantSplit/>
        </w:trPr>
        <w:tc>
          <w:tcPr>
            <w:tcW w:type="dxa" w:w="3628"/>
            <w:tcMar>
              <w:top w:w="20" w:type="dxa"/>
              <w:bottom w:w="20" w:type="dxa"/>
              <w:left w:w="60" w:type="dxa"/>
              <w:right w:w="60" w:type="dxa"/>
            </w:tcMar>
          </w:tcPr>
          <w:p>
            <w:pPr>
              <w:keepNext/>
              <w:spacing w:after="0" w:before="0" w:line="240" w:lineRule="auto"/>
            </w:pPr>
            <w:r>
              <w:rPr>
                <w:b w:val="0"/>
                <w:sz w:val="15"/>
              </w:rPr>
              <w:t>promote (LONO + era) · re-issue · publish 5</w:t>
            </w: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shd w:val="clear" w:color="auto" w:fill="8F7326"/>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r>
      <w:tr>
        <w:trPr>
          <w:trHeight w:val="238"/>
          <w:cantSplit/>
        </w:trPr>
        <w:tc>
          <w:tcPr>
            <w:tcW w:type="dxa" w:w="9374"/>
            <w:gridSpan w:val="27"/>
            <w:tcMar>
              <w:top w:w="20" w:type="dxa"/>
              <w:bottom w:w="20" w:type="dxa"/>
              <w:left w:w="60" w:type="dxa"/>
              <w:right w:w="60" w:type="dxa"/>
            </w:tcMar>
            <w:shd w:val="clear" w:color="auto" w:fill="EDF0F3"/>
          </w:tcPr>
          <w:p>
            <w:pPr>
              <w:keepNext/>
              <w:spacing w:after="0" w:before="0" w:line="240" w:lineRule="auto"/>
            </w:pPr>
            <w:r>
              <w:rPr>
                <w:b/>
                <w:sz w:val="15"/>
              </w:rPr>
              <w:t>PHASE 2 — the other 85, standing market order (weeks 4–13)</w:t>
            </w:r>
          </w:p>
        </w:tc>
      </w:tr>
      <w:tr>
        <w:trPr>
          <w:trHeight w:val="238"/>
          <w:cantSplit/>
        </w:trPr>
        <w:tc>
          <w:tcPr>
            <w:tcW w:type="dxa" w:w="3628"/>
            <w:tcMar>
              <w:top w:w="20" w:type="dxa"/>
              <w:bottom w:w="20" w:type="dxa"/>
              <w:left w:w="60" w:type="dxa"/>
              <w:right w:w="60" w:type="dxa"/>
            </w:tcMar>
          </w:tcPr>
          <w:p>
            <w:pPr>
              <w:keepNext/>
              <w:spacing w:after="0" w:before="0" w:line="240" w:lineRule="auto"/>
            </w:pPr>
            <w:r>
              <w:rPr>
                <w:b w:val="0"/>
                <w:sz w:val="15"/>
              </w:rPr>
              <w:t>EGX 32 names (5 re-issue, 27 first build)</w:t>
            </w: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r>
      <w:tr>
        <w:trPr>
          <w:trHeight w:val="238"/>
          <w:cantSplit/>
        </w:trPr>
        <w:tc>
          <w:tcPr>
            <w:tcW w:type="dxa" w:w="3628"/>
            <w:tcMar>
              <w:top w:w="20" w:type="dxa"/>
              <w:bottom w:w="20" w:type="dxa"/>
              <w:left w:w="60" w:type="dxa"/>
              <w:right w:w="60" w:type="dxa"/>
            </w:tcMar>
          </w:tcPr>
          <w:p>
            <w:pPr>
              <w:keepNext/>
              <w:spacing w:after="0" w:before="0" w:line="240" w:lineRule="auto"/>
            </w:pPr>
            <w:r>
              <w:rPr>
                <w:b w:val="0"/>
                <w:sz w:val="15"/>
              </w:rPr>
              <w:t>EGX hard stop: does the method generalise?</w:t>
            </w: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shd w:val="clear" w:color="auto" w:fill="8F7326"/>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r>
      <w:tr>
        <w:trPr>
          <w:trHeight w:val="238"/>
          <w:cantSplit/>
        </w:trPr>
        <w:tc>
          <w:tcPr>
            <w:tcW w:type="dxa" w:w="3628"/>
            <w:tcMar>
              <w:top w:w="20" w:type="dxa"/>
              <w:bottom w:w="20" w:type="dxa"/>
              <w:left w:w="60" w:type="dxa"/>
              <w:right w:w="60" w:type="dxa"/>
            </w:tcMar>
          </w:tcPr>
          <w:p>
            <w:pPr>
              <w:keepNext/>
              <w:spacing w:after="0" w:before="0" w:line="240" w:lineRule="auto"/>
            </w:pPr>
            <w:r>
              <w:rPr>
                <w:b w:val="0"/>
                <w:sz w:val="15"/>
              </w:rPr>
              <w:t>publish EGX batch</w:t>
            </w: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shd w:val="clear" w:color="auto" w:fill="8F7326"/>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r>
      <w:tr>
        <w:trPr>
          <w:trHeight w:val="238"/>
          <w:cantSplit/>
        </w:trPr>
        <w:tc>
          <w:tcPr>
            <w:tcW w:type="dxa" w:w="3628"/>
            <w:tcMar>
              <w:top w:w="20" w:type="dxa"/>
              <w:bottom w:w="20" w:type="dxa"/>
              <w:left w:w="60" w:type="dxa"/>
              <w:right w:w="60" w:type="dxa"/>
            </w:tcMar>
          </w:tcPr>
          <w:p>
            <w:pPr>
              <w:keepNext/>
              <w:spacing w:after="0" w:before="0" w:line="240" w:lineRule="auto"/>
            </w:pPr>
            <w:r>
              <w:rPr>
                <w:b w:val="0"/>
                <w:sz w:val="15"/>
              </w:rPr>
              <w:t>UAE 28 names (10 / 18)</w:t>
            </w: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r>
      <w:tr>
        <w:trPr>
          <w:trHeight w:val="238"/>
          <w:cantSplit/>
        </w:trPr>
        <w:tc>
          <w:tcPr>
            <w:tcW w:type="dxa" w:w="3628"/>
            <w:tcMar>
              <w:top w:w="20" w:type="dxa"/>
              <w:bottom w:w="20" w:type="dxa"/>
              <w:left w:w="60" w:type="dxa"/>
              <w:right w:w="60" w:type="dxa"/>
            </w:tcMar>
          </w:tcPr>
          <w:p>
            <w:pPr>
              <w:keepNext/>
              <w:spacing w:after="0" w:before="0" w:line="240" w:lineRule="auto"/>
            </w:pPr>
            <w:r>
              <w:rPr>
                <w:b w:val="0"/>
                <w:sz w:val="15"/>
              </w:rPr>
              <w:t>publish UAE batch</w:t>
            </w: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shd w:val="clear" w:color="auto" w:fill="8F7326"/>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r>
      <w:tr>
        <w:trPr>
          <w:trHeight w:val="238"/>
          <w:cantSplit/>
        </w:trPr>
        <w:tc>
          <w:tcPr>
            <w:tcW w:type="dxa" w:w="3628"/>
            <w:tcMar>
              <w:top w:w="20" w:type="dxa"/>
              <w:bottom w:w="20" w:type="dxa"/>
              <w:left w:w="60" w:type="dxa"/>
              <w:right w:w="60" w:type="dxa"/>
            </w:tcMar>
          </w:tcPr>
          <w:p>
            <w:pPr>
              <w:keepNext/>
              <w:spacing w:after="0" w:before="0" w:line="240" w:lineRule="auto"/>
            </w:pPr>
            <w:r>
              <w:rPr>
                <w:b w:val="0"/>
                <w:sz w:val="15"/>
              </w:rPr>
              <w:t>KSA 13 names (3 / 10)</w:t>
            </w: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r>
      <w:tr>
        <w:trPr>
          <w:trHeight w:val="238"/>
          <w:cantSplit/>
        </w:trPr>
        <w:tc>
          <w:tcPr>
            <w:tcW w:type="dxa" w:w="3628"/>
            <w:tcMar>
              <w:top w:w="20" w:type="dxa"/>
              <w:bottom w:w="20" w:type="dxa"/>
              <w:left w:w="60" w:type="dxa"/>
              <w:right w:w="60" w:type="dxa"/>
            </w:tcMar>
          </w:tcPr>
          <w:p>
            <w:pPr>
              <w:keepNext/>
              <w:spacing w:after="0" w:before="0" w:line="240" w:lineRule="auto"/>
            </w:pPr>
            <w:r>
              <w:rPr>
                <w:b w:val="0"/>
                <w:sz w:val="15"/>
              </w:rPr>
              <w:t>publish KSA batch</w:t>
            </w: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shd w:val="clear" w:color="auto" w:fill="8F7326"/>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r>
      <w:tr>
        <w:trPr>
          <w:trHeight w:val="238"/>
          <w:cantSplit/>
        </w:trPr>
        <w:tc>
          <w:tcPr>
            <w:tcW w:type="dxa" w:w="3628"/>
            <w:tcMar>
              <w:top w:w="20" w:type="dxa"/>
              <w:bottom w:w="20" w:type="dxa"/>
              <w:left w:w="60" w:type="dxa"/>
              <w:right w:w="60" w:type="dxa"/>
            </w:tcMar>
          </w:tcPr>
          <w:p>
            <w:pPr>
              <w:keepNext/>
              <w:spacing w:after="0" w:before="0" w:line="240" w:lineRule="auto"/>
            </w:pPr>
            <w:r>
              <w:rPr>
                <w:b w:val="0"/>
                <w:sz w:val="15"/>
              </w:rPr>
              <w:t>Qatar · India · Korea · USA, 12 names</w:t>
            </w: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r>
      <w:tr>
        <w:trPr>
          <w:trHeight w:val="238"/>
          <w:cantSplit/>
        </w:trPr>
        <w:tc>
          <w:tcPr>
            <w:tcW w:type="dxa" w:w="3628"/>
            <w:tcMar>
              <w:top w:w="20" w:type="dxa"/>
              <w:bottom w:w="20" w:type="dxa"/>
              <w:left w:w="60" w:type="dxa"/>
              <w:right w:w="60" w:type="dxa"/>
            </w:tcMar>
          </w:tcPr>
          <w:p>
            <w:pPr>
              <w:keepNext/>
              <w:spacing w:after="0" w:before="0" w:line="240" w:lineRule="auto"/>
            </w:pPr>
            <w:r>
              <w:rPr>
                <w:b w:val="0"/>
                <w:sz w:val="15"/>
              </w:rPr>
              <w:t>walk-forward record refresh · promotion re-check</w:t>
            </w: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shd w:val="clear" w:color="auto" w:fill="1C2530"/>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r>
      <w:tr>
        <w:trPr>
          <w:trHeight w:val="238"/>
          <w:cantSplit/>
        </w:trPr>
        <w:tc>
          <w:tcPr>
            <w:tcW w:type="dxa" w:w="3628"/>
            <w:tcMar>
              <w:top w:w="20" w:type="dxa"/>
              <w:bottom w:w="20" w:type="dxa"/>
              <w:left w:w="60" w:type="dxa"/>
              <w:right w:w="60" w:type="dxa"/>
            </w:tcMar>
          </w:tcPr>
          <w:p>
            <w:pPr>
              <w:keepNext/>
              <w:spacing w:after="0" w:before="0" w:line="240" w:lineRule="auto"/>
            </w:pPr>
            <w:r>
              <w:rPr>
                <w:b w:val="0"/>
                <w:sz w:val="15"/>
              </w:rPr>
              <w:t>final batch publish · governance close</w:t>
            </w: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tcPr>
          <w:p>
            <w:pPr>
              <w:keepNext/>
              <w:spacing w:after="0" w:before="0" w:line="240" w:lineRule="auto"/>
            </w:pPr>
          </w:p>
        </w:tc>
        <w:tc>
          <w:tcPr>
            <w:tcW w:type="dxa" w:w="221"/>
            <w:tcMar>
              <w:top w:w="20" w:type="dxa"/>
              <w:bottom w:w="20" w:type="dxa"/>
              <w:left w:w="60" w:type="dxa"/>
              <w:right w:w="60" w:type="dxa"/>
            </w:tcMar>
            <w:shd w:val="clear" w:color="auto" w:fill="8F7326"/>
          </w:tcPr>
          <w:p>
            <w:pPr>
              <w:keepNext/>
              <w:spacing w:after="0" w:before="0" w:line="240" w:lineRule="auto"/>
            </w:pPr>
          </w:p>
        </w:tc>
      </w:tr>
    </w:tbl>
    <w:p>
      <w:r>
        <w:rPr>
          <w:color w:val="5B6672"/>
          <w:sz w:val="18"/>
        </w:rPr>
        <w:t>Dark cells are work, brass cells are milestones (a hard stop or a batch publish); each week is two half-week cells. Weeks are relative to the start of Phase 1 at the base case of five half-windows a week; Part G re-cuts the dates from the cap measured on the first two nights.</w:t>
      </w:r>
    </w:p>
    <w:p>
      <w:pPr>
        <w:pStyle w:val="Heading3"/>
      </w:pPr>
      <w:r>
        <w:t>Total</w:t>
      </w:r>
    </w:p>
    <w:p>
      <w:r>
        <w:rPr>
          <w:b/>
        </w:rPr>
        <w:t>Superseded by Part G's clock rule:</w:t>
      </w:r>
      <w:r>
        <w:t xml:space="preserve"> at 100% of the plan overnight and 50% by day the programme is bound by the weekly cap alone — about ten days if the cap does not bind, three weeks at about ten window-equivalents a week, six at about five. The week-by-week Gantt above is the ordering; its dates are re-cut from the cap measured on the first two nights. The earlier thirteen-week figure assumed one half-window a day. The range is about </w:t>
      </w:r>
      <w:r>
        <w:rPr>
          <w:b/>
        </w:rPr>
        <w:t>nine weeks</w:t>
      </w:r>
      <w:r>
        <w:t xml:space="preserve"> if the weekly cap allows seven half-windows, and about </w:t>
      </w:r>
      <w:r>
        <w:rPr>
          <w:b/>
        </w:rPr>
        <w:t>twenty</w:t>
      </w:r>
      <w:r>
        <w:t xml:space="preserve"> if it allows only three. Stop-and-ask names (filings the company's own channels do not yield) wait on the principal and sit outside the critical path. Phase 2 does not start until Phase 1's walk-forward record shows the method unbiased within its confidence interval; 85 studies on an unproven method is the mistake the campaign just made with five.</w:t>
      </w:r>
    </w:p>
    <w:p>
      <w:pPr>
        <w:pStyle w:val="Heading2"/>
      </w:pPr>
      <w:r>
        <w:t>Part E — Acceptance criteria</w:t>
      </w:r>
    </w:p>
    <w:p>
      <w:r>
        <w:t>The plan is complete when all of the following hold and are printed by the gates, not attested:</w:t>
      </w:r>
    </w:p>
    <w:p>
      <w:pPr>
        <w:pStyle w:val="ListNumber"/>
        <w:numPr>
          <w:ilvl w:val="0"/>
          <w:numId w:val="11"/>
        </w:numPr>
      </w:pPr>
      <w:r>
        <w:rPr>
          <w:rFonts w:ascii="Consolas" w:hAnsi="Consolas"/>
          <w:sz w:val="19"/>
        </w:rPr>
        <w:t>check_cost_of_capital</w:t>
      </w:r>
      <w:r>
        <w:t xml:space="preserve">, </w:t>
      </w:r>
      <w:r>
        <w:rPr>
          <w:rFonts w:ascii="Consolas" w:hAnsi="Consolas"/>
          <w:sz w:val="19"/>
        </w:rPr>
        <w:t>check_macro_coherence</w:t>
      </w:r>
      <w:r>
        <w:t xml:space="preserve">, </w:t>
      </w:r>
      <w:r>
        <w:rPr>
          <w:rFonts w:ascii="Consolas" w:hAnsi="Consolas"/>
          <w:sz w:val="19"/>
        </w:rPr>
        <w:t>check_lens_design</w:t>
      </w:r>
      <w:r>
        <w:t xml:space="preserve">, </w:t>
      </w:r>
      <w:r>
        <w:rPr>
          <w:rFonts w:ascii="Consolas" w:hAnsi="Consolas"/>
          <w:sz w:val="19"/>
        </w:rPr>
        <w:t>check_bridge</w:t>
      </w:r>
      <w:r>
        <w:t xml:space="preserve">, </w:t>
      </w:r>
      <w:r>
        <w:rPr>
          <w:rFonts w:ascii="Consolas" w:hAnsi="Consolas"/>
          <w:sz w:val="19"/>
        </w:rPr>
        <w:t>check_walkforward_actuation</w:t>
      </w:r>
      <w:r>
        <w:t xml:space="preserve">, </w:t>
      </w:r>
      <w:r>
        <w:rPr>
          <w:rFonts w:ascii="Consolas" w:hAnsi="Consolas"/>
          <w:sz w:val="19"/>
        </w:rPr>
        <w:t>check_corrections_applied</w:t>
      </w:r>
      <w:r>
        <w:t xml:space="preserve">, </w:t>
      </w:r>
      <w:r>
        <w:rPr>
          <w:rFonts w:ascii="Consolas" w:hAnsi="Consolas"/>
          <w:sz w:val="19"/>
        </w:rPr>
        <w:t>check_valuation_calibration</w:t>
      </w:r>
      <w:r>
        <w:t xml:space="preserve"> are green in CI with negative controls, and the ratchet lists carry only names not yet re-issued.</w:t>
      </w:r>
    </w:p>
    <w:p>
      <w:pPr>
        <w:pStyle w:val="ListNumber"/>
        <w:numPr>
          <w:ilvl w:val="0"/>
          <w:numId w:val="11"/>
        </w:numPr>
      </w:pPr>
      <w:r>
        <w:t>On the five re-issued names, forward drivers sit inside each name's own walk-forward p10–p90 or carry a priced exception; every claimed correction reconciles to its log.</w:t>
      </w:r>
    </w:p>
    <w:p>
      <w:pPr>
        <w:pStyle w:val="ListNumber"/>
        <w:numPr>
          <w:ilvl w:val="0"/>
          <w:numId w:val="11"/>
        </w:numPr>
      </w:pPr>
      <w:r>
        <w:rPr>
          <w:b/>
        </w:rPr>
        <w:t>The valuation calibration's pooled contemporaneous bias, log(FV/P) at every origin, has a 90% block-bootstrap CI that includes zero</w:t>
      </w:r>
      <w:r>
        <w:t xml:space="preserve">, is LONO-stable in sign, and holds in both eras; the gap-closure series shows whether any residual lean predicts returns; the method beats "FV = price" and "trailing P/E × EPS" on MAE; the decomposition attributes any residual bias to a named lever. </w:t>
      </w:r>
      <w:r>
        <w:rPr>
          <w:b/>
        </w:rPr>
        <w:t>This record, and the gates, are the acceptance instrument.</w:t>
      </w:r>
    </w:p>
    <w:p>
      <w:pPr>
        <w:pStyle w:val="ListNumber"/>
        <w:numPr>
          <w:ilvl w:val="0"/>
          <w:numId w:val="11"/>
        </w:numPr>
      </w:pPr>
      <w:r>
        <w:rPr>
          <w:b/>
        </w:rPr>
        <w:t>Not an acceptance criterion but a graded prediction</w:t>
      </w:r>
      <w:r>
        <w:t xml:space="preserve">, written into </w:t>
      </w:r>
      <w:r>
        <w:rPr>
          <w:rFonts w:ascii="Consolas" w:hAnsi="Consolas"/>
          <w:sz w:val="19"/>
        </w:rPr>
        <w:t>PREDICTIONS_02-09-2026.md</w:t>
      </w:r>
      <w:r>
        <w:t xml:space="preserve"> before any re-issue and graded after: that the median |central / price − 1| across the five falls inside 15%, with at most one name outside ±35% and that one supported by its own statement record (the EGCH condition). A prediction can fail without the programme failing; an acceptance criterion on price would be a target a standing goal would learn to hit.</w:t>
      </w:r>
    </w:p>
    <w:p>
      <w:pPr>
        <w:pStyle w:val="ListNumber"/>
        <w:numPr>
          <w:ilvl w:val="0"/>
          <w:numId w:val="11"/>
        </w:numPr>
      </w:pPr>
      <w:r>
        <w:t>The two-sided gap gate fires on nothing among the five, or every firing carries a complete review whose computed corrections are applied.</w:t>
      </w:r>
    </w:p>
    <w:p>
      <w:pPr>
        <w:pStyle w:val="ListNumber"/>
        <w:numPr>
          <w:ilvl w:val="0"/>
          <w:numId w:val="11"/>
        </w:numPr>
      </w:pPr>
      <w:r>
        <w:t>The publish queue holds the four files per name on the new standard (study docx and PDF, bibliography, 16-sheet workbook), each opened and read.</w:t>
      </w:r>
    </w:p>
    <w:p>
      <w:r>
        <w:rPr>
          <w:b/>
        </w:rPr>
        <w:t>Phase 2a acceptance, per market stop:</w:t>
      </w:r>
      <w:r>
        <w:t xml:space="preserve"> every name in the market carries its four files, its walk-forward record at the stated scope, lessons registered, gates green; the two-sided gap gate fires on nothing or every firing carries a complete review with its corrections applied; the market's names sit inside the pooled walk-forward CI with no new sign-stable bias; the batch is staged and published on the principal's word. The EGX stop additionally answers, in writing, whether the corrected method generalises before UAE begins.</w:t>
      </w:r>
    </w:p>
    <w:p>
      <w:r>
        <w:rPr>
          <w:b/>
        </w:rPr>
        <w:t>Phase 2a completion, book-wide:</w:t>
      </w:r>
      <w:r>
        <w:t xml:space="preserve"> every name in the live campaign queue carries a point-in-time backtest record or a recorded reason it cannot, and the pooled score across the book is reported with its interval. A partial run is not a pass.</w:t>
      </w:r>
    </w:p>
    <w:p>
      <w:r>
        <w:rPr>
          <w:b/>
        </w:rPr>
        <w:t>Phase 2b acceptance:</w:t>
      </w:r>
      <w:r>
        <w:t xml:space="preserve"> the first forward cohort struck after 2a closed has matured on the fundamental lens's own clock and been scored under the pre-registration's statistics, and the pooled forward bias is reported with its block-bootstrap interval and its LONO stability. </w:t>
      </w:r>
      <w:r>
        <w:rPr>
          <w:b/>
        </w:rPr>
        <w:t>The acceptance is that the measurement exists and is honest, not that it is flattering</w:t>
      </w:r>
      <w:r>
        <w:t xml:space="preserve"> — a forward record showing a real bias is a successful 2b and a finding to act on, exactly as </w:t>
      </w:r>
      <w:r>
        <w:rPr>
          <w:rFonts w:ascii="Consolas" w:hAnsi="Consolas"/>
          <w:color w:val="8F7326"/>
          <w:sz w:val="19"/>
        </w:rPr>
        <w:t>[R-VCAL-01]</w:t>
      </w:r>
      <w:r>
        <w:t>'s symmetric guard requires. Matching the price remains the explicit non-criterion at both stages.</w:t>
      </w:r>
    </w:p>
    <w:p>
      <w:r>
        <w:rPr>
          <w:b/>
        </w:rPr>
        <w:t>Explicit non-criterion.</w:t>
      </w:r>
      <w:r>
        <w:t xml:space="preserve"> Matching the price is not the goal and is not measured as success. A name may finish 40% below price if — and only if — its statement record supports the drivers, its cost of capital is the house schedule, its lenses are present values, and the out-of-sample record shows no method bias. That is what "a realistic fair value" means here.</w:t>
      </w:r>
    </w:p>
    <w:p>
      <w:pPr>
        <w:pStyle w:val="Heading2"/>
      </w:pPr>
      <w:r>
        <w:t>Part F — Risks, and what guards them</w:t>
      </w:r>
    </w:p>
    <w:p>
      <w:pPr>
        <w:pStyle w:val="ListBullet"/>
      </w:pPr>
      <w:r>
        <w:rPr>
          <w:b/>
        </w:rPr>
        <w:t>Over-correction into optimism.</w:t>
      </w:r>
      <w:r>
        <w:t xml:space="preserve"> The live example is PHDC: the glide alone lifts its DCF to +83% above price because its profit path is 3× too high. Guarded by fixing both layers in one pass (WS5 before WS8 on any name whose walk-forward shows an over-forecast), the explicit-horizon rule, the two-sided gate, the symmetric calibration score, and the promotion rule: nothing enters because it raises values.</w:t>
      </w:r>
    </w:p>
    <w:p>
      <w:pPr>
        <w:pStyle w:val="ListBullet"/>
      </w:pPr>
      <w:r>
        <w:rPr>
          <w:b/>
        </w:rPr>
        <w:t>Curve-fitting to price</w:t>
      </w:r>
      <w:r>
        <w:t xml:space="preserve"> (the CRPS-selection mistake in a new costume). No study-level tuning; parameters move only on pooled, leave-one-name-out, era-split evidence; the reverse-DCF is a diagnostic with an assert that it feeds nothing.</w:t>
      </w:r>
    </w:p>
    <w:p>
      <w:pPr>
        <w:pStyle w:val="ListBullet"/>
      </w:pPr>
      <w:r>
        <w:rPr>
          <w:b/>
        </w:rPr>
        <w:t>The macro-history archive.</w:t>
      </w:r>
      <w:r>
        <w:t xml:space="preserve"> Point-in-time sovereign, CPI, policy-rate and ERP vintages for 2013–2023 must be assembled and sourced; where a vintage is missing the origin is dropped and the window shortened — never interpolated (the walk-forward's own rule).</w:t>
      </w:r>
    </w:p>
    <w:p>
      <w:pPr>
        <w:pStyle w:val="ListBullet"/>
      </w:pPr>
      <w:r>
        <w:rPr>
          <w:b/>
        </w:rPr>
        <w:t>A name that legitimately stays far below price</w:t>
      </w:r>
      <w:r>
        <w:t xml:space="preserve"> (EGCH). The plan does not force it home; it forces its drivers to face its own record and its rate to be the house schedule, then publishes the disagreement with its reverse-DCF.</w:t>
      </w:r>
    </w:p>
    <w:p>
      <w:pPr>
        <w:pStyle w:val="ListBullet"/>
      </w:pPr>
      <w:r>
        <w:rPr>
          <w:b/>
        </w:rPr>
        <w:t>Scope creep into the other 85 names.</w:t>
      </w:r>
      <w:r>
        <w:t xml:space="preserve"> WS9 produces a queue, not a rebuild; the campaign wrapper's order and hard stop stand. The 27 EGX names with a published fair value and no study directory enter the WS9 report as "no study — provenance unknown" and are cleared only through the queue.</w:t>
      </w:r>
    </w:p>
    <w:p>
      <w:pPr>
        <w:pStyle w:val="ListBullet"/>
      </w:pPr>
      <w:r>
        <w:rPr>
          <w:b/>
        </w:rPr>
        <w:t>Reading the lean as Egyptian only.</w:t>
      </w:r>
      <w:r>
        <w:t xml:space="preserve"> The site carries names 15–38% below price on ADX, DFM, KRX and NASDAQ; the construction gates run over every market from day one and the sweep report says where else the same defects sit.</w:t>
      </w:r>
    </w:p>
    <w:p>
      <w:pPr>
        <w:pStyle w:val="ListBullet"/>
      </w:pPr>
      <w:r>
        <w:rPr>
          <w:b/>
        </w:rPr>
        <w:t>The reference set.</w:t>
      </w:r>
      <w:r>
        <w:t xml:space="preserve"> ADNOCLS remains the model report for structure and depth; its cost-of-capital, lens and bridge sections are regenerated from the new standard rather than displaced by a fourth exemplar.</w:t>
      </w:r>
    </w:p>
    <w:p>
      <w:pPr>
        <w:pStyle w:val="Heading2"/>
      </w:pPr>
      <w:r>
        <w:t>Part G — Resources and budget</w:t>
      </w:r>
    </w:p>
    <w:p>
      <w:pPr>
        <w:ind w:left="454"/>
        <w:pBdr>
          <w:left w:val="single" w:sz="12" w:color="8F7326" w:space="8"/>
        </w:pBdr>
      </w:pPr>
      <w:r>
        <w:rPr>
          <w:b/>
        </w:rPr>
        <w:t>SUPERSEDED IN ITS CADENCE, 06-Sep-2026 07:00 UTC, PER THE PRINCIPAL — STATED FOUR TIMES.</w:t>
      </w:r>
    </w:p>
    <w:p>
      <w:pPr>
        <w:ind w:left="454"/>
        <w:pBdr>
          <w:left w:val="single" w:sz="12" w:color="8F7326" w:space="8"/>
        </w:pBdr>
      </w:pPr>
      <w:r>
        <w:t>*"Get back to normal consumption pattern. Maximum 50 percent of the week consumption dedicated</w:t>
      </w:r>
    </w:p>
    <w:p>
      <w:pPr>
        <w:ind w:left="454"/>
        <w:pBdr>
          <w:left w:val="single" w:sz="12" w:color="8F7326" w:space="8"/>
        </w:pBdr>
      </w:pPr>
      <w:r>
        <w:t>to this task and distributed over the whole week. Leave the other 50 percent limit to me.</w:t>
      </w:r>
    </w:p>
    <w:p>
      <w:pPr>
        <w:ind w:left="454"/>
        <w:pBdr>
          <w:left w:val="single" w:sz="12" w:color="8F7326" w:space="8"/>
        </w:pBdr>
      </w:pPr>
      <w:r>
        <w:t>Apply immediately."*</w:t>
      </w:r>
    </w:p>
    <w:p>
      <w:r>
        <w:t>&gt;</w:t>
      </w:r>
    </w:p>
    <w:p>
      <w:pPr>
        <w:ind w:left="454"/>
        <w:pBdr>
          <w:left w:val="single" w:sz="12" w:color="8F7326" w:space="8"/>
        </w:pBdr>
      </w:pPr>
      <w:r>
        <w:rPr>
          <w:b/>
        </w:rPr>
        <w:t>The 100%-overnight / 50%-by-day rule below is RETIRED</w:t>
      </w:r>
      <w:r>
        <w:t>, and so is the 05-Sep boosted window</w:t>
      </w:r>
    </w:p>
    <w:p>
      <w:pPr>
        <w:ind w:left="454"/>
        <w:pBdr>
          <w:left w:val="single" w:sz="12" w:color="8F7326" w:space="8"/>
        </w:pBdr>
      </w:pPr>
      <w:r>
        <w:t>(</w:t>
      </w:r>
      <w:r>
        <w:rPr>
          <w:i/>
        </w:rPr>
        <w:t>"use this golden opportunity to run the agents … before 6AM tomorrow"</w:t>
      </w:r>
      <w:r>
        <w:t>), which had already</w:t>
      </w:r>
    </w:p>
    <w:p>
      <w:pPr>
        <w:ind w:left="454"/>
        <w:pBdr>
          <w:left w:val="single" w:sz="12" w:color="8F7326" w:space="8"/>
        </w:pBdr>
      </w:pPr>
      <w:r>
        <w:t xml:space="preserve">expired at 06:00 Cairo on 06-Sep. The binding rule is now a </w:t>
      </w:r>
      <w:r>
        <w:rPr>
          <w:b/>
        </w:rPr>
        <w:t>weekly</w:t>
      </w:r>
      <w:r>
        <w:t xml:space="preserve"> one: **at most half the</w:t>
      </w:r>
    </w:p>
    <w:p>
      <w:pPr>
        <w:ind w:left="454"/>
        <w:pBdr>
          <w:left w:val="single" w:sz="12" w:color="8F7326" w:space="8"/>
        </w:pBdr>
      </w:pPr>
      <w:r>
        <w:t>week's capacity goes to this programme, spread across the whole week.** The other half belongs</w:t>
      </w:r>
    </w:p>
    <w:p>
      <w:pPr>
        <w:ind w:left="454"/>
        <w:pBdr>
          <w:left w:val="single" w:sz="12" w:color="8F7326" w:space="8"/>
        </w:pBdr>
      </w:pPr>
      <w:r>
        <w:t>to the principal and must be there when they want it — running the week's budget down is a</w:t>
      </w:r>
    </w:p>
    <w:p>
      <w:pPr>
        <w:ind w:left="454"/>
        <w:pBdr>
          <w:left w:val="single" w:sz="12" w:color="8F7326" w:space="8"/>
        </w:pBdr>
      </w:pPr>
      <w:r>
        <w:t>failure of this instruction even if the work is good.</w:t>
      </w:r>
    </w:p>
    <w:p>
      <w:r>
        <w:t>&gt;</w:t>
      </w:r>
    </w:p>
    <w:p>
      <w:pPr>
        <w:ind w:left="454"/>
        <w:pBdr>
          <w:left w:val="single" w:sz="12" w:color="8F7326" w:space="8"/>
        </w:pBdr>
      </w:pPr>
      <w:r>
        <w:rPr>
          <w:b/>
        </w:rPr>
        <w:t>What was changed, not merely written down</w:t>
      </w:r>
      <w:r>
        <w:t xml:space="preserve"> (the </w:t>
      </w:r>
      <w:r>
        <w:rPr>
          <w:rFonts w:ascii="Consolas" w:hAnsi="Consolas"/>
          <w:color w:val="8F7326"/>
          <w:sz w:val="19"/>
        </w:rPr>
        <w:t>[R-DOC-02]</w:t>
      </w:r>
      <w:r>
        <w:t xml:space="preserve"> discipline: a status sentence in a</w:t>
      </w:r>
    </w:p>
    <w:p>
      <w:pPr>
        <w:ind w:left="454"/>
        <w:pBdr>
          <w:left w:val="single" w:sz="12" w:color="8F7326" w:space="8"/>
        </w:pBdr>
      </w:pPr>
      <w:r>
        <w:t>standing document rots, so this records the acts and names where to read the live state):</w:t>
      </w:r>
    </w:p>
    <w:p>
      <w:pPr>
        <w:ind w:left="454"/>
        <w:pBdr>
          <w:left w:val="single" w:sz="12" w:color="8F7326" w:space="8"/>
        </w:pBdr>
      </w:pPr>
      <w:r>
        <w:t>four routines DELETED — two hourly auto-resumes, the hourly backstop, the daily fresh-session</w:t>
      </w:r>
    </w:p>
    <w:p>
      <w:pPr>
        <w:ind w:left="454"/>
        <w:pBdr>
          <w:left w:val="single" w:sz="12" w:color="8F7326" w:space="8"/>
        </w:pBdr>
      </w:pPr>
      <w:r>
        <w:t xml:space="preserve">safety net; the continuous wake cut from twice daily to </w:t>
      </w:r>
      <w:r>
        <w:rPr>
          <w:b/>
        </w:rPr>
        <w:t>once daily</w:t>
      </w:r>
      <w:r>
        <w:t xml:space="preserve"> (19:00 UTC / 22:00 Cairo)</w:t>
      </w:r>
    </w:p>
    <w:p>
      <w:pPr>
        <w:ind w:left="454"/>
        <w:pBdr>
          <w:left w:val="single" w:sz="12" w:color="8F7326" w:space="8"/>
        </w:pBdr>
      </w:pPr>
      <w:r>
        <w:t>with its prompt rewritten to forbid self-re-invocation and agent fan-out; the 09:00 Sun–Thu</w:t>
      </w:r>
    </w:p>
    <w:p>
      <w:pPr>
        <w:ind w:left="454"/>
        <w:pBdr>
          <w:left w:val="single" w:sz="12" w:color="8F7326" w:space="8"/>
        </w:pBdr>
      </w:pPr>
      <w:r>
        <w:t xml:space="preserve">question slot's </w:t>
      </w:r>
      <w:r>
        <w:rPr>
          <w:i/>
        </w:rPr>
        <w:t>"do not stop: continue the work in the same turn"</w:t>
      </w:r>
      <w:r>
        <w:t xml:space="preserve"> clause retired in its prompt.</w:t>
      </w:r>
    </w:p>
    <w:p>
      <w:pPr>
        <w:ind w:left="454"/>
        <w:pBdr>
          <w:left w:val="single" w:sz="12" w:color="8F7326" w:space="8"/>
        </w:pBdr>
      </w:pPr>
      <w:r>
        <w:t xml:space="preserve">Wake-ups fell from roughly fifty a day to two. </w:t>
      </w:r>
      <w:r>
        <w:rPr>
          <w:b/>
        </w:rPr>
        <w:t>Read the routines live</w:t>
      </w:r>
      <w:r>
        <w:t xml:space="preserve"> — </w:t>
      </w:r>
      <w:r>
        <w:rPr>
          <w:rFonts w:ascii="Consolas" w:hAnsi="Consolas"/>
          <w:sz w:val="19"/>
        </w:rPr>
        <w:t>list_triggers</w:t>
      </w:r>
      <w:r>
        <w:t xml:space="preserve"> —</w:t>
      </w:r>
    </w:p>
    <w:p>
      <w:pPr>
        <w:ind w:left="454"/>
        <w:pBdr>
          <w:left w:val="single" w:sz="12" w:color="8F7326" w:space="8"/>
        </w:pBdr>
      </w:pPr>
      <w:r>
        <w:t>never from this block.</w:t>
      </w:r>
    </w:p>
    <w:p>
      <w:r>
        <w:t>&gt;</w:t>
      </w:r>
    </w:p>
    <w:p>
      <w:pPr>
        <w:ind w:left="454"/>
        <w:pBdr>
          <w:left w:val="single" w:sz="12" w:color="8F7326" w:space="8"/>
        </w:pBdr>
      </w:pPr>
      <w:r>
        <w:rPr>
          <w:b/>
        </w:rPr>
        <w:t>Three habits are retired with it, and each was a deliberate device rather than an accident:</w:t>
      </w:r>
    </w:p>
    <w:p>
      <w:pPr>
        <w:ind w:left="454"/>
        <w:pBdr>
          <w:left w:val="single" w:sz="12" w:color="8F7326" w:space="8"/>
        </w:pBdr>
      </w:pPr>
      <w:r>
        <w:t xml:space="preserve">(i) </w:t>
      </w:r>
      <w:r>
        <w:rPr>
          <w:b/>
        </w:rPr>
        <w:t>self-re-invocation</w:t>
      </w:r>
      <w:r>
        <w:t xml:space="preserve"> — a background sleep whose exit wakes the session — so a turn that ends</w:t>
      </w:r>
    </w:p>
    <w:p>
      <w:pPr>
        <w:ind w:left="454"/>
        <w:pBdr>
          <w:left w:val="single" w:sz="12" w:color="8F7326" w:space="8"/>
        </w:pBdr>
      </w:pPr>
      <w:r>
        <w:t xml:space="preserve">with work remaining now simply ENDS, and </w:t>
      </w:r>
      <w:r>
        <w:rPr>
          <w:i/>
        </w:rPr>
        <w:t>stopping is correct</w:t>
      </w:r>
      <w:r>
        <w:t xml:space="preserve">; (ii) </w:t>
      </w:r>
      <w:r>
        <w:rPr>
          <w:b/>
        </w:rPr>
        <w:t>fleets</w:t>
      </w:r>
      <w:r>
        <w:t xml:space="preserve"> — subagents only</w:t>
      </w:r>
    </w:p>
    <w:p>
      <w:pPr>
        <w:ind w:left="454"/>
        <w:pBdr>
          <w:left w:val="single" w:sz="12" w:color="8F7326" w:space="8"/>
        </w:pBdr>
      </w:pPr>
      <w:r>
        <w:t>where the work genuinely needs an outside reader (a QC audit, a census), never for throughput and</w:t>
      </w:r>
    </w:p>
    <w:p>
      <w:pPr>
        <w:ind w:left="454"/>
        <w:pBdr>
          <w:left w:val="single" w:sz="12" w:color="8F7326" w:space="8"/>
        </w:pBdr>
      </w:pPr>
      <w:r>
        <w:t xml:space="preserve">never to consume capacity before it expires; (iii) </w:t>
      </w:r>
      <w:r>
        <w:rPr>
          <w:b/>
        </w:rPr>
        <w:t>finishing the programme in a night</w:t>
      </w:r>
      <w:r>
        <w:t xml:space="preserve"> — the</w:t>
      </w:r>
    </w:p>
    <w:p>
      <w:pPr>
        <w:ind w:left="454"/>
        <w:pBdr>
          <w:left w:val="single" w:sz="12" w:color="8F7326" w:space="8"/>
        </w:pBdr>
      </w:pPr>
      <w:r>
        <w:t>calendar table below stretches accordingly and that is the intended cost, stated here rather than</w:t>
      </w:r>
    </w:p>
    <w:p>
      <w:pPr>
        <w:ind w:left="454"/>
        <w:pBdr>
          <w:left w:val="single" w:sz="12" w:color="8F7326" w:space="8"/>
        </w:pBdr>
      </w:pPr>
      <w:r>
        <w:t>discovered later.</w:t>
      </w:r>
    </w:p>
    <w:p>
      <w:r>
        <w:t>&gt;</w:t>
      </w:r>
    </w:p>
    <w:p>
      <w:pPr>
        <w:ind w:left="454"/>
        <w:pBdr>
          <w:left w:val="single" w:sz="12" w:color="8F7326" w:space="8"/>
        </w:pBdr>
      </w:pPr>
      <w:r>
        <w:rPr>
          <w:b/>
        </w:rPr>
        <w:t>The wall-clock consequence, said plainly:</w:t>
      </w:r>
      <w:r>
        <w:t xml:space="preserve"> at one bounded session a day the programme runs on</w:t>
      </w:r>
    </w:p>
    <w:p>
      <w:pPr>
        <w:ind w:left="454"/>
        <w:pBdr>
          <w:left w:val="single" w:sz="12" w:color="8F7326" w:space="8"/>
        </w:pBdr>
      </w:pPr>
      <w:r>
        <w:t>the slowest row of the table below, not the fastest. Phase 2's 85 names are months of calendar at</w:t>
      </w:r>
    </w:p>
    <w:p>
      <w:pPr>
        <w:ind w:left="454"/>
        <w:pBdr>
          <w:left w:val="single" w:sz="12" w:color="8F7326" w:space="8"/>
        </w:pBdr>
      </w:pPr>
      <w:r>
        <w:t>this cadence. That is the principal's call and it is taken as given; the honest response is to</w:t>
      </w:r>
    </w:p>
    <w:p>
      <w:pPr>
        <w:ind w:left="454"/>
        <w:pBdr>
          <w:left w:val="single" w:sz="12" w:color="8F7326" w:space="8"/>
        </w:pBdr>
      </w:pPr>
      <w:r>
        <w:t>order the work so the most valuable findings land first, not to quietly run faster.</w:t>
      </w:r>
    </w:p>
    <w:p>
      <w:r>
        <w:rPr>
          <w:b/>
        </w:rPr>
        <w:t>The budget rule, per the principal's instruction of 02-Sep-2026.</w:t>
      </w:r>
      <w:r>
        <w:t xml:space="preserve"> The plan is the individual maximum (US$200 Max). </w:t>
      </w:r>
      <w:r>
        <w:rPr>
          <w:b/>
        </w:rPr>
        <w:t>Between 22:00 and 08:00 Cairo time the programme may use 100% of the plan's limit; between 08:00 and 22:00 it may use 50%</w:t>
      </w:r>
      <w:r>
        <w:t xml:space="preserve">, the other half being reserved for the principal's own work. Cairo is UTC+3 until the last Thursday of October and UTC+2 after, so the night window is 19:00–05:00 UTC now and 20:00–06:00 UTC from November; the clock in </w:t>
      </w:r>
      <w:r>
        <w:rPr>
          <w:rFonts w:ascii="Consolas" w:hAnsi="Consolas"/>
          <w:sz w:val="19"/>
        </w:rPr>
        <w:t>STATE.json</w:t>
      </w:r>
      <w:r>
        <w:t xml:space="preserve"> carries the offset and every routine is set from it.</w:t>
      </w:r>
    </w:p>
    <w:p>
      <w:r>
        <w:rPr>
          <w:b/>
        </w:rPr>
        <w:t>What that buys, in window-equivalents (one window = five hours at 100%).</w:t>
      </w:r>
      <w:r>
        <w:t xml:space="preserve"> The night is two full windows; the day is about 2.8 windows at half, or 1.4. Ceiling </w:t>
      </w:r>
      <w:r>
        <w:rPr>
          <w:b/>
        </w:rPr>
        <w:t>3.4 window-equivalents a day</w:t>
      </w:r>
      <w:r>
        <w:t xml:space="preserve"> if the weekly cap permits. The one measured throughput on record is this session's diagnosis: 47 agent-runs and about 9 million tokens in one window at Fable weight; with Sonnet on the mechanical stages a window carries about 30 agent-runs.</w:t>
      </w:r>
    </w:p>
    <w:p>
      <w:r>
        <w:rPr>
          <w:b/>
        </w:rPr>
        <w:t>The work.</w:t>
      </w:r>
      <w:r>
        <w:t xml:space="preserve"> Phase 1 about 55–70 agent-runs plus the driving session's verification ≈ 2.5 window-equivalents; Phase 2 about 85 names at 5–10 runs ≈ 22; verification, re-runs after resets and the two-sided reviews ≈ 20% on top: </w:t>
      </w:r>
      <w:r>
        <w:rPr>
          <w:b/>
        </w:rPr>
        <w:t>about 30 window-equivalents in all.</w:t>
      </w:r>
    </w:p>
    <w:p>
      <w:r>
        <w:rPr>
          <w:b/>
        </w:rPr>
        <w:t>The calendar is set by the weekly cap, which is not known and is measured on the first two nights: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DF0F3"/>
          </w:tcPr>
          <w:p>
            <w:r>
              <w:rPr>
                <w:b/>
              </w:rPr>
            </w:r>
            <w:r>
              <w:rPr>
                <w:b/>
                <w:sz w:val="18"/>
              </w:rPr>
              <w:t>Weekly cap allows</w:t>
            </w:r>
          </w:p>
        </w:tc>
        <w:tc>
          <w:tcPr>
            <w:tcW w:type="dxa" w:w="3137"/>
            <w:shd w:val="clear" w:color="auto" w:fill="EDF0F3"/>
          </w:tcPr>
          <w:p>
            <w:r>
              <w:rPr>
                <w:b/>
              </w:rPr>
            </w:r>
            <w:r>
              <w:rPr>
                <w:b/>
                <w:sz w:val="18"/>
              </w:rPr>
              <w:t>Programme wall clock</w:t>
            </w:r>
          </w:p>
        </w:tc>
        <w:tc>
          <w:tcPr>
            <w:tcW w:type="dxa" w:w="3137"/>
            <w:shd w:val="clear" w:color="auto" w:fill="EDF0F3"/>
          </w:tcPr>
          <w:p>
            <w:r>
              <w:rPr>
                <w:b/>
              </w:rPr>
            </w:r>
            <w:r>
              <w:rPr>
                <w:b/>
                <w:sz w:val="18"/>
              </w:rPr>
              <w:t>What binds</w:t>
            </w:r>
          </w:p>
        </w:tc>
      </w:tr>
      <w:tr>
        <w:tc>
          <w:tcPr>
            <w:tcW w:type="dxa" w:w="3137"/>
          </w:tcPr>
          <w:p>
            <w:r/>
            <w:r>
              <w:rPr>
                <w:sz w:val="18"/>
              </w:rPr>
              <w:t>≥ 24 window-equivalents a week (cap not binding)</w:t>
            </w:r>
          </w:p>
        </w:tc>
        <w:tc>
          <w:tcPr>
            <w:tcW w:type="dxa" w:w="3137"/>
          </w:tcPr>
          <w:p>
            <w:r/>
            <w:r>
              <w:rPr>
                <w:b/>
                <w:sz w:val="18"/>
              </w:rPr>
              <w:t>about 10 days</w:t>
            </w:r>
          </w:p>
        </w:tc>
        <w:tc>
          <w:tcPr>
            <w:tcW w:type="dxa" w:w="3137"/>
          </w:tcPr>
          <w:p>
            <w:r/>
            <w:r>
              <w:rPr>
                <w:sz w:val="18"/>
              </w:rPr>
              <w:t>the four sequential Phase-1 stages and the archive sourcing, not tokens</w:t>
            </w:r>
          </w:p>
        </w:tc>
      </w:tr>
      <w:tr>
        <w:tc>
          <w:tcPr>
            <w:tcW w:type="dxa" w:w="3137"/>
          </w:tcPr>
          <w:p>
            <w:r/>
            <w:r>
              <w:rPr>
                <w:sz w:val="18"/>
              </w:rPr>
              <w:t>about 10 a week</w:t>
            </w:r>
          </w:p>
        </w:tc>
        <w:tc>
          <w:tcPr>
            <w:tcW w:type="dxa" w:w="3137"/>
          </w:tcPr>
          <w:p>
            <w:r/>
            <w:r>
              <w:rPr>
                <w:b/>
                <w:sz w:val="18"/>
              </w:rPr>
              <w:t>about 3 weeks</w:t>
            </w:r>
          </w:p>
        </w:tc>
        <w:tc>
          <w:tcPr>
            <w:tcW w:type="dxa" w:w="3137"/>
          </w:tcPr>
          <w:p>
            <w:r/>
            <w:r>
              <w:rPr>
                <w:sz w:val="18"/>
              </w:rPr>
              <w:t>the cap</w:t>
            </w:r>
          </w:p>
        </w:tc>
      </w:tr>
      <w:tr>
        <w:tc>
          <w:tcPr>
            <w:tcW w:type="dxa" w:w="3137"/>
          </w:tcPr>
          <w:p>
            <w:r/>
            <w:r>
              <w:rPr>
                <w:sz w:val="18"/>
              </w:rPr>
              <w:t>about 5 a week</w:t>
            </w:r>
          </w:p>
        </w:tc>
        <w:tc>
          <w:tcPr>
            <w:tcW w:type="dxa" w:w="3137"/>
          </w:tcPr>
          <w:p>
            <w:r/>
            <w:r>
              <w:rPr>
                <w:b/>
                <w:sz w:val="18"/>
              </w:rPr>
              <w:t>about 6 weeks</w:t>
            </w:r>
          </w:p>
        </w:tc>
        <w:tc>
          <w:tcPr>
            <w:tcW w:type="dxa" w:w="3137"/>
          </w:tcPr>
          <w:p>
            <w:r/>
            <w:r>
              <w:rPr>
                <w:sz w:val="18"/>
              </w:rPr>
              <w:t>the cap</w:t>
            </w:r>
          </w:p>
        </w:tc>
      </w:tr>
    </w:tbl>
    <w:p/>
    <w:p>
      <w:r>
        <w:t xml:space="preserve">The earlier fifteen-day and thirteen-week figures assumed one half-window a day and are superseded by this table. Whichever row the measurement lands on is written into </w:t>
      </w:r>
      <w:r>
        <w:rPr>
          <w:rFonts w:ascii="Consolas" w:hAnsi="Consolas"/>
          <w:sz w:val="19"/>
        </w:rPr>
        <w:t>STATE.json</w:t>
      </w:r>
      <w:r>
        <w:t xml:space="preserve"> on night two and the Gantt is re-dated from it.</w:t>
      </w:r>
    </w:p>
    <w:p>
      <w:r>
        <w:rPr>
          <w:b/>
        </w:rPr>
        <w:t>Model allocation, written into the scripts.</w:t>
      </w:r>
      <w:r>
        <w:t xml:space="preserve"> Opus at high effort drives the session and runs the readers, refuters, decision-rule scoring, promotion decisions and re-issue audits (max effort on refuters, promotion decisions and audits only). Sonnet at high effort builds modules, gates, negative controls, sweep reports, workbooks and documents. Fable is not required.</w:t>
      </w:r>
    </w:p>
    <w:p>
      <w:r>
        <w:rPr>
          <w:b/>
        </w:rPr>
        <w:t>What was cut to fit.</w:t>
      </w:r>
      <w:r>
        <w:t xml:space="preserve"> Three-draft plan panels (single draft plus adversarial refutation instead); the 26-name proxy panel (deferred until Phase 2's statements make it a full panel); parallel fan-outs across windows.</w:t>
      </w:r>
    </w:p>
    <w:p>
      <w:pPr>
        <w:pStyle w:val="Heading2"/>
      </w:pPr>
      <w:r>
        <w:t>Part H — Operating protocol: continuity, the night, and never asking</w:t>
      </w:r>
    </w:p>
    <w:p>
      <w:r>
        <w:t xml:space="preserve">Adopted on the principal's instruction of 02-Sep-2026: </w:t>
      </w:r>
      <w:r>
        <w:rPr>
          <w:i/>
        </w:rPr>
        <w:t>"do the work continuously … I prefer you drill through the work without getting back to me if possible … at night organise the work so that you never get back to me with a question as I will be sleeping."</w:t>
      </w:r>
    </w:p>
    <w:p>
      <w:r>
        <w:rPr>
          <w:b/>
        </w:rPr>
        <w:t>Continuity across limits and sessions.</w:t>
      </w:r>
    </w:p>
    <w:p>
      <w:pPr>
        <w:pStyle w:val="ListBullet"/>
      </w:pPr>
      <w:r>
        <w:rPr>
          <w:rFonts w:ascii="Consolas" w:hAnsi="Consolas"/>
          <w:sz w:val="19"/>
        </w:rPr>
        <w:t>engine/method_reassessment/STATE.json</w:t>
      </w:r>
      <w:r>
        <w:t xml:space="preserve"> is the programme's single source of state: the current workstream and step, what is done, what is next, the clock offset, the measured weekly cap, the open STOP-AND-ASK items and the morning list. Every step writes it before it ends. A session that starts cold reads the plan and the state file and continues; nothing lives only in a conversation.</w:t>
      </w:r>
    </w:p>
    <w:p>
      <w:pPr>
        <w:pStyle w:val="ListBullet"/>
      </w:pPr>
      <w:r>
        <w:t>When a five-hour window closes, the failing agent's error carries the reset time; the session schedules its own wake-up for that minute and resumes the workflow from cache, re-running only what died. No human is needed.</w:t>
      </w:r>
    </w:p>
    <w:p>
      <w:pPr>
        <w:pStyle w:val="ListBullet"/>
      </w:pPr>
      <w:r>
        <w:rPr>
          <w:b/>
        </w:rPr>
        <w:t>[REWRITTEN 06-Sep-2026 by the throttle above.]</w:t>
      </w:r>
      <w:r>
        <w:t xml:space="preserve"> Two routines stand and both are now bounded: one wakes this session </w:t>
      </w:r>
      <w:r>
        <w:rPr>
          <w:b/>
        </w:rPr>
        <w:t>once a day</w:t>
      </w:r>
      <w:r>
        <w:t xml:space="preserve"> at 22:00 Cairo to do a single bounded session of work from </w:t>
      </w:r>
      <w:r>
        <w:rPr>
          <w:rFonts w:ascii="Consolas" w:hAnsi="Consolas"/>
          <w:sz w:val="19"/>
        </w:rPr>
        <w:t>STATE.json</w:t>
      </w:r>
      <w:r>
        <w:t xml:space="preserve"> and then stop; the other is the 09:00 Sun–Thu question slot, which sends the batched questions if any clear the bar and </w:t>
      </w:r>
      <w:r>
        <w:rPr>
          <w:b/>
        </w:rPr>
        <w:t>does no work at all</w:t>
      </w:r>
      <w:r>
        <w:t>. The hourly backstop, the two hourly auto-resumes and the fresh-session safety net are DELETED. The safety net's job — a stalled container not stalling the programme — is accepted as lost: at one session a day a stall costs a day, which is the price of the throttle and is cheaper than a routine that takes over precisely because the session is correctly idle.</w:t>
      </w:r>
    </w:p>
    <w:p>
      <w:pPr>
        <w:pStyle w:val="ListBullet"/>
      </w:pPr>
      <w:r>
        <w:t xml:space="preserve">At each wake the first act is to check the clock and the budget rule, the second to read </w:t>
      </w:r>
      <w:r>
        <w:rPr>
          <w:rFonts w:ascii="Consolas" w:hAnsi="Consolas"/>
          <w:sz w:val="19"/>
        </w:rPr>
        <w:t>STATE.json</w:t>
      </w:r>
      <w:r>
        <w:t>, the third to work. No status message is sent unless something changed that the principal must decide.</w:t>
      </w:r>
    </w:p>
    <w:p>
      <w:r>
        <w:rPr>
          <w:b/>
        </w:rPr>
        <w:t>The night rule — no question can arise between 22:00 and 08:00.</w:t>
      </w:r>
    </w:p>
    <w:p>
      <w:pPr>
        <w:pStyle w:val="ListBullet"/>
      </w:pPr>
      <w:r>
        <w:t>At 22:00 the session queues only work with no decision point: module and gate building, negative controls, re-scoring, document and workbook rebuilds, archive fetches, the sweep report, walk-forward panels.</w:t>
      </w:r>
    </w:p>
    <w:p>
      <w:pPr>
        <w:pStyle w:val="ListBullet"/>
      </w:pPr>
      <w:r>
        <w:t xml:space="preserve">Anything that would need the principal — a filing that cannot be obtained, a rule that contradicts one of their instructions, a publish — is written to </w:t>
      </w:r>
      <w:r>
        <w:rPr>
          <w:rFonts w:ascii="Consolas" w:hAnsi="Consolas"/>
          <w:sz w:val="19"/>
        </w:rPr>
        <w:t>engine/method_reassessment/MORNING.md</w:t>
      </w:r>
      <w:r>
        <w:t xml:space="preserve"> with the question, the evidence and the recommended answer, and the work routes around it. The morning list is read at 08:00 and cleared by the principal at their convenience; nothing waits on it that can proceed without it.</w:t>
      </w:r>
    </w:p>
    <w:p>
      <w:pPr>
        <w:pStyle w:val="ListBullet"/>
      </w:pPr>
      <w:r>
        <w:t>Nothing publishes at night, and nothing publishes without the word "publish".</w:t>
      </w:r>
    </w:p>
    <w:p>
      <w:r>
        <w:rPr>
          <w:b/>
        </w:rPr>
        <w:t>AUTONOMY, RESTATED AND WIDENED [principal, 03-Sep-2026].</w:t>
      </w:r>
      <w:r>
        <w:t xml:space="preserve"> </w:t>
      </w:r>
      <w:r>
        <w:rPr>
          <w:i/>
        </w:rPr>
        <w:t>"Please do not stop at all as agreed. This is an independent program by you and I am not there to answer you. If in a rare exception you need my decision for anything then pause this question at 9AM Sunday to Thursday. However this should be rare as I repeat this should be a project you and your agents should handle on your own as much as possible."</w:t>
      </w:r>
    </w:p>
    <w:p>
      <w:r>
        <w:t xml:space="preserve">This supersedes the earlier reading under which decisions of consequence waited for a reply. The programme runs continuously and decides for itself, including the decisions Part H previously reserved: </w:t>
      </w:r>
      <w:r>
        <w:rPr>
          <w:b/>
        </w:rPr>
        <w:t>merging to main on green</w:t>
      </w:r>
      <w:r>
        <w:t>, adopting a rule the plan already names, choosing between defensible constructions, and re-ordering work. The bar for reaching the principal is now RARE and it is a bar about IRREVERSIBILITY AND AUTHORITY, not about difficulty:</w:t>
      </w:r>
    </w:p>
    <w:p>
      <w:pPr>
        <w:pStyle w:val="ListBullet"/>
      </w:pPr>
      <w:r>
        <w:rPr>
          <w:b/>
        </w:rPr>
        <w:t>publishing to the live site</w:t>
      </w:r>
      <w:r>
        <w:t xml:space="preserve"> — unchanged, and still needs the word "publish"</w:t>
      </w:r>
    </w:p>
    <w:p>
      <w:pPr>
        <w:pStyle w:val="ListBullet"/>
      </w:pPr>
      <w:r>
        <w:rPr>
          <w:b/>
        </w:rPr>
        <w:t>a decision that contradicts a standing instruction of theirs</w:t>
      </w:r>
      <w:r>
        <w:t>, which I may not overrule</w:t>
      </w:r>
    </w:p>
    <w:p>
      <w:pPr>
        <w:pStyle w:val="ListBullet"/>
      </w:pPr>
      <w:r>
        <w:rPr>
          <w:b/>
        </w:rPr>
        <w:t>data or access only they can supply</w:t>
      </w:r>
      <w:r>
        <w:t>, where the work genuinely cannot route around it</w:t>
      </w:r>
    </w:p>
    <w:p>
      <w:pPr>
        <w:pStyle w:val="ListBullet"/>
      </w:pPr>
      <w:r>
        <w:rPr>
          <w:b/>
        </w:rPr>
        <w:t>an irreversible action outside the repository</w:t>
      </w:r>
    </w:p>
    <w:p>
      <w:r>
        <w:t>Everything else is decided here, recorded in the commit that makes it, and reported afterwards rather than asked beforehand. Where a judgement is close, the plan's own recommendation is the default and the alternative is written into the record so it can be reversed on a word.</w:t>
      </w:r>
    </w:p>
    <w:p>
      <w:r>
        <w:rPr>
          <w:b/>
        </w:rPr>
        <w:t>THE BLOCKER, FOUND AND REMOVED [03-Sep-2026, on the principal's instruction — *"that's a weak routine thats why it keeps breaking … find the blocker and remove it"*].</w:t>
      </w:r>
      <w:r>
        <w:t xml:space="preserve"> The rule below was written, adopted, and then broken twice in one afternoon, each time by ending a turn on a progress report. The diagnosis is not weak will, it is a </w:t>
      </w:r>
      <w:r>
        <w:rPr>
          <w:b/>
        </w:rPr>
        <w:t>weak instrument</w:t>
      </w:r>
      <w:r>
        <w:t>, and it has three named parts:</w:t>
      </w:r>
    </w:p>
    <w:p>
      <w:pPr>
        <w:pStyle w:val="ListNumber"/>
        <w:numPr>
          <w:ilvl w:val="0"/>
          <w:numId w:val="12"/>
        </w:numPr>
      </w:pPr>
      <w:r>
        <w:rPr>
          <w:b/>
        </w:rPr>
        <w:t>A cron cannot fire into a turn that is already running.</w:t>
      </w:r>
      <w:r>
        <w:t xml:space="preserve"> It can only shorten the gap AFTER a stop; it can never prevent one. The hourly tick's own prompt said so in terms — </w:t>
      </w:r>
      <w:r>
        <w:rPr>
          <w:i/>
        </w:rPr>
        <w:t>"so that stopping costs an hour rather than half a day"</w:t>
      </w:r>
      <w:r>
        <w:t xml:space="preserve"> — which is an accurate description of a backstop and a useless one for prevention.</w:t>
      </w:r>
    </w:p>
    <w:p>
      <w:pPr>
        <w:pStyle w:val="ListNumber"/>
        <w:numPr>
          <w:ilvl w:val="0"/>
          <w:numId w:val="12"/>
        </w:numPr>
      </w:pPr>
      <w:r>
        <w:rPr>
          <w:b/>
        </w:rPr>
        <w:t>Sixty minutes is the floor, and it is hard.</w:t>
      </w:r>
      <w:r>
        <w:t xml:space="preserve"> Tested on 03-Sep-2026: </w:t>
      </w:r>
      <w:r>
        <w:rPr>
          <w:rFonts w:ascii="Consolas" w:hAnsi="Consolas"/>
          <w:sz w:val="19"/>
        </w:rPr>
        <w:t>*/10 * * * *</w:t>
      </w:r>
      <w:r>
        <w:t xml:space="preserve"> is refused with </w:t>
      </w:r>
      <w:r>
        <w:rPr>
          <w:i/>
        </w:rPr>
        <w:t>"the minimum interval is 1 hour"</w:t>
      </w:r>
      <w:r>
        <w:t>. The routine therefore cannot be made stronger by tuning it.</w:t>
      </w:r>
    </w:p>
    <w:p>
      <w:pPr>
        <w:pStyle w:val="ListNumber"/>
        <w:numPr>
          <w:ilvl w:val="0"/>
          <w:numId w:val="12"/>
        </w:numPr>
      </w:pPr>
      <w:r>
        <w:rPr>
          <w:b/>
        </w:rPr>
        <w:t>Nothing inside a turn forces a next action.</w:t>
      </w:r>
      <w:r>
        <w:t xml:space="preserve"> A turn ends the moment text is emitted with no tool call, and no external schedule can reach inside it.</w:t>
      </w:r>
    </w:p>
    <w:p>
      <w:r>
        <w:rPr>
          <w:b/>
        </w:rPr>
        <w:t>THE PRIMARY MECHANISM IS THEREFORE SELF-RE-INVOCATION, NOT A CLOCK.</w:t>
      </w:r>
      <w:r>
        <w:t xml:space="preserve"> The last act of every turn that ends with work remaining is to launch a background task that sleeps about a minute and prints the next step; its EXIT re-invokes the session. It is caused by the stop rather than by a clock, it lives inside the turn's own control, and it costs a minute rather than an hour. </w:t>
      </w:r>
      <w:r>
        <w:rPr>
          <w:rFonts w:ascii="Consolas" w:hAnsi="Consolas"/>
          <w:sz w:val="19"/>
        </w:rPr>
        <w:t>Bash(run_in_background=true)</w:t>
      </w:r>
      <w:r>
        <w:t xml:space="preserve"> is the tool; a </w:t>
      </w:r>
      <w:r>
        <w:rPr>
          <w:rFonts w:ascii="Consolas" w:hAnsi="Consolas"/>
          <w:sz w:val="19"/>
        </w:rPr>
        <w:t>Monitor</w:t>
      </w:r>
      <w:r>
        <w:t xml:space="preserve"> does the same. </w:t>
      </w:r>
      <w:r>
        <w:rPr>
          <w:b/>
        </w:rPr>
        <w:t>A turn that ends without one armed is the defect — not the stop itself</w:t>
      </w:r>
      <w:r>
        <w:t>, and that is the thing to check when this rule next appears to have failed. The hourly routine is demoted to what it always was: a backstop for the case where the session is archived and no background task can survive.</w:t>
      </w:r>
    </w:p>
    <w:p>
      <w:r>
        <w:t xml:space="preserve">This is the project's own doctrine applied to its own operating protocol: </w:t>
      </w:r>
      <w:r>
        <w:rPr>
          <w:b/>
        </w:rPr>
        <w:t>a lesson that binds nothing is advice</w:t>
      </w:r>
      <w:r>
        <w:t xml:space="preserve">, and </w:t>
      </w:r>
      <w:r>
        <w:rPr>
          <w:i/>
        </w:rPr>
        <w:t>"do not stop"</w:t>
      </w:r>
      <w:r>
        <w:t xml:space="preserve"> bound nothing while the only machinery behind it fired on a clock that could not see whether the work had stopped.</w:t>
      </w:r>
    </w:p>
    <w:p>
      <w:r>
        <w:rPr>
          <w:b/>
        </w:rPr>
        <w:t>A TURN ENDS ONLY WITH THE NEXT RESUMPTION SCHEDULED [03-Sep-2026].</w:t>
      </w:r>
      <w:r>
        <w:t xml:space="preserve"> The instruction not to stop was given three times and re-given after each stop, which is the signature of a rule living in prose rather than in machinery — and this project's own doctrine is that </w:t>
      </w:r>
      <w:r>
        <w:rPr>
          <w:b/>
        </w:rPr>
        <w:t>a lesson that binds nothing is advice, and advice loses to the next deadline</w:t>
      </w:r>
      <w:r>
        <w:t>. So it is made arithmetic:</w:t>
      </w:r>
    </w:p>
    <w:p>
      <w:pPr>
        <w:pStyle w:val="ListBullet"/>
      </w:pPr>
      <w:r>
        <w:t xml:space="preserve">An </w:t>
      </w:r>
      <w:r>
        <w:rPr>
          <w:b/>
        </w:rPr>
        <w:t>hourly continuation tick</w:t>
      </w:r>
      <w:r>
        <w:t xml:space="preserve"> fires into the working session. Stopping now costs an hour rather than half a day, and a session that has genuinely run out of runway resumes on its own rather than waiting to be nudged.</w:t>
      </w:r>
    </w:p>
    <w:p>
      <w:pPr>
        <w:pStyle w:val="ListBullet"/>
      </w:pPr>
      <w:r>
        <w:rPr>
          <w:b/>
        </w:rPr>
        <w:t>A progress report is not a stopping point.</w:t>
      </w:r>
      <w:r>
        <w:t xml:space="preserve"> Reporting happens INSIDE a turn that continues — never instead of continuing. Ending a turn at a natural narrative beat is the specific failure this clause names, because a beat feels like completion and is not one.</w:t>
      </w:r>
    </w:p>
    <w:p>
      <w:pPr>
        <w:pStyle w:val="ListBullet"/>
      </w:pPr>
      <w:r>
        <w:t xml:space="preserve">The </w:t>
      </w:r>
      <w:r>
        <w:rPr>
          <w:b/>
        </w:rPr>
        <w:t>safety net</w:t>
      </w:r>
      <w:r>
        <w:t xml:space="preserve"> and the </w:t>
      </w:r>
      <w:r>
        <w:rPr>
          <w:b/>
        </w:rPr>
        <w:t>twice-daily wake</w:t>
      </w:r>
      <w:r>
        <w:t xml:space="preserve"> stay as they were; the tick is the fine-grained layer under them.</w:t>
      </w:r>
    </w:p>
    <w:p>
      <w:r>
        <w:t>The bar for ending a turn is therefore: the work is genuinely blocked on something outside the repository, or the budget window is spent. Neither of those is "a good place to pause".</w:t>
      </w:r>
    </w:p>
    <w:p>
      <w:r>
        <w:rPr>
          <w:b/>
        </w:rPr>
        <w:t>THE QUESTION SLOT.</w:t>
      </w:r>
      <w:r>
        <w:t xml:space="preserve"> Anything that does clear that bar goes to </w:t>
      </w:r>
      <w:r>
        <w:rPr>
          <w:rFonts w:ascii="Consolas" w:hAnsi="Consolas"/>
          <w:sz w:val="19"/>
        </w:rPr>
        <w:t>MORNING.md</w:t>
      </w:r>
      <w:r>
        <w:t xml:space="preserve"> and is put to the principal at </w:t>
      </w:r>
      <w:r>
        <w:rPr>
          <w:b/>
        </w:rPr>
        <w:t>09:00 Cairo, Sunday to Thursday</w:t>
      </w:r>
      <w:r>
        <w:t xml:space="preserve"> — one slot, batched, never a blocking prompt and never on a Friday or Saturday. Work routes around an open question rather than waiting on it; a question that blocks everything is the only kind that stops a workstream, and its blocking is recorded in </w:t>
      </w:r>
      <w:r>
        <w:rPr>
          <w:rFonts w:ascii="Consolas" w:hAnsi="Consolas"/>
          <w:sz w:val="19"/>
        </w:rPr>
        <w:t>STATE.json</w:t>
      </w:r>
      <w:r>
        <w:t xml:space="preserve"> so the next session sees it immediately.</w:t>
      </w:r>
    </w:p>
    <w:p>
      <w:r>
        <w:rPr>
          <w:b/>
        </w:rPr>
        <w:t>Drilling through by day.</w:t>
      </w:r>
      <w:r>
        <w:t xml:space="preserve"> Decisions the plan already makes are made without asking: the Day-0 publish choice defaults to </w:t>
      </w:r>
      <w:r>
        <w:rPr>
          <w:i/>
        </w:rPr>
        <w:t>hold the old numbers</w:t>
      </w:r>
      <w:r>
        <w:t xml:space="preserve"> (the one option that changes nothing on the site); the two amendments to the principal's instructions (two-sided gate; the campaign as the finite rebuild queue) are adopted as the plan recommends, recorded with the quotation of the 02-Sep instruction that authorises drilling through, and are reversible on a word. A genuine STOP-AND-ASK under SIGCM clause 1 (an official filing that cannot be obtained) is the only question that reaches the principal, and it reaches them through </w:t>
      </w:r>
      <w:r>
        <w:rPr>
          <w:rFonts w:ascii="Consolas" w:hAnsi="Consolas"/>
          <w:sz w:val="19"/>
        </w:rPr>
        <w:t>MORNING.md</w:t>
      </w:r>
      <w:r>
        <w:t>, never as a blocking prompt.</w:t>
      </w:r>
    </w:p>
    <w:p>
      <w:pPr>
        <w:pStyle w:val="Heading2"/>
      </w:pPr>
      <w:r>
        <w:t>Appendix — the evidence trail</w:t>
      </w:r>
    </w:p>
    <w:p>
      <w:r>
        <w:rPr>
          <w:rFonts w:ascii="Consolas" w:hAnsi="Consolas"/>
          <w:sz w:val="19"/>
        </w:rPr>
        <w:t>engine/method_reassessment/evidence/</w:t>
      </w:r>
      <w:r>
        <w:t xml:space="preserve"> carries the eight readers' structured findings, the three diagnoses, the merged cause list, all 35 refutation verdicts, and the plan panel (three competing drafts, three judgments, four critics, and the panel's own revised plan), verbatim as returned, so every number in Part A can be traced to the file and line an agent cited and every change in Part C to the critic who required it.</w:t>
      </w:r>
    </w:p>
    <w:p>
      <w:pPr>
        <w:pStyle w:val="Heading2"/>
      </w:pPr>
      <w:r>
        <w:t>Part I — What has happened since, to 18 September 2026</w:t>
      </w:r>
    </w:p>
    <w:p>
      <w:r>
        <w:rPr>
          <w:b/>
        </w:rPr>
        <w:t>This part is an ADDENDUM and Parts A–H are not retro-edited.</w:t>
      </w:r>
      <w:r>
        <w:t xml:space="preserve"> Part A is a dated diagnosis and a diagnosis that is quietly rewritten as it is disproved is not evidence of anything; the same append-only discipline the ledgers obey applies here. Read Part A as what was found on 2 September and this part as what happened next.</w:t>
      </w:r>
    </w:p>
    <w:p>
      <w:pPr>
        <w:pStyle w:val="Heading3"/>
      </w:pPr>
      <w:r>
        <w:t>The state, read live rather than quoted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DF0F3"/>
          </w:tcPr>
          <w:p>
            <w:r>
              <w:rPr>
                <w:b/>
              </w:rPr>
            </w:r>
          </w:p>
        </w:tc>
        <w:tc>
          <w:tcPr>
            <w:tcW w:type="dxa" w:w="4706"/>
            <w:shd w:val="clear" w:color="auto" w:fill="EDF0F3"/>
          </w:tcPr>
          <w:p>
            <w:r>
              <w:rPr>
                <w:b/>
              </w:rPr>
            </w:r>
          </w:p>
        </w:tc>
      </w:tr>
      <w:tr>
        <w:tc>
          <w:tcPr>
            <w:tcW w:type="dxa" w:w="4706"/>
          </w:tcPr>
          <w:p>
            <w:r/>
            <w:r>
              <w:rPr>
                <w:sz w:val="18"/>
              </w:rPr>
              <w:t>Studies that may publish today</w:t>
            </w:r>
          </w:p>
        </w:tc>
        <w:tc>
          <w:tcPr>
            <w:tcW w:type="dxa" w:w="4706"/>
          </w:tcPr>
          <w:p>
            <w:r/>
            <w:r>
              <w:rPr>
                <w:b/>
                <w:sz w:val="18"/>
              </w:rPr>
              <w:t>4</w:t>
            </w:r>
          </w:p>
        </w:tc>
      </w:tr>
      <w:tr>
        <w:tc>
          <w:tcPr>
            <w:tcW w:type="dxa" w:w="4706"/>
          </w:tcPr>
          <w:p>
            <w:r/>
            <w:r>
              <w:rPr>
                <w:sz w:val="18"/>
              </w:rPr>
              <w:t>Held because the central sits more than 10% BELOW the latest price</w:t>
            </w:r>
          </w:p>
        </w:tc>
        <w:tc>
          <w:tcPr>
            <w:tcW w:type="dxa" w:w="4706"/>
          </w:tcPr>
          <w:p>
            <w:r/>
            <w:r>
              <w:rPr>
                <w:b/>
                <w:sz w:val="18"/>
              </w:rPr>
              <w:t>10</w:t>
            </w:r>
          </w:p>
        </w:tc>
      </w:tr>
      <w:tr>
        <w:tc>
          <w:tcPr>
            <w:tcW w:type="dxa" w:w="4706"/>
          </w:tcPr>
          <w:p>
            <w:r/>
            <w:r>
              <w:rPr>
                <w:sz w:val="18"/>
              </w:rPr>
              <w:t>Held because Phase 1 is not proven, and on nothing else</w:t>
            </w:r>
          </w:p>
        </w:tc>
        <w:tc>
          <w:tcPr>
            <w:tcW w:type="dxa" w:w="4706"/>
          </w:tcPr>
          <w:p>
            <w:r/>
            <w:r>
              <w:rPr>
                <w:b/>
                <w:sz w:val="18"/>
              </w:rPr>
              <w:t>9</w:t>
            </w:r>
          </w:p>
        </w:tc>
      </w:tr>
      <w:tr>
        <w:tc>
          <w:tcPr>
            <w:tcW w:type="dxa" w:w="4706"/>
          </w:tcPr>
          <w:p>
            <w:r/>
            <w:r>
              <w:rPr>
                <w:sz w:val="18"/>
              </w:rPr>
              <w:t>Held as unreadable</w:t>
            </w:r>
          </w:p>
        </w:tc>
        <w:tc>
          <w:tcPr>
            <w:tcW w:type="dxa" w:w="4706"/>
          </w:tcPr>
          <w:p>
            <w:r/>
            <w:r>
              <w:rPr>
                <w:b/>
                <w:sz w:val="18"/>
              </w:rPr>
              <w:t>1</w:t>
            </w:r>
          </w:p>
        </w:tc>
      </w:tr>
      <w:tr>
        <w:tc>
          <w:tcPr>
            <w:tcW w:type="dxa" w:w="4706"/>
          </w:tcPr>
          <w:p>
            <w:r/>
            <w:r>
              <w:rPr>
                <w:sz w:val="18"/>
              </w:rPr>
              <w:t>Standing rules carrying an identifier</w:t>
            </w:r>
          </w:p>
        </w:tc>
        <w:tc>
          <w:tcPr>
            <w:tcW w:type="dxa" w:w="4706"/>
          </w:tcPr>
          <w:p>
            <w:r/>
            <w:r>
              <w:rPr>
                <w:sz w:val="18"/>
              </w:rPr>
              <w:t>rev. 13 of the protocol</w:t>
            </w:r>
          </w:p>
        </w:tc>
      </w:tr>
      <w:tr>
        <w:tc>
          <w:tcPr>
            <w:tcW w:type="dxa" w:w="4706"/>
          </w:tcPr>
          <w:p>
            <w:r/>
            <w:r>
              <w:rPr>
                <w:sz w:val="18"/>
              </w:rPr>
              <w:t>Gates</w:t>
            </w:r>
          </w:p>
        </w:tc>
        <w:tc>
          <w:tcPr>
            <w:tcW w:type="dxa" w:w="4706"/>
          </w:tcPr>
          <w:p>
            <w:r/>
            <w:r>
              <w:rPr>
                <w:sz w:val="18"/>
              </w:rPr>
              <w:t>83, with 79 negative controls</w:t>
            </w:r>
          </w:p>
        </w:tc>
      </w:tr>
      <w:tr>
        <w:tc>
          <w:tcPr>
            <w:tcW w:type="dxa" w:w="4706"/>
          </w:tcPr>
          <w:p>
            <w:r/>
            <w:r>
              <w:rPr>
                <w:sz w:val="18"/>
              </w:rPr>
              <w:t>Lessons in the register</w:t>
            </w:r>
          </w:p>
        </w:tc>
        <w:tc>
          <w:tcPr>
            <w:tcW w:type="dxa" w:w="4706"/>
          </w:tcPr>
          <w:p>
            <w:r/>
            <w:r>
              <w:rPr>
                <w:b/>
                <w:sz w:val="18"/>
              </w:rPr>
              <w:t>312</w:t>
            </w:r>
          </w:p>
        </w:tc>
      </w:tr>
    </w:tbl>
    <w:p/>
    <w:p>
      <w:r>
        <w:t>The nine held on the method are the ones this plan is about. They are inside the publication band, they carry no unfiled dissent, and the only thing between them and a reader is Part E's criterion 3.</w:t>
      </w:r>
    </w:p>
    <w:p>
      <w:pPr>
        <w:pStyle w:val="Heading3"/>
      </w:pPr>
      <w:r>
        <w:t>What closed</w:t>
      </w:r>
    </w:p>
    <w:p>
      <w:r>
        <w:rPr>
          <w:b/>
        </w:rPr>
        <w:t>The valuation layer now has rules, and they are enforced from outside.</w:t>
      </w:r>
      <w:r>
        <w:t xml:space="preserve"> Every cause in Part A's table that could be expressed as a test has become one: the cost-of-capital schedule </w:t>
      </w:r>
      <w:r>
        <w:rPr>
          <w:rFonts w:ascii="Consolas" w:hAnsi="Consolas"/>
          <w:sz w:val="19"/>
        </w:rPr>
        <w:t>[R-COC-01]</w:t>
      </w:r>
      <w:r>
        <w:t xml:space="preserve">, the house macro path </w:t>
      </w:r>
      <w:r>
        <w:rPr>
          <w:rFonts w:ascii="Consolas" w:hAnsi="Consolas"/>
          <w:sz w:val="19"/>
        </w:rPr>
        <w:t>[R-MACRO-01]</w:t>
      </w:r>
      <w:r>
        <w:t xml:space="preserve">, lens architecture </w:t>
      </w:r>
      <w:r>
        <w:rPr>
          <w:rFonts w:ascii="Consolas" w:hAnsi="Consolas"/>
          <w:sz w:val="19"/>
        </w:rPr>
        <w:t>[R-LENS-03]</w:t>
      </w:r>
      <w:r>
        <w:t xml:space="preserve">, the bridge </w:t>
      </w:r>
      <w:r>
        <w:rPr>
          <w:rFonts w:ascii="Consolas" w:hAnsi="Consolas"/>
          <w:sz w:val="19"/>
        </w:rPr>
        <w:t>[R-BRIDGE-01]</w:t>
      </w:r>
      <w:r>
        <w:t xml:space="preserve">, the terminal on a disclosed asset life </w:t>
      </w:r>
      <w:r>
        <w:rPr>
          <w:rFonts w:ascii="Consolas" w:hAnsi="Consolas"/>
          <w:sz w:val="19"/>
        </w:rPr>
        <w:t>[R-TERM-01]</w:t>
      </w:r>
      <w:r>
        <w:t xml:space="preserve">, the forecast anchor </w:t>
      </w:r>
      <w:r>
        <w:rPr>
          <w:rFonts w:ascii="Consolas" w:hAnsi="Consolas"/>
          <w:sz w:val="19"/>
        </w:rPr>
        <w:t>[R-ANCHOR-01]</w:t>
      </w:r>
      <w:r>
        <w:t xml:space="preserve">, the output records </w:t>
      </w:r>
      <w:r>
        <w:rPr>
          <w:rFonts w:ascii="Consolas" w:hAnsi="Consolas"/>
          <w:sz w:val="19"/>
        </w:rPr>
        <w:t>[R-ENF-05]</w:t>
      </w:r>
      <w:r>
        <w:t xml:space="preserve"> and the valuation calibration </w:t>
      </w:r>
      <w:r>
        <w:rPr>
          <w:rFonts w:ascii="Consolas" w:hAnsi="Consolas"/>
          <w:sz w:val="19"/>
        </w:rPr>
        <w:t>[R-VCAL-01]</w:t>
      </w:r>
      <w:r>
        <w:t>. Causes 1, 2, 3, 4, 6 and 9 are closed as constructions; cause 5 is closed as a rule and open as work; causes 8, 10 and 11 stand.</w:t>
      </w:r>
    </w:p>
    <w:p>
      <w:r>
        <w:rPr>
          <w:b/>
        </w:rPr>
        <w:t>Three rules were adopted that Part A did not anticipate, and each came from a defect the plan's own machinery produced.</w:t>
      </w:r>
      <w:r>
        <w:t xml:space="preserve"> </w:t>
      </w:r>
      <w:r>
        <w:rPr>
          <w:rFonts w:ascii="Consolas" w:hAnsi="Consolas"/>
          <w:sz w:val="19"/>
        </w:rPr>
        <w:t>[R-PROOF-01]</w:t>
      </w:r>
      <w:r>
        <w:t xml:space="preserve"> plants every error this house claims to catch and requires something to catch it — its first run found that two of the principal's own three named errors were caught by nothing. </w:t>
      </w:r>
      <w:r>
        <w:rPr>
          <w:rFonts w:ascii="Consolas" w:hAnsi="Consolas"/>
          <w:sz w:val="19"/>
        </w:rPr>
        <w:t>[R-ENF-08]</w:t>
      </w:r>
      <w:r>
        <w:t xml:space="preserve"> closed what that run exposed: a ratchet entry was a TICKER, so a study listed for one known defect was excused from its whole gate, and the very defect a rule had just been adopted on was undetectable on the study that provoked it. </w:t>
      </w:r>
      <w:r>
        <w:rPr>
          <w:rFonts w:ascii="Consolas" w:hAnsi="Consolas"/>
          <w:sz w:val="19"/>
        </w:rPr>
        <w:t>[R-REPAIR-01]</w:t>
      </w:r>
      <w:r>
        <w:t xml:space="preserve"> exists because detection scales with instruments and repair scales with attention, and only one of those grows when a book goes from twenty-four names to ninety.</w:t>
      </w:r>
    </w:p>
    <w:p>
      <w:pPr>
        <w:pStyle w:val="Heading3"/>
      </w:pPr>
      <w:r>
        <w:t>What the seven forensic audits found</w:t>
      </w:r>
    </w:p>
    <w:p>
      <w:r>
        <w:t xml:space="preserve">Seven independent audits of seven delivered studies, each rebuilding the workbook from its own inputs before reading the study's answers: </w:t>
      </w:r>
      <w:r>
        <w:rPr>
          <w:b/>
        </w:rPr>
        <w:t>292 findings raised, 292 answered, 254 accepted, none rejected outright.</w:t>
      </w:r>
      <w:r>
        <w:t xml:space="preserve"> Two remedies and one conclusion were declined, each with a receipt from a standing rule.</w:t>
      </w:r>
    </w:p>
    <w:p>
      <w:r>
        <w:t xml:space="preserve">The direction is the finding. </w:t>
      </w:r>
      <w:r>
        <w:rPr>
          <w:b/>
        </w:rPr>
        <w:t>Three of the four mechanisms measured understate value</w:t>
      </w:r>
      <w:r>
        <w:t xml:space="preserve"> — a price held flat in nominal dollars while domestic costs escalate at full inflation (four names); the retired terminal identity still running; and studies citing </w:t>
      </w:r>
      <w:r>
        <w:rPr>
          <w:rFonts w:ascii="Consolas" w:hAnsi="Consolas"/>
          <w:sz w:val="19"/>
        </w:rPr>
        <w:t>[R-VCAL-01]</w:t>
      </w:r>
      <w:r>
        <w:t xml:space="preserve">'s promotion guard as authority to leave a known defect in place. On AMOC, four corrections it does not dispute stack from EGP 11.40 to </w:t>
      </w:r>
      <w:r>
        <w:rPr>
          <w:b/>
        </w:rPr>
        <w:t>14.82</w:t>
      </w:r>
      <w:r>
        <w:t xml:space="preserve"> — from 15.5% below the traded price to 9.8% above it. </w:t>
      </w:r>
      <w:r>
        <w:rPr>
          <w:b/>
        </w:rPr>
        <w:t>TMGH's run the other way</w:t>
      </w:r>
      <w:r>
        <w:t xml:space="preserve">, which is the reason the book is not uniformly too low: it was uniformly </w:t>
      </w:r>
      <w:r>
        <w:rPr>
          <w:i/>
        </w:rPr>
        <w:t>unaudited in one direction</w:t>
      </w:r>
      <w:r>
        <w:t>.</w:t>
      </w:r>
    </w:p>
    <w:p>
      <w:r>
        <w:t xml:space="preserve">That third mechanism became </w:t>
      </w:r>
      <w:r>
        <w:rPr>
          <w:rFonts w:ascii="Consolas" w:hAnsi="Consolas"/>
          <w:sz w:val="19"/>
        </w:rPr>
        <w:t>[R-REBUILD-01 CLAUSE TWO]</w:t>
      </w:r>
      <w:r>
        <w:t>. The guard governs levers promoted from the valuation calibration, not corrections to defects — and the misreading was not one desk's, because this plan's own digest carried it too. Every correction deferred under it raised the value, so an interpretation behaved exactly like a house lean while every individual step in it was defensible.</w:t>
      </w:r>
    </w:p>
    <w:p>
      <w:pPr>
        <w:pStyle w:val="Heading3"/>
      </w:pPr>
      <w:r>
        <w:t>What still blocks the nine, precisely</w:t>
      </w:r>
    </w:p>
    <w:p>
      <w:r>
        <w:t xml:space="preserve">Criterion 3 is </w:t>
      </w:r>
      <w:r>
        <w:rPr>
          <w:b/>
        </w:rPr>
        <w:t>not met on its Phase 1 clauses</w:t>
      </w:r>
      <w:r>
        <w:t xml:space="preserve">, and the reason is no longer a date. Per </w:t>
      </w:r>
      <w:r>
        <w:rPr>
          <w:rFonts w:ascii="Consolas" w:hAnsi="Consolas"/>
          <w:sz w:val="19"/>
        </w:rPr>
        <w:t>[R-VCAL-02]</w:t>
      </w:r>
      <w:r>
        <w:t>, clauses A, B, C and F score the method against history and gate Phase 1; clauses D and E score the live forward record, are Phase 2b's subject, and hold nothing. Measured today on the mechanical series: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DF0F3"/>
          </w:tcPr>
          <w:p>
            <w:r>
              <w:rPr>
                <w:b/>
              </w:rPr>
            </w:r>
            <w:r>
              <w:rPr>
                <w:b/>
                <w:sz w:val="18"/>
              </w:rPr>
              <w:t>clause</w:t>
            </w:r>
          </w:p>
        </w:tc>
        <w:tc>
          <w:tcPr>
            <w:tcW w:type="dxa" w:w="3137"/>
            <w:shd w:val="clear" w:color="auto" w:fill="EDF0F3"/>
          </w:tcPr>
          <w:p>
            <w:r>
              <w:rPr>
                <w:b/>
              </w:rPr>
            </w:r>
            <w:r>
              <w:rPr>
                <w:b/>
                <w:sz w:val="18"/>
              </w:rPr>
              <w:t>state</w:t>
            </w:r>
          </w:p>
        </w:tc>
        <w:tc>
          <w:tcPr>
            <w:tcW w:type="dxa" w:w="3137"/>
            <w:shd w:val="clear" w:color="auto" w:fill="EDF0F3"/>
          </w:tcPr>
          <w:p>
            <w:r>
              <w:rPr>
                <w:b/>
              </w:rPr>
            </w:r>
            <w:r>
              <w:rPr>
                <w:b/>
                <w:sz w:val="18"/>
              </w:rPr>
              <w:t>why</w:t>
            </w:r>
          </w:p>
        </w:tc>
      </w:tr>
      <w:tr>
        <w:tc>
          <w:tcPr>
            <w:tcW w:type="dxa" w:w="3137"/>
          </w:tcPr>
          <w:p>
            <w:r/>
            <w:r>
              <w:rPr>
                <w:sz w:val="18"/>
              </w:rPr>
              <w:t>A — pooled contemporaneous bias covers zero</w:t>
            </w:r>
          </w:p>
        </w:tc>
        <w:tc>
          <w:tcPr>
            <w:tcW w:type="dxa" w:w="3137"/>
          </w:tcPr>
          <w:p>
            <w:r/>
            <w:r>
              <w:rPr>
                <w:sz w:val="18"/>
              </w:rPr>
              <w:t>NOT MET</w:t>
            </w:r>
          </w:p>
        </w:tc>
        <w:tc>
          <w:tcPr>
            <w:tcW w:type="dxa" w:w="3137"/>
          </w:tcPr>
          <w:p>
            <w:r/>
            <w:r>
              <w:rPr>
                <w:sz w:val="18"/>
              </w:rPr>
              <w:t xml:space="preserve">5 cells, 5 origins, </w:t>
            </w:r>
            <w:r>
              <w:rPr>
                <w:b/>
                <w:sz w:val="18"/>
              </w:rPr>
              <w:t>1 name</w:t>
            </w:r>
          </w:p>
        </w:tc>
      </w:tr>
      <w:tr>
        <w:tc>
          <w:tcPr>
            <w:tcW w:type="dxa" w:w="3137"/>
          </w:tcPr>
          <w:p>
            <w:r/>
            <w:r>
              <w:rPr>
                <w:sz w:val="18"/>
              </w:rPr>
              <w:t>B — LONO-stable in sign</w:t>
            </w:r>
          </w:p>
        </w:tc>
        <w:tc>
          <w:tcPr>
            <w:tcW w:type="dxa" w:w="3137"/>
          </w:tcPr>
          <w:p>
            <w:r/>
            <w:r>
              <w:rPr>
                <w:sz w:val="18"/>
              </w:rPr>
              <w:t>UNMEASURED</w:t>
            </w:r>
          </w:p>
        </w:tc>
        <w:tc>
          <w:tcPr>
            <w:tcW w:type="dxa" w:w="3137"/>
          </w:tcPr>
          <w:p>
            <w:r/>
            <w:r>
              <w:rPr>
                <w:sz w:val="18"/>
              </w:rPr>
              <w:t>one name, so leaving one out leaves nothing to pool</w:t>
            </w:r>
          </w:p>
        </w:tc>
      </w:tr>
      <w:tr>
        <w:tc>
          <w:tcPr>
            <w:tcW w:type="dxa" w:w="3137"/>
          </w:tcPr>
          <w:p>
            <w:r/>
            <w:r>
              <w:rPr>
                <w:sz w:val="18"/>
              </w:rPr>
              <w:t>C — holds in both eras</w:t>
            </w:r>
          </w:p>
        </w:tc>
        <w:tc>
          <w:tcPr>
            <w:tcW w:type="dxa" w:w="3137"/>
          </w:tcPr>
          <w:p>
            <w:r/>
            <w:r>
              <w:rPr>
                <w:sz w:val="18"/>
              </w:rPr>
              <w:t>UNMEASURED</w:t>
            </w:r>
          </w:p>
        </w:tc>
        <w:tc>
          <w:tcPr>
            <w:tcW w:type="dxa" w:w="3137"/>
          </w:tcPr>
          <w:p>
            <w:r/>
            <w:r>
              <w:rPr>
                <w:sz w:val="18"/>
              </w:rPr>
              <w:t>one era populated</w:t>
            </w:r>
          </w:p>
        </w:tc>
      </w:tr>
      <w:tr>
        <w:tc>
          <w:tcPr>
            <w:tcW w:type="dxa" w:w="3137"/>
          </w:tcPr>
          <w:p>
            <w:r/>
            <w:r>
              <w:rPr>
                <w:sz w:val="18"/>
              </w:rPr>
              <w:t>F — residual bias attributed to a named lever</w:t>
            </w:r>
          </w:p>
        </w:tc>
        <w:tc>
          <w:tcPr>
            <w:tcW w:type="dxa" w:w="3137"/>
          </w:tcPr>
          <w:p>
            <w:r/>
            <w:r>
              <w:rPr>
                <w:sz w:val="18"/>
              </w:rPr>
              <w:t>follows A</w:t>
            </w:r>
          </w:p>
        </w:tc>
        <w:tc>
          <w:tcPr>
            <w:tcW w:type="dxa" w:w="3137"/>
          </w:tcPr>
          <w:p>
            <w:r/>
            <w:r>
              <w:rPr>
                <w:sz w:val="18"/>
              </w:rPr>
              <w:t>—</w:t>
            </w:r>
          </w:p>
        </w:tc>
      </w:tr>
    </w:tbl>
    <w:p/>
    <w:p>
      <w:r>
        <w:rPr>
          <w:b/>
        </w:rPr>
        <w:t>One name is the whole blocker.</w:t>
      </w:r>
      <w:r>
        <w:t xml:space="preserve"> The mechanical series scores 5 cells and drops 28: eleven for want of three consecutive years of capital-spending intensity to the origin, twelve on terminal refusals the sanctioned module is right to make, five on thin projections. The largest class is the data-carry job </w:t>
      </w:r>
      <w:r>
        <w:rPr>
          <w:rFonts w:ascii="Consolas" w:hAnsi="Consolas"/>
          <w:sz w:val="19"/>
        </w:rPr>
        <w:t>[R-FCAL-01 AMENDED 03-Sep-2026]</w:t>
      </w:r>
      <w:r>
        <w:t xml:space="preserve"> already requires — the valuation-input block at every origin, copied out of filings each run has already parsed cell by cell.</w:t>
      </w:r>
    </w:p>
    <w:p>
      <w:r>
        <w:rPr>
          <w:b/>
        </w:rPr>
        <w:t>That is work with a rate, which a date is not.</w:t>
      </w:r>
      <w:r>
        <w:t xml:space="preserve"> It is the one thing standing between nine finished studies and a reader.</w:t>
      </w:r>
    </w:p>
    <w:p>
      <w:pPr>
        <w:pStyle w:val="Heading2"/>
      </w:pPr>
      <w:r>
        <w:t>Part J — Register, gate, and the path between them</w:t>
      </w:r>
    </w:p>
    <w:p>
      <w:r>
        <w:t>Asked for directly, and it is worth writing down because the two artefacts look similar from outside and are not the same kind of thing at all.</w:t>
      </w:r>
    </w:p>
    <w:p>
      <w:pPr>
        <w:pStyle w:val="Heading3"/>
      </w:pPr>
      <w:r>
        <w:t>A gate is arithmetic that refuses</w:t>
      </w:r>
    </w:p>
    <w:p>
      <w:r>
        <w:t xml:space="preserve">A gate takes a </w:t>
      </w:r>
      <w:r>
        <w:rPr>
          <w:b/>
        </w:rPr>
        <w:t>population counted somewhere else</w:t>
      </w:r>
      <w:r>
        <w:t xml:space="preserve">, asks one question that can be decided from the repository, and </w:t>
      </w:r>
      <w:r>
        <w:rPr>
          <w:b/>
        </w:rPr>
        <w:t>FAILS</w:t>
      </w:r>
      <w:r>
        <w:t xml:space="preserve"> rather than warning. It binds. Its subject is always something a script can read — a committed record, a delivered file, a set of directories — and where it cannot decide, it must say so rather than guess, because an empty result is not a clean result </w:t>
      </w:r>
      <w:r>
        <w:rPr>
          <w:rFonts w:ascii="Consolas" w:hAnsi="Consolas"/>
          <w:sz w:val="19"/>
        </w:rPr>
        <w:t>[R-ENF-04]</w:t>
      </w:r>
      <w:r>
        <w:t>.</w:t>
      </w:r>
    </w:p>
    <w:p>
      <w:r>
        <w:t>Everything about a gate is designed around one risk: that it reports clean having examined nothing. Hence the population anchoring, the negative control that reinjects every condition, the ratchet that may only shorten, and the rule that a gate runs the instrument rather than counting the file.</w:t>
      </w:r>
    </w:p>
    <w:p>
      <w:pPr>
        <w:pStyle w:val="Heading3"/>
      </w:pPr>
      <w:r>
        <w:t>A register is judgement that remembers</w:t>
      </w:r>
    </w:p>
    <w:p>
      <w:r>
        <w:t xml:space="preserve">The lessons register is prose: what a study taught us, how far it travels, and what would overturn it. It holds the findings that </w:t>
      </w:r>
      <w:r>
        <w:rPr>
          <w:b/>
        </w:rPr>
        <w:t>cannot</w:t>
      </w:r>
      <w:r>
        <w:t xml:space="preserve"> be decided by a script — scope, direction, what a thing means. It is generated from </w:t>
      </w:r>
      <w:r>
        <w:rPr>
          <w:rFonts w:ascii="Consolas" w:hAnsi="Consolas"/>
          <w:sz w:val="19"/>
        </w:rPr>
        <w:t>lessons_register.py</w:t>
      </w:r>
      <w:r>
        <w:t xml:space="preserve"> and never hand-edited, for the same reason the as-of stamps are generated: a document that states a fact which moves must not be the thing that remembers it.</w:t>
      </w:r>
    </w:p>
    <w:p>
      <w:r>
        <w:rPr>
          <w:b/>
        </w:rPr>
        <w:t>It binds nothing, deliberately, and that is not timidity.</w:t>
      </w:r>
      <w:r>
        <w:t xml:space="preserve"> Sixty-two of its entries are provisional findings resting on one name each; enforcing those is precisely what the promotion rule forbids. A mis-scoped STOCK lesson enforced book-wide is superstition. And a register that can turn the build red is a register people stop writing to honestly — which costs more than it buys, because its value is that it is cheap to write to and expensive to ignore.</w:t>
      </w:r>
    </w:p>
    <w:p>
      <w:pPr>
        <w:pStyle w:val="Heading3"/>
      </w:pPr>
      <w:r>
        <w:t>The path between them, and why it needed counting</w:t>
      </w:r>
    </w:p>
    <w:p>
      <w:r>
        <w:t xml:space="preserve">A lesson becomes binding by </w:t>
      </w:r>
      <w:r>
        <w:rPr>
          <w:b/>
        </w:rPr>
        <w:t>being made arithmetic</w:t>
      </w:r>
      <w:r>
        <w:t xml:space="preserve"> — rewritten as a test, given a population and a negative control, and adopted as a rule. That conversion is the only route, and until 18 September nobody counted it.</w:t>
      </w:r>
    </w:p>
    <w:p>
      <w:r>
        <w:t xml:space="preserve">Measured that day: </w:t>
      </w:r>
      <w:r>
        <w:rPr>
          <w:b/>
        </w:rPr>
        <w:t>19 of 312 lessons reach the binding layer at all — 6.1%.</w:t>
      </w:r>
      <w:r>
        <w:t xml:space="preserve"> This plan's own Part A already contains the evidence for what that costs: </w:t>
      </w:r>
      <w:r>
        <w:rPr>
          <w:rFonts w:ascii="Consolas" w:hAnsi="Consolas"/>
          <w:sz w:val="19"/>
        </w:rPr>
        <w:t>[L-048]</w:t>
      </w:r>
      <w:r>
        <w:t xml:space="preserve"> and </w:t>
      </w:r>
      <w:r>
        <w:rPr>
          <w:rFonts w:ascii="Consolas" w:hAnsi="Consolas"/>
          <w:sz w:val="19"/>
        </w:rPr>
        <w:t>[L-055]</w:t>
      </w:r>
      <w:r>
        <w:t xml:space="preserve"> are named in the cause table as </w:t>
      </w:r>
      <w:r>
        <w:rPr>
          <w:i/>
        </w:rPr>
        <w:t>"registered, bind nothing"</w:t>
      </w:r>
      <w:r>
        <w:t>, and both were re-violated by studies delivered afterwards.</w:t>
      </w:r>
    </w:p>
    <w:p>
      <w:r>
        <w:rPr>
          <w:rFonts w:ascii="Consolas" w:hAnsi="Consolas"/>
          <w:sz w:val="19"/>
        </w:rPr>
        <w:t>[R-LESSON-02]</w:t>
      </w:r>
      <w:r>
        <w:t xml:space="preserve"> counts the traffic. Every ALL-scope adopted lesson declares itself from a closed list of three: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DF0F3"/>
          </w:tcPr>
          <w:p>
            <w:r>
              <w:rPr>
                <w:b/>
              </w:rPr>
            </w:r>
          </w:p>
        </w:tc>
        <w:tc>
          <w:tcPr>
            <w:tcW w:type="dxa" w:w="4706"/>
            <w:shd w:val="clear" w:color="auto" w:fill="EDF0F3"/>
          </w:tcPr>
          <w:p>
            <w:r>
              <w:rPr>
                <w:b/>
              </w:rPr>
            </w:r>
          </w:p>
        </w:tc>
      </w:tr>
      <w:tr>
        <w:tc>
          <w:tcPr>
            <w:tcW w:type="dxa" w:w="4706"/>
          </w:tcPr>
          <w:p>
            <w:r/>
            <w:r>
              <w:rPr>
                <w:b/>
                <w:sz w:val="18"/>
              </w:rPr>
              <w:t>enforced</w:t>
            </w:r>
          </w:p>
        </w:tc>
        <w:tc>
          <w:tcPr>
            <w:tcW w:type="dxa" w:w="4706"/>
          </w:tcPr>
          <w:p>
            <w:r/>
            <w:r>
              <w:rPr>
                <w:sz w:val="18"/>
              </w:rPr>
              <w:t xml:space="preserve">names a rule id that resolves, or a file on disk — the gate verifies the named thing </w:t>
            </w:r>
            <w:r>
              <w:rPr>
                <w:b/>
                <w:sz w:val="18"/>
              </w:rPr>
              <w:t>exists</w:t>
            </w:r>
          </w:p>
        </w:tc>
      </w:tr>
      <w:tr>
        <w:tc>
          <w:tcPr>
            <w:tcW w:type="dxa" w:w="4706"/>
          </w:tcPr>
          <w:p>
            <w:r/>
            <w:r>
              <w:rPr>
                <w:b/>
                <w:sz w:val="18"/>
              </w:rPr>
              <w:t>prose</w:t>
            </w:r>
          </w:p>
        </w:tc>
        <w:tc>
          <w:tcPr>
            <w:tcW w:type="dxa" w:w="4706"/>
          </w:tcPr>
          <w:p>
            <w:r/>
            <w:r>
              <w:rPr>
                <w:sz w:val="18"/>
              </w:rPr>
              <w:t xml:space="preserve">genuinely not expressible as a test, </w:t>
            </w:r>
            <w:r>
              <w:rPr>
                <w:b/>
                <w:sz w:val="18"/>
              </w:rPr>
              <w:t>with a reason</w:t>
            </w:r>
            <w:r>
              <w:rPr>
                <w:sz w:val="18"/>
              </w:rPr>
              <w:t>; an empty reason has switched the check off</w:t>
            </w:r>
          </w:p>
        </w:tc>
      </w:tr>
      <w:tr>
        <w:tc>
          <w:tcPr>
            <w:tcW w:type="dxa" w:w="4706"/>
          </w:tcPr>
          <w:p>
            <w:r/>
            <w:r>
              <w:rPr>
                <w:b/>
                <w:sz w:val="18"/>
              </w:rPr>
              <w:t>outstanding</w:t>
            </w:r>
          </w:p>
        </w:tc>
        <w:tc>
          <w:tcPr>
            <w:tcW w:type="dxa" w:w="4706"/>
          </w:tcPr>
          <w:p>
            <w:r/>
            <w:r>
              <w:rPr>
                <w:sz w:val="18"/>
              </w:rPr>
              <w:t xml:space="preserve">testable and not built — </w:t>
            </w:r>
            <w:r>
              <w:rPr>
                <w:b/>
                <w:sz w:val="18"/>
              </w:rPr>
              <w:t>a debt, not a defect</w:t>
            </w:r>
          </w:p>
        </w:tc>
      </w:tr>
    </w:tbl>
    <w:p/>
    <w:p>
      <w:r>
        <w:rPr>
          <w:rFonts w:ascii="Consolas" w:hAnsi="Consolas"/>
          <w:sz w:val="19"/>
        </w:rPr>
        <w:t>outstanding</w:t>
      </w:r>
      <w:r>
        <w:t xml:space="preserve"> is printed rather than failed on, and that is the design decision the rule turns on: a gate refusing it would push a lesson to be declared prose to stay green, which is the opposite of what the instrument measures. The ratchet stands at 211 and </w:t>
      </w:r>
      <w:r>
        <w:rPr>
          <w:b/>
        </w:rPr>
        <w:t>is the work order</w:t>
      </w:r>
      <w:r>
        <w:t xml:space="preserve"> — it may only shorten, and a lesson added afterwards with no declaration is a new breach.</w:t>
      </w:r>
    </w:p>
    <w:p>
      <w:r>
        <w:rPr>
          <w:b/>
        </w:rPr>
        <w:t>What the gate checks is the easier half and it says so.</w:t>
      </w:r>
      <w:r>
        <w:t xml:space="preserve"> It verifies that a lesson claiming enforcement names something that exists. It does </w:t>
      </w:r>
      <w:r>
        <w:rPr>
          <w:b/>
        </w:rPr>
        <w:t>not</w:t>
      </w:r>
      <w:r>
        <w:t xml:space="preserve"> verify that the named thing binds that lesson, which is judgement — and a gate asserting it would be making a claim it cannot support. The half it does check still catches the rot that matters: a rule retired or a module deleted leaves a lesson reading as enforced while nothing enforces it.</w:t>
      </w:r>
    </w:p>
    <w:p>
      <w:pPr>
        <w:pStyle w:val="Heading3"/>
      </w:pPr>
      <w:r>
        <w:t>The general lesson, which is not about lessons</w:t>
      </w:r>
    </w:p>
    <w:p>
      <w:r>
        <w:rPr>
          <w:b/>
        </w:rPr>
        <w:t>A record and an enforcement layer need a counted path between them, or the record becomes a place findings go to be safe.</w:t>
      </w:r>
      <w:r>
        <w:t xml:space="preserve"> Both artefacts here were working exactly as designed — the register honest and cheap to write to, the gates arithmetic and binding. The traffic between them was nobody's subject, so it ran at six per cent and no instrument would have noticed if it had run at nothing.</w:t>
      </w:r>
    </w:p>
    <w:p>
      <w:r>
        <w:t>Where a process has two halves and only one of them binds, count what crosses.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2"/>
        <w:sz w:val="16"/>
      </w:rPr>
      <w:t xml:space="preserve">Fundamental Method Reassessment · 02-Sep-2026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eastAsia="Cambria" w:cs="Cambria"/>
      <w:b w:val="0"/>
      <w:bCs/>
      <w:color w:val="1C253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mbria" w:hAnsi="Cambria" w:eastAsia="Cambria" w:cs="Cambria"/>
      <w:b/>
      <w:bCs/>
      <w:color w:val="1C253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mbria" w:hAnsi="Cambria" w:eastAsia="Cambria" w:cs="Cambria"/>
      <w:b/>
      <w:bCs/>
      <w:color w:val="1C25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