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10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90"/>
        <w:gridCol w:w="2448"/>
        <w:gridCol w:w="1325"/>
        <w:gridCol w:w="1066"/>
        <w:gridCol w:w="7114"/>
        <w:gridCol w:w="1210"/>
      </w:tblGrid>
      <w:tr>
        <w:tc>
          <w:tcPr>
            <w:tcW w:type="dxa" w:w="490"/>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14"/>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90"/>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14"/>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90"/>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90"/>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90"/>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90"/>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90"/>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90"/>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90"/>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90"/>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90"/>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90"/>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90"/>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14"/>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90"/>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90"/>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90"/>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90"/>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14"/>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90"/>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14"/>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90"/>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14"/>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90"/>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14"/>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90"/>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90"/>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90"/>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90"/>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90"/>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90"/>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90"/>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90"/>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90"/>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90"/>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90"/>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90"/>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90"/>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90"/>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90"/>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90"/>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90"/>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90"/>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90"/>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90"/>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90"/>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90"/>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90"/>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90"/>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90"/>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90"/>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90"/>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90"/>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90"/>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90"/>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90"/>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90"/>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53.9929</w:t>
            </w:r>
          </w:p>
        </w:tc>
        <w:tc>
          <w:tcPr>
            <w:tcW w:type="dxa" w:w="1066"/>
          </w:tcPr>
          <w:p>
            <w:pPr>
              <w:spacing w:after="20"/>
            </w:pPr>
            <w:r>
              <w:rPr>
                <w:color w:val="1C3A36"/>
                <w:sz w:val="14"/>
              </w:rPr>
              <w:t>Company</w:t>
            </w:r>
          </w:p>
        </w:tc>
        <w:tc>
          <w:tcPr>
            <w:tcW w:type="dxa" w:w="7114"/>
          </w:tcPr>
          <w:p>
            <w:pPr>
              <w:spacing w:after="20"/>
            </w:pPr>
            <w:r>
              <w:rPr>
                <w:color w:val="1C3A36"/>
                <w:sz w:val="14"/>
              </w:rPr>
              <w:t>Egyptian domestic CEMENT sales 2025. FY2025 Investor Presentation, Arabian Cement Company S.A.E., investor relations library, page 5 (sales volumes and production indicators), Market Overview block, 'Cement Domestic Sales' 53,992.9 K Tons, against the 54.0 previously carried on trade estimate. Read at the page's own precision rather than the chart's rounded 53.9, because the utilisation ratios below are differences of large numbers</w:t>
            </w:r>
          </w:p>
        </w:tc>
        <w:tc>
          <w:tcPr>
            <w:tcW w:type="dxa" w:w="1210"/>
          </w:tcPr>
          <w:p>
            <w:pPr>
              <w:spacing w:after="20"/>
            </w:pPr>
            <w:r>
              <w:rPr>
                <w:color w:val="1C3A36"/>
                <w:sz w:val="14"/>
              </w:rPr>
              <w:t>2026-03-01</w:t>
            </w:r>
          </w:p>
        </w:tc>
      </w:tr>
      <w:tr>
        <w:tc>
          <w:tcPr>
            <w:tcW w:type="dxa" w:w="490"/>
          </w:tcPr>
          <w:p>
            <w:pPr>
              <w:spacing w:after="20"/>
            </w:pPr>
            <w:r>
              <w:rPr>
                <w:color w:val="1C3A36"/>
                <w:sz w:val="14"/>
              </w:rPr>
              <w:t>59</w:t>
            </w:r>
          </w:p>
        </w:tc>
        <w:tc>
          <w:tcPr>
            <w:tcW w:type="dxa" w:w="2448"/>
          </w:tcPr>
          <w:p>
            <w:pPr>
              <w:spacing w:after="20"/>
            </w:pPr>
            <w:r>
              <w:rPr>
                <w:color w:val="1C3A36"/>
                <w:sz w:val="14"/>
              </w:rPr>
              <w:t>egy_exports_cement_mt</w:t>
            </w:r>
          </w:p>
        </w:tc>
        <w:tc>
          <w:tcPr>
            <w:tcW w:type="dxa" w:w="1325"/>
          </w:tcPr>
          <w:p>
            <w:pPr>
              <w:spacing w:after="20"/>
            </w:pPr>
            <w:r>
              <w:rPr>
                <w:color w:val="1C3A36"/>
                <w:sz w:val="14"/>
              </w:rPr>
              <w:t>11.063</w:t>
            </w:r>
          </w:p>
        </w:tc>
        <w:tc>
          <w:tcPr>
            <w:tcW w:type="dxa" w:w="1066"/>
          </w:tcPr>
          <w:p>
            <w:pPr>
              <w:spacing w:after="20"/>
            </w:pPr>
            <w:r>
              <w:rPr>
                <w:color w:val="1C3A36"/>
                <w:sz w:val="14"/>
              </w:rPr>
              <w:t>Company</w:t>
            </w:r>
          </w:p>
        </w:tc>
        <w:tc>
          <w:tcPr>
            <w:tcW w:type="dxa" w:w="7114"/>
          </w:tcPr>
          <w:p>
            <w:pPr>
              <w:spacing w:after="20"/>
            </w:pPr>
            <w:r>
              <w:rPr>
                <w:color w:val="1C3A36"/>
                <w:sz w:val="14"/>
              </w:rPr>
              <w:t>Egyptian CEMENT export sales 2025. FY2025 Investor Presentation, Arabian Cement Company S.A.E., investor relations library, page 5 (sales volumes and production indicators), Market Overview block, 'Cement Export Sales' 11,063.0 K Tons (FY2024: 7,561.7, up 46%)</w:t>
            </w:r>
          </w:p>
        </w:tc>
        <w:tc>
          <w:tcPr>
            <w:tcW w:type="dxa" w:w="1210"/>
          </w:tcPr>
          <w:p>
            <w:pPr>
              <w:spacing w:after="20"/>
            </w:pPr>
            <w:r>
              <w:rPr>
                <w:color w:val="1C3A36"/>
                <w:sz w:val="14"/>
              </w:rPr>
              <w:t>2026-03-01</w:t>
            </w:r>
          </w:p>
        </w:tc>
      </w:tr>
      <w:tr>
        <w:tc>
          <w:tcPr>
            <w:tcW w:type="dxa" w:w="490"/>
          </w:tcPr>
          <w:p>
            <w:pPr>
              <w:spacing w:after="20"/>
            </w:pPr>
            <w:r>
              <w:rPr>
                <w:color w:val="1C3A36"/>
                <w:sz w:val="14"/>
              </w:rPr>
              <w:t>60</w:t>
            </w:r>
          </w:p>
        </w:tc>
        <w:tc>
          <w:tcPr>
            <w:tcW w:type="dxa" w:w="2448"/>
          </w:tcPr>
          <w:p>
            <w:pPr>
              <w:spacing w:after="20"/>
            </w:pPr>
            <w:r>
              <w:rPr>
                <w:color w:val="1C3A36"/>
                <w:sz w:val="14"/>
              </w:rPr>
              <w:t>egy_exports_clinker_mt</w:t>
            </w:r>
          </w:p>
        </w:tc>
        <w:tc>
          <w:tcPr>
            <w:tcW w:type="dxa" w:w="1325"/>
          </w:tcPr>
          <w:p>
            <w:pPr>
              <w:spacing w:after="20"/>
            </w:pPr>
            <w:r>
              <w:rPr>
                <w:color w:val="1C3A36"/>
                <w:sz w:val="14"/>
              </w:rPr>
              <w:t>7.5689</w:t>
            </w:r>
          </w:p>
        </w:tc>
        <w:tc>
          <w:tcPr>
            <w:tcW w:type="dxa" w:w="1066"/>
          </w:tcPr>
          <w:p>
            <w:pPr>
              <w:spacing w:after="20"/>
            </w:pPr>
            <w:r>
              <w:rPr>
                <w:color w:val="1C3A36"/>
                <w:sz w:val="14"/>
              </w:rPr>
              <w:t>Company</w:t>
            </w:r>
          </w:p>
        </w:tc>
        <w:tc>
          <w:tcPr>
            <w:tcW w:type="dxa" w:w="7114"/>
          </w:tcPr>
          <w:p>
            <w:pPr>
              <w:spacing w:after="20"/>
            </w:pPr>
            <w:r>
              <w:rPr>
                <w:color w:val="1C3A36"/>
                <w:sz w:val="14"/>
              </w:rPr>
              <w:t>Egyptian CLINKER export sales 2025. FY2025 Investor Presentation, Arabian Cement Company S.A.E., investor relations library, page 5 (sales volumes and production indicators), Market Overview block, 'Clinker Export Sales' 7,568.9 K Tons (FY2024: 12,241.4, down 38%). Leaves at the kiln, never enters a cement mill, and is therefore NOT in the cement-basis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61</w:t>
            </w:r>
          </w:p>
        </w:tc>
        <w:tc>
          <w:tcPr>
            <w:tcW w:type="dxa" w:w="2448"/>
          </w:tcPr>
          <w:p>
            <w:pPr>
              <w:spacing w:after="20"/>
            </w:pPr>
            <w:r>
              <w:rPr>
                <w:color w:val="1C3A36"/>
                <w:sz w:val="14"/>
              </w:rPr>
              <w:t>egy_exports_mt</w:t>
            </w:r>
          </w:p>
        </w:tc>
        <w:tc>
          <w:tcPr>
            <w:tcW w:type="dxa" w:w="1325"/>
          </w:tcPr>
          <w:p>
            <w:pPr>
              <w:spacing w:after="20"/>
            </w:pPr>
            <w:r>
              <w:rPr>
                <w:color w:val="1C3A36"/>
                <w:sz w:val="14"/>
              </w:rPr>
              <w:t>18.6319</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export sales 2025. FY2025 Investor Presentation, Arabian Cement Company S.A.E., investor relations library, page 5 (sales volumes and production indicators), Market Overview block, 'Total Export Sales' 18,631.9 K Tons. THE TWO PRODUCTS ARE REPORTED TOGETHER AND THE SAME PAGE SPLITS THEM, which is why the earlier balance failed: it set a cement-plus-clinker export figure against a cement-only production figure. The split is now carried in the two inputs below rather than left folded up here, because a utilisation ratio built on this line has the same defect</w:t>
            </w:r>
          </w:p>
        </w:tc>
        <w:tc>
          <w:tcPr>
            <w:tcW w:type="dxa" w:w="1210"/>
          </w:tcPr>
          <w:p>
            <w:pPr>
              <w:spacing w:after="20"/>
            </w:pPr>
            <w:r>
              <w:rPr>
                <w:color w:val="1C3A36"/>
                <w:sz w:val="14"/>
              </w:rPr>
              <w:t>2026-03-01</w:t>
            </w:r>
          </w:p>
        </w:tc>
      </w:tr>
      <w:tr>
        <w:tc>
          <w:tcPr>
            <w:tcW w:type="dxa" w:w="490"/>
          </w:tcPr>
          <w:p>
            <w:pPr>
              <w:spacing w:after="20"/>
            </w:pPr>
            <w:r>
              <w:rPr>
                <w:color w:val="1C3A36"/>
                <w:sz w:val="14"/>
              </w:rPr>
              <w:t>62</w:t>
            </w:r>
          </w:p>
        </w:tc>
        <w:tc>
          <w:tcPr>
            <w:tcW w:type="dxa" w:w="2448"/>
          </w:tcPr>
          <w:p>
            <w:pPr>
              <w:spacing w:after="20"/>
            </w:pPr>
            <w:r>
              <w:rPr>
                <w:color w:val="1C3A36"/>
                <w:sz w:val="14"/>
              </w:rPr>
              <w:t>egy_prod_mt</w:t>
            </w:r>
          </w:p>
        </w:tc>
        <w:tc>
          <w:tcPr>
            <w:tcW w:type="dxa" w:w="1325"/>
          </w:tcPr>
          <w:p>
            <w:pPr>
              <w:spacing w:after="20"/>
            </w:pPr>
            <w:r>
              <w:rPr>
                <w:color w:val="1C3A36"/>
                <w:sz w:val="14"/>
              </w:rPr>
              <w:t>72.6248</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sales 2025 — local plus export. FY2025 Investor Presentation, Arabian Cement Company S.A.E., investor relations library, page 5 (sales volumes and production indicators) gives domestic cement 53,992.9, cement exports 11,063.0 and clinker exports 7,568.9 K Tons. Revisions 1 to 4 carried 65.0Mt as 'production' against exports of 18.5Mt and consumption of 54Mt, a balance that does not close: 65 less 54 is 11Mt, not 18.5. THE 65Mt THEY DISCARDED WAS THE RIGHT CEMENT-BASIS NUMBER and the balance failed because the two figures were on different bases, not because either was wrong. This total is the all-product one and it is NOT the numerator of a cement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63</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90"/>
          </w:tcPr>
          <w:p>
            <w:pPr>
              <w:spacing w:after="20"/>
            </w:pPr>
            <w:r>
              <w:rPr>
                <w:color w:val="1C3A36"/>
                <w:sz w:val="14"/>
              </w:rPr>
              <w:t>64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90"/>
          </w:tcPr>
          <w:p>
            <w:pPr>
              <w:spacing w:after="20"/>
            </w:pPr>
            <w:r>
              <w:rPr>
                <w:color w:val="1C3A36"/>
                <w:sz w:val="14"/>
              </w:rPr>
              <w:t>65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90"/>
          </w:tcPr>
          <w:p>
            <w:pPr>
              <w:spacing w:after="20"/>
            </w:pPr>
            <w:r>
              <w:rPr>
                <w:color w:val="1C3A36"/>
                <w:sz w:val="14"/>
              </w:rPr>
              <w:t>66</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90"/>
          </w:tcPr>
          <w:p>
            <w:pPr>
              <w:spacing w:after="20"/>
            </w:pPr>
            <w:r>
              <w:rPr>
                <w:color w:val="1C3A36"/>
                <w:sz w:val="14"/>
              </w:rPr>
              <w:t>67</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90"/>
          </w:tcPr>
          <w:p>
            <w:pPr>
              <w:spacing w:after="20"/>
            </w:pPr>
            <w:r>
              <w:rPr>
                <w:color w:val="1C3A36"/>
                <w:sz w:val="14"/>
              </w:rPr>
              <w:t>68</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90"/>
          </w:tcPr>
          <w:p>
            <w:pPr>
              <w:spacing w:after="20"/>
            </w:pPr>
            <w:r>
              <w:rPr>
                <w:color w:val="1C3A36"/>
                <w:sz w:val="14"/>
              </w:rPr>
              <w:t>69</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70</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90"/>
          </w:tcPr>
          <w:p>
            <w:pPr>
              <w:spacing w:after="20"/>
            </w:pPr>
            <w:r>
              <w:rPr>
                <w:color w:val="1C3A36"/>
                <w:sz w:val="14"/>
              </w:rPr>
              <w:t>71</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90"/>
          </w:tcPr>
          <w:p>
            <w:pPr>
              <w:spacing w:after="20"/>
            </w:pPr>
            <w:r>
              <w:rPr>
                <w:color w:val="1C3A36"/>
                <w:sz w:val="14"/>
              </w:rPr>
              <w:t>72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90"/>
          </w:tcPr>
          <w:p>
            <w:pPr>
              <w:spacing w:after="20"/>
            </w:pPr>
            <w:r>
              <w:rPr>
                <w:color w:val="1C3A36"/>
                <w:sz w:val="14"/>
              </w:rPr>
              <w:t>73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74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90"/>
          </w:tcPr>
          <w:p>
            <w:pPr>
              <w:spacing w:after="20"/>
            </w:pPr>
            <w:r>
              <w:rPr>
                <w:color w:val="1C3A36"/>
                <w:sz w:val="14"/>
              </w:rPr>
              <w:t>75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90"/>
          </w:tcPr>
          <w:p>
            <w:pPr>
              <w:spacing w:after="20"/>
            </w:pPr>
            <w:r>
              <w:rPr>
                <w:color w:val="1C3A36"/>
                <w:sz w:val="14"/>
              </w:rPr>
              <w:t>76</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90"/>
          </w:tcPr>
          <w:p>
            <w:pPr>
              <w:spacing w:after="20"/>
            </w:pPr>
            <w:r>
              <w:rPr>
                <w:color w:val="1C3A36"/>
                <w:sz w:val="14"/>
              </w:rPr>
              <w:t>77</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90"/>
          </w:tcPr>
          <w:p>
            <w:pPr>
              <w:spacing w:after="20"/>
            </w:pPr>
            <w:r>
              <w:rPr>
                <w:color w:val="1C3A36"/>
                <w:sz w:val="14"/>
              </w:rPr>
              <w:t>78</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90"/>
          </w:tcPr>
          <w:p>
            <w:pPr>
              <w:spacing w:after="20"/>
            </w:pPr>
            <w:r>
              <w:rPr>
                <w:color w:val="1C3A36"/>
                <w:sz w:val="14"/>
              </w:rPr>
              <w:t>79</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90"/>
          </w:tcPr>
          <w:p>
            <w:pPr>
              <w:spacing w:after="20"/>
            </w:pPr>
            <w:r>
              <w:rPr>
                <w:color w:val="1C3A36"/>
                <w:sz w:val="14"/>
              </w:rPr>
              <w:t>80</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90"/>
          </w:tcPr>
          <w:p>
            <w:pPr>
              <w:spacing w:after="20"/>
            </w:pPr>
            <w:r>
              <w:rPr>
                <w:color w:val="1C3A36"/>
                <w:sz w:val="14"/>
              </w:rPr>
              <w:t>81</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90"/>
          </w:tcPr>
          <w:p>
            <w:pPr>
              <w:spacing w:after="20"/>
            </w:pPr>
            <w:r>
              <w:rPr>
                <w:color w:val="1C3A36"/>
                <w:sz w:val="14"/>
              </w:rPr>
              <w:t>82</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90"/>
          </w:tcPr>
          <w:p>
            <w:pPr>
              <w:spacing w:after="20"/>
            </w:pPr>
            <w:r>
              <w:rPr>
                <w:color w:val="1C3A36"/>
                <w:sz w:val="14"/>
              </w:rPr>
              <w:t>83</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90"/>
          </w:tcPr>
          <w:p>
            <w:pPr>
              <w:spacing w:after="20"/>
            </w:pPr>
            <w:r>
              <w:rPr>
                <w:color w:val="1C3A36"/>
                <w:sz w:val="14"/>
              </w:rPr>
              <w:t>84</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90"/>
          </w:tcPr>
          <w:p>
            <w:pPr>
              <w:spacing w:after="20"/>
            </w:pPr>
            <w:r>
              <w:rPr>
                <w:color w:val="1C3A36"/>
                <w:sz w:val="14"/>
              </w:rPr>
              <w:t>85</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90"/>
          </w:tcPr>
          <w:p>
            <w:pPr>
              <w:spacing w:after="20"/>
            </w:pPr>
            <w:r>
              <w:rPr>
                <w:color w:val="1C3A36"/>
                <w:sz w:val="14"/>
              </w:rPr>
              <w:t>86</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90"/>
          </w:tcPr>
          <w:p>
            <w:pPr>
              <w:spacing w:after="20"/>
            </w:pPr>
            <w:r>
              <w:rPr>
                <w:color w:val="1C3A36"/>
                <w:sz w:val="14"/>
              </w:rPr>
              <w:t>87</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90"/>
          </w:tcPr>
          <w:p>
            <w:pPr>
              <w:spacing w:after="20"/>
            </w:pPr>
            <w:r>
              <w:rPr>
                <w:color w:val="1C3A36"/>
                <w:sz w:val="14"/>
              </w:rPr>
              <w:t>88</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90"/>
          </w:tcPr>
          <w:p>
            <w:pPr>
              <w:spacing w:after="20"/>
            </w:pPr>
            <w:r>
              <w:rPr>
                <w:color w:val="1C3A36"/>
                <w:sz w:val="14"/>
              </w:rPr>
              <w:t>89</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90"/>
          </w:tcPr>
          <w:p>
            <w:pPr>
              <w:spacing w:after="20"/>
            </w:pPr>
            <w:r>
              <w:rPr>
                <w:color w:val="1C3A36"/>
                <w:sz w:val="14"/>
              </w:rPr>
              <w:t>90</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90"/>
          </w:tcPr>
          <w:p>
            <w:pPr>
              <w:spacing w:after="20"/>
            </w:pPr>
            <w:r>
              <w:rPr>
                <w:color w:val="1C3A36"/>
                <w:sz w:val="14"/>
              </w:rPr>
              <w:t>91</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90"/>
          </w:tcPr>
          <w:p>
            <w:pPr>
              <w:spacing w:after="20"/>
            </w:pPr>
            <w:r>
              <w:rPr>
                <w:color w:val="1C3A36"/>
                <w:sz w:val="14"/>
              </w:rPr>
              <w:t>92</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90"/>
          </w:tcPr>
          <w:p>
            <w:pPr>
              <w:spacing w:after="20"/>
            </w:pPr>
            <w:r>
              <w:rPr>
                <w:color w:val="1C3A36"/>
                <w:sz w:val="14"/>
              </w:rPr>
              <w:t>93</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90"/>
          </w:tcPr>
          <w:p>
            <w:pPr>
              <w:spacing w:after="20"/>
            </w:pPr>
            <w:r>
              <w:rPr>
                <w:color w:val="1C3A36"/>
                <w:sz w:val="14"/>
              </w:rPr>
              <w:t>94</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90"/>
          </w:tcPr>
          <w:p>
            <w:pPr>
              <w:spacing w:after="20"/>
            </w:pPr>
            <w:r>
              <w:rPr>
                <w:color w:val="1C3A36"/>
                <w:sz w:val="14"/>
              </w:rPr>
              <w:t>95</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90"/>
          </w:tcPr>
          <w:p>
            <w:pPr>
              <w:spacing w:after="20"/>
            </w:pPr>
            <w:r>
              <w:rPr>
                <w:color w:val="1C3A36"/>
                <w:sz w:val="14"/>
              </w:rPr>
              <w:t>96</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14"/>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90"/>
          </w:tcPr>
          <w:p>
            <w:pPr>
              <w:spacing w:after="20"/>
            </w:pPr>
            <w:r>
              <w:rPr>
                <w:color w:val="1C3A36"/>
                <w:sz w:val="14"/>
              </w:rPr>
              <w:t>97</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14"/>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90"/>
          </w:tcPr>
          <w:p>
            <w:pPr>
              <w:spacing w:after="20"/>
            </w:pPr>
            <w:r>
              <w:rPr>
                <w:color w:val="1C3A36"/>
                <w:sz w:val="14"/>
              </w:rPr>
              <w:t>98</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90"/>
          </w:tcPr>
          <w:p>
            <w:pPr>
              <w:spacing w:after="20"/>
            </w:pPr>
            <w:r>
              <w:rPr>
                <w:color w:val="1C3A36"/>
                <w:sz w:val="14"/>
              </w:rPr>
              <w:t>99</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90"/>
          </w:tcPr>
          <w:p>
            <w:pPr>
              <w:spacing w:after="20"/>
            </w:pPr>
            <w:r>
              <w:rPr>
                <w:color w:val="1C3A36"/>
                <w:sz w:val="14"/>
              </w:rPr>
              <w:t>100</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101</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90"/>
          </w:tcPr>
          <w:p>
            <w:pPr>
              <w:spacing w:after="20"/>
            </w:pPr>
            <w:r>
              <w:rPr>
                <w:color w:val="1C3A36"/>
                <w:sz w:val="14"/>
              </w:rPr>
              <w:t>102</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90"/>
          </w:tcPr>
          <w:p>
            <w:pPr>
              <w:spacing w:after="20"/>
            </w:pPr>
            <w:r>
              <w:rPr>
                <w:color w:val="1C3A36"/>
                <w:sz w:val="14"/>
              </w:rPr>
              <w:t>103</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104</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90"/>
          </w:tcPr>
          <w:p>
            <w:pPr>
              <w:spacing w:after="20"/>
            </w:pPr>
            <w:r>
              <w:rPr>
                <w:color w:val="1C3A36"/>
                <w:sz w:val="14"/>
              </w:rPr>
              <w:t>105</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90"/>
          </w:tcPr>
          <w:p>
            <w:pPr>
              <w:spacing w:after="20"/>
            </w:pPr>
            <w:r>
              <w:rPr>
                <w:color w:val="1C3A36"/>
                <w:sz w:val="14"/>
              </w:rPr>
              <w:t>106</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90"/>
          </w:tcPr>
          <w:p>
            <w:pPr>
              <w:spacing w:after="20"/>
            </w:pPr>
            <w:r>
              <w:rPr>
                <w:color w:val="1C3A36"/>
                <w:sz w:val="14"/>
              </w:rPr>
              <w:t>107</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90"/>
          </w:tcPr>
          <w:p>
            <w:pPr>
              <w:spacing w:after="20"/>
            </w:pPr>
            <w:r>
              <w:rPr>
                <w:color w:val="1C3A36"/>
                <w:sz w:val="14"/>
              </w:rPr>
              <w:t>108</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90"/>
          </w:tcPr>
          <w:p>
            <w:pPr>
              <w:spacing w:after="20"/>
            </w:pPr>
            <w:r>
              <w:rPr>
                <w:color w:val="1C3A36"/>
                <w:sz w:val="14"/>
              </w:rPr>
              <w:t>109</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90"/>
          </w:tcPr>
          <w:p>
            <w:pPr>
              <w:spacing w:after="20"/>
            </w:pPr>
            <w:r>
              <w:rPr>
                <w:color w:val="1C3A36"/>
                <w:sz w:val="14"/>
              </w:rPr>
              <w:t>110</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90"/>
          </w:tcPr>
          <w:p>
            <w:pPr>
              <w:spacing w:after="20"/>
            </w:pPr>
            <w:r>
              <w:rPr>
                <w:color w:val="1C3A36"/>
                <w:sz w:val="14"/>
              </w:rPr>
              <w:t>111</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90"/>
          </w:tcPr>
          <w:p>
            <w:pPr>
              <w:spacing w:after="20"/>
            </w:pPr>
            <w:r>
              <w:rPr>
                <w:color w:val="1C3A36"/>
                <w:sz w:val="14"/>
              </w:rPr>
              <w:t>112</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113</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114</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90"/>
          </w:tcPr>
          <w:p>
            <w:pPr>
              <w:spacing w:after="20"/>
            </w:pPr>
            <w:r>
              <w:rPr>
                <w:color w:val="1C3A36"/>
                <w:sz w:val="14"/>
              </w:rPr>
              <w:t>115</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90"/>
          </w:tcPr>
          <w:p>
            <w:pPr>
              <w:spacing w:after="20"/>
            </w:pPr>
            <w:r>
              <w:rPr>
                <w:color w:val="1C3A36"/>
                <w:sz w:val="14"/>
              </w:rPr>
              <w:t>116</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90"/>
          </w:tcPr>
          <w:p>
            <w:pPr>
              <w:spacing w:after="20"/>
            </w:pPr>
            <w:r>
              <w:rPr>
                <w:color w:val="1C3A36"/>
                <w:sz w:val="14"/>
              </w:rPr>
              <w:t>117</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90"/>
          </w:tcPr>
          <w:p>
            <w:pPr>
              <w:spacing w:after="20"/>
            </w:pPr>
            <w:r>
              <w:rPr>
                <w:color w:val="1C3A36"/>
                <w:sz w:val="14"/>
              </w:rPr>
              <w:t>118</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14"/>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90"/>
          </w:tcPr>
          <w:p>
            <w:pPr>
              <w:spacing w:after="20"/>
            </w:pPr>
            <w:r>
              <w:rPr>
                <w:color w:val="1C3A36"/>
                <w:sz w:val="14"/>
              </w:rPr>
              <w:t>119</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90"/>
          </w:tcPr>
          <w:p>
            <w:pPr>
              <w:spacing w:after="20"/>
            </w:pPr>
            <w:r>
              <w:rPr>
                <w:color w:val="1C3A36"/>
                <w:sz w:val="14"/>
              </w:rPr>
              <w:t>120</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90"/>
          </w:tcPr>
          <w:p>
            <w:pPr>
              <w:spacing w:after="20"/>
            </w:pPr>
            <w:r>
              <w:rPr>
                <w:color w:val="1C3A36"/>
                <w:sz w:val="14"/>
              </w:rPr>
              <w:t>121</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90"/>
          </w:tcPr>
          <w:p>
            <w:pPr>
              <w:spacing w:after="20"/>
            </w:pPr>
            <w:r>
              <w:rPr>
                <w:color w:val="1C3A36"/>
                <w:sz w:val="14"/>
              </w:rPr>
              <w:t>122</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90"/>
          </w:tcPr>
          <w:p>
            <w:pPr>
              <w:spacing w:after="20"/>
            </w:pPr>
            <w:r>
              <w:rPr>
                <w:color w:val="1C3A36"/>
                <w:sz w:val="14"/>
              </w:rPr>
              <w:t>123</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90"/>
          </w:tcPr>
          <w:p>
            <w:pPr>
              <w:spacing w:after="20"/>
            </w:pPr>
            <w:r>
              <w:rPr>
                <w:color w:val="1C3A36"/>
                <w:sz w:val="14"/>
              </w:rPr>
              <w:t>124</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90"/>
          </w:tcPr>
          <w:p>
            <w:pPr>
              <w:spacing w:after="20"/>
            </w:pPr>
            <w:r>
              <w:rPr>
                <w:color w:val="1C3A36"/>
                <w:sz w:val="14"/>
              </w:rPr>
              <w:t>125</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126</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90"/>
          </w:tcPr>
          <w:p>
            <w:pPr>
              <w:spacing w:after="20"/>
            </w:pPr>
            <w:r>
              <w:rPr>
                <w:color w:val="1C3A36"/>
                <w:sz w:val="14"/>
              </w:rPr>
              <w:t>127</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128</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90"/>
          </w:tcPr>
          <w:p>
            <w:pPr>
              <w:spacing w:after="20"/>
            </w:pPr>
            <w:r>
              <w:rPr>
                <w:color w:val="1C3A36"/>
                <w:sz w:val="14"/>
              </w:rPr>
              <w:t>129</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90"/>
          </w:tcPr>
          <w:p>
            <w:pPr>
              <w:spacing w:after="20"/>
            </w:pPr>
            <w:r>
              <w:rPr>
                <w:color w:val="1C3A36"/>
                <w:sz w:val="14"/>
              </w:rPr>
              <w:t>130</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90"/>
          </w:tcPr>
          <w:p>
            <w:pPr>
              <w:spacing w:after="20"/>
            </w:pPr>
            <w:r>
              <w:rPr>
                <w:color w:val="1C3A36"/>
                <w:sz w:val="14"/>
              </w:rPr>
              <w:t>131</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132</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90"/>
          </w:tcPr>
          <w:p>
            <w:pPr>
              <w:spacing w:after="20"/>
            </w:pPr>
            <w:r>
              <w:rPr>
                <w:color w:val="1C3A36"/>
                <w:sz w:val="14"/>
              </w:rPr>
              <w:t>133</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90"/>
          </w:tcPr>
          <w:p>
            <w:pPr>
              <w:spacing w:after="20"/>
            </w:pPr>
            <w:r>
              <w:rPr>
                <w:color w:val="1C3A36"/>
                <w:sz w:val="14"/>
              </w:rPr>
              <w:t>134</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90"/>
          </w:tcPr>
          <w:p>
            <w:pPr>
              <w:spacing w:after="20"/>
            </w:pPr>
            <w:r>
              <w:rPr>
                <w:color w:val="1C3A36"/>
                <w:sz w:val="14"/>
              </w:rPr>
              <w:t>135</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136</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137</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138</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90"/>
          </w:tcPr>
          <w:p>
            <w:pPr>
              <w:spacing w:after="20"/>
            </w:pPr>
            <w:r>
              <w:rPr>
                <w:color w:val="1C3A36"/>
                <w:sz w:val="14"/>
              </w:rPr>
              <w:t>139</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90"/>
          </w:tcPr>
          <w:p>
            <w:pPr>
              <w:spacing w:after="20"/>
            </w:pPr>
            <w:r>
              <w:rPr>
                <w:color w:val="1C3A36"/>
                <w:sz w:val="14"/>
              </w:rPr>
              <w:t>140</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141</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142</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90"/>
          </w:tcPr>
          <w:p>
            <w:pPr>
              <w:spacing w:after="20"/>
            </w:pPr>
            <w:r>
              <w:rPr>
                <w:color w:val="1C3A36"/>
                <w:sz w:val="14"/>
              </w:rPr>
              <w:t>143</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144</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145</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90"/>
          </w:tcPr>
          <w:p>
            <w:pPr>
              <w:spacing w:after="20"/>
            </w:pPr>
            <w:r>
              <w:rPr>
                <w:color w:val="1C3A36"/>
                <w:sz w:val="14"/>
              </w:rPr>
              <w:t>146</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90"/>
          </w:tcPr>
          <w:p>
            <w:pPr>
              <w:spacing w:after="20"/>
            </w:pPr>
            <w:r>
              <w:rPr>
                <w:color w:val="1C3A36"/>
                <w:sz w:val="14"/>
              </w:rPr>
              <w:t>147</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90"/>
          </w:tcPr>
          <w:p>
            <w:pPr>
              <w:spacing w:after="20"/>
            </w:pPr>
            <w:r>
              <w:rPr>
                <w:color w:val="1C3A36"/>
                <w:sz w:val="14"/>
              </w:rPr>
              <w:t>148</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90"/>
          </w:tcPr>
          <w:p>
            <w:pPr>
              <w:spacing w:after="20"/>
            </w:pPr>
            <w:r>
              <w:rPr>
                <w:color w:val="1C3A36"/>
                <w:sz w:val="14"/>
              </w:rPr>
              <w:t>149</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90"/>
          </w:tcPr>
          <w:p>
            <w:pPr>
              <w:spacing w:after="20"/>
            </w:pPr>
            <w:r>
              <w:rPr>
                <w:color w:val="1C3A36"/>
                <w:sz w:val="14"/>
              </w:rPr>
              <w:t>150</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90"/>
          </w:tcPr>
          <w:p>
            <w:pPr>
              <w:spacing w:after="20"/>
            </w:pPr>
            <w:r>
              <w:rPr>
                <w:color w:val="1C3A36"/>
                <w:sz w:val="14"/>
              </w:rPr>
              <w:t>151</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90"/>
          </w:tcPr>
          <w:p>
            <w:pPr>
              <w:spacing w:after="20"/>
            </w:pPr>
            <w:r>
              <w:rPr>
                <w:color w:val="1C3A36"/>
                <w:sz w:val="14"/>
              </w:rPr>
              <w:t>152</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14"/>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90"/>
          </w:tcPr>
          <w:p>
            <w:pPr>
              <w:spacing w:after="20"/>
            </w:pPr>
            <w:r>
              <w:rPr>
                <w:color w:val="1C3A36"/>
                <w:sz w:val="14"/>
              </w:rPr>
              <w:t>153</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154</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90"/>
          </w:tcPr>
          <w:p>
            <w:pPr>
              <w:spacing w:after="20"/>
            </w:pPr>
            <w:r>
              <w:rPr>
                <w:color w:val="1C3A36"/>
                <w:sz w:val="14"/>
              </w:rPr>
              <w:t>155</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90"/>
          </w:tcPr>
          <w:p>
            <w:pPr>
              <w:spacing w:after="20"/>
            </w:pPr>
            <w:r>
              <w:rPr>
                <w:color w:val="1C3A36"/>
                <w:sz w:val="14"/>
              </w:rPr>
              <w:t>156</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90"/>
          </w:tcPr>
          <w:p>
            <w:pPr>
              <w:spacing w:after="20"/>
            </w:pPr>
            <w:r>
              <w:rPr>
                <w:color w:val="1C3A36"/>
                <w:sz w:val="14"/>
              </w:rPr>
              <w:t>157</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158</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159</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90"/>
          </w:tcPr>
          <w:p>
            <w:pPr>
              <w:spacing w:after="20"/>
            </w:pPr>
            <w:r>
              <w:rPr>
                <w:color w:val="1C3A36"/>
                <w:sz w:val="14"/>
              </w:rPr>
              <w:t>160</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90"/>
          </w:tcPr>
          <w:p>
            <w:pPr>
              <w:spacing w:after="20"/>
            </w:pPr>
            <w:r>
              <w:rPr>
                <w:color w:val="1C3A36"/>
                <w:sz w:val="14"/>
              </w:rPr>
              <w:t>161</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90"/>
          </w:tcPr>
          <w:p>
            <w:pPr>
              <w:spacing w:after="20"/>
            </w:pPr>
            <w:r>
              <w:rPr>
                <w:color w:val="1C3A36"/>
                <w:sz w:val="14"/>
              </w:rPr>
              <w:t>162</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90"/>
          </w:tcPr>
          <w:p>
            <w:pPr>
              <w:spacing w:after="20"/>
            </w:pPr>
            <w:r>
              <w:rPr>
                <w:color w:val="1C3A36"/>
                <w:sz w:val="14"/>
              </w:rPr>
              <w:t>163</w:t>
            </w:r>
          </w:p>
        </w:tc>
        <w:tc>
          <w:tcPr>
            <w:tcW w:type="dxa" w:w="2448"/>
          </w:tcPr>
          <w:p>
            <w:pPr>
              <w:spacing w:after="20"/>
            </w:pPr>
            <w:r>
              <w:rPr>
                <w:color w:val="1C3A36"/>
                <w:sz w:val="14"/>
              </w:rPr>
              <w:t>wc_cr_fy24</w:t>
            </w:r>
          </w:p>
        </w:tc>
        <w:tc>
          <w:tcPr>
            <w:tcW w:type="dxa" w:w="1325"/>
          </w:tcPr>
          <w:p>
            <w:pPr>
              <w:spacing w:after="20"/>
            </w:pPr>
            <w:r>
              <w:rPr>
                <w:color w:val="1C3A36"/>
                <w:sz w:val="14"/>
              </w:rPr>
              <w:t>22.8536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164</w:t>
            </w:r>
          </w:p>
        </w:tc>
        <w:tc>
          <w:tcPr>
            <w:tcW w:type="dxa" w:w="2448"/>
          </w:tcPr>
          <w:p>
            <w:pPr>
              <w:spacing w:after="20"/>
            </w:pPr>
            <w:r>
              <w:rPr>
                <w:color w:val="1C3A36"/>
                <w:sz w:val="14"/>
              </w:rPr>
              <w:t>wc_cr_fy25</w:t>
            </w:r>
          </w:p>
        </w:tc>
        <w:tc>
          <w:tcPr>
            <w:tcW w:type="dxa" w:w="1325"/>
          </w:tcPr>
          <w:p>
            <w:pPr>
              <w:spacing w:after="20"/>
            </w:pPr>
            <w:r>
              <w:rPr>
                <w:color w:val="1C3A36"/>
                <w:sz w:val="14"/>
              </w:rPr>
              <w:t>471.358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 in creditors and other credit balances'</w:t>
            </w:r>
          </w:p>
        </w:tc>
        <w:tc>
          <w:tcPr>
            <w:tcW w:type="dxa" w:w="1210"/>
          </w:tcPr>
          <w:p>
            <w:pPr>
              <w:spacing w:after="20"/>
            </w:pPr>
            <w:r>
              <w:rPr>
                <w:color w:val="1C3A36"/>
                <w:sz w:val="14"/>
              </w:rPr>
              <w:t>2025-12-31</w:t>
            </w:r>
          </w:p>
        </w:tc>
      </w:tr>
      <w:tr>
        <w:tc>
          <w:tcPr>
            <w:tcW w:type="dxa" w:w="490"/>
          </w:tcPr>
          <w:p>
            <w:pPr>
              <w:spacing w:after="20"/>
            </w:pPr>
            <w:r>
              <w:rPr>
                <w:color w:val="1C3A36"/>
                <w:sz w:val="14"/>
              </w:rPr>
              <w:t>165</w:t>
            </w:r>
          </w:p>
        </w:tc>
        <w:tc>
          <w:tcPr>
            <w:tcW w:type="dxa" w:w="2448"/>
          </w:tcPr>
          <w:p>
            <w:pPr>
              <w:spacing w:after="20"/>
            </w:pPr>
            <w:r>
              <w:rPr>
                <w:color w:val="1C3A36"/>
                <w:sz w:val="14"/>
              </w:rPr>
              <w:t>wc_dr_fy24</w:t>
            </w:r>
          </w:p>
        </w:tc>
        <w:tc>
          <w:tcPr>
            <w:tcW w:type="dxa" w:w="1325"/>
          </w:tcPr>
          <w:p>
            <w:pPr>
              <w:spacing w:after="20"/>
            </w:pPr>
            <w:r>
              <w:rPr>
                <w:color w:val="1C3A36"/>
                <w:sz w:val="14"/>
              </w:rPr>
              <w:t>-412.5704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166</w:t>
            </w:r>
          </w:p>
        </w:tc>
        <w:tc>
          <w:tcPr>
            <w:tcW w:type="dxa" w:w="2448"/>
          </w:tcPr>
          <w:p>
            <w:pPr>
              <w:spacing w:after="20"/>
            </w:pPr>
            <w:r>
              <w:rPr>
                <w:color w:val="1C3A36"/>
                <w:sz w:val="14"/>
              </w:rPr>
              <w:t>wc_dr_fy25</w:t>
            </w:r>
          </w:p>
        </w:tc>
        <w:tc>
          <w:tcPr>
            <w:tcW w:type="dxa" w:w="1325"/>
          </w:tcPr>
          <w:p>
            <w:pPr>
              <w:spacing w:after="20"/>
            </w:pPr>
            <w:r>
              <w:rPr>
                <w:color w:val="1C3A36"/>
                <w:sz w:val="14"/>
              </w:rPr>
              <w:t>-433.3856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 in debtors and other debit balances'</w:t>
            </w:r>
          </w:p>
        </w:tc>
        <w:tc>
          <w:tcPr>
            <w:tcW w:type="dxa" w:w="1210"/>
          </w:tcPr>
          <w:p>
            <w:pPr>
              <w:spacing w:after="20"/>
            </w:pPr>
            <w:r>
              <w:rPr>
                <w:color w:val="1C3A36"/>
                <w:sz w:val="14"/>
              </w:rPr>
              <w:t>2025-12-31</w:t>
            </w:r>
          </w:p>
        </w:tc>
      </w:tr>
      <w:tr>
        <w:tc>
          <w:tcPr>
            <w:tcW w:type="dxa" w:w="490"/>
          </w:tcPr>
          <w:p>
            <w:pPr>
              <w:spacing w:after="20"/>
            </w:pPr>
            <w:r>
              <w:rPr>
                <w:color w:val="1C3A36"/>
                <w:sz w:val="14"/>
              </w:rPr>
              <w:t>167</w:t>
            </w:r>
          </w:p>
        </w:tc>
        <w:tc>
          <w:tcPr>
            <w:tcW w:type="dxa" w:w="2448"/>
          </w:tcPr>
          <w:p>
            <w:pPr>
              <w:spacing w:after="20"/>
            </w:pPr>
            <w:r>
              <w:rPr>
                <w:color w:val="1C3A36"/>
                <w:sz w:val="14"/>
              </w:rPr>
              <w:t>wc_inv_fy24</w:t>
            </w:r>
          </w:p>
        </w:tc>
        <w:tc>
          <w:tcPr>
            <w:tcW w:type="dxa" w:w="1325"/>
          </w:tcPr>
          <w:p>
            <w:pPr>
              <w:spacing w:after="20"/>
            </w:pPr>
            <w:r>
              <w:rPr>
                <w:color w:val="1C3A36"/>
                <w:sz w:val="14"/>
              </w:rPr>
              <w:t>133.616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168</w:t>
            </w:r>
          </w:p>
        </w:tc>
        <w:tc>
          <w:tcPr>
            <w:tcW w:type="dxa" w:w="2448"/>
          </w:tcPr>
          <w:p>
            <w:pPr>
              <w:spacing w:after="20"/>
            </w:pPr>
            <w:r>
              <w:rPr>
                <w:color w:val="1C3A36"/>
                <w:sz w:val="14"/>
              </w:rPr>
              <w:t>wc_inv_fy25</w:t>
            </w:r>
          </w:p>
        </w:tc>
        <w:tc>
          <w:tcPr>
            <w:tcW w:type="dxa" w:w="1325"/>
          </w:tcPr>
          <w:p>
            <w:pPr>
              <w:spacing w:after="20"/>
            </w:pPr>
            <w:r>
              <w:rPr>
                <w:color w:val="1C3A36"/>
                <w:sz w:val="14"/>
              </w:rPr>
              <w:t>-201.1562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'(Increase)/decrease in inventories'</w:t>
            </w:r>
          </w:p>
        </w:tc>
        <w:tc>
          <w:tcPr>
            <w:tcW w:type="dxa" w:w="1210"/>
          </w:tcPr>
          <w:p>
            <w:pPr>
              <w:spacing w:after="20"/>
            </w:pPr>
            <w:r>
              <w:rPr>
                <w:color w:val="1C3A36"/>
                <w:sz w:val="14"/>
              </w:rPr>
              <w:t>2025-12-31</w:t>
            </w:r>
          </w:p>
        </w:tc>
      </w:tr>
      <w:tr>
        <w:tc>
          <w:tcPr>
            <w:tcW w:type="dxa" w:w="490"/>
          </w:tcPr>
          <w:p>
            <w:pPr>
              <w:spacing w:after="20"/>
            </w:pPr>
            <w:r>
              <w:rPr>
                <w:color w:val="1C3A36"/>
                <w:sz w:val="14"/>
              </w:rPr>
              <w:t>169</w:t>
            </w:r>
          </w:p>
        </w:tc>
        <w:tc>
          <w:tcPr>
            <w:tcW w:type="dxa" w:w="2448"/>
          </w:tcPr>
          <w:p>
            <w:pPr>
              <w:spacing w:after="20"/>
            </w:pPr>
            <w:r>
              <w:rPr>
                <w:color w:val="1C3A36"/>
                <w:sz w:val="14"/>
              </w:rPr>
              <w:t>wc_pct_drev</w:t>
            </w:r>
          </w:p>
        </w:tc>
        <w:tc>
          <w:tcPr>
            <w:tcW w:type="dxa" w:w="1325"/>
          </w:tcPr>
          <w:p>
            <w:pPr>
              <w:spacing w:after="20"/>
            </w:pPr>
            <w:r>
              <w:rPr>
                <w:color w:val="1C3A36"/>
                <w:sz w:val="14"/>
              </w:rPr>
              <w:t>0.1228</w:t>
            </w:r>
          </w:p>
        </w:tc>
        <w:tc>
          <w:tcPr>
            <w:tcW w:type="dxa" w:w="1066"/>
          </w:tcPr>
          <w:p>
            <w:pPr>
              <w:spacing w:after="20"/>
            </w:pPr>
            <w:r>
              <w:rPr>
                <w:color w:val="1C3A36"/>
                <w:sz w:val="14"/>
              </w:rPr>
              <w:t>Company</w:t>
            </w:r>
          </w:p>
        </w:tc>
        <w:tc>
          <w:tcPr>
            <w:tcW w:type="dxa" w:w="7114"/>
          </w:tcPr>
          <w:p>
            <w:pPr>
              <w:spacing w:after="20"/>
            </w:pPr>
            <w:r>
              <w:rPr>
                <w:color w:val="1C3A36"/>
                <w:sz w:val="14"/>
              </w:rPr>
              <w:t>Change in working capital over change in revenue, DERIVED from the six working-capital movement lines the issuer's own statement of cash flows discloses for FY2025 and FY2024, pooled and divided by the revenue growth of the same two years: EGP 786.764mn invested against EGP 6404.489mn of revenue growth. The two years SEPARATELY are 4.30% and 18.06%, which is why neither is used alone. Revisions 1-4 typed 0.12 and justified it as the FY2025 outturn; the FY2025 outturn is 18.06%</w:t>
            </w:r>
          </w:p>
        </w:tc>
        <w:tc>
          <w:tcPr>
            <w:tcW w:type="dxa" w:w="1210"/>
          </w:tcPr>
          <w:p>
            <w:pPr>
              <w:spacing w:after="20"/>
            </w:pPr>
            <w:r>
              <w:rPr>
                <w:color w:val="1C3A36"/>
                <w:sz w:val="14"/>
              </w:rPr>
              <w:t>2025-12-31</w:t>
            </w:r>
          </w:p>
        </w:tc>
      </w:tr>
      <w:tr>
        <w:tc>
          <w:tcPr>
            <w:tcW w:type="dxa" w:w="490"/>
          </w:tcPr>
          <w:p>
            <w:pPr>
              <w:spacing w:after="20"/>
            </w:pPr>
            <w:r>
              <w:rPr>
                <w:color w:val="1C3A36"/>
                <w:sz w:val="14"/>
              </w:rPr>
              <w:t>170</w:t>
            </w:r>
          </w:p>
        </w:tc>
        <w:tc>
          <w:tcPr>
            <w:tcW w:type="dxa" w:w="2448"/>
          </w:tcPr>
          <w:p>
            <w:pPr>
              <w:spacing w:after="20"/>
            </w:pPr>
            <w:r>
              <w:rPr>
                <w:color w:val="1C3A36"/>
                <w:sz w:val="14"/>
              </w:rPr>
              <w:t>wc_pct_drev_fy24</w:t>
            </w:r>
          </w:p>
        </w:tc>
        <w:tc>
          <w:tcPr>
            <w:tcW w:type="dxa" w:w="1325"/>
          </w:tcPr>
          <w:p>
            <w:pPr>
              <w:spacing w:after="20"/>
            </w:pPr>
            <w:r>
              <w:rPr>
                <w:color w:val="1C3A36"/>
                <w:sz w:val="14"/>
              </w:rPr>
              <w:t>0.043</w:t>
            </w:r>
          </w:p>
        </w:tc>
        <w:tc>
          <w:tcPr>
            <w:tcW w:type="dxa" w:w="1066"/>
          </w:tcPr>
          <w:p>
            <w:pPr>
              <w:spacing w:after="20"/>
            </w:pPr>
            <w:r>
              <w:rPr>
                <w:color w:val="1C3A36"/>
                <w:sz w:val="14"/>
              </w:rPr>
              <w:t>Company</w:t>
            </w:r>
          </w:p>
        </w:tc>
        <w:tc>
          <w:tcPr>
            <w:tcW w:type="dxa" w:w="7114"/>
          </w:tcPr>
          <w:p>
            <w:pPr>
              <w:spacing w:after="20"/>
            </w:pPr>
            <w:r>
              <w:rPr>
                <w:color w:val="1C3A36"/>
                <w:sz w:val="14"/>
              </w:rPr>
              <w:t>The FY2024 outturn alone: EGP 115.488mn against EGP 2686.951mn. NOT USED — it is a quarter of the FY2025 figure, and two years that disagree four-fold are why neither is a basis on its own</w:t>
            </w:r>
          </w:p>
        </w:tc>
        <w:tc>
          <w:tcPr>
            <w:tcW w:type="dxa" w:w="1210"/>
          </w:tcPr>
          <w:p>
            <w:pPr>
              <w:spacing w:after="20"/>
            </w:pPr>
            <w:r>
              <w:rPr>
                <w:color w:val="1C3A36"/>
                <w:sz w:val="14"/>
              </w:rPr>
              <w:t>2024-12-31</w:t>
            </w:r>
          </w:p>
        </w:tc>
      </w:tr>
      <w:tr>
        <w:tc>
          <w:tcPr>
            <w:tcW w:type="dxa" w:w="490"/>
          </w:tcPr>
          <w:p>
            <w:pPr>
              <w:spacing w:after="20"/>
            </w:pPr>
            <w:r>
              <w:rPr>
                <w:color w:val="1C3A36"/>
                <w:sz w:val="14"/>
              </w:rPr>
              <w:t>171</w:t>
            </w:r>
          </w:p>
        </w:tc>
        <w:tc>
          <w:tcPr>
            <w:tcW w:type="dxa" w:w="2448"/>
          </w:tcPr>
          <w:p>
            <w:pPr>
              <w:spacing w:after="20"/>
            </w:pPr>
            <w:r>
              <w:rPr>
                <w:color w:val="1C3A36"/>
                <w:sz w:val="14"/>
              </w:rPr>
              <w:t>wc_pct_drev_fy25</w:t>
            </w:r>
          </w:p>
        </w:tc>
        <w:tc>
          <w:tcPr>
            <w:tcW w:type="dxa" w:w="1325"/>
          </w:tcPr>
          <w:p>
            <w:pPr>
              <w:spacing w:after="20"/>
            </w:pPr>
            <w:r>
              <w:rPr>
                <w:color w:val="1C3A36"/>
                <w:sz w:val="14"/>
              </w:rPr>
              <w:t>0.1806</w:t>
            </w:r>
          </w:p>
        </w:tc>
        <w:tc>
          <w:tcPr>
            <w:tcW w:type="dxa" w:w="1066"/>
          </w:tcPr>
          <w:p>
            <w:pPr>
              <w:spacing w:after="20"/>
            </w:pPr>
            <w:r>
              <w:rPr>
                <w:color w:val="1C3A36"/>
                <w:sz w:val="14"/>
              </w:rPr>
              <w:t>Company</w:t>
            </w:r>
          </w:p>
        </w:tc>
        <w:tc>
          <w:tcPr>
            <w:tcW w:type="dxa" w:w="7114"/>
          </w:tcPr>
          <w:p>
            <w:pPr>
              <w:spacing w:after="20"/>
            </w:pPr>
            <w:r>
              <w:rPr>
                <w:color w:val="1C3A36"/>
                <w:sz w:val="14"/>
              </w:rPr>
              <w:t>The FY2025 outturn alone: EGP 671.276mn invested in working capital against EGP 3717.537mn of revenue growth. NOT USED — it is half again the pooled rate and the sentence claiming 12% was close to it was false</w:t>
            </w:r>
          </w:p>
        </w:tc>
        <w:tc>
          <w:tcPr>
            <w:tcW w:type="dxa" w:w="1210"/>
          </w:tcPr>
          <w:p>
            <w:pPr>
              <w:spacing w:after="20"/>
            </w:pPr>
            <w:r>
              <w:rPr>
                <w:color w:val="1C3A36"/>
                <w:sz w:val="14"/>
              </w:rPr>
              <w:t>2025-12-31</w:t>
            </w:r>
          </w:p>
        </w:tc>
      </w:tr>
      <w:tr>
        <w:tc>
          <w:tcPr>
            <w:tcW w:type="dxa" w:w="490"/>
          </w:tcPr>
          <w:p>
            <w:pPr>
              <w:spacing w:after="20"/>
            </w:pPr>
            <w:r>
              <w:rPr>
                <w:color w:val="1C3A36"/>
                <w:sz w:val="14"/>
              </w:rPr>
              <w:t>172</w:t>
            </w:r>
          </w:p>
        </w:tc>
        <w:tc>
          <w:tcPr>
            <w:tcW w:type="dxa" w:w="2448"/>
          </w:tcPr>
          <w:p>
            <w:pPr>
              <w:spacing w:after="20"/>
            </w:pPr>
            <w:r>
              <w:rPr>
                <w:color w:val="1C3A36"/>
                <w:sz w:val="14"/>
              </w:rPr>
              <w:t>wc_rp_fy24</w:t>
            </w:r>
          </w:p>
        </w:tc>
        <w:tc>
          <w:tcPr>
            <w:tcW w:type="dxa" w:w="1325"/>
          </w:tcPr>
          <w:p>
            <w:pPr>
              <w:spacing w:after="20"/>
            </w:pPr>
            <w:r>
              <w:rPr>
                <w:color w:val="1C3A36"/>
                <w:sz w:val="14"/>
              </w:rPr>
              <w:t>-0.0613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173</w:t>
            </w:r>
          </w:p>
        </w:tc>
        <w:tc>
          <w:tcPr>
            <w:tcW w:type="dxa" w:w="2448"/>
          </w:tcPr>
          <w:p>
            <w:pPr>
              <w:spacing w:after="20"/>
            </w:pPr>
            <w:r>
              <w:rPr>
                <w:color w:val="1C3A36"/>
                <w:sz w:val="14"/>
              </w:rPr>
              <w:t>wc_rp_fy25</w:t>
            </w:r>
          </w:p>
        </w:tc>
        <w:tc>
          <w:tcPr>
            <w:tcW w:type="dxa" w:w="1325"/>
          </w:tcPr>
          <w:p>
            <w:pPr>
              <w:spacing w:after="20"/>
            </w:pPr>
            <w:r>
              <w:rPr>
                <w:color w:val="1C3A36"/>
                <w:sz w:val="14"/>
              </w:rPr>
              <w:t>0.1567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'Decrease/(increase) in amounts due from related parties'</w:t>
            </w:r>
          </w:p>
        </w:tc>
        <w:tc>
          <w:tcPr>
            <w:tcW w:type="dxa" w:w="1210"/>
          </w:tcPr>
          <w:p>
            <w:pPr>
              <w:spacing w:after="20"/>
            </w:pPr>
            <w:r>
              <w:rPr>
                <w:color w:val="1C3A36"/>
                <w:sz w:val="14"/>
              </w:rPr>
              <w:t>2025-12-31</w:t>
            </w:r>
          </w:p>
        </w:tc>
      </w:tr>
      <w:tr>
        <w:tc>
          <w:tcPr>
            <w:tcW w:type="dxa" w:w="490"/>
          </w:tcPr>
          <w:p>
            <w:pPr>
              <w:spacing w:after="20"/>
            </w:pPr>
            <w:r>
              <w:rPr>
                <w:color w:val="1C3A36"/>
                <w:sz w:val="14"/>
              </w:rPr>
              <w:t>174</w:t>
            </w:r>
          </w:p>
        </w:tc>
        <w:tc>
          <w:tcPr>
            <w:tcW w:type="dxa" w:w="2448"/>
          </w:tcPr>
          <w:p>
            <w:pPr>
              <w:spacing w:after="20"/>
            </w:pPr>
            <w:r>
              <w:rPr>
                <w:color w:val="1C3A36"/>
                <w:sz w:val="14"/>
              </w:rPr>
              <w:t>wc_tp_fy24</w:t>
            </w:r>
          </w:p>
        </w:tc>
        <w:tc>
          <w:tcPr>
            <w:tcW w:type="dxa" w:w="1325"/>
          </w:tcPr>
          <w:p>
            <w:pPr>
              <w:spacing w:after="20"/>
            </w:pPr>
            <w:r>
              <w:rPr>
                <w:color w:val="1C3A36"/>
                <w:sz w:val="14"/>
              </w:rPr>
              <w:t>71.0001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175</w:t>
            </w:r>
          </w:p>
        </w:tc>
        <w:tc>
          <w:tcPr>
            <w:tcW w:type="dxa" w:w="2448"/>
          </w:tcPr>
          <w:p>
            <w:pPr>
              <w:spacing w:after="20"/>
            </w:pPr>
            <w:r>
              <w:rPr>
                <w:color w:val="1C3A36"/>
                <w:sz w:val="14"/>
              </w:rPr>
              <w:t>wc_tp_fy25</w:t>
            </w:r>
          </w:p>
        </w:tc>
        <w:tc>
          <w:tcPr>
            <w:tcW w:type="dxa" w:w="1325"/>
          </w:tcPr>
          <w:p>
            <w:pPr>
              <w:spacing w:after="20"/>
            </w:pPr>
            <w:r>
              <w:rPr>
                <w:color w:val="1C3A36"/>
                <w:sz w:val="14"/>
              </w:rPr>
              <w:t>-420.2775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'(Decrease)/increase in trade and notes payable'</w:t>
            </w:r>
          </w:p>
        </w:tc>
        <w:tc>
          <w:tcPr>
            <w:tcW w:type="dxa" w:w="1210"/>
          </w:tcPr>
          <w:p>
            <w:pPr>
              <w:spacing w:after="20"/>
            </w:pPr>
            <w:r>
              <w:rPr>
                <w:color w:val="1C3A36"/>
                <w:sz w:val="14"/>
              </w:rPr>
              <w:t>2025-12-31</w:t>
            </w:r>
          </w:p>
        </w:tc>
      </w:tr>
      <w:tr>
        <w:tc>
          <w:tcPr>
            <w:tcW w:type="dxa" w:w="490"/>
          </w:tcPr>
          <w:p>
            <w:pPr>
              <w:spacing w:after="20"/>
            </w:pPr>
            <w:r>
              <w:rPr>
                <w:color w:val="1C3A36"/>
                <w:sz w:val="14"/>
              </w:rPr>
              <w:t>176</w:t>
            </w:r>
          </w:p>
        </w:tc>
        <w:tc>
          <w:tcPr>
            <w:tcW w:type="dxa" w:w="2448"/>
          </w:tcPr>
          <w:p>
            <w:pPr>
              <w:spacing w:after="20"/>
            </w:pPr>
            <w:r>
              <w:rPr>
                <w:color w:val="1C3A36"/>
                <w:sz w:val="14"/>
              </w:rPr>
              <w:t>wc_tr_fy24</w:t>
            </w:r>
          </w:p>
        </w:tc>
        <w:tc>
          <w:tcPr>
            <w:tcW w:type="dxa" w:w="1325"/>
          </w:tcPr>
          <w:p>
            <w:pPr>
              <w:spacing w:after="20"/>
            </w:pPr>
            <w:r>
              <w:rPr>
                <w:color w:val="1C3A36"/>
                <w:sz w:val="14"/>
              </w:rPr>
              <w:t>69.6742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177</w:t>
            </w:r>
          </w:p>
        </w:tc>
        <w:tc>
          <w:tcPr>
            <w:tcW w:type="dxa" w:w="2448"/>
          </w:tcPr>
          <w:p>
            <w:pPr>
              <w:spacing w:after="20"/>
            </w:pPr>
            <w:r>
              <w:rPr>
                <w:color w:val="1C3A36"/>
                <w:sz w:val="14"/>
              </w:rPr>
              <w:t>wc_tr_fy25</w:t>
            </w:r>
          </w:p>
        </w:tc>
        <w:tc>
          <w:tcPr>
            <w:tcW w:type="dxa" w:w="1325"/>
          </w:tcPr>
          <w:p>
            <w:pPr>
              <w:spacing w:after="20"/>
            </w:pPr>
            <w:r>
              <w:rPr>
                <w:color w:val="1C3A36"/>
                <w:sz w:val="14"/>
              </w:rPr>
              <w:t>-87.9718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'(Increase)/decrease in trade receivables'</w:t>
            </w:r>
          </w:p>
        </w:tc>
        <w:tc>
          <w:tcPr>
            <w:tcW w:type="dxa" w:w="1210"/>
          </w:tcPr>
          <w:p>
            <w:pPr>
              <w:spacing w:after="20"/>
            </w:pPr>
            <w:r>
              <w:rPr>
                <w:color w:val="1C3A36"/>
                <w:sz w:val="14"/>
              </w:rPr>
              <w:t>2025-12-31</w:t>
            </w:r>
          </w:p>
        </w:tc>
      </w:tr>
      <w:tr>
        <w:tc>
          <w:tcPr>
            <w:tcW w:type="dxa" w:w="490"/>
          </w:tcPr>
          <w:p>
            <w:pPr>
              <w:spacing w:after="20"/>
            </w:pPr>
            <w:r>
              <w:rPr>
                <w:color w:val="1C3A36"/>
                <w:sz w:val="14"/>
              </w:rPr>
              <w:t>178</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14"/>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90"/>
          </w:tcPr>
          <w:p>
            <w:pPr>
              <w:spacing w:after="20"/>
            </w:pPr>
            <w:r>
              <w:rPr>
                <w:color w:val="1C3A36"/>
                <w:sz w:val="14"/>
              </w:rPr>
              <w:t>179</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14"/>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90"/>
          </w:tcPr>
          <w:p>
            <w:pPr>
              <w:spacing w:after="20"/>
            </w:pPr>
            <w:r>
              <w:rPr>
                <w:color w:val="1C3A36"/>
                <w:sz w:val="14"/>
              </w:rPr>
              <w:t>180</w:t>
            </w:r>
          </w:p>
        </w:tc>
        <w:tc>
          <w:tcPr>
            <w:tcW w:type="dxa" w:w="2448"/>
          </w:tcPr>
          <w:p>
            <w:pPr>
              <w:spacing w:after="20"/>
            </w:pPr>
            <w:r>
              <w:rPr>
                <w:color w:val="1C3A36"/>
                <w:sz w:val="14"/>
              </w:rPr>
              <w:t>egy_new_licence_mt</w:t>
            </w:r>
          </w:p>
        </w:tc>
        <w:tc>
          <w:tcPr>
            <w:tcW w:type="dxa" w:w="1325"/>
          </w:tcPr>
          <w:p>
            <w:pPr>
              <w:spacing w:after="20"/>
            </w:pPr>
            <w:r>
              <w:rPr>
                <w:color w:val="1C3A36"/>
                <w:sz w:val="14"/>
              </w:rPr>
              <w:t>3.5</w:t>
            </w:r>
          </w:p>
        </w:tc>
        <w:tc>
          <w:tcPr>
            <w:tcW w:type="dxa" w:w="1066"/>
          </w:tcPr>
          <w:p>
            <w:pPr>
              <w:spacing w:after="20"/>
            </w:pPr>
            <w:r>
              <w:rPr>
                <w:color w:val="1C3A36"/>
                <w:sz w:val="14"/>
              </w:rPr>
              <w:t>Industry</w:t>
            </w:r>
          </w:p>
        </w:tc>
        <w:tc>
          <w:tcPr>
            <w:tcW w:type="dxa" w:w="7114"/>
          </w:tcPr>
          <w:p>
            <w:pPr>
              <w:spacing w:after="20"/>
            </w:pPr>
            <w:r>
              <w:rPr>
                <w:color w:val="1C3A36"/>
                <w:sz w:val="14"/>
              </w:rPr>
              <w:t>NEW SUPPLY THIS STUDY DID NOT CARRY: two production licences planned from October 2025, each stated at 1.5-2.0 million tonnes a year, so 3.0 to 4.0 million and 3.5 at the midpoint. It sits ON TOP of the 12.6 million tonnes of revival above, which is dormant capacity coming back rather than capacity being created. Industry reporting of 11 November 2025 puts Egyptian nameplate heading toward 82-83 million tonnes on the back of it, against the 76.0 this study registers for 2025. NO WINNER, LOCATION OR COMMISSIONING DATE HAS BEEN ANNOUNCED, and nothing was located awarding either licence to this company, so it enters as sector supply and never as this company's volume</w:t>
            </w:r>
          </w:p>
        </w:tc>
        <w:tc>
          <w:tcPr>
            <w:tcW w:type="dxa" w:w="1210"/>
          </w:tcPr>
          <w:p>
            <w:pPr>
              <w:spacing w:after="20"/>
            </w:pPr>
            <w:r>
              <w:rPr>
                <w:color w:val="1C3A36"/>
                <w:sz w:val="14"/>
              </w:rPr>
              <w:t>2025-10-19</w:t>
            </w:r>
          </w:p>
        </w:tc>
      </w:tr>
      <w:tr>
        <w:tc>
          <w:tcPr>
            <w:tcW w:type="dxa" w:w="490"/>
          </w:tcPr>
          <w:p>
            <w:pPr>
              <w:spacing w:after="20"/>
            </w:pPr>
            <w:r>
              <w:rPr>
                <w:color w:val="1C3A36"/>
                <w:sz w:val="14"/>
              </w:rPr>
              <w:t>181</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14"/>
          </w:tcPr>
          <w:p>
            <w:pPr>
              <w:spacing w:after="20"/>
            </w:pPr>
            <w:r>
              <w:rPr>
                <w:color w:val="1C3A36"/>
                <w:sz w:val="14"/>
              </w:rPr>
              <w:t>Dormant Egyptian capacity under revival from the second half of 2026. CORROBORATED 10-Sep-2026 by an external research pass at exactly this figure: the Ministry of Trade and Industry ordered nine idled lines restarted in July 2025, seven of them due back within a year, and licence-modification fees were halved to EGP 130 a tonne to help them return</w:t>
            </w:r>
          </w:p>
        </w:tc>
        <w:tc>
          <w:tcPr>
            <w:tcW w:type="dxa" w:w="1210"/>
          </w:tcPr>
          <w:p>
            <w:pPr>
              <w:spacing w:after="20"/>
            </w:pPr>
            <w:r>
              <w:rPr>
                <w:color w:val="1C3A36"/>
                <w:sz w:val="14"/>
              </w:rPr>
              <w:t>2025-10-01</w:t>
            </w:r>
          </w:p>
        </w:tc>
      </w:tr>
      <w:tr>
        <w:tc>
          <w:tcPr>
            <w:tcW w:type="dxa" w:w="490"/>
          </w:tcPr>
          <w:p>
            <w:pPr>
              <w:spacing w:after="20"/>
            </w:pPr>
            <w:r>
              <w:rPr>
                <w:color w:val="1C3A36"/>
                <w:sz w:val="14"/>
              </w:rPr>
              <w:t>182</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90"/>
          </w:tcPr>
          <w:p>
            <w:pPr>
              <w:spacing w:after="20"/>
            </w:pPr>
            <w:r>
              <w:rPr>
                <w:color w:val="1C3A36"/>
                <w:sz w:val="14"/>
              </w:rPr>
              <w:t>183</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90"/>
          </w:tcPr>
          <w:p>
            <w:pPr>
              <w:spacing w:after="20"/>
            </w:pPr>
            <w:r>
              <w:rPr>
                <w:color w:val="1C3A36"/>
                <w:sz w:val="14"/>
              </w:rPr>
              <w:t>184</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90"/>
          </w:tcPr>
          <w:p>
            <w:pPr>
              <w:spacing w:after="20"/>
            </w:pPr>
            <w:r>
              <w:rPr>
                <w:color w:val="1C3A36"/>
                <w:sz w:val="14"/>
              </w:rPr>
              <w:t>185</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14"/>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90"/>
          </w:tcPr>
          <w:p>
            <w:pPr>
              <w:spacing w:after="20"/>
            </w:pPr>
            <w:r>
              <w:rPr>
                <w:color w:val="1C3A36"/>
                <w:sz w:val="14"/>
              </w:rPr>
              <w:t>186</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90"/>
          </w:tcPr>
          <w:p>
            <w:pPr>
              <w:spacing w:after="20"/>
            </w:pPr>
            <w:r>
              <w:rPr>
                <w:color w:val="1C3A36"/>
                <w:sz w:val="14"/>
              </w:rPr>
              <w:t>187</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90"/>
          </w:tcPr>
          <w:p>
            <w:pPr>
              <w:spacing w:after="20"/>
            </w:pPr>
            <w:r>
              <w:rPr>
                <w:color w:val="1C3A36"/>
                <w:sz w:val="14"/>
              </w:rPr>
              <w:t>188</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14"/>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90"/>
          </w:tcPr>
          <w:p>
            <w:pPr>
              <w:spacing w:after="20"/>
            </w:pPr>
            <w:r>
              <w:rPr>
                <w:color w:val="1C3A36"/>
                <w:sz w:val="14"/>
              </w:rPr>
              <w:t>189</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14"/>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90"/>
          </w:tcPr>
          <w:p>
            <w:pPr>
              <w:spacing w:after="20"/>
            </w:pPr>
            <w:r>
              <w:rPr>
                <w:color w:val="1C3A36"/>
                <w:sz w:val="14"/>
              </w:rPr>
              <w:t>190</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14"/>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90"/>
          </w:tcPr>
          <w:p>
            <w:pPr>
              <w:spacing w:after="20"/>
            </w:pPr>
            <w:r>
              <w:rPr>
                <w:color w:val="1C3A36"/>
                <w:sz w:val="14"/>
              </w:rPr>
              <w:t>191</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14"/>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90"/>
          </w:tcPr>
          <w:p>
            <w:pPr>
              <w:spacing w:after="20"/>
            </w:pPr>
            <w:r>
              <w:rPr>
                <w:color w:val="1C3A36"/>
                <w:sz w:val="14"/>
              </w:rPr>
              <w:t>192</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14"/>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90"/>
          </w:tcPr>
          <w:p>
            <w:pPr>
              <w:spacing w:after="20"/>
            </w:pPr>
            <w:r>
              <w:rPr>
                <w:color w:val="1C3A36"/>
                <w:sz w:val="14"/>
              </w:rPr>
              <w:t>193</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14"/>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90"/>
          </w:tcPr>
          <w:p>
            <w:pPr>
              <w:spacing w:after="20"/>
            </w:pPr>
            <w:r>
              <w:rPr>
                <w:color w:val="1C3A36"/>
                <w:sz w:val="14"/>
              </w:rPr>
              <w:t>194</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114"/>
          </w:tcPr>
          <w:p>
            <w:pPr>
              <w:spacing w:after="20"/>
            </w:pPr>
            <w:r>
              <w:rPr>
                <w:color w:val="1C3A36"/>
                <w:sz w:val="14"/>
              </w:rPr>
              <w:t>Egypt total equity risk premium on the RATING basis, same file, same row, column 'Total Equity Risk Premium'. The CDS basis adopted here gives 9.41%; this is the published alternative and it is 4.53 points higher, so adopting it would RAISE the discount rate and LOWER the value. Priced in section 1.4 rather than left unstated</w:t>
            </w:r>
          </w:p>
        </w:tc>
        <w:tc>
          <w:tcPr>
            <w:tcW w:type="dxa" w:w="1210"/>
          </w:tcPr>
          <w:p>
            <w:pPr>
              <w:spacing w:after="20"/>
            </w:pPr>
            <w:r>
              <w:rPr>
                <w:color w:val="1C3A36"/>
                <w:sz w:val="14"/>
              </w:rPr>
              <w:t>2026-01-05</w:t>
            </w:r>
          </w:p>
        </w:tc>
      </w:tr>
      <w:tr>
        <w:tc>
          <w:tcPr>
            <w:tcW w:type="dxa" w:w="490"/>
          </w:tcPr>
          <w:p>
            <w:pPr>
              <w:spacing w:after="20"/>
            </w:pPr>
            <w:r>
              <w:rPr>
                <w:color w:val="1C3A36"/>
                <w:sz w:val="14"/>
              </w:rPr>
              <w:t>195</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14"/>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90"/>
          </w:tcPr>
          <w:p>
            <w:pPr>
              <w:spacing w:after="20"/>
            </w:pPr>
            <w:r>
              <w:rPr>
                <w:color w:val="1C3A36"/>
                <w:sz w:val="14"/>
              </w:rPr>
              <w:t>196</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14"/>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90"/>
          </w:tcPr>
          <w:p>
            <w:pPr>
              <w:spacing w:after="20"/>
            </w:pPr>
            <w:r>
              <w:rPr>
                <w:color w:val="1C3A36"/>
                <w:sz w:val="14"/>
              </w:rPr>
              <w:t>197</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14"/>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90"/>
          </w:tcPr>
          <w:p>
            <w:pPr>
              <w:spacing w:after="20"/>
            </w:pPr>
            <w:r>
              <w:rPr>
                <w:color w:val="1C3A36"/>
                <w:sz w:val="14"/>
              </w:rPr>
              <w:t>198</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14"/>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90"/>
          </w:tcPr>
          <w:p>
            <w:pPr>
              <w:spacing w:after="20"/>
            </w:pPr>
            <w:r>
              <w:rPr>
                <w:color w:val="1C3A36"/>
                <w:sz w:val="14"/>
              </w:rPr>
              <w:t>199</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14"/>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90"/>
          </w:tcPr>
          <w:p>
            <w:pPr>
              <w:spacing w:after="20"/>
            </w:pPr>
            <w:r>
              <w:rPr>
                <w:color w:val="1C3A36"/>
                <w:sz w:val="14"/>
              </w:rPr>
              <w:t>200</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14"/>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90"/>
          </w:tcPr>
          <w:p>
            <w:pPr>
              <w:spacing w:after="20"/>
            </w:pPr>
            <w:r>
              <w:rPr>
                <w:color w:val="1C3A36"/>
                <w:sz w:val="14"/>
              </w:rPr>
              <w:t>201</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14"/>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90"/>
          </w:tcPr>
          <w:p>
            <w:pPr>
              <w:spacing w:after="20"/>
            </w:pPr>
            <w:r>
              <w:rPr>
                <w:color w:val="1C3A36"/>
                <w:sz w:val="14"/>
              </w:rPr>
              <w:t>202</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114"/>
          </w:tcPr>
          <w:p>
            <w:pPr>
              <w:spacing w:after="20"/>
            </w:pPr>
            <w:r>
              <w:rPr>
                <w:color w:val="1C3A36"/>
                <w:sz w:val="14"/>
              </w:rPr>
              <w:t>Egypt rating-based sovereign default spread (Moody's Caa1), Damodaran January-2026 country risk file, sheet 'ERPs by country', Egypt row, column 'Rating-based Default Spread'. The ALTERNATIVE to the CDS spread this study adopts, published in the same row of the same file</w:t>
            </w:r>
          </w:p>
        </w:tc>
        <w:tc>
          <w:tcPr>
            <w:tcW w:type="dxa" w:w="1210"/>
          </w:tcPr>
          <w:p>
            <w:pPr>
              <w:spacing w:after="20"/>
            </w:pPr>
            <w:r>
              <w:rPr>
                <w:color w:val="1C3A36"/>
                <w:sz w:val="14"/>
              </w:rPr>
              <w:t>2026-01-05</w:t>
            </w:r>
          </w:p>
        </w:tc>
      </w:tr>
      <w:tr>
        <w:tc>
          <w:tcPr>
            <w:tcW w:type="dxa" w:w="490"/>
          </w:tcPr>
          <w:p>
            <w:pPr>
              <w:spacing w:after="20"/>
            </w:pPr>
            <w:r>
              <w:rPr>
                <w:color w:val="1C3A36"/>
                <w:sz w:val="14"/>
              </w:rPr>
              <w:t>203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14"/>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90"/>
          </w:tcPr>
          <w:p>
            <w:pPr>
              <w:spacing w:after="20"/>
            </w:pPr>
            <w:r>
              <w:rPr>
                <w:color w:val="1C3A36"/>
                <w:sz w:val="14"/>
              </w:rPr>
              <w:t>204</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14"/>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90"/>
          </w:tcPr>
          <w:p>
            <w:pPr>
              <w:spacing w:after="20"/>
            </w:pPr>
            <w:r>
              <w:rPr>
                <w:color w:val="1C3A36"/>
                <w:sz w:val="14"/>
              </w:rPr>
              <w:t>205</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14"/>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90"/>
          </w:tcPr>
          <w:p>
            <w:pPr>
              <w:spacing w:after="20"/>
            </w:pPr>
            <w:r>
              <w:rPr>
                <w:color w:val="1C3A36"/>
                <w:sz w:val="14"/>
              </w:rPr>
              <w:t>206</w:t>
            </w:r>
          </w:p>
        </w:tc>
        <w:tc>
          <w:tcPr>
            <w:tcW w:type="dxa" w:w="2448"/>
          </w:tcPr>
          <w:p>
            <w:pPr>
              <w:spacing w:after="20"/>
            </w:pPr>
            <w:r>
              <w:rPr>
                <w:color w:val="1C3A36"/>
                <w:sz w:val="14"/>
              </w:rPr>
              <w:t>central_pre_rebuild</w:t>
            </w:r>
          </w:p>
        </w:tc>
        <w:tc>
          <w:tcPr>
            <w:tcW w:type="dxa" w:w="1325"/>
          </w:tcPr>
          <w:p>
            <w:pPr>
              <w:spacing w:after="20"/>
            </w:pPr>
            <w:r>
              <w:rPr>
                <w:color w:val="1C3A36"/>
                <w:sz w:val="14"/>
              </w:rPr>
              <w:t>61.3</w:t>
            </w:r>
          </w:p>
        </w:tc>
        <w:tc>
          <w:tcPr>
            <w:tcW w:type="dxa" w:w="1066"/>
          </w:tcPr>
          <w:p>
            <w:pPr>
              <w:spacing w:after="20"/>
            </w:pPr>
            <w:r>
              <w:rPr>
                <w:color w:val="1C3A36"/>
                <w:sz w:val="14"/>
              </w:rPr>
              <w:t>House</w:t>
            </w:r>
          </w:p>
        </w:tc>
        <w:tc>
          <w:tcPr>
            <w:tcW w:type="dxa" w:w="7114"/>
          </w:tcPr>
          <w:p>
            <w:pPr>
              <w:spacing w:after="20"/>
            </w:pPr>
            <w:r>
              <w:rPr>
                <w:color w:val="1C3A36"/>
                <w:sz w:val="14"/>
              </w:rPr>
              <w:t>The central published by the edition of this study that PRECEDED the 06-08-2026 bottom-up rebuild, as recorded in that edition's own caveats section and carried unchanged in every edition since. THIS MODEL CANNOT COMPUTE IT — a different model produced it, and the file itself is not retained in the repository — so it is registered as the historical fact it is rather than typed into a builder, which is the same disposition any superseded figure quoted to show what changed must take.</w:t>
            </w:r>
          </w:p>
        </w:tc>
        <w:tc>
          <w:tcPr>
            <w:tcW w:type="dxa" w:w="1210"/>
          </w:tcPr>
          <w:p>
            <w:pPr>
              <w:spacing w:after="20"/>
            </w:pPr>
            <w:r>
              <w:rPr>
                <w:color w:val="1C3A36"/>
                <w:sz w:val="14"/>
              </w:rPr>
              <w:t>2026-08-06</w:t>
            </w:r>
          </w:p>
        </w:tc>
      </w:tr>
      <w:tr>
        <w:tc>
          <w:tcPr>
            <w:tcW w:type="dxa" w:w="490"/>
          </w:tcPr>
          <w:p>
            <w:pPr>
              <w:spacing w:after="20"/>
            </w:pPr>
            <w:r>
              <w:rPr>
                <w:color w:val="1C3A36"/>
                <w:sz w:val="14"/>
              </w:rPr>
              <w:t>207</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14"/>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90"/>
          </w:tcPr>
          <w:p>
            <w:pPr>
              <w:spacing w:after="20"/>
            </w:pPr>
            <w:r>
              <w:rPr>
                <w:color w:val="1C3A36"/>
                <w:sz w:val="14"/>
              </w:rPr>
              <w:t>208</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14"/>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209</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14"/>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210</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14"/>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90"/>
          </w:tcPr>
          <w:p>
            <w:pPr>
              <w:spacing w:after="20"/>
            </w:pPr>
            <w:r>
              <w:rPr>
                <w:color w:val="1C3A36"/>
                <w:sz w:val="14"/>
              </w:rPr>
              <w:t>211</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14"/>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90"/>
          </w:tcPr>
          <w:p>
            <w:pPr>
              <w:spacing w:after="20"/>
            </w:pPr>
            <w:r>
              <w:rPr>
                <w:color w:val="1C3A36"/>
                <w:sz w:val="14"/>
              </w:rPr>
              <w:t>212</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90"/>
          </w:tcPr>
          <w:p>
            <w:pPr>
              <w:spacing w:after="20"/>
            </w:pPr>
            <w:r>
              <w:rPr>
                <w:color w:val="1C3A36"/>
                <w:sz w:val="14"/>
              </w:rPr>
              <w:t>213</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90"/>
          </w:tcPr>
          <w:p>
            <w:pPr>
              <w:spacing w:after="20"/>
            </w:pPr>
            <w:r>
              <w:rPr>
                <w:color w:val="1C3A36"/>
                <w:sz w:val="14"/>
              </w:rPr>
              <w:t>214</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90"/>
          </w:tcPr>
          <w:p>
            <w:pPr>
              <w:spacing w:after="20"/>
            </w:pPr>
            <w:r>
              <w:rPr>
                <w:color w:val="1C3A36"/>
                <w:sz w:val="14"/>
              </w:rPr>
              <w:t>215</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90"/>
          </w:tcPr>
          <w:p>
            <w:pPr>
              <w:spacing w:after="20"/>
            </w:pPr>
            <w:r>
              <w:rPr>
                <w:color w:val="1C3A36"/>
                <w:sz w:val="14"/>
              </w:rPr>
              <w:t>216</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14"/>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90"/>
          </w:tcPr>
          <w:p>
            <w:pPr>
              <w:spacing w:after="20"/>
            </w:pPr>
            <w:r>
              <w:rPr>
                <w:color w:val="1C3A36"/>
                <w:sz w:val="14"/>
              </w:rPr>
              <w:t>217</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14"/>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90"/>
          </w:tcPr>
          <w:p>
            <w:pPr>
              <w:spacing w:after="20"/>
            </w:pPr>
            <w:r>
              <w:rPr>
                <w:color w:val="1C3A36"/>
                <w:sz w:val="14"/>
              </w:rPr>
              <w:t>218</w:t>
            </w:r>
          </w:p>
        </w:tc>
        <w:tc>
          <w:tcPr>
            <w:tcW w:type="dxa" w:w="2448"/>
          </w:tcPr>
          <w:p>
            <w:pPr>
              <w:spacing w:after="20"/>
            </w:pPr>
            <w:r>
              <w:rPr>
                <w:color w:val="1C3A36"/>
                <w:sz w:val="14"/>
              </w:rPr>
              <w:t>nci_v1</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14"/>
          </w:tcPr>
          <w:p>
            <w:pPr>
              <w:spacing w:after="20"/>
            </w:pPr>
            <w:r>
              <w:rPr>
                <w:color w:val="1C3A36"/>
                <w:sz w:val="14"/>
              </w:rPr>
              <w:t>The non-controlling interest revision 1 of this study deducted, inferred from the profit statements when no source document could be opened. THIS MODEL CANNOT COMPUTE IT — a different model produced it — so it is registered as the historical fact it is rather than typed into a builder, the same disposition central_pre_rebuild takes. Note 24 of the audited accounts puts the real figure at EGP 158,005.</w:t>
            </w:r>
          </w:p>
        </w:tc>
        <w:tc>
          <w:tcPr>
            <w:tcW w:type="dxa" w:w="1210"/>
          </w:tcPr>
          <w:p>
            <w:pPr>
              <w:spacing w:after="20"/>
            </w:pPr>
            <w:r>
              <w:rPr>
                <w:color w:val="1C3A36"/>
                <w:sz w:val="14"/>
              </w:rPr>
              <w:t>2026-08-06</w:t>
            </w:r>
          </w:p>
        </w:tc>
      </w:tr>
      <w:tr>
        <w:tc>
          <w:tcPr>
            <w:tcW w:type="dxa" w:w="490"/>
          </w:tcPr>
          <w:p>
            <w:pPr>
              <w:spacing w:after="20"/>
            </w:pPr>
            <w:r>
              <w:rPr>
                <w:color w:val="1C3A36"/>
                <w:sz w:val="14"/>
              </w:rPr>
              <w:t>219</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14"/>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90"/>
          </w:tcPr>
          <w:p>
            <w:pPr>
              <w:spacing w:after="20"/>
            </w:pPr>
            <w:r>
              <w:rPr>
                <w:color w:val="1C3A36"/>
                <w:sz w:val="14"/>
              </w:rPr>
              <w:t>220</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14"/>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90"/>
          </w:tcPr>
          <w:p>
            <w:pPr>
              <w:spacing w:after="20"/>
            </w:pPr>
            <w:r>
              <w:rPr>
                <w:color w:val="1C3A36"/>
                <w:sz w:val="14"/>
              </w:rPr>
              <w:t>221</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14"/>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90"/>
          </w:tcPr>
          <w:p>
            <w:pPr>
              <w:spacing w:after="20"/>
            </w:pPr>
            <w:r>
              <w:rPr>
                <w:color w:val="1C3A36"/>
                <w:sz w:val="14"/>
              </w:rPr>
              <w:t>222</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14"/>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90"/>
          </w:tcPr>
          <w:p>
            <w:pPr>
              <w:spacing w:after="20"/>
            </w:pPr>
            <w:r>
              <w:rPr>
                <w:color w:val="1C3A36"/>
                <w:sz w:val="14"/>
              </w:rPr>
              <w:t>223</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14"/>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90"/>
          </w:tcPr>
          <w:p>
            <w:pPr>
              <w:spacing w:after="20"/>
            </w:pPr>
            <w:r>
              <w:rPr>
                <w:color w:val="1C3A36"/>
                <w:sz w:val="14"/>
              </w:rPr>
              <w:t>224</w:t>
            </w:r>
          </w:p>
        </w:tc>
        <w:tc>
          <w:tcPr>
            <w:tcW w:type="dxa" w:w="2448"/>
          </w:tcPr>
          <w:p>
            <w:pPr>
              <w:spacing w:after="20"/>
            </w:pPr>
            <w:r>
              <w:rPr>
                <w:color w:val="1C3A36"/>
                <w:sz w:val="14"/>
              </w:rPr>
              <w:t>rf_term</w:t>
            </w:r>
          </w:p>
        </w:tc>
        <w:tc>
          <w:tcPr>
            <w:tcW w:type="dxa" w:w="1325"/>
          </w:tcPr>
          <w:p>
            <w:pPr>
              <w:spacing w:after="20"/>
            </w:pPr>
            <w:r>
              <w:rPr>
                <w:color w:val="1C3A36"/>
                <w:sz w:val="14"/>
              </w:rPr>
              <w:t>0.105</w:t>
            </w:r>
          </w:p>
        </w:tc>
        <w:tc>
          <w:tcPr>
            <w:tcW w:type="dxa" w:w="1066"/>
          </w:tcPr>
          <w:p>
            <w:pPr>
              <w:spacing w:after="20"/>
            </w:pPr>
            <w:r>
              <w:rPr>
                <w:color w:val="1C3A36"/>
                <w:sz w:val="14"/>
              </w:rPr>
              <w:t>House</w:t>
            </w:r>
          </w:p>
        </w:tc>
        <w:tc>
          <w:tcPr>
            <w:tcW w:type="dxa" w:w="7114"/>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90"/>
          </w:tcPr>
          <w:p>
            <w:pPr>
              <w:spacing w:after="20"/>
            </w:pPr>
            <w:r>
              <w:rPr>
                <w:color w:val="1C3A36"/>
                <w:sz w:val="14"/>
              </w:rPr>
              <w:t>225</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90"/>
          </w:tcPr>
          <w:p>
            <w:pPr>
              <w:spacing w:after="20"/>
            </w:pPr>
            <w:r>
              <w:rPr>
                <w:color w:val="1C3A36"/>
                <w:sz w:val="14"/>
              </w:rPr>
              <w:t>226</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14"/>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227</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14"/>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90"/>
          </w:tcPr>
          <w:p>
            <w:pPr>
              <w:spacing w:after="20"/>
            </w:pPr>
            <w:r>
              <w:rPr>
                <w:color w:val="1C3A36"/>
                <w:sz w:val="14"/>
              </w:rPr>
              <w:t>228</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90"/>
          </w:tcPr>
          <w:p>
            <w:pPr>
              <w:spacing w:after="20"/>
            </w:pPr>
            <w:r>
              <w:rPr>
                <w:color w:val="1C3A36"/>
                <w:sz w:val="14"/>
              </w:rPr>
              <w:t>229</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14"/>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90"/>
          </w:tcPr>
          <w:p>
            <w:pPr>
              <w:spacing w:after="20"/>
            </w:pPr>
            <w:r>
              <w:rPr>
                <w:color w:val="1C3A36"/>
                <w:sz w:val="14"/>
              </w:rPr>
              <w:t>230</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90"/>
          </w:tcPr>
          <w:p>
            <w:pPr>
              <w:spacing w:after="20"/>
            </w:pPr>
            <w:r>
              <w:rPr>
                <w:color w:val="1C3A36"/>
                <w:sz w:val="14"/>
              </w:rPr>
              <w:t>231</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90"/>
          </w:tcPr>
          <w:p>
            <w:pPr>
              <w:spacing w:after="20"/>
            </w:pPr>
            <w:r>
              <w:rPr>
                <w:color w:val="1C3A36"/>
                <w:sz w:val="14"/>
              </w:rPr>
              <w:t>232</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14"/>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and NARROWER than earlier editions of this entry claimed: nameplate cement capacity of about 76Mt, the abolition of the production quota in May 2025 with exports capped at 30% of output, and the 12.6Mt of dormant capacity under revival from the second half of 2026. THE SECTOR SALES FIGURES ARE NOT FROM THESE SOURCES — domestic cement 54.0Mt, exported cement 11.1Mt and exported clinker 7.6Mt all come from the company's own FY2025 investor presentation and are listed under it. No company figure is taken from the press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11.73%</w:t>
            </w:r>
          </w:p>
        </w:tc>
        <w:tc>
          <w:tcPr>
            <w:tcW w:type="dxa" w:w="10224"/>
          </w:tcPr>
          <w:p>
            <w:pPr>
              <w:spacing w:after="20"/>
            </w:pPr>
            <w:r>
              <w:rPr>
                <w:color w:val="1C3A36"/>
                <w:sz w:val="16"/>
              </w:rPr>
              <w:t>The last forecast year's operating profit after tax against terminal invested capital, BOTH MEASURED AT THE SAME DATE. Earlier editions of this entry headed it 12.6%, which grows the profit by a year of terminal growth and leaves the capital base ungrown; that mismatch flatters the return by 82 basis points and the figure is withdrawn. It survives in the workbook, labelled as the retired construction. 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27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40.64%</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announced projects, ventures and capacity (entity verified as the listed issuer)</w:t>
            </w:r>
          </w:p>
        </w:tc>
        <w:tc>
          <w:tcPr>
            <w:tcW w:type="dxa" w:w="5846"/>
          </w:tcPr>
          <w:p>
            <w:pPr>
              <w:spacing w:after="20"/>
            </w:pPr>
            <w:r>
              <w:rPr>
                <w:color w:val="1C3A36"/>
                <w:sz w:val="14"/>
              </w:rPr>
              <w:t>FORWARD PLANS EXIST AND THE COMPANY HAS NOT DATED ANY OF THEM. Six are attributed to Arabian Cement Company by its own chief executive in an International Cement Review interview, relayed by HC Securities: hydrogen injection to a thermal substitution rate of about 55% by 2031; a multi-phase alternative-fuel programme to 2030 raising injection capacity on both clinker lines and adding shredding plant; 24 MWh of solar covering about 11% of power; a waste-heat recovery unit; a cement-mill optimiser; and a silo enabling calcined clay clinker and CEM III. THE COMPANY'S OWN CHANNEL CARRIES NONE OF THEM: its published timeline runs to 2024 and lists completed works only, the most recent being a Line 1 baghouse filter and the introduction of hydrogen injection. So the entity is the listed issuer and the plans are real, and there is no company-signed date behind any of them.</w:t>
            </w:r>
          </w:p>
        </w:tc>
        <w:tc>
          <w:tcPr>
            <w:tcW w:type="dxa" w:w="3053"/>
          </w:tcPr>
          <w:p>
            <w:pPr>
              <w:spacing w:after="20"/>
            </w:pPr>
            <w:r>
              <w:rPr>
                <w:color w:val="1C3A36"/>
                <w:sz w:val="14"/>
              </w:rPr>
              <w:t>HC Securities &amp; Investment, "Arabian Cement shows agility amid changing industry dynamics", relaying an International Cement Review interview with the chief executive; checked against the company's own published corporate timeline at arabiancementcompany.com/en/about-us, which carries no forward-dated announcement</w:t>
            </w:r>
          </w:p>
        </w:tc>
        <w:tc>
          <w:tcPr>
            <w:tcW w:type="dxa" w:w="1267"/>
          </w:tcPr>
          <w:p>
            <w:pPr>
              <w:spacing w:after="20"/>
            </w:pPr>
            <w:r>
              <w:rPr>
                <w:color w:val="1C3A36"/>
                <w:sz w:val="14"/>
              </w:rPr>
              <w:t>2026-09-10</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