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2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53.21, and the cross-checks around it span EGP 45.65 to EGP 65.57, against a market price of EGP 77.00 — -30.9%.</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53.21</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c>
          <w:tcPr>
            <w:tcW w:type="dxa" w:w="1699"/>
            <w:shd w:val="clear" w:color="auto" w:fill="F6F1E6"/>
          </w:tcPr>
          <w:p>
            <w:pPr>
              <w:spacing w:after="20"/>
              <w:jc w:val="right"/>
            </w:pPr>
            <w:r>
              <w:rPr>
                <w:b/>
                <w:color w:val="1C3A36"/>
                <w:sz w:val="18"/>
              </w:rPr>
              <w:t>41.4%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51.90;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+7.7%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58.49 against 53.21 on the adopted one, a difference of +9.9%.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61.50</w:t>
            </w:r>
          </w:p>
        </w:tc>
        <w:tc>
          <w:tcPr>
            <w:tcW w:type="dxa" w:w="1391"/>
          </w:tcPr>
          <w:p>
            <w:pPr>
              <w:spacing w:after="20"/>
              <w:jc w:val="right"/>
            </w:pPr>
            <w:r>
              <w:rPr>
                <w:color w:val="1C3A36"/>
                <w:sz w:val="18"/>
              </w:rPr>
              <w:t>55.74</w:t>
            </w:r>
          </w:p>
        </w:tc>
        <w:tc>
          <w:tcPr>
            <w:tcW w:type="dxa" w:w="1391"/>
          </w:tcPr>
          <w:p>
            <w:pPr>
              <w:spacing w:after="20"/>
              <w:jc w:val="right"/>
            </w:pPr>
            <w:r>
              <w:rPr>
                <w:color w:val="1C3A36"/>
                <w:sz w:val="18"/>
              </w:rPr>
              <w:t>51.20</w:t>
            </w:r>
          </w:p>
        </w:tc>
        <w:tc>
          <w:tcPr>
            <w:tcW w:type="dxa" w:w="1391"/>
          </w:tcPr>
          <w:p>
            <w:pPr>
              <w:spacing w:after="20"/>
              <w:jc w:val="right"/>
            </w:pPr>
            <w:r>
              <w:rPr>
                <w:color w:val="1C3A36"/>
                <w:sz w:val="18"/>
              </w:rPr>
              <w:t>48.36</w:t>
            </w:r>
          </w:p>
        </w:tc>
        <w:tc>
          <w:tcPr>
            <w:tcW w:type="dxa" w:w="1391"/>
          </w:tcPr>
          <w:p>
            <w:pPr>
              <w:spacing w:after="20"/>
              <w:jc w:val="right"/>
            </w:pPr>
            <w:r>
              <w:rPr>
                <w:color w:val="1C3A36"/>
                <w:sz w:val="18"/>
              </w:rPr>
              <w:t>45.90</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7,983</w:t>
            </w:r>
          </w:p>
        </w:tc>
        <w:tc>
          <w:tcPr>
            <w:tcW w:type="dxa" w:w="2160"/>
          </w:tcPr>
          <w:p>
            <w:pPr>
              <w:spacing w:after="20"/>
              <w:jc w:val="right"/>
            </w:pPr>
            <w:r>
              <w:rPr>
                <w:color w:val="1C3A36"/>
                <w:sz w:val="18"/>
              </w:rPr>
              <w:t>21.29</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19,259</w:t>
            </w:r>
          </w:p>
        </w:tc>
        <w:tc>
          <w:tcPr>
            <w:tcW w:type="dxa" w:w="2160"/>
            <w:shd w:val="clear" w:color="auto" w:fill="F6F1E6"/>
          </w:tcPr>
          <w:p>
            <w:pPr>
              <w:spacing w:after="20"/>
              <w:jc w:val="right"/>
            </w:pPr>
            <w:r>
              <w:rPr>
                <w:b/>
                <w:color w:val="1C3A36"/>
                <w:sz w:val="18"/>
              </w:rPr>
              <w:t>51.38</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19,946</w:t>
            </w:r>
          </w:p>
        </w:tc>
        <w:tc>
          <w:tcPr>
            <w:tcW w:type="dxa" w:w="2160"/>
            <w:shd w:val="clear" w:color="auto" w:fill="F6F1E6"/>
          </w:tcPr>
          <w:p>
            <w:pPr>
              <w:spacing w:after="20"/>
              <w:jc w:val="right"/>
            </w:pPr>
            <w:r>
              <w:rPr>
                <w:b/>
                <w:color w:val="1C3A36"/>
                <w:sz w:val="18"/>
              </w:rPr>
              <w:t>53.21</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41.4%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-30.9%</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0.0011% of equity value. The subsidiaries are 99% to 99.99% owned.</w:t>
      </w:r>
    </w:p>
    <w:p>
      <w:pPr>
        <w:spacing w:after="120" w:before="0"/>
      </w:pPr>
      <w:r>
        <w:rPr>
          <w:b w:val="0"/>
          <w:i w:val="0"/>
          <w:color w:val="1C3A36"/>
          <w:sz w:val="21"/>
        </w:rPr>
        <w:t>At 41.4%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terminal return on capital is 11.3% and the reinvestment rate that 7% growth requires is 62.2%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11.3% against a terminal rate of 18.3%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15.50%. This company sits at 10.52% — 498 basis points BELOW it. Growth therefore DESTROYS value: the cash-flow lens is EGP 60.90 at 3% terminal growth and EGP 53.21 at 7%, so four extra points of perpetual growth take the value DOWN by 12.6%.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62.87</w:t>
            </w:r>
          </w:p>
        </w:tc>
        <w:tc>
          <w:tcPr>
            <w:tcW w:type="dxa" w:w="1469"/>
          </w:tcPr>
          <w:p>
            <w:pPr>
              <w:spacing w:after="20"/>
              <w:jc w:val="right"/>
            </w:pPr>
            <w:r>
              <w:rPr>
                <w:color w:val="1C3A36"/>
                <w:sz w:val="18"/>
              </w:rPr>
              <w:t>61.29</w:t>
            </w:r>
          </w:p>
        </w:tc>
        <w:tc>
          <w:tcPr>
            <w:tcW w:type="dxa" w:w="1469"/>
          </w:tcPr>
          <w:p>
            <w:pPr>
              <w:spacing w:after="20"/>
              <w:jc w:val="right"/>
            </w:pPr>
            <w:r>
              <w:rPr>
                <w:color w:val="1C3A36"/>
                <w:sz w:val="18"/>
              </w:rPr>
              <w:t>59.47</w:t>
            </w:r>
          </w:p>
        </w:tc>
        <w:tc>
          <w:tcPr>
            <w:tcW w:type="dxa" w:w="1469"/>
          </w:tcPr>
          <w:p>
            <w:pPr>
              <w:spacing w:after="20"/>
              <w:jc w:val="right"/>
            </w:pPr>
            <w:r>
              <w:rPr>
                <w:color w:val="1C3A36"/>
                <w:sz w:val="18"/>
              </w:rPr>
              <w:t>57.36</w:t>
            </w:r>
          </w:p>
        </w:tc>
        <w:tc>
          <w:tcPr>
            <w:tcW w:type="dxa" w:w="1469"/>
          </w:tcPr>
          <w:p>
            <w:pPr>
              <w:spacing w:after="20"/>
              <w:jc w:val="right"/>
            </w:pPr>
            <w:r>
              <w:rPr>
                <w:color w:val="1C3A36"/>
                <w:sz w:val="18"/>
              </w:rPr>
              <w:t>54.88</w:t>
            </w:r>
          </w:p>
        </w:tc>
      </w:tr>
      <w:tr>
        <w:tc>
          <w:tcPr>
            <w:tcW w:type="dxa" w:w="2477"/>
          </w:tcPr>
          <w:p>
            <w:pPr>
              <w:spacing w:after="20"/>
            </w:pPr>
            <w:r>
              <w:rPr>
                <w:color w:val="1C3A36"/>
                <w:sz w:val="18"/>
              </w:rPr>
              <w:t>26.10%</w:t>
            </w:r>
          </w:p>
        </w:tc>
        <w:tc>
          <w:tcPr>
            <w:tcW w:type="dxa" w:w="1469"/>
          </w:tcPr>
          <w:p>
            <w:pPr>
              <w:spacing w:after="20"/>
              <w:jc w:val="right"/>
            </w:pPr>
            <w:r>
              <w:rPr>
                <w:color w:val="1C3A36"/>
                <w:sz w:val="18"/>
              </w:rPr>
              <w:t>61.87</w:t>
            </w:r>
          </w:p>
        </w:tc>
        <w:tc>
          <w:tcPr>
            <w:tcW w:type="dxa" w:w="1469"/>
          </w:tcPr>
          <w:p>
            <w:pPr>
              <w:spacing w:after="20"/>
              <w:jc w:val="right"/>
            </w:pPr>
            <w:r>
              <w:rPr>
                <w:color w:val="1C3A36"/>
                <w:sz w:val="18"/>
              </w:rPr>
              <w:t>60.32</w:t>
            </w:r>
          </w:p>
        </w:tc>
        <w:tc>
          <w:tcPr>
            <w:tcW w:type="dxa" w:w="1469"/>
          </w:tcPr>
          <w:p>
            <w:pPr>
              <w:spacing w:after="20"/>
              <w:jc w:val="right"/>
            </w:pPr>
            <w:r>
              <w:rPr>
                <w:color w:val="1C3A36"/>
                <w:sz w:val="18"/>
              </w:rPr>
              <w:t>58.54</w:t>
            </w:r>
          </w:p>
        </w:tc>
        <w:tc>
          <w:tcPr>
            <w:tcW w:type="dxa" w:w="1469"/>
          </w:tcPr>
          <w:p>
            <w:pPr>
              <w:spacing w:after="20"/>
              <w:jc w:val="right"/>
            </w:pPr>
            <w:r>
              <w:rPr>
                <w:color w:val="1C3A36"/>
                <w:sz w:val="18"/>
              </w:rPr>
              <w:t>56.47</w:t>
            </w:r>
          </w:p>
        </w:tc>
        <w:tc>
          <w:tcPr>
            <w:tcW w:type="dxa" w:w="1469"/>
          </w:tcPr>
          <w:p>
            <w:pPr>
              <w:spacing w:after="20"/>
              <w:jc w:val="right"/>
            </w:pPr>
            <w:r>
              <w:rPr>
                <w:color w:val="1C3A36"/>
                <w:sz w:val="18"/>
              </w:rPr>
              <w:t>54.04</w:t>
            </w:r>
          </w:p>
        </w:tc>
      </w:tr>
      <w:tr>
        <w:tc>
          <w:tcPr>
            <w:tcW w:type="dxa" w:w="2477"/>
          </w:tcPr>
          <w:p>
            <w:pPr>
              <w:spacing w:after="20"/>
            </w:pPr>
            <w:r>
              <w:rPr>
                <w:color w:val="1C3A36"/>
                <w:sz w:val="18"/>
              </w:rPr>
              <w:t>27.60%</w:t>
            </w:r>
          </w:p>
        </w:tc>
        <w:tc>
          <w:tcPr>
            <w:tcW w:type="dxa" w:w="1469"/>
          </w:tcPr>
          <w:p>
            <w:pPr>
              <w:spacing w:after="20"/>
              <w:jc w:val="right"/>
            </w:pPr>
            <w:r>
              <w:rPr>
                <w:color w:val="1C3A36"/>
                <w:sz w:val="18"/>
              </w:rPr>
              <w:t>60.90</w:t>
            </w:r>
          </w:p>
        </w:tc>
        <w:tc>
          <w:tcPr>
            <w:tcW w:type="dxa" w:w="1469"/>
          </w:tcPr>
          <w:p>
            <w:pPr>
              <w:spacing w:after="20"/>
              <w:jc w:val="right"/>
            </w:pPr>
            <w:r>
              <w:rPr>
                <w:color w:val="1C3A36"/>
                <w:sz w:val="18"/>
              </w:rPr>
              <w:t>59.38</w:t>
            </w:r>
          </w:p>
        </w:tc>
        <w:tc>
          <w:tcPr>
            <w:tcW w:type="dxa" w:w="1469"/>
          </w:tcPr>
          <w:p>
            <w:pPr>
              <w:spacing w:after="20"/>
              <w:jc w:val="right"/>
            </w:pPr>
            <w:r>
              <w:rPr>
                <w:color w:val="1C3A36"/>
                <w:sz w:val="18"/>
              </w:rPr>
              <w:t>57.63</w:t>
            </w:r>
          </w:p>
        </w:tc>
        <w:tc>
          <w:tcPr>
            <w:tcW w:type="dxa" w:w="1469"/>
          </w:tcPr>
          <w:p>
            <w:pPr>
              <w:spacing w:after="20"/>
              <w:jc w:val="right"/>
            </w:pPr>
            <w:r>
              <w:rPr>
                <w:color w:val="1C3A36"/>
                <w:sz w:val="18"/>
              </w:rPr>
              <w:t>55.60</w:t>
            </w:r>
          </w:p>
        </w:tc>
        <w:tc>
          <w:tcPr>
            <w:tcW w:type="dxa" w:w="1469"/>
          </w:tcPr>
          <w:p>
            <w:pPr>
              <w:spacing w:after="20"/>
              <w:jc w:val="right"/>
            </w:pPr>
            <w:r>
              <w:rPr>
                <w:color w:val="1C3A36"/>
                <w:sz w:val="18"/>
              </w:rPr>
              <w:t>53.21</w:t>
            </w:r>
          </w:p>
        </w:tc>
      </w:tr>
      <w:tr>
        <w:tc>
          <w:tcPr>
            <w:tcW w:type="dxa" w:w="2477"/>
          </w:tcPr>
          <w:p>
            <w:pPr>
              <w:spacing w:after="20"/>
            </w:pPr>
            <w:r>
              <w:rPr>
                <w:color w:val="1C3A36"/>
                <w:sz w:val="18"/>
              </w:rPr>
              <w:t>29.10%</w:t>
            </w:r>
          </w:p>
        </w:tc>
        <w:tc>
          <w:tcPr>
            <w:tcW w:type="dxa" w:w="1469"/>
          </w:tcPr>
          <w:p>
            <w:pPr>
              <w:spacing w:after="20"/>
              <w:jc w:val="right"/>
            </w:pPr>
            <w:r>
              <w:rPr>
                <w:color w:val="1C3A36"/>
                <w:sz w:val="18"/>
              </w:rPr>
              <w:t>59.95</w:t>
            </w:r>
          </w:p>
        </w:tc>
        <w:tc>
          <w:tcPr>
            <w:tcW w:type="dxa" w:w="1469"/>
          </w:tcPr>
          <w:p>
            <w:pPr>
              <w:spacing w:after="20"/>
              <w:jc w:val="right"/>
            </w:pPr>
            <w:r>
              <w:rPr>
                <w:color w:val="1C3A36"/>
                <w:sz w:val="18"/>
              </w:rPr>
              <w:t>58.45</w:t>
            </w:r>
          </w:p>
        </w:tc>
        <w:tc>
          <w:tcPr>
            <w:tcW w:type="dxa" w:w="1469"/>
          </w:tcPr>
          <w:p>
            <w:pPr>
              <w:spacing w:after="20"/>
              <w:jc w:val="right"/>
            </w:pPr>
            <w:r>
              <w:rPr>
                <w:color w:val="1C3A36"/>
                <w:sz w:val="18"/>
              </w:rPr>
              <w:t>56.74</w:t>
            </w:r>
          </w:p>
        </w:tc>
        <w:tc>
          <w:tcPr>
            <w:tcW w:type="dxa" w:w="1469"/>
          </w:tcPr>
          <w:p>
            <w:pPr>
              <w:spacing w:after="20"/>
              <w:jc w:val="right"/>
            </w:pPr>
            <w:r>
              <w:rPr>
                <w:color w:val="1C3A36"/>
                <w:sz w:val="18"/>
              </w:rPr>
              <w:t>54.75</w:t>
            </w:r>
          </w:p>
        </w:tc>
        <w:tc>
          <w:tcPr>
            <w:tcW w:type="dxa" w:w="1469"/>
          </w:tcPr>
          <w:p>
            <w:pPr>
              <w:spacing w:after="20"/>
              <w:jc w:val="right"/>
            </w:pPr>
            <w:r>
              <w:rPr>
                <w:color w:val="1C3A36"/>
                <w:sz w:val="18"/>
              </w:rPr>
              <w:t>52.40</w:t>
            </w:r>
          </w:p>
        </w:tc>
      </w:tr>
      <w:tr>
        <w:tc>
          <w:tcPr>
            <w:tcW w:type="dxa" w:w="2477"/>
          </w:tcPr>
          <w:p>
            <w:pPr>
              <w:spacing w:after="20"/>
            </w:pPr>
            <w:r>
              <w:rPr>
                <w:color w:val="1C3A36"/>
                <w:sz w:val="18"/>
              </w:rPr>
              <w:t>30.60%</w:t>
            </w:r>
          </w:p>
        </w:tc>
        <w:tc>
          <w:tcPr>
            <w:tcW w:type="dxa" w:w="1469"/>
          </w:tcPr>
          <w:p>
            <w:pPr>
              <w:spacing w:after="20"/>
              <w:jc w:val="right"/>
            </w:pPr>
            <w:r>
              <w:rPr>
                <w:color w:val="1C3A36"/>
                <w:sz w:val="18"/>
              </w:rPr>
              <w:t>59.02</w:t>
            </w:r>
          </w:p>
        </w:tc>
        <w:tc>
          <w:tcPr>
            <w:tcW w:type="dxa" w:w="1469"/>
          </w:tcPr>
          <w:p>
            <w:pPr>
              <w:spacing w:after="20"/>
              <w:jc w:val="right"/>
            </w:pPr>
            <w:r>
              <w:rPr>
                <w:color w:val="1C3A36"/>
                <w:sz w:val="18"/>
              </w:rPr>
              <w:t>57.56</w:t>
            </w:r>
          </w:p>
        </w:tc>
        <w:tc>
          <w:tcPr>
            <w:tcW w:type="dxa" w:w="1469"/>
          </w:tcPr>
          <w:p>
            <w:pPr>
              <w:spacing w:after="20"/>
              <w:jc w:val="right"/>
            </w:pPr>
            <w:r>
              <w:rPr>
                <w:color w:val="1C3A36"/>
                <w:sz w:val="18"/>
              </w:rPr>
              <w:t>55.87</w:t>
            </w:r>
          </w:p>
        </w:tc>
        <w:tc>
          <w:tcPr>
            <w:tcW w:type="dxa" w:w="1469"/>
          </w:tcPr>
          <w:p>
            <w:pPr>
              <w:spacing w:after="20"/>
              <w:jc w:val="right"/>
            </w:pPr>
            <w:r>
              <w:rPr>
                <w:color w:val="1C3A36"/>
                <w:sz w:val="18"/>
              </w:rPr>
              <w:t>53.92</w:t>
            </w:r>
          </w:p>
        </w:tc>
        <w:tc>
          <w:tcPr>
            <w:tcW w:type="dxa" w:w="1469"/>
          </w:tcPr>
          <w:p>
            <w:pPr>
              <w:spacing w:after="20"/>
              <w:jc w:val="right"/>
            </w:pPr>
            <w:r>
              <w:rPr>
                <w:color w:val="1C3A36"/>
                <w:sz w:val="18"/>
              </w:rPr>
              <w:t>51.62</w:t>
            </w:r>
          </w:p>
        </w:tc>
      </w:tr>
    </w:tbl>
    <w:p>
      <w:pPr>
        <w:spacing w:after="40"/>
      </w:pPr>
    </w:p>
    <w:p>
      <w:pPr>
        <w:spacing w:after="200" w:before="0"/>
      </w:pPr>
      <w:r>
        <w:rPr>
          <w:b w:val="0"/>
          <w:i/>
          <w:color w:val="6E7B77"/>
          <w:sz w:val="17"/>
        </w:rPr>
        <w:t>Table 11 — Fair value per share across the explicit-window cost of capital and terminal growth. Growth is the STRONGER of the two levers here and it points DOWN: across a row the value moves EGP 7.99, against EGP 3.85 down a column. The paragraphs above set out why the growth axis is nearly flat — on a replacement-cost denominator this plant sits within -498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61.50</w:t>
            </w:r>
          </w:p>
        </w:tc>
        <w:tc>
          <w:tcPr>
            <w:tcW w:type="dxa" w:w="1469"/>
          </w:tcPr>
          <w:p>
            <w:pPr>
              <w:spacing w:after="20"/>
              <w:jc w:val="right"/>
            </w:pPr>
            <w:r>
              <w:rPr>
                <w:color w:val="1C3A36"/>
                <w:sz w:val="18"/>
              </w:rPr>
              <w:t>57.88</w:t>
            </w:r>
          </w:p>
        </w:tc>
        <w:tc>
          <w:tcPr>
            <w:tcW w:type="dxa" w:w="1469"/>
          </w:tcPr>
          <w:p>
            <w:pPr>
              <w:spacing w:after="20"/>
              <w:jc w:val="right"/>
            </w:pPr>
            <w:r>
              <w:rPr>
                <w:color w:val="1C3A36"/>
                <w:sz w:val="18"/>
              </w:rPr>
              <w:t>54.88</w:t>
            </w:r>
          </w:p>
        </w:tc>
        <w:tc>
          <w:tcPr>
            <w:tcW w:type="dxa" w:w="1469"/>
          </w:tcPr>
          <w:p>
            <w:pPr>
              <w:spacing w:after="20"/>
              <w:jc w:val="right"/>
            </w:pPr>
            <w:r>
              <w:rPr>
                <w:color w:val="1C3A36"/>
                <w:sz w:val="18"/>
              </w:rPr>
              <w:t>52.35</w:t>
            </w:r>
          </w:p>
        </w:tc>
        <w:tc>
          <w:tcPr>
            <w:tcW w:type="dxa" w:w="1469"/>
          </w:tcPr>
          <w:p>
            <w:pPr>
              <w:spacing w:after="20"/>
              <w:jc w:val="right"/>
            </w:pPr>
            <w:r>
              <w:rPr>
                <w:color w:val="1C3A36"/>
                <w:sz w:val="18"/>
              </w:rPr>
              <w:t>50.17</w:t>
            </w:r>
          </w:p>
        </w:tc>
      </w:tr>
      <w:tr>
        <w:tc>
          <w:tcPr>
            <w:tcW w:type="dxa" w:w="2477"/>
          </w:tcPr>
          <w:p>
            <w:pPr>
              <w:spacing w:after="20"/>
            </w:pPr>
            <w:r>
              <w:rPr>
                <w:color w:val="1C3A36"/>
                <w:sz w:val="18"/>
              </w:rPr>
              <w:t>26.10%</w:t>
            </w:r>
          </w:p>
        </w:tc>
        <w:tc>
          <w:tcPr>
            <w:tcW w:type="dxa" w:w="1469"/>
          </w:tcPr>
          <w:p>
            <w:pPr>
              <w:spacing w:after="20"/>
              <w:jc w:val="right"/>
            </w:pPr>
            <w:r>
              <w:rPr>
                <w:color w:val="1C3A36"/>
                <w:sz w:val="18"/>
              </w:rPr>
              <w:t>60.52</w:t>
            </w:r>
          </w:p>
        </w:tc>
        <w:tc>
          <w:tcPr>
            <w:tcW w:type="dxa" w:w="1469"/>
          </w:tcPr>
          <w:p>
            <w:pPr>
              <w:spacing w:after="20"/>
              <w:jc w:val="right"/>
            </w:pPr>
            <w:r>
              <w:rPr>
                <w:color w:val="1C3A36"/>
                <w:sz w:val="18"/>
              </w:rPr>
              <w:t>56.98</w:t>
            </w:r>
          </w:p>
        </w:tc>
        <w:tc>
          <w:tcPr>
            <w:tcW w:type="dxa" w:w="1469"/>
          </w:tcPr>
          <w:p>
            <w:pPr>
              <w:spacing w:after="20"/>
              <w:jc w:val="right"/>
            </w:pPr>
            <w:r>
              <w:rPr>
                <w:color w:val="1C3A36"/>
                <w:sz w:val="18"/>
              </w:rPr>
              <w:t>54.04</w:t>
            </w:r>
          </w:p>
        </w:tc>
        <w:tc>
          <w:tcPr>
            <w:tcW w:type="dxa" w:w="1469"/>
          </w:tcPr>
          <w:p>
            <w:pPr>
              <w:spacing w:after="20"/>
              <w:jc w:val="right"/>
            </w:pPr>
            <w:r>
              <w:rPr>
                <w:color w:val="1C3A36"/>
                <w:sz w:val="18"/>
              </w:rPr>
              <w:t>51.55</w:t>
            </w:r>
          </w:p>
        </w:tc>
        <w:tc>
          <w:tcPr>
            <w:tcW w:type="dxa" w:w="1469"/>
          </w:tcPr>
          <w:p>
            <w:pPr>
              <w:spacing w:after="20"/>
              <w:jc w:val="right"/>
            </w:pPr>
            <w:r>
              <w:rPr>
                <w:color w:val="1C3A36"/>
                <w:sz w:val="18"/>
              </w:rPr>
              <w:t>49.42</w:t>
            </w:r>
          </w:p>
        </w:tc>
      </w:tr>
      <w:tr>
        <w:tc>
          <w:tcPr>
            <w:tcW w:type="dxa" w:w="2477"/>
          </w:tcPr>
          <w:p>
            <w:pPr>
              <w:spacing w:after="20"/>
            </w:pPr>
            <w:r>
              <w:rPr>
                <w:color w:val="1C3A36"/>
                <w:sz w:val="18"/>
              </w:rPr>
              <w:t>27.60%</w:t>
            </w:r>
          </w:p>
        </w:tc>
        <w:tc>
          <w:tcPr>
            <w:tcW w:type="dxa" w:w="1469"/>
          </w:tcPr>
          <w:p>
            <w:pPr>
              <w:spacing w:after="20"/>
              <w:jc w:val="right"/>
            </w:pPr>
            <w:r>
              <w:rPr>
                <w:color w:val="1C3A36"/>
                <w:sz w:val="18"/>
              </w:rPr>
              <w:t>59.56</w:t>
            </w:r>
          </w:p>
        </w:tc>
        <w:tc>
          <w:tcPr>
            <w:tcW w:type="dxa" w:w="1469"/>
          </w:tcPr>
          <w:p>
            <w:pPr>
              <w:spacing w:after="20"/>
              <w:jc w:val="right"/>
            </w:pPr>
            <w:r>
              <w:rPr>
                <w:color w:val="1C3A36"/>
                <w:sz w:val="18"/>
              </w:rPr>
              <w:t>56.09</w:t>
            </w:r>
          </w:p>
        </w:tc>
        <w:tc>
          <w:tcPr>
            <w:tcW w:type="dxa" w:w="1469"/>
          </w:tcPr>
          <w:p>
            <w:pPr>
              <w:spacing w:after="20"/>
              <w:jc w:val="right"/>
            </w:pPr>
            <w:r>
              <w:rPr>
                <w:color w:val="1C3A36"/>
                <w:sz w:val="18"/>
              </w:rPr>
              <w:t>53.21</w:t>
            </w:r>
          </w:p>
        </w:tc>
        <w:tc>
          <w:tcPr>
            <w:tcW w:type="dxa" w:w="1469"/>
          </w:tcPr>
          <w:p>
            <w:pPr>
              <w:spacing w:after="20"/>
              <w:jc w:val="right"/>
            </w:pPr>
            <w:r>
              <w:rPr>
                <w:color w:val="1C3A36"/>
                <w:sz w:val="18"/>
              </w:rPr>
              <w:t>50.77</w:t>
            </w:r>
          </w:p>
        </w:tc>
        <w:tc>
          <w:tcPr>
            <w:tcW w:type="dxa" w:w="1469"/>
          </w:tcPr>
          <w:p>
            <w:pPr>
              <w:spacing w:after="20"/>
              <w:jc w:val="right"/>
            </w:pPr>
            <w:r>
              <w:rPr>
                <w:color w:val="1C3A36"/>
                <w:sz w:val="18"/>
              </w:rPr>
              <w:t>48.69</w:t>
            </w:r>
          </w:p>
        </w:tc>
      </w:tr>
      <w:tr>
        <w:tc>
          <w:tcPr>
            <w:tcW w:type="dxa" w:w="2477"/>
          </w:tcPr>
          <w:p>
            <w:pPr>
              <w:spacing w:after="20"/>
            </w:pPr>
            <w:r>
              <w:rPr>
                <w:color w:val="1C3A36"/>
                <w:sz w:val="18"/>
              </w:rPr>
              <w:t>29.10%</w:t>
            </w:r>
          </w:p>
        </w:tc>
        <w:tc>
          <w:tcPr>
            <w:tcW w:type="dxa" w:w="1469"/>
          </w:tcPr>
          <w:p>
            <w:pPr>
              <w:spacing w:after="20"/>
              <w:jc w:val="right"/>
            </w:pPr>
            <w:r>
              <w:rPr>
                <w:color w:val="1C3A36"/>
                <w:sz w:val="18"/>
              </w:rPr>
              <w:t>58.63</w:t>
            </w:r>
          </w:p>
        </w:tc>
        <w:tc>
          <w:tcPr>
            <w:tcW w:type="dxa" w:w="1469"/>
          </w:tcPr>
          <w:p>
            <w:pPr>
              <w:spacing w:after="20"/>
              <w:jc w:val="right"/>
            </w:pPr>
            <w:r>
              <w:rPr>
                <w:color w:val="1C3A36"/>
                <w:sz w:val="18"/>
              </w:rPr>
              <w:t>55.23</w:t>
            </w:r>
          </w:p>
        </w:tc>
        <w:tc>
          <w:tcPr>
            <w:tcW w:type="dxa" w:w="1469"/>
          </w:tcPr>
          <w:p>
            <w:pPr>
              <w:spacing w:after="20"/>
              <w:jc w:val="right"/>
            </w:pPr>
            <w:r>
              <w:rPr>
                <w:color w:val="1C3A36"/>
                <w:sz w:val="18"/>
              </w:rPr>
              <w:t>52.40</w:t>
            </w:r>
          </w:p>
        </w:tc>
        <w:tc>
          <w:tcPr>
            <w:tcW w:type="dxa" w:w="1469"/>
          </w:tcPr>
          <w:p>
            <w:pPr>
              <w:spacing w:after="20"/>
              <w:jc w:val="right"/>
            </w:pPr>
            <w:r>
              <w:rPr>
                <w:color w:val="1C3A36"/>
                <w:sz w:val="18"/>
              </w:rPr>
              <w:t>50.02</w:t>
            </w:r>
          </w:p>
        </w:tc>
        <w:tc>
          <w:tcPr>
            <w:tcW w:type="dxa" w:w="1469"/>
          </w:tcPr>
          <w:p>
            <w:pPr>
              <w:spacing w:after="20"/>
              <w:jc w:val="right"/>
            </w:pPr>
            <w:r>
              <w:rPr>
                <w:color w:val="1C3A36"/>
                <w:sz w:val="18"/>
              </w:rPr>
              <w:t>47.97</w:t>
            </w:r>
          </w:p>
        </w:tc>
      </w:tr>
      <w:tr>
        <w:tc>
          <w:tcPr>
            <w:tcW w:type="dxa" w:w="2477"/>
          </w:tcPr>
          <w:p>
            <w:pPr>
              <w:spacing w:after="20"/>
            </w:pPr>
            <w:r>
              <w:rPr>
                <w:color w:val="1C3A36"/>
                <w:sz w:val="18"/>
              </w:rPr>
              <w:t>30.60%</w:t>
            </w:r>
          </w:p>
        </w:tc>
        <w:tc>
          <w:tcPr>
            <w:tcW w:type="dxa" w:w="1469"/>
          </w:tcPr>
          <w:p>
            <w:pPr>
              <w:spacing w:after="20"/>
              <w:jc w:val="right"/>
            </w:pPr>
            <w:r>
              <w:rPr>
                <w:color w:val="1C3A36"/>
                <w:sz w:val="18"/>
              </w:rPr>
              <w:t>57.73</w:t>
            </w:r>
          </w:p>
        </w:tc>
        <w:tc>
          <w:tcPr>
            <w:tcW w:type="dxa" w:w="1469"/>
          </w:tcPr>
          <w:p>
            <w:pPr>
              <w:spacing w:after="20"/>
              <w:jc w:val="right"/>
            </w:pPr>
            <w:r>
              <w:rPr>
                <w:color w:val="1C3A36"/>
                <w:sz w:val="18"/>
              </w:rPr>
              <w:t>54.39</w:t>
            </w:r>
          </w:p>
        </w:tc>
        <w:tc>
          <w:tcPr>
            <w:tcW w:type="dxa" w:w="1469"/>
          </w:tcPr>
          <w:p>
            <w:pPr>
              <w:spacing w:after="20"/>
              <w:jc w:val="right"/>
            </w:pPr>
            <w:r>
              <w:rPr>
                <w:color w:val="1C3A36"/>
                <w:sz w:val="18"/>
              </w:rPr>
              <w:t>51.62</w:t>
            </w:r>
          </w:p>
        </w:tc>
        <w:tc>
          <w:tcPr>
            <w:tcW w:type="dxa" w:w="1469"/>
          </w:tcPr>
          <w:p>
            <w:pPr>
              <w:spacing w:after="20"/>
              <w:jc w:val="right"/>
            </w:pPr>
            <w:r>
              <w:rPr>
                <w:color w:val="1C3A36"/>
                <w:sz w:val="18"/>
              </w:rPr>
              <w:t>49.28</w:t>
            </w:r>
          </w:p>
        </w:tc>
        <w:tc>
          <w:tcPr>
            <w:tcW w:type="dxa" w:w="1469"/>
          </w:tcPr>
          <w:p>
            <w:pPr>
              <w:spacing w:after="20"/>
              <w:jc w:val="right"/>
            </w:pPr>
            <w:r>
              <w:rPr>
                <w:color w:val="1C3A36"/>
                <w:sz w:val="18"/>
              </w:rPr>
              <w:t>47.27</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53.30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58.49  (+9.9%)</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57.30  (+7.7%)</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16.55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-3.75</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-4.71</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-3.33</w:t>
            </w:r>
          </w:p>
        </w:tc>
        <w:tc>
          <w:tcPr>
            <w:tcW w:type="dxa" w:w="4320"/>
          </w:tcPr>
          <w:p>
            <w:pPr>
              <w:spacing w:after="20"/>
              <w:jc w:val="right"/>
            </w:pPr>
            <w:r>
              <w:rPr>
                <w:color w:val="1C3A36"/>
                <w:sz w:val="17"/>
              </w:rPr>
              <w:t>-4.69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Other three lenses</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50/20/22/8 weights and share count</w:t>
            </w:r>
          </w:p>
        </w:tc>
      </w:tr>
      <w:tr>
        <w:tc>
          <w:tcPr>
            <w:tcW w:type="dxa" w:w="3816"/>
          </w:tcPr>
          <w:p>
            <w:pPr>
              <w:spacing w:after="20"/>
            </w:pPr>
            <w:r>
              <w:rPr>
                <w:color w:val="1C3A36"/>
                <w:sz w:val="17"/>
              </w:rPr>
              <w:t>END — this study's weighted central</w:t>
            </w:r>
          </w:p>
        </w:tc>
        <w:tc>
          <w:tcPr>
            <w:tcW w:type="dxa" w:w="1224"/>
          </w:tcPr>
          <w:p>
            <w:pPr>
              <w:spacing w:after="20"/>
              <w:jc w:val="right"/>
            </w:pPr>
            <w:r>
              <w:rPr>
                <w:color w:val="1C3A36"/>
                <w:sz w:val="17"/>
              </w:rPr>
              <w:t>53.21</w:t>
            </w:r>
          </w:p>
        </w:tc>
        <w:tc>
          <w:tcPr>
            <w:tcW w:type="dxa" w:w="4320"/>
          </w:tcPr>
          <w:p>
            <w:pPr>
              <w:spacing w:after="20"/>
              <w:jc w:val="right"/>
            </w:pPr>
            <w:r>
              <w:rPr>
                <w:color w:val="1C3A36"/>
                <w:sz w:val="17"/>
              </w:rPr>
              <w:t>four lenses, weighted</w:t>
            </w:r>
          </w:p>
        </w:tc>
      </w:tr>
    </w:tbl>
    <w:p>
      <w:pPr>
        <w:spacing w:after="40"/>
      </w:pPr>
    </w:p>
    <w:p>
      <w:pPr>
        <w:spacing w:after="200" w:before="0"/>
      </w:pPr>
      <w:r>
        <w:rPr>
          <w:b w:val="0"/>
          <w:i/>
          <w:color w:val="6E7B77"/>
          <w:sz w:val="17"/>
        </w:rPr>
        <w:t>Table 14 — The reconciliation bridge. Bars sum to the gap exactly (-16.55 vs -16.55).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-21.56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+5.06.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(-3.75,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(-4.71,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(-3.33,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Other three lenses (-0.04, method, not error). Not an error on either side. They publish a DCF; we weight DCF 50%, multiples 20%, normalised earnings 22%, replacement cost 8%. The three non-DCF lenses land at 48.96 / 52.95 / 68.87 and pull down 0.73 net. The share count (374.867 vs 375.0) is inside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53.21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11.29</w:t>
            </w:r>
          </w:p>
        </w:tc>
        <w:tc>
          <w:tcPr>
            <w:tcW w:type="dxa" w:w="1440"/>
            <w:shd w:val="clear" w:color="auto" w:fill="F6F1E6"/>
          </w:tcPr>
          <w:p>
            <w:pPr>
              <w:spacing w:after="20"/>
              <w:jc w:val="right"/>
            </w:pPr>
            <w:r>
              <w:rPr>
                <w:b/>
                <w:color w:val="1C3A36"/>
                <w:sz w:val="18"/>
              </w:rPr>
              <w:t>53.21</w:t>
            </w:r>
          </w:p>
        </w:tc>
        <w:tc>
          <w:tcPr>
            <w:tcW w:type="dxa" w:w="1440"/>
            <w:shd w:val="clear" w:color="auto" w:fill="F6F1E6"/>
          </w:tcPr>
          <w:p>
            <w:pPr>
              <w:spacing w:after="20"/>
              <w:jc w:val="right"/>
            </w:pPr>
            <w:r>
              <w:rPr>
                <w:b/>
                <w:color w:val="1C3A36"/>
                <w:sz w:val="18"/>
              </w:rPr>
              <w:t>53.76</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DCF (cash flow) and Asset / replacement cost, at EGP 45.65 and EGP 53.21 and EGP 65.57.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51.90; but those weights were chosen rather than tested, and an average of four methods is a fifth method nobody has checked, carrying every weakness of the weakest at whatever weight somebody typed. The value published here is the cash-flow lens alone, EGP 53.21 against EGP 77.00 — -30.9%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53.21,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15.50%, so four points of terminal growth are worth -12.6%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49.21</w:t>
            </w:r>
          </w:p>
        </w:tc>
        <w:tc>
          <w:tcPr>
            <w:tcW w:type="dxa" w:w="1325"/>
          </w:tcPr>
          <w:p>
            <w:pPr>
              <w:spacing w:after="20"/>
              <w:jc w:val="right"/>
            </w:pPr>
            <w:r>
              <w:rPr>
                <w:color w:val="1C3A36"/>
                <w:sz w:val="17"/>
              </w:rPr>
              <w:t>51.21</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55.21</w:t>
            </w:r>
          </w:p>
        </w:tc>
        <w:tc>
          <w:tcPr>
            <w:tcW w:type="dxa" w:w="1325"/>
          </w:tcPr>
          <w:p>
            <w:pPr>
              <w:spacing w:after="20"/>
              <w:jc w:val="right"/>
            </w:pPr>
            <w:r>
              <w:rPr>
                <w:color w:val="1C3A36"/>
                <w:sz w:val="17"/>
              </w:rPr>
              <w:t>57.21</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43.36</w:t>
            </w:r>
          </w:p>
        </w:tc>
        <w:tc>
          <w:tcPr>
            <w:tcW w:type="dxa" w:w="1325"/>
          </w:tcPr>
          <w:p>
            <w:pPr>
              <w:spacing w:after="20"/>
              <w:jc w:val="right"/>
            </w:pPr>
            <w:r>
              <w:rPr>
                <w:color w:val="1C3A36"/>
                <w:sz w:val="17"/>
              </w:rPr>
              <w:t>48.29</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58.13</w:t>
            </w:r>
          </w:p>
        </w:tc>
        <w:tc>
          <w:tcPr>
            <w:tcW w:type="dxa" w:w="1325"/>
          </w:tcPr>
          <w:p>
            <w:pPr>
              <w:spacing w:after="20"/>
              <w:jc w:val="right"/>
            </w:pPr>
            <w:r>
              <w:rPr>
                <w:color w:val="1C3A36"/>
                <w:sz w:val="17"/>
              </w:rPr>
              <w:t>63.06</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