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8 August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Also indexed on the same portal but not used: annual statements for 2009 to 2021, and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9.42%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19.00 / 20.00% 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 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pPr>
        <w:spacing w:after="100" w:before="240"/>
      </w:pPr>
      <w:r>
        <w:rPr>
          <w:b/>
          <w:i w:val="0"/>
          <w:color w:val="1C3A36"/>
          <w:sz w:val="28"/>
        </w:rPr>
        <w:t>6.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