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9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149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2026-08-05</w:t>
            </w:r>
          </w:p>
        </w:tc>
        <w:tc>
          <w:tcPr>
            <w:tcW w:type="dxa" w:w="5933"/>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123"/>
          </w:tcPr>
          <w:p>
            <w:pPr>
              <w:spacing w:after="20"/>
            </w:pPr>
            <w:r>
              <w:rPr>
                <w:color w:val="1C3A36"/>
                <w:sz w:val="15"/>
              </w:rPr>
              <w:t>2026-08-05</w:t>
            </w:r>
          </w:p>
        </w:tc>
        <w:tc>
          <w:tcPr>
            <w:tcW w:type="dxa" w:w="5933"/>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 but the ISSUER discloses one, in its own quarterly earnings releases, and this driver said for two editions that no such figure existed anywhere. The engineering and construction backlog runs EGP 196bn (Dec-24), 261, 276, 293 (Dec-25), 307 and 346bn at 30 June 2026, read off the Q2-2026 release; wires and cables 43.5bn and meters 8.8bn are disclosed beside it. The taper below is NOT built as a burn rate on that backlog and is not changed by it -- priced across its whole defensible range the taper is worth 0.17% of this study's gap to the market, because at a 9% segment margin against 20% working capital incremental Constructions revenue is very nearly free cash flow neutral. It is corrected because the sentence was false, not because the number moves [R-GAP-04].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123"/>
          </w:tcPr>
          <w:p>
            <w:pPr>
              <w:spacing w:after="20"/>
            </w:pPr>
            <w:r>
              <w:rPr>
                <w:color w:val="1C3A36"/>
                <w:sz w:val="15"/>
              </w:rPr>
              <w:t>2026-08-05</w:t>
            </w:r>
          </w:p>
        </w:tc>
        <w:tc>
          <w:tcPr>
            <w:tcW w:type="dxa" w:w="5933"/>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2026-08-05</w:t>
            </w:r>
          </w:p>
        </w:tc>
        <w:tc>
          <w:tcPr>
            <w:tcW w:type="dxa" w:w="5933"/>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123"/>
          </w:tcPr>
          <w:p>
            <w:pPr>
              <w:spacing w:after="20"/>
            </w:pPr>
            <w:r>
              <w:rPr>
                <w:color w:val="1C3A36"/>
                <w:sz w:val="15"/>
              </w:rPr>
              <w:t>2026-09-04</w:t>
            </w:r>
          </w:p>
        </w:tc>
        <w:tc>
          <w:tcPr>
            <w:tcW w:type="dxa" w:w="5933"/>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