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Condensed interim consolidated financial statements for the six months ended 30 June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11 August 2026</w:t>
            </w:r>
          </w:p>
        </w:tc>
        <w:tc>
          <w:tcPr>
            <w:tcW w:type="dxa" w:w="4680"/>
          </w:tcPr>
          <w:p>
            <w:pPr>
              <w:spacing w:after="20"/>
            </w:pPr>
            <w:r>
              <w:rPr>
                <w:color w:val="1C3A36"/>
                <w:sz w:val="16"/>
              </w:rPr>
              <w:t>H1-2026 income statement with H1-2025 comparatives; balance sheet at 30 June 2026; three-segment revenue and segment profit note — the disclosure the three segment margin paths and the FY2026 segment growth rates are RE-ANCHORED on; minority share of profit and of equity; the employees' statutory share for the half; capital expenditure for the half. The most recent disclosure this study reads</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This desk's own daily price library for the Egyptian Exchange —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2026-09-13</w:t>
            </w:r>
          </w:p>
        </w:tc>
        <w:tc>
          <w:tcPr>
            <w:tcW w:type="dxa" w:w="5933"/>
          </w:tcPr>
          <w:p>
            <w:pPr>
              <w:spacing w:after="20"/>
            </w:pPr>
            <w:r>
              <w:rPr>
                <w:color w:val="1C3A36"/>
                <w:sz w:val="15"/>
              </w:rPr>
              <w:t>Days from the DCF's construction date (31 Dec 2025, the audited balance-sheet date the bridge is built on) to the anchor date of 3 Sep 2026 — the study's valuation date, and the close the fair value is measured against. All lens values are rolled to the anchor at the cost of equity, net of the FY2025 dividend paid inside the window, which is itself carried forward to the anchor rather than deducted at its ex-date. Added after external critique correctly noted the model was dated 31-Dec-2025 while the comparison price was seven months later, breaching the study's own one-date rule by that much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the current level is held flat — copper is the largest single input into the Cables segment and a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