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10 September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 ten annuals</w:t>
            </w:r>
          </w:p>
        </w:tc>
        <w:tc>
          <w:tcPr>
            <w:tcW w:type="dxa" w:w="2160"/>
          </w:tcPr>
          <w:p>
            <w:pPr>
              <w:spacing w:after="20"/>
              <w:jc w:val="left"/>
            </w:pPr>
            <w:r>
              <w:rPr>
                <w:color w:val="1C3A36"/>
                <w:sz w:val="16"/>
              </w:rPr>
              <w:t>Years to 30 June 2009, 2010, 2011, 2013, 2014, 2016, 2018, 2019, 2020 and 2021 (with each prior year as comparative)</w:t>
            </w:r>
          </w:p>
        </w:tc>
        <w:tc>
          <w:tcPr>
            <w:tcW w:type="dxa" w:w="1224"/>
          </w:tcPr>
          <w:p>
            <w:pPr>
              <w:spacing w:after="20"/>
              <w:jc w:val="left"/>
            </w:pPr>
            <w:r>
              <w:rPr>
                <w:color w:val="1C3A36"/>
                <w:sz w:val="16"/>
              </w:rPr>
              <w:t>2009 to Nov 2021</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1 Sep 2026</w:t>
            </w:r>
          </w:p>
        </w:tc>
        <w:tc>
          <w:tcPr>
            <w:tcW w:type="dxa" w:w="4752"/>
          </w:tcPr>
          <w:p>
            <w:pPr>
              <w:spacing w:after="20"/>
              <w:jc w:val="left"/>
            </w:pPr>
            <w:r>
              <w:rPr>
                <w:color w:val="1C3A36"/>
                <w:sz w:val="16"/>
              </w:rPr>
              <w:t>The eighteen-year reported history on which the forecasting method was tested before use; not a source of any forecast driver</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The ten annual statements for 2009 to 2021 in the first row were retrieved on 1 September 2026 and used only to test the forecasting method on the company's own history; no forecast driver is taken from them. Also indexed on the same portal but not used: the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14.41</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the total rating-basis premium less the mature-market premium</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9.41%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19.50% main operation rate, mid-corridor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i w:val="0"/>
          <w:color w:val="1C3A36"/>
          <w:sz w:val="18"/>
        </w:rPr>
        <w:t>REACHED — https://www.kimaegypt.com/InvestorsRelations.aspx</w:t>
      </w:r>
    </w:p>
    <w:p>
      <w:pPr>
        <w:spacing w:after="140" w:before="0"/>
      </w:pPr>
      <w:r>
        <w:rPr>
          <w:b w:val="0"/>
          <w:i w:val="0"/>
          <w:color w:val="6E7B77"/>
          <w:sz w:val="17"/>
        </w:rPr>
        <w:t>Reachable directly (HTTP 200) on 1 September 2026; the embedded Mist portal listing page timed out once and returned a 709-byte stub on retry, so the 8 August index was used.</w:t>
      </w:r>
    </w:p>
    <w:p>
      <w:pPr>
        <w:spacing w:after="100" w:before="0"/>
      </w:pPr>
      <w:r>
        <w:rPr>
          <w:b/>
          <w:i w:val="0"/>
          <w:color w:val="1C3A36"/>
          <w:sz w:val="18"/>
        </w:rPr>
        <w:t>REACHED — https://www.mistnews.com/mistsat/companies/mezanyat/</w:t>
      </w:r>
    </w:p>
    <w:p>
      <w:pPr>
        <w:spacing w:after="140" w:before="0"/>
      </w:pPr>
      <w:r>
        <w:rPr>
          <w:b w:val="0"/>
          <w:i w:val="0"/>
          <w:color w:val="6E7B77"/>
          <w:sz w:val="17"/>
        </w:rPr>
        <w:t>Ten older annual statements (years to June 2009, 2010, 2011, 2013, 2014, 2016, 2018, 2019, 2020, 2021) retrieved as real PDFs from the company's own portal for the calibration of the method on the company's history. The portal lists no annual for 2012, 2015 or 2017 and nothing older than 2009; no FY2025/26 annual had been published.</w:t>
      </w:r>
    </w:p>
    <w:p>
      <w:pPr>
        <w:spacing w:after="100" w:before="0"/>
      </w:pPr>
      <w:r>
        <w:rPr>
          <w:b/>
          <w:i w:val="0"/>
          <w:color w:val="1C3A36"/>
          <w:sz w:val="18"/>
        </w:rPr>
        <w:t>NOT REACHED — https://kima.com.eg/</w:t>
      </w:r>
    </w:p>
    <w:p>
      <w:pPr>
        <w:spacing w:after="140" w:before="0"/>
      </w:pPr>
      <w:r>
        <w:rPr>
          <w:b w:val="0"/>
          <w:i w:val="0"/>
          <w:color w:val="6E7B77"/>
          <w:sz w:val="17"/>
        </w:rPr>
        <w:t>Refused at the egress proxy; not the company's domain (kimaegypt.com is).</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(190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an_gran_nitrogen_pct</w:t>
            </w:r>
          </w:p>
        </w:tc>
        <w:tc>
          <w:tcPr>
            <w:tcW w:type="dxa" w:w="1944"/>
          </w:tcPr>
          <w:p>
            <w:pPr>
              <w:spacing w:after="20"/>
              <w:jc w:val="left"/>
            </w:pPr>
            <w:r>
              <w:rPr>
                <w:color w:val="1C3A36"/>
                <w:sz w:val="14"/>
              </w:rPr>
              <w:t>0.335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 where the product is named by its grade (granulated ammonium nitrate at 33.5% nitrogen)</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fa_accum_dep_FY2425</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accumulated depreciation at 30 June 2025 — read by OCR off the rendered page; the accumulated-depreciation movement table reproduces it, and cost less accumulated reproduces the balance-sheet net book value of 13,587.193</w:t>
            </w:r>
          </w:p>
        </w:tc>
      </w:tr>
      <w:tr>
        <w:tc>
          <w:tcPr>
            <w:tcW w:type="dxa" w:w="2448"/>
          </w:tcPr>
          <w:p>
            <w:pPr>
              <w:spacing w:after="20"/>
              <w:jc w:val="left"/>
            </w:pPr>
            <w:r>
              <w:rPr>
                <w:color w:val="1C3A36"/>
                <w:sz w:val="14"/>
              </w:rPr>
              <w:t>fa_cost_gross_FY2425</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 cost column at 30 June 2025 — read by OCR off the rendered page; the cost movement table (opening balance plus additions less disposals) reproduces this figure exactly</w:t>
            </w:r>
          </w:p>
        </w:tc>
      </w:tr>
      <w:tr>
        <w:tc>
          <w:tcPr>
            <w:tcW w:type="dxa" w:w="2448"/>
          </w:tcPr>
          <w:p>
            <w:pPr>
              <w:spacing w:after="20"/>
              <w:jc w:val="left"/>
            </w:pPr>
            <w:r>
              <w:rPr>
                <w:color w:val="1C3A36"/>
                <w:sz w:val="14"/>
              </w:rPr>
              <w:t>fa_fully_dep_in_use_FY2425</w:t>
            </w:r>
          </w:p>
        </w:tc>
        <w:tc>
          <w:tcPr>
            <w:tcW w:type="dxa" w:w="1944"/>
          </w:tcPr>
          <w:p>
            <w:pPr>
              <w:spacing w:after="20"/>
              <w:jc w:val="left"/>
            </w:pPr>
            <w:r>
              <w:rPr>
                <w:color w:val="1C3A36"/>
                <w:sz w:val="14"/>
              </w:rPr>
              <w:t>220.4956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disclosure of assets fully depreciated and still in production — 1.3% of the depreciable base, which is what makes the gross-over-charge identity read close to a true weighted accounting life here rather than a longer economic cycle</w:t>
            </w:r>
          </w:p>
        </w:tc>
      </w:tr>
      <w:tr>
        <w:tc>
          <w:tcPr>
            <w:tcW w:type="dxa" w:w="2448"/>
          </w:tcPr>
          <w:p>
            <w:pPr>
              <w:spacing w:after="20"/>
              <w:jc w:val="left"/>
            </w:pPr>
            <w:r>
              <w:rPr>
                <w:color w:val="1C3A36"/>
                <w:sz w:val="14"/>
              </w:rPr>
              <w:t>fa_land_FY2425</w:t>
            </w:r>
          </w:p>
        </w:tc>
        <w:tc>
          <w:tcPr>
            <w:tcW w:type="dxa" w:w="1944"/>
          </w:tcPr>
          <w:p>
            <w:pPr>
              <w:spacing w:after="20"/>
              <w:jc w:val="left"/>
            </w:pPr>
            <w:r>
              <w:rPr>
                <w:color w:val="1C3A36"/>
                <w:sz w:val="14"/>
              </w:rPr>
              <w:t>1.6629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land, cross-checked against the total in note 4-6 — land is never depreciated and is removed before any life or age is derived</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country_risk_premium_rating</w:t>
            </w:r>
          </w:p>
        </w:tc>
        <w:tc>
          <w:tcPr>
            <w:tcW w:type="dxa" w:w="1944"/>
          </w:tcPr>
          <w:p>
            <w:pPr>
              <w:spacing w:after="20"/>
              <w:jc w:val="left"/>
            </w:pPr>
            <w:r>
              <w:rPr>
                <w:color w:val="1C3A36"/>
                <w:sz w:val="14"/>
              </w:rPr>
              <w:t>0.0971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DERIVED: erp_rating - mature_market_erp, the country component of the rating-basis equity premium (the workbook's own construction, recomputed rather than read from a second file)</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14.41</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EGCH closing price on the Egyptian Exchange, 3 September 2026. The previous edition was struck on the 6 August close of 13.98</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2026-09-03</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an_exempt_n_pct</w:t>
            </w:r>
          </w:p>
        </w:tc>
        <w:tc>
          <w:tcPr>
            <w:tcW w:type="dxa" w:w="1944"/>
          </w:tcPr>
          <w:p>
            <w:pPr>
              <w:spacing w:after="20"/>
              <w:jc w:val="left"/>
            </w:pPr>
            <w:r>
              <w:rPr>
                <w:color w:val="1C3A36"/>
                <w:sz w:val="14"/>
              </w:rPr>
              <w:t>0.342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2026-06-25</w:t>
            </w:r>
          </w:p>
        </w:tc>
        <w:tc>
          <w:tcPr>
            <w:tcW w:type="dxa" w:w="7344"/>
          </w:tcPr>
          <w:p>
            <w:pPr>
              <w:spacing w:after="20"/>
              <w:jc w:val="left"/>
            </w:pPr>
            <w:r>
              <w:rPr>
                <w:color w:val="1C3A36"/>
                <w:sz w:val="14"/>
              </w:rPr>
              <w:t>Decree No. 258 of 2026, exemption clause — pure ammonium nitrate whose nitrogen content EXCEEDS 34.2% is outside the 10% export duty, verified by joint Customs Authority and export-control sampling of the shipment. Free-zone shipments to productive enterprises are likewise exempt. A fact about the instrument, consumed by no calculation in this study: the duty is charged on the urea export leg, and urea is not exempt</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 (7% +/-2 for Q4 2026)</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2026-06-25</w:t>
            </w:r>
          </w:p>
        </w:tc>
        <w:tc>
          <w:tcPr>
            <w:tcW w:type="dxa" w:w="7344"/>
          </w:tcPr>
          <w:p>
            <w:pPr>
              <w:spacing w:after="20"/>
              <w:jc w:val="left"/>
            </w:pPr>
            <w:r>
              <w:rPr>
                <w:color w:val="1C3A36"/>
                <w:sz w:val="14"/>
              </w:rPr>
              <w:t>Decree No. 258 of 2026 of the Minister of Investment and Foreign Trade, published in the Official Gazette on 25 June 2026 — 10% ad valorem on the FOB invoice value of nitrogen fertiliser exports, the invoice certified by the Chamber of Chemical Industries. It replaced a temporary US$90/t duty imposed in May 2026 for three months; the 10% carries no stated expiry. Pure ammonium nitrate above 34.2% nitrogen and free zone shipments are exempt — urea is neither. Read from two independent reports of the instrument rather than the Gazette text, which is the remaining gap in this citation</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inflation_terminal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inflation embedded in the TERMINAL discount rate, taken from the house macro path and NOT typed here — the SAME figure terminal growth is set at, so the two cannot drift apart. (This sentence previously described the value as 5%, the central bank's Q4-2028 target, while the path supplies 7%: a 7% value carrying a 5% justification, which is exactly the kind of unfalsifiable typed rate this series does not permit. The value has always come from the path; only the sentence was wrong.) CORRECTED 1 September 2026: the 08-08-2026 edition built the terminal risk-free rate on the 7% Q4-2026 target while growing the perpetuity at 5%, a perpetual real decline of about 2% a year that no disclosure supports (the same defect the AMOC review found, L-055). Terminal growth, the terminal risk-free rate and the terminal currency wedge now share one inflation.</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tbill_yield_range</w:t>
            </w:r>
          </w:p>
        </w:tc>
        <w:tc>
          <w:tcPr>
            <w:tcW w:type="dxa" w:w="1944"/>
          </w:tcPr>
          <w:p>
            <w:pPr>
              <w:spacing w:after="20"/>
              <w:jc w:val="left"/>
            </w:pPr>
            <w:r>
              <w:rPr>
                <w:color w:val="1C3A36"/>
                <w:sz w:val="14"/>
              </w:rPr>
              <w:t>0.2486, 0.2552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treasury-bill yields by tenor, secondary-market quotes (the central bank's own auction pages were unreachable); context only, no valuation figure depends on them</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erp_cds_superseded</w:t>
            </w:r>
          </w:p>
        </w:tc>
        <w:tc>
          <w:tcPr>
            <w:tcW w:type="dxa" w:w="1944"/>
          </w:tcPr>
          <w:p>
            <w:pPr>
              <w:spacing w:after="20"/>
              <w:jc w:val="left"/>
            </w:pPr>
            <w:r>
              <w:rPr>
                <w:color w:val="1C3A36"/>
                <w:sz w:val="14"/>
              </w:rPr>
              <w:t>0.0942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credit-default-swap equity risk premium this study carried BEFORE the correction of 9 August 2026, reconstructed at the time from a sovereign spread the source file does not carry. Registered as the historical fact it is so the correction note beside it is computed rather than typed.</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sov_spread_cds_superseded</w:t>
            </w:r>
          </w:p>
        </w:tc>
        <w:tc>
          <w:tcPr>
            <w:tcW w:type="dxa" w:w="1944"/>
          </w:tcPr>
          <w:p>
            <w:pPr>
              <w:spacing w:after="20"/>
              <w:jc w:val="left"/>
            </w:pPr>
            <w:r>
              <w:rPr>
                <w:color w:val="1C3A36"/>
                <w:sz w:val="14"/>
              </w:rPr>
              <w:t>0.0355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sovereign credit-default-swap spread the superseded premium above was reconstructed from. It appears in no source file, which is why the premium built on it was corrected; it is registered here for the same reason as the premium.</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(65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26000, 26000, 26000, 26000, 26000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beta_ci90_low</w:t>
            </w:r>
          </w:p>
        </w:tc>
        <w:tc>
          <w:tcPr>
            <w:tcW w:type="dxa" w:w="1944"/>
          </w:tcPr>
          <w:p>
            <w:pPr>
              <w:spacing w:after="20"/>
              <w:jc w:val="left"/>
            </w:pPr>
            <w:r>
              <w:rPr>
                <w:color w:val="1C3A36"/>
                <w:sz w:val="14"/>
              </w:rPr>
              <w:t>0.7165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lower bound of the ninety-per-cent confidence interval of the same beta estimate — a five-year weekly regression of the stock's own returns on the EGX30 (253 weekly observations to 16 July 2026) — carried as the beta alternative. REPLACES the 08-08-2026 edition's thin-trading-adjusted beta, which belonged to a basket regression withdrawn as non-conforming.</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0.14, 0.105, 0.0825, 0.0725, 0.07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from the single Egyptian inflation path this series uses for every Egyptian company it values (as of 2026-09-02), mapped onto this company's 30 June fiscal year end: each fiscal year takes half of each of the two calendar years it spans, and beyond the path's last published year its long-run rate. That path is 2026 16.0% / 2027 12.0% / 2028 9.0% / 2029 7.5% / 2030 7.0%. No number here is chosen for this study: a company cannot be valued in an economy the study beside it does not recognise, so no valuation in this series sets an inflation rate of its own. Until 3 September 2026 this array read 10.0 / 7.0 / 6.0 / 5.0 / 5.0 and ended at 5% while the same study already took 7% as the long-run rate.</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0.0449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530, 530, 530, 530, 530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Held FLAT in nominal dollars at the opening level. No forecast of a traded commodity price is defensible, which is the convention this house applies to the same class of input elsewhere; the previous path fell 17% over five years on a construction nothing sourced.</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fa_avg_age_years</w:t>
            </w:r>
          </w:p>
        </w:tc>
        <w:tc>
          <w:tcPr>
            <w:tcW w:type="dxa" w:w="1944"/>
          </w:tcPr>
          <w:p>
            <w:pPr>
              <w:spacing w:after="20"/>
              <w:jc w:val="left"/>
            </w:pPr>
            <w:r>
              <w:rPr>
                <w:color w:val="1C3A36"/>
                <w:sz w:val="14"/>
              </w:rPr>
              <w:t>4.4544</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accumulated depreciation over the year's own charge. Under straight-line depreciation accumulated equals age times charge, so the ratio is the charge-weighted average age of the base. THE THREE CONDITIONS THAT BREAK THAT IDENTITY ARE CHECKED AND CLEAR HERE. There is no residual value: the policy note writes off cost over the useful life and mentions none. No useful life has been reassessed: the disclosed rates are unchanged from the prior year's identical table. And the base was not assembled by acquisition — it is one plant, built and extended by this company. The corroboration is that only EGP 220mn, 1.3% of the base, is fully depreciated and still in production, so almost nothing is past its accounting life and the gross-over-charge life below reads close to a true weighted life rather than a longer economic cycle. 4.45 years against the 11.04 that half of that life would assume: this plant was rebuilt recently and has another complex still under construction.</w:t>
            </w:r>
          </w:p>
        </w:tc>
      </w:tr>
      <w:tr>
        <w:tc>
          <w:tcPr>
            <w:tcW w:type="dxa" w:w="2448"/>
          </w:tcPr>
          <w:p>
            <w:pPr>
              <w:spacing w:after="20"/>
              <w:jc w:val="left"/>
            </w:pPr>
            <w:r>
              <w:rPr>
                <w:color w:val="1C3A36"/>
                <w:sz w:val="14"/>
              </w:rPr>
              <w:t>fa_life_implied_years</w:t>
            </w:r>
          </w:p>
        </w:tc>
        <w:tc>
          <w:tcPr>
            <w:tcW w:type="dxa" w:w="1944"/>
          </w:tcPr>
          <w:p>
            <w:pPr>
              <w:spacing w:after="20"/>
              <w:jc w:val="left"/>
            </w:pPr>
            <w:r>
              <w:rPr>
                <w:color w:val="1C3A36"/>
                <w:sz w:val="14"/>
              </w:rPr>
              <w:t>22.0702</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the depreciable gross cost — cost less land, which is never depreciated — over the year's own charge. It is the replacement cycle the accounts themselves run, and it sits inside the disclosed range: note 5-2 gives 3.95% on the urea and ammonia machinery (25.3 years), 9.5% on the factories (10.5), 6.5% on the workshops (15.4), 6% on the factory buildings (16.7), 2 to 5% on the residential city and the water and sewage pipes (20 to 50) and 4.75% on the intangible (21.1). A weighted life cannot be read off the note because it publishes no class balances, so the identity supplies one and the disclosed range is what checks it.</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DERIVED: the steady-state currency depreciation the terminal inflation (5%) implies against long-run US inflation (2.4%) on the relative purchasing-power identity — the same wedge that carries the dollar debt in the terminal year. RE-SET 1 September 2026 from a typed 2.5% so that the terminal currency, the terminal cost of debt and the last explicit year share one number.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from the house macro path: terminal inflation plus a STATED real growth of zero, so the real assumption is written down rather than inferred from the gap to the discount rate. It was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Constructed: the alternative terminal growth rate: two points below the terminal inflation of 5%, which is negative real maintenance growth. RE-SET 1 September 2026 from 5% (which had become identical to the base case once terminal growth moved to 5%).</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lens_weights</w:t>
            </w:r>
          </w:p>
        </w:tc>
        <w:tc>
          <w:tcPr>
            <w:tcW w:type="dxa" w:w="1944"/>
          </w:tcPr>
          <w:p>
            <w:pPr>
              <w:spacing w:after="20"/>
              <w:jc w:val="left"/>
            </w:pPr>
            <w:r>
              <w:rPr>
                <w:color w:val="1C3A36"/>
                <w:sz w:val="14"/>
              </w:rPr>
              <w:t>0.45, 0.2, 0.2, 0.15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RETIRED — this series no longer averages its methods — and consumed by nothing. It is kept in the register so a reader of the 01-09-2026 edition can see what changed, and it is recorded here as retired rather than deleted because a number that was published once should stay traceable. THE CENTRAL IS THE CLASS PRIMARY -- the cash-flow lens, which on this company is two-sided -- and every other lens is a cross-check published beside it, never weighted into it. What follows is the description of the retired construction, kept verbatim: Weights of the four lenses in the weighted central the 01-09-2026 edition published inside its field: cash flow with the programme carried through 45%, relative multiples 20%, normalised earnings 20%, book value 15%. SET IN THIS EDITION (1 September 2026): the 08-08-2026 edition published the field alone, with no central and no weights. Basis: the cash-flow lens is the primary lens and the only one that charges the capital programme, so it carries the largest weight; its carried-through side enters because that is the company's own stated plan, and the stopped side is published beside it as the contested judgement, never averaged in; the relative and normalised lenses are cross-checks at equal weight; book value, which prices what has been paid for rather than what it earns, the least. The bear and full readings are the low and high of the field across every lens, never the weighted extremes.</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40000, 41000, 42000, 43000, 44000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house real-rate convention,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7,526, 8,429, 9,272, 10,106, 10,915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155000, 160000, 165000, 170000, 175000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53.49, 55.89, 57.85, 59.32, 60.83</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not typed: the spot rate carried forward year by year on the relative purchasing-power identity (1 + Egyptian inflation on the path above) / (1 + long-run US inflation) — the same identity that carries the dollar debt at local-equivalent cost. The 08-08-2026 edition typed a 4.5%-a-year path beside a derivation that produced a different number in every year; the register now carries the derived path itself.</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4.09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