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prices and probabilities computed 7 Jul 2026 from the attached daily history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the multiples and the Monte-Carlo factor probabilities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spot. The bear–bull span (37–48) is driven almost entirely by the DCF’s terminal arithmetic — the bear case is WACC +100 bp with margins 50 bp lighter and capex 100 bp heavier; the bull is the mirror image. Note what the spread is NOT about: revenue. A ±1 pp change to every growth rate moves the central by only ~SAR 2 — this is a margin, capex and discount-rate story, which is exactly what §1.7 and §1.9 sensitize.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4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71th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FY26E cover of 0.86–1.04× is an estimate built on management’s own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0.86× bear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At the heaviest capital spending of the three filed years the dividend is 1.05x covered by model free cash flow in the first forecast year, and at the lightest 1.24x — covered throughout the range this company has actually operated in. The question the cover table asks is whether the data-centre build takes intensity ABOVE anything it has yet run; the core cash pile funds a shortfall for years before leverage becomes a constraint.</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