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[R-BRIDGE-01]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anchor for FY2026 [R-ANCHOR-01]</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[R-ANCHOR-01]: FY2026 is the disclosed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 [R-ENF-03]</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0.125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+ 5.50% = 12.50%.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[R-MACRO-02]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[R-MACRO-02].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