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 [R-DOC-03].</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59.28 per share against a market price of 130.00 — the price sits about +119% above the central estimate. That gap is not mainly an argument about the business; it is an argument about the discount rate. Discounted at an Egyptian cost of capital gliding 26.7% to 17.9%, the cash flows support roughly EGP 59.28. Discount the hard-currency share of those same cash flows at a hard-currency cost of capital of about 11.3% and the same model produces EGP 67.84 — still -48% against today's price, but +14%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17.9%, terminal growth 9%; 85% of enterprise value comes from the terminal value</w:t>
            </w:r>
          </w:p>
        </w:tc>
        <w:tc>
          <w:tcPr>
            <w:tcW w:type="dxa" w:w="1656"/>
          </w:tcPr>
          <w:p>
            <w:pPr>
              <w:spacing w:after="20"/>
              <w:jc w:val="right"/>
            </w:pPr>
            <w:r>
              <w:rPr>
                <w:color w:val="1C3A36"/>
                <w:sz w:val="17"/>
              </w:rPr>
              <w:t>21.61 – 96.99</w:t>
            </w:r>
          </w:p>
        </w:tc>
        <w:tc>
          <w:tcPr>
            <w:tcW w:type="dxa" w:w="1037"/>
          </w:tcPr>
          <w:p>
            <w:pPr>
              <w:spacing w:after="20"/>
              <w:jc w:val="right"/>
            </w:pPr>
            <w:r>
              <w:rPr>
                <w:color w:val="1C3A36"/>
                <w:sz w:val="17"/>
              </w:rPr>
              <w:t>59.28</w:t>
            </w:r>
          </w:p>
        </w:tc>
        <w:tc>
          <w:tcPr>
            <w:tcW w:type="dxa" w:w="907"/>
          </w:tcPr>
          <w:p>
            <w:pPr>
              <w:spacing w:after="20"/>
              <w:jc w:val="right"/>
            </w:pPr>
            <w:r>
              <w:rPr>
                <w:color w:val="1C3A36"/>
                <w:sz w:val="17"/>
              </w:rPr>
              <w:t>-54%</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65.14 – 97.63</w:t>
            </w:r>
          </w:p>
        </w:tc>
        <w:tc>
          <w:tcPr>
            <w:tcW w:type="dxa" w:w="1037"/>
          </w:tcPr>
          <w:p>
            <w:pPr>
              <w:spacing w:after="20"/>
              <w:jc w:val="right"/>
            </w:pPr>
            <w:r>
              <w:rPr>
                <w:color w:val="1C3A36"/>
                <w:sz w:val="17"/>
              </w:rPr>
              <w:t>78.13</w:t>
            </w:r>
          </w:p>
        </w:tc>
        <w:tc>
          <w:tcPr>
            <w:tcW w:type="dxa" w:w="907"/>
          </w:tcPr>
          <w:p>
            <w:pPr>
              <w:spacing w:after="20"/>
              <w:jc w:val="right"/>
            </w:pPr>
            <w:r>
              <w:rPr>
                <w:color w:val="1C3A36"/>
                <w:sz w:val="17"/>
              </w:rPr>
              <w:t>-40%</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80.07 – 132.81</w:t>
            </w:r>
          </w:p>
        </w:tc>
        <w:tc>
          <w:tcPr>
            <w:tcW w:type="dxa" w:w="1037"/>
          </w:tcPr>
          <w:p>
            <w:pPr>
              <w:spacing w:after="20"/>
              <w:jc w:val="right"/>
            </w:pPr>
            <w:r>
              <w:rPr>
                <w:color w:val="1C3A36"/>
                <w:sz w:val="17"/>
              </w:rPr>
              <w:t>103.51</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1.3× on book value of 31.24/share at a sustainable return on equity of 23.5%</w:t>
            </w:r>
          </w:p>
        </w:tc>
        <w:tc>
          <w:tcPr>
            <w:tcW w:type="dxa" w:w="1656"/>
          </w:tcPr>
          <w:p>
            <w:pPr>
              <w:spacing w:after="20"/>
              <w:jc w:val="right"/>
            </w:pPr>
            <w:r>
              <w:rPr>
                <w:color w:val="1C3A36"/>
                <w:sz w:val="17"/>
              </w:rPr>
              <w:t>34.14 – 54.56</w:t>
            </w:r>
          </w:p>
        </w:tc>
        <w:tc>
          <w:tcPr>
            <w:tcW w:type="dxa" w:w="1037"/>
          </w:tcPr>
          <w:p>
            <w:pPr>
              <w:spacing w:after="20"/>
              <w:jc w:val="right"/>
            </w:pPr>
            <w:r>
              <w:rPr>
                <w:color w:val="1C3A36"/>
                <w:sz w:val="17"/>
              </w:rPr>
              <w:t>47.65</w:t>
            </w:r>
          </w:p>
        </w:tc>
        <w:tc>
          <w:tcPr>
            <w:tcW w:type="dxa" w:w="907"/>
          </w:tcPr>
          <w:p>
            <w:pPr>
              <w:spacing w:after="20"/>
              <w:jc w:val="right"/>
            </w:pPr>
            <w:r>
              <w:rPr>
                <w:color w:val="1C3A36"/>
                <w:sz w:val="17"/>
              </w:rPr>
              <w:t>-63%</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21.61 – 96.99</w:t>
            </w:r>
          </w:p>
        </w:tc>
        <w:tc>
          <w:tcPr>
            <w:tcW w:type="dxa" w:w="1037"/>
            <w:shd w:val="clear" w:color="auto" w:fill="F6F1E6"/>
          </w:tcPr>
          <w:p>
            <w:pPr>
              <w:spacing w:after="20"/>
              <w:jc w:val="right"/>
            </w:pPr>
            <w:r>
              <w:rPr>
                <w:b/>
                <w:color w:val="1C3A36"/>
                <w:sz w:val="17"/>
              </w:rPr>
              <w:t>59.28</w:t>
            </w:r>
          </w:p>
        </w:tc>
        <w:tc>
          <w:tcPr>
            <w:tcW w:type="dxa" w:w="907"/>
            <w:shd w:val="clear" w:color="auto" w:fill="F6F1E6"/>
          </w:tcPr>
          <w:p>
            <w:pPr>
              <w:spacing w:after="20"/>
              <w:jc w:val="right"/>
            </w:pPr>
            <w:r>
              <w:rPr>
                <w:b/>
                <w:color w:val="1C3A36"/>
                <w:sz w:val="17"/>
              </w:rPr>
              <w:t>-54%</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70.15</w:t>
            </w:r>
          </w:p>
        </w:tc>
        <w:tc>
          <w:tcPr>
            <w:tcW w:type="dxa" w:w="907"/>
          </w:tcPr>
          <w:p>
            <w:pPr>
              <w:spacing w:after="20"/>
              <w:jc w:val="right"/>
            </w:pPr>
            <w:r>
              <w:rPr>
                <w:color w:val="1C3A36"/>
                <w:sz w:val="17"/>
              </w:rPr>
              <w:t>-46%</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67.84</w:t>
            </w:r>
          </w:p>
        </w:tc>
        <w:tc>
          <w:tcPr>
            <w:tcW w:type="dxa" w:w="907"/>
          </w:tcPr>
          <w:p>
            <w:pPr>
              <w:spacing w:after="20"/>
              <w:jc w:val="right"/>
            </w:pPr>
            <w:r>
              <w:rPr>
                <w:color w:val="1C3A36"/>
                <w:sz w:val="17"/>
              </w:rPr>
              <w:t>-48%</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28.50</w:t>
            </w:r>
          </w:p>
        </w:tc>
        <w:tc>
          <w:tcPr>
            <w:tcW w:type="dxa" w:w="907"/>
          </w:tcPr>
          <w:p>
            <w:pPr>
              <w:spacing w:after="20"/>
              <w:jc w:val="right"/>
            </w:pPr>
            <w:r>
              <w:rPr>
                <w:color w:val="1C3A36"/>
                <w:sz w:val="17"/>
              </w:rPr>
              <w:t>-78%</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66.69</w:t>
            </w:r>
          </w:p>
        </w:tc>
        <w:tc>
          <w:tcPr>
            <w:tcW w:type="dxa" w:w="907"/>
          </w:tcPr>
          <w:p>
            <w:pPr>
              <w:spacing w:after="20"/>
              <w:jc w:val="right"/>
            </w:pPr>
            <w:r>
              <w:rPr>
                <w:color w:val="1C3A36"/>
                <w:sz w:val="17"/>
              </w:rPr>
              <w:t>-49%</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85%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23.7%</w:t>
            </w:r>
          </w:p>
        </w:tc>
        <w:tc>
          <w:tcPr>
            <w:tcW w:type="dxa" w:w="1426"/>
          </w:tcPr>
          <w:p>
            <w:pPr>
              <w:spacing w:after="20"/>
              <w:jc w:val="right"/>
            </w:pPr>
            <w:r>
              <w:rPr>
                <w:color w:val="1C3A36"/>
                <w:sz w:val="17"/>
              </w:rPr>
              <w:t>21.3%</w:t>
            </w:r>
          </w:p>
        </w:tc>
        <w:tc>
          <w:tcPr>
            <w:tcW w:type="dxa" w:w="1426"/>
          </w:tcPr>
          <w:p>
            <w:pPr>
              <w:spacing w:after="20"/>
              <w:jc w:val="right"/>
            </w:pPr>
            <w:r>
              <w:rPr>
                <w:color w:val="1C3A36"/>
                <w:sz w:val="17"/>
              </w:rPr>
              <w:t>19.3%</w:t>
            </w:r>
          </w:p>
        </w:tc>
        <w:tc>
          <w:tcPr>
            <w:tcW w:type="dxa" w:w="1426"/>
          </w:tcPr>
          <w:p>
            <w:pPr>
              <w:spacing w:after="20"/>
              <w:jc w:val="right"/>
            </w:pPr>
            <w:r>
              <w:rPr>
                <w:color w:val="1C3A36"/>
                <w:sz w:val="17"/>
              </w:rPr>
              <w:t>17.9%</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0.6382</w:t>
            </w:r>
          </w:p>
        </w:tc>
        <w:tc>
          <w:tcPr>
            <w:tcW w:type="dxa" w:w="1426"/>
          </w:tcPr>
          <w:p>
            <w:pPr>
              <w:spacing w:after="20"/>
              <w:jc w:val="right"/>
            </w:pPr>
            <w:r>
              <w:rPr>
                <w:color w:val="1C3A36"/>
                <w:sz w:val="17"/>
              </w:rPr>
              <w:t>0.5262</w:t>
            </w:r>
          </w:p>
        </w:tc>
        <w:tc>
          <w:tcPr>
            <w:tcW w:type="dxa" w:w="1426"/>
          </w:tcPr>
          <w:p>
            <w:pPr>
              <w:spacing w:after="20"/>
              <w:jc w:val="right"/>
            </w:pPr>
            <w:r>
              <w:rPr>
                <w:color w:val="1C3A36"/>
                <w:sz w:val="17"/>
              </w:rPr>
              <w:t>0.4410</w:t>
            </w:r>
          </w:p>
        </w:tc>
        <w:tc>
          <w:tcPr>
            <w:tcW w:type="dxa" w:w="1426"/>
          </w:tcPr>
          <w:p>
            <w:pPr>
              <w:spacing w:after="20"/>
              <w:jc w:val="right"/>
            </w:pPr>
            <w:r>
              <w:rPr>
                <w:color w:val="1C3A36"/>
                <w:sz w:val="17"/>
              </w:rPr>
              <w:t>0.3742</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4,096</w:t>
            </w:r>
          </w:p>
        </w:tc>
        <w:tc>
          <w:tcPr>
            <w:tcW w:type="dxa" w:w="1426"/>
            <w:shd w:val="clear" w:color="auto" w:fill="F6F1E6"/>
          </w:tcPr>
          <w:p>
            <w:pPr>
              <w:spacing w:after="20"/>
              <w:jc w:val="right"/>
            </w:pPr>
            <w:r>
              <w:rPr>
                <w:b/>
                <w:color w:val="1C3A36"/>
                <w:sz w:val="17"/>
              </w:rPr>
              <w:t>5,896</w:t>
            </w:r>
          </w:p>
        </w:tc>
        <w:tc>
          <w:tcPr>
            <w:tcW w:type="dxa" w:w="1426"/>
            <w:shd w:val="clear" w:color="auto" w:fill="F6F1E6"/>
          </w:tcPr>
          <w:p>
            <w:pPr>
              <w:spacing w:after="20"/>
              <w:jc w:val="right"/>
            </w:pPr>
            <w:r>
              <w:rPr>
                <w:b/>
                <w:color w:val="1C3A36"/>
                <w:sz w:val="17"/>
              </w:rPr>
              <w:t>6,314</w:t>
            </w:r>
          </w:p>
        </w:tc>
        <w:tc>
          <w:tcPr>
            <w:tcW w:type="dxa" w:w="1426"/>
            <w:shd w:val="clear" w:color="auto" w:fill="F6F1E6"/>
          </w:tcPr>
          <w:p>
            <w:pPr>
              <w:spacing w:after="20"/>
              <w:jc w:val="right"/>
            </w:pPr>
            <w:r>
              <w:rPr>
                <w:b/>
                <w:color w:val="1C3A36"/>
                <w:sz w:val="17"/>
              </w:rPr>
              <w:t>6,399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23.72%</w:t>
            </w:r>
          </w:p>
        </w:tc>
        <w:tc>
          <w:tcPr>
            <w:tcW w:type="dxa" w:w="893"/>
          </w:tcPr>
          <w:p>
            <w:pPr>
              <w:spacing w:after="20"/>
              <w:jc w:val="right"/>
            </w:pPr>
            <w:r>
              <w:rPr>
                <w:color w:val="1C3A36"/>
                <w:sz w:val="15"/>
              </w:rPr>
              <w:t>21.28%</w:t>
            </w:r>
          </w:p>
        </w:tc>
        <w:tc>
          <w:tcPr>
            <w:tcW w:type="dxa" w:w="893"/>
          </w:tcPr>
          <w:p>
            <w:pPr>
              <w:spacing w:after="20"/>
              <w:jc w:val="right"/>
            </w:pPr>
            <w:r>
              <w:rPr>
                <w:color w:val="1C3A36"/>
                <w:sz w:val="15"/>
              </w:rPr>
              <w:t>19.32%</w:t>
            </w:r>
          </w:p>
        </w:tc>
        <w:tc>
          <w:tcPr>
            <w:tcW w:type="dxa" w:w="893"/>
          </w:tcPr>
          <w:p>
            <w:pPr>
              <w:spacing w:after="20"/>
              <w:jc w:val="right"/>
            </w:pPr>
            <w:r>
              <w:rPr>
                <w:color w:val="1C3A36"/>
                <w:sz w:val="15"/>
              </w:rPr>
              <w:t>17.85%</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0.6382</w:t>
            </w:r>
          </w:p>
        </w:tc>
        <w:tc>
          <w:tcPr>
            <w:tcW w:type="dxa" w:w="893"/>
          </w:tcPr>
          <w:p>
            <w:pPr>
              <w:spacing w:after="20"/>
              <w:jc w:val="right"/>
            </w:pPr>
            <w:r>
              <w:rPr>
                <w:color w:val="1C3A36"/>
                <w:sz w:val="15"/>
              </w:rPr>
              <w:t>0.5262</w:t>
            </w:r>
          </w:p>
        </w:tc>
        <w:tc>
          <w:tcPr>
            <w:tcW w:type="dxa" w:w="893"/>
          </w:tcPr>
          <w:p>
            <w:pPr>
              <w:spacing w:after="20"/>
              <w:jc w:val="right"/>
            </w:pPr>
            <w:r>
              <w:rPr>
                <w:color w:val="1C3A36"/>
                <w:sz w:val="15"/>
              </w:rPr>
              <w:t>0.4410</w:t>
            </w:r>
          </w:p>
        </w:tc>
        <w:tc>
          <w:tcPr>
            <w:tcW w:type="dxa" w:w="893"/>
          </w:tcPr>
          <w:p>
            <w:pPr>
              <w:spacing w:after="20"/>
              <w:jc w:val="right"/>
            </w:pPr>
            <w:r>
              <w:rPr>
                <w:color w:val="1C3A36"/>
                <w:sz w:val="15"/>
              </w:rPr>
              <w:t>0.3742</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4,096</w:t>
            </w:r>
          </w:p>
        </w:tc>
        <w:tc>
          <w:tcPr>
            <w:tcW w:type="dxa" w:w="893"/>
          </w:tcPr>
          <w:p>
            <w:pPr>
              <w:spacing w:after="20"/>
              <w:jc w:val="right"/>
            </w:pPr>
            <w:r>
              <w:rPr>
                <w:color w:val="1C3A36"/>
                <w:sz w:val="15"/>
              </w:rPr>
              <w:t>5,896</w:t>
            </w:r>
          </w:p>
        </w:tc>
        <w:tc>
          <w:tcPr>
            <w:tcW w:type="dxa" w:w="893"/>
          </w:tcPr>
          <w:p>
            <w:pPr>
              <w:spacing w:after="20"/>
              <w:jc w:val="right"/>
            </w:pPr>
            <w:r>
              <w:rPr>
                <w:color w:val="1C3A36"/>
                <w:sz w:val="15"/>
              </w:rPr>
              <w:t>6,314</w:t>
            </w:r>
          </w:p>
        </w:tc>
        <w:tc>
          <w:tcPr>
            <w:tcW w:type="dxa" w:w="893"/>
          </w:tcPr>
          <w:p>
            <w:pPr>
              <w:spacing w:after="20"/>
              <w:jc w:val="right"/>
            </w:pPr>
            <w:r>
              <w:rPr>
                <w:color w:val="1C3A36"/>
                <w:sz w:val="15"/>
              </w:rPr>
              <w:t>6,399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22,453</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350,784</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131,269</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85.39%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17.85%</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153,722</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-13,537</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110,973</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51.84</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59.28</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85.4%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15.85%</w:t>
            </w:r>
          </w:p>
        </w:tc>
        <w:tc>
          <w:tcPr>
            <w:tcW w:type="dxa" w:w="1483"/>
          </w:tcPr>
          <w:p>
            <w:pPr>
              <w:spacing w:after="20"/>
              <w:jc w:val="right"/>
            </w:pPr>
            <w:r>
              <w:rPr>
                <w:color w:val="1C3A36"/>
                <w:sz w:val="15"/>
              </w:rPr>
              <w:t>70.18</w:t>
            </w:r>
          </w:p>
        </w:tc>
        <w:tc>
          <w:tcPr>
            <w:tcW w:type="dxa" w:w="1483"/>
          </w:tcPr>
          <w:p>
            <w:pPr>
              <w:spacing w:after="20"/>
              <w:jc w:val="right"/>
            </w:pPr>
            <w:r>
              <w:rPr>
                <w:color w:val="1C3A36"/>
                <w:sz w:val="15"/>
              </w:rPr>
              <w:t>74.60</w:t>
            </w:r>
          </w:p>
        </w:tc>
        <w:tc>
          <w:tcPr>
            <w:tcW w:type="dxa" w:w="1483"/>
          </w:tcPr>
          <w:p>
            <w:pPr>
              <w:spacing w:after="20"/>
              <w:jc w:val="right"/>
            </w:pPr>
            <w:r>
              <w:rPr>
                <w:color w:val="1C3A36"/>
                <w:sz w:val="15"/>
              </w:rPr>
              <w:t>80.23</w:t>
            </w:r>
          </w:p>
        </w:tc>
        <w:tc>
          <w:tcPr>
            <w:tcW w:type="dxa" w:w="1483"/>
          </w:tcPr>
          <w:p>
            <w:pPr>
              <w:spacing w:after="20"/>
              <w:jc w:val="right"/>
            </w:pPr>
            <w:r>
              <w:rPr>
                <w:color w:val="1C3A36"/>
                <w:sz w:val="15"/>
              </w:rPr>
              <w:t>87.71</w:t>
            </w:r>
          </w:p>
        </w:tc>
        <w:tc>
          <w:tcPr>
            <w:tcW w:type="dxa" w:w="1483"/>
          </w:tcPr>
          <w:p>
            <w:pPr>
              <w:spacing w:after="20"/>
              <w:jc w:val="right"/>
            </w:pPr>
            <w:r>
              <w:rPr>
                <w:color w:val="1C3A36"/>
                <w:sz w:val="15"/>
              </w:rPr>
              <w:t>98.20</w:t>
            </w:r>
          </w:p>
        </w:tc>
      </w:tr>
      <w:tr>
        <w:tc>
          <w:tcPr>
            <w:tcW w:type="dxa" w:w="2232"/>
          </w:tcPr>
          <w:p>
            <w:pPr>
              <w:spacing w:after="20"/>
            </w:pPr>
            <w:r>
              <w:rPr>
                <w:color w:val="1C3A36"/>
                <w:sz w:val="15"/>
              </w:rPr>
              <w:t>16.85%</w:t>
            </w:r>
          </w:p>
        </w:tc>
        <w:tc>
          <w:tcPr>
            <w:tcW w:type="dxa" w:w="1483"/>
          </w:tcPr>
          <w:p>
            <w:pPr>
              <w:spacing w:after="20"/>
              <w:jc w:val="right"/>
            </w:pPr>
            <w:r>
              <w:rPr>
                <w:color w:val="1C3A36"/>
                <w:sz w:val="15"/>
              </w:rPr>
              <w:t>61.62</w:t>
            </w:r>
          </w:p>
        </w:tc>
        <w:tc>
          <w:tcPr>
            <w:tcW w:type="dxa" w:w="1483"/>
          </w:tcPr>
          <w:p>
            <w:pPr>
              <w:spacing w:after="20"/>
              <w:jc w:val="right"/>
            </w:pPr>
            <w:r>
              <w:rPr>
                <w:color w:val="1C3A36"/>
                <w:sz w:val="15"/>
              </w:rPr>
              <w:t>64.66</w:t>
            </w:r>
          </w:p>
        </w:tc>
        <w:tc>
          <w:tcPr>
            <w:tcW w:type="dxa" w:w="1483"/>
          </w:tcPr>
          <w:p>
            <w:pPr>
              <w:spacing w:after="20"/>
              <w:jc w:val="right"/>
            </w:pPr>
            <w:r>
              <w:rPr>
                <w:color w:val="1C3A36"/>
                <w:sz w:val="15"/>
              </w:rPr>
              <w:t>68.39</w:t>
            </w:r>
          </w:p>
        </w:tc>
        <w:tc>
          <w:tcPr>
            <w:tcW w:type="dxa" w:w="1483"/>
          </w:tcPr>
          <w:p>
            <w:pPr>
              <w:spacing w:after="20"/>
              <w:jc w:val="right"/>
            </w:pPr>
            <w:r>
              <w:rPr>
                <w:color w:val="1C3A36"/>
                <w:sz w:val="15"/>
              </w:rPr>
              <w:t>73.13</w:t>
            </w:r>
          </w:p>
        </w:tc>
        <w:tc>
          <w:tcPr>
            <w:tcW w:type="dxa" w:w="1483"/>
          </w:tcPr>
          <w:p>
            <w:pPr>
              <w:spacing w:after="20"/>
              <w:jc w:val="right"/>
            </w:pPr>
            <w:r>
              <w:rPr>
                <w:color w:val="1C3A36"/>
                <w:sz w:val="15"/>
              </w:rPr>
              <w:t>79.41</w:t>
            </w:r>
          </w:p>
        </w:tc>
      </w:tr>
      <w:tr>
        <w:tc>
          <w:tcPr>
            <w:tcW w:type="dxa" w:w="2232"/>
            <w:shd w:val="clear" w:color="auto" w:fill="F6F1E6"/>
          </w:tcPr>
          <w:p>
            <w:pPr>
              <w:spacing w:after="20"/>
            </w:pPr>
            <w:r>
              <w:rPr>
                <w:b/>
                <w:color w:val="1C3A36"/>
                <w:sz w:val="15"/>
              </w:rPr>
              <w:t>17.85%</w:t>
            </w:r>
          </w:p>
        </w:tc>
        <w:tc>
          <w:tcPr>
            <w:tcW w:type="dxa" w:w="1483"/>
            <w:shd w:val="clear" w:color="auto" w:fill="F6F1E6"/>
          </w:tcPr>
          <w:p>
            <w:pPr>
              <w:spacing w:after="20"/>
              <w:jc w:val="right"/>
            </w:pPr>
            <w:r>
              <w:rPr>
                <w:b/>
                <w:color w:val="1C3A36"/>
                <w:sz w:val="15"/>
              </w:rPr>
              <w:t>54.67</w:t>
            </w:r>
          </w:p>
        </w:tc>
        <w:tc>
          <w:tcPr>
            <w:tcW w:type="dxa" w:w="1483"/>
            <w:shd w:val="clear" w:color="auto" w:fill="F6F1E6"/>
          </w:tcPr>
          <w:p>
            <w:pPr>
              <w:spacing w:after="20"/>
              <w:jc w:val="right"/>
            </w:pPr>
            <w:r>
              <w:rPr>
                <w:b/>
                <w:color w:val="1C3A36"/>
                <w:sz w:val="15"/>
              </w:rPr>
              <w:t>56.78</w:t>
            </w:r>
          </w:p>
        </w:tc>
        <w:tc>
          <w:tcPr>
            <w:tcW w:type="dxa" w:w="1483"/>
            <w:shd w:val="clear" w:color="auto" w:fill="F6F1E6"/>
          </w:tcPr>
          <w:p>
            <w:pPr>
              <w:spacing w:after="20"/>
              <w:jc w:val="right"/>
            </w:pPr>
            <w:r>
              <w:rPr>
                <w:b/>
                <w:color w:val="1C3A36"/>
                <w:sz w:val="15"/>
              </w:rPr>
              <w:t>59.28</w:t>
            </w:r>
          </w:p>
        </w:tc>
        <w:tc>
          <w:tcPr>
            <w:tcW w:type="dxa" w:w="1483"/>
            <w:shd w:val="clear" w:color="auto" w:fill="F6F1E6"/>
          </w:tcPr>
          <w:p>
            <w:pPr>
              <w:spacing w:after="20"/>
              <w:jc w:val="right"/>
            </w:pPr>
            <w:r>
              <w:rPr>
                <w:b/>
                <w:color w:val="1C3A36"/>
                <w:sz w:val="15"/>
              </w:rPr>
              <w:t>62.35</w:t>
            </w:r>
          </w:p>
        </w:tc>
        <w:tc>
          <w:tcPr>
            <w:tcW w:type="dxa" w:w="1483"/>
            <w:shd w:val="clear" w:color="auto" w:fill="F6F1E6"/>
          </w:tcPr>
          <w:p>
            <w:pPr>
              <w:spacing w:after="20"/>
              <w:jc w:val="right"/>
            </w:pPr>
            <w:r>
              <w:rPr>
                <w:b/>
                <w:color w:val="1C3A36"/>
                <w:sz w:val="15"/>
              </w:rPr>
              <w:t>66.23</w:t>
            </w:r>
          </w:p>
        </w:tc>
      </w:tr>
      <w:tr>
        <w:tc>
          <w:tcPr>
            <w:tcW w:type="dxa" w:w="2232"/>
          </w:tcPr>
          <w:p>
            <w:pPr>
              <w:spacing w:after="20"/>
            </w:pPr>
            <w:r>
              <w:rPr>
                <w:color w:val="1C3A36"/>
                <w:sz w:val="15"/>
              </w:rPr>
              <w:t>18.85%</w:t>
            </w:r>
          </w:p>
        </w:tc>
        <w:tc>
          <w:tcPr>
            <w:tcW w:type="dxa" w:w="1483"/>
          </w:tcPr>
          <w:p>
            <w:pPr>
              <w:spacing w:after="20"/>
              <w:jc w:val="right"/>
            </w:pPr>
            <w:r>
              <w:rPr>
                <w:color w:val="1C3A36"/>
                <w:sz w:val="15"/>
              </w:rPr>
              <w:t>48.93</w:t>
            </w:r>
          </w:p>
        </w:tc>
        <w:tc>
          <w:tcPr>
            <w:tcW w:type="dxa" w:w="1483"/>
          </w:tcPr>
          <w:p>
            <w:pPr>
              <w:spacing w:after="20"/>
              <w:jc w:val="right"/>
            </w:pPr>
            <w:r>
              <w:rPr>
                <w:color w:val="1C3A36"/>
                <w:sz w:val="15"/>
              </w:rPr>
              <w:t>50.38</w:t>
            </w:r>
          </w:p>
        </w:tc>
        <w:tc>
          <w:tcPr>
            <w:tcW w:type="dxa" w:w="1483"/>
          </w:tcPr>
          <w:p>
            <w:pPr>
              <w:spacing w:after="20"/>
              <w:jc w:val="right"/>
            </w:pPr>
            <w:r>
              <w:rPr>
                <w:color w:val="1C3A36"/>
                <w:sz w:val="15"/>
              </w:rPr>
              <w:t>52.06</w:t>
            </w:r>
          </w:p>
        </w:tc>
        <w:tc>
          <w:tcPr>
            <w:tcW w:type="dxa" w:w="1483"/>
          </w:tcPr>
          <w:p>
            <w:pPr>
              <w:spacing w:after="20"/>
              <w:jc w:val="right"/>
            </w:pPr>
            <w:r>
              <w:rPr>
                <w:color w:val="1C3A36"/>
                <w:sz w:val="15"/>
              </w:rPr>
              <w:t>54.05</w:t>
            </w:r>
          </w:p>
        </w:tc>
        <w:tc>
          <w:tcPr>
            <w:tcW w:type="dxa" w:w="1483"/>
          </w:tcPr>
          <w:p>
            <w:pPr>
              <w:spacing w:after="20"/>
              <w:jc w:val="right"/>
            </w:pPr>
            <w:r>
              <w:rPr>
                <w:color w:val="1C3A36"/>
                <w:sz w:val="15"/>
              </w:rPr>
              <w:t>56.47</w:t>
            </w:r>
          </w:p>
        </w:tc>
      </w:tr>
      <w:tr>
        <w:tc>
          <w:tcPr>
            <w:tcW w:type="dxa" w:w="2232"/>
          </w:tcPr>
          <w:p>
            <w:pPr>
              <w:spacing w:after="20"/>
            </w:pPr>
            <w:r>
              <w:rPr>
                <w:color w:val="1C3A36"/>
                <w:sz w:val="15"/>
              </w:rPr>
              <w:t>19.85%</w:t>
            </w:r>
          </w:p>
        </w:tc>
        <w:tc>
          <w:tcPr>
            <w:tcW w:type="dxa" w:w="1483"/>
          </w:tcPr>
          <w:p>
            <w:pPr>
              <w:spacing w:after="20"/>
              <w:jc w:val="right"/>
            </w:pPr>
            <w:r>
              <w:rPr>
                <w:color w:val="1C3A36"/>
                <w:sz w:val="15"/>
              </w:rPr>
              <w:t>44.10</w:t>
            </w:r>
          </w:p>
        </w:tc>
        <w:tc>
          <w:tcPr>
            <w:tcW w:type="dxa" w:w="1483"/>
          </w:tcPr>
          <w:p>
            <w:pPr>
              <w:spacing w:after="20"/>
              <w:jc w:val="right"/>
            </w:pPr>
            <w:r>
              <w:rPr>
                <w:color w:val="1C3A36"/>
                <w:sz w:val="15"/>
              </w:rPr>
              <w:t>45.08</w:t>
            </w:r>
          </w:p>
        </w:tc>
        <w:tc>
          <w:tcPr>
            <w:tcW w:type="dxa" w:w="1483"/>
          </w:tcPr>
          <w:p>
            <w:pPr>
              <w:spacing w:after="20"/>
              <w:jc w:val="right"/>
            </w:pPr>
            <w:r>
              <w:rPr>
                <w:color w:val="1C3A36"/>
                <w:sz w:val="15"/>
              </w:rPr>
              <w:t>46.20</w:t>
            </w:r>
          </w:p>
        </w:tc>
        <w:tc>
          <w:tcPr>
            <w:tcW w:type="dxa" w:w="1483"/>
          </w:tcPr>
          <w:p>
            <w:pPr>
              <w:spacing w:after="20"/>
              <w:jc w:val="right"/>
            </w:pPr>
            <w:r>
              <w:rPr>
                <w:color w:val="1C3A36"/>
                <w:sz w:val="15"/>
              </w:rPr>
              <w:t>47.47</w:t>
            </w:r>
          </w:p>
        </w:tc>
        <w:tc>
          <w:tcPr>
            <w:tcW w:type="dxa" w:w="1483"/>
          </w:tcPr>
          <w:p>
            <w:pPr>
              <w:spacing w:after="20"/>
              <w:jc w:val="right"/>
            </w:pPr>
            <w:r>
              <w:rPr>
                <w:color w:val="1C3A36"/>
                <w:sz w:val="15"/>
              </w:rPr>
              <w:t>48.95</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59.28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22,453</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131,269</w:t>
            </w:r>
          </w:p>
        </w:tc>
        <w:tc>
          <w:tcPr>
            <w:tcW w:type="dxa" w:w="4896"/>
          </w:tcPr>
          <w:p>
            <w:pPr>
              <w:spacing w:after="20"/>
              <w:jc w:val="right"/>
            </w:pPr>
            <w:r>
              <w:rPr>
                <w:color w:val="1C3A36"/>
                <w:sz w:val="16"/>
              </w:rPr>
              <w:t>the terminal cash flow capitalised at 17.9% − 9% = 350,784, discounted at the year-5 factor 0.3742</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153,722</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85%</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(13,537)</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(15,409)</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110,973</w:t>
            </w:r>
          </w:p>
        </w:tc>
        <w:tc>
          <w:tcPr>
            <w:tcW w:type="dxa" w:w="4896"/>
          </w:tcPr>
          <w:p>
            <w:pPr>
              <w:spacing w:after="20"/>
              <w:jc w:val="right"/>
            </w:pPr>
            <w:r>
              <w:rPr>
                <w:color w:val="1C3A36"/>
                <w:sz w:val="16"/>
              </w:rPr>
              <w:t>EGP 51.84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59.28</w:t>
            </w:r>
          </w:p>
        </w:tc>
        <w:tc>
          <w:tcPr>
            <w:tcW w:type="dxa" w:w="4896"/>
            <w:shd w:val="clear" w:color="auto" w:fill="F6F1E6"/>
          </w:tcPr>
          <w:p>
            <w:pPr>
              <w:spacing w:after="20"/>
              <w:jc w:val="right"/>
            </w:pPr>
            <w:r>
              <w:rPr>
                <w:b/>
                <w:color w:val="1C3A36"/>
                <w:sz w:val="16"/>
              </w:rPr>
              <w:t>against a spot of 130.00 (-54%)</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19.8% — a steady-state multiple takes a steady-state rate, not a five-year transitional one. (An earlier wording called this figure an 'average' of the two windows, which it never was; the actual average, 24.0%, is the construction behind this lens's published bear bound of 34.14.) That gives 1.3× book, or EGP 47.65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(-3,844)</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78.13</w:t>
            </w:r>
          </w:p>
        </w:tc>
        <w:tc>
          <w:tcPr>
            <w:tcW w:type="dxa" w:w="5688"/>
          </w:tcPr>
          <w:p>
            <w:pPr>
              <w:spacing w:after="20"/>
              <w:jc w:val="right"/>
            </w:pPr>
            <w:r>
              <w:rPr>
                <w:color w:val="1C3A36"/>
                <w:sz w:val="17"/>
              </w:rPr>
              <w:t>bear 65.14 at 5.5× / bull 97.63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143.91 per share instead of 78.13 — a EGP 65.77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9.92</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103.51</w:t>
            </w:r>
          </w:p>
        </w:tc>
      </w:tr>
    </w:tbl>
    <w:p>
      <w:pPr>
        <w:spacing w:after="40"/>
      </w:pPr>
    </w:p>
    <w:p>
      <w:pPr>
        <w:spacing w:after="200" w:before="0"/>
      </w:pPr>
      <w:r>
        <w:rPr>
          <w:b w:val="0"/>
          <w:i/>
          <w:color w:val="6E7B77"/>
          <w:sz w:val="17"/>
        </w:rPr>
        <w:t>Bear 80.07 at 7.0× and bull 132.81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21.61</w:t>
            </w:r>
          </w:p>
        </w:tc>
        <w:tc>
          <w:tcPr>
            <w:tcW w:type="dxa" w:w="1238"/>
          </w:tcPr>
          <w:p>
            <w:pPr>
              <w:spacing w:after="20"/>
              <w:jc w:val="right"/>
            </w:pPr>
            <w:r>
              <w:rPr>
                <w:color w:val="1C3A36"/>
                <w:sz w:val="17"/>
              </w:rPr>
              <w:t>59.28</w:t>
            </w:r>
          </w:p>
        </w:tc>
        <w:tc>
          <w:tcPr>
            <w:tcW w:type="dxa" w:w="1238"/>
          </w:tcPr>
          <w:p>
            <w:pPr>
              <w:spacing w:after="20"/>
              <w:jc w:val="right"/>
            </w:pPr>
            <w:r>
              <w:rPr>
                <w:color w:val="1C3A36"/>
                <w:sz w:val="17"/>
              </w:rPr>
              <w:t>96.99</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-54%</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65.14</w:t>
            </w:r>
          </w:p>
        </w:tc>
        <w:tc>
          <w:tcPr>
            <w:tcW w:type="dxa" w:w="1238"/>
          </w:tcPr>
          <w:p>
            <w:pPr>
              <w:spacing w:after="20"/>
              <w:jc w:val="right"/>
            </w:pPr>
            <w:r>
              <w:rPr>
                <w:color w:val="1C3A36"/>
                <w:sz w:val="17"/>
              </w:rPr>
              <w:t>78.13</w:t>
            </w:r>
          </w:p>
        </w:tc>
        <w:tc>
          <w:tcPr>
            <w:tcW w:type="dxa" w:w="1238"/>
          </w:tcPr>
          <w:p>
            <w:pPr>
              <w:spacing w:after="20"/>
              <w:jc w:val="right"/>
            </w:pPr>
            <w:r>
              <w:rPr>
                <w:color w:val="1C3A36"/>
                <w:sz w:val="17"/>
              </w:rPr>
              <w:t>97.63</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-40%</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80.07</w:t>
            </w:r>
          </w:p>
        </w:tc>
        <w:tc>
          <w:tcPr>
            <w:tcW w:type="dxa" w:w="1238"/>
          </w:tcPr>
          <w:p>
            <w:pPr>
              <w:spacing w:after="20"/>
              <w:jc w:val="right"/>
            </w:pPr>
            <w:r>
              <w:rPr>
                <w:color w:val="1C3A36"/>
                <w:sz w:val="17"/>
              </w:rPr>
              <w:t>103.51</w:t>
            </w:r>
          </w:p>
        </w:tc>
        <w:tc>
          <w:tcPr>
            <w:tcW w:type="dxa" w:w="1238"/>
          </w:tcPr>
          <w:p>
            <w:pPr>
              <w:spacing w:after="20"/>
              <w:jc w:val="right"/>
            </w:pPr>
            <w:r>
              <w:rPr>
                <w:color w:val="1C3A36"/>
                <w:sz w:val="17"/>
              </w:rPr>
              <w:t>132.81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34.14</w:t>
            </w:r>
          </w:p>
        </w:tc>
        <w:tc>
          <w:tcPr>
            <w:tcW w:type="dxa" w:w="1238"/>
          </w:tcPr>
          <w:p>
            <w:pPr>
              <w:spacing w:after="20"/>
              <w:jc w:val="right"/>
            </w:pPr>
            <w:r>
              <w:rPr>
                <w:color w:val="1C3A36"/>
                <w:sz w:val="17"/>
              </w:rPr>
              <w:t>47.65</w:t>
            </w:r>
          </w:p>
        </w:tc>
        <w:tc>
          <w:tcPr>
            <w:tcW w:type="dxa" w:w="1238"/>
          </w:tcPr>
          <w:p>
            <w:pPr>
              <w:spacing w:after="20"/>
              <w:jc w:val="right"/>
            </w:pPr>
            <w:r>
              <w:rPr>
                <w:color w:val="1C3A36"/>
                <w:sz w:val="17"/>
              </w:rPr>
              <w:t>54.56</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-63%</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21.61</w:t>
            </w:r>
          </w:p>
        </w:tc>
        <w:tc>
          <w:tcPr>
            <w:tcW w:type="dxa" w:w="1238"/>
            <w:shd w:val="clear" w:color="auto" w:fill="F6F1E6"/>
          </w:tcPr>
          <w:p>
            <w:pPr>
              <w:spacing w:after="20"/>
              <w:jc w:val="right"/>
            </w:pPr>
            <w:r>
              <w:rPr>
                <w:b/>
                <w:color w:val="1C3A36"/>
                <w:sz w:val="17"/>
              </w:rPr>
              <w:t>59.28</w:t>
            </w:r>
          </w:p>
        </w:tc>
        <w:tc>
          <w:tcPr>
            <w:tcW w:type="dxa" w:w="1238"/>
            <w:shd w:val="clear" w:color="auto" w:fill="F6F1E6"/>
          </w:tcPr>
          <w:p>
            <w:pPr>
              <w:spacing w:after="20"/>
              <w:jc w:val="right"/>
            </w:pPr>
            <w:r>
              <w:rPr>
                <w:b/>
                <w:color w:val="1C3A36"/>
                <w:sz w:val="17"/>
              </w:rPr>
              <w:t>96.99</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-54%</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70.15</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-46%</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59.28, and the market-anchored reads are published beside it at their own values so a reader can judge the disagreement rather than receive a number in which it has already been settled by a weight. An earlier edition did settle it that way and reported EGP 70.15, -46% against the price where this study holds -54%.</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2.86-3.06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31.8%)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19.8%</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17.9%</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28.50 (against 59.28)</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30.79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66.69 (7.41)</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58.97 (-0.31)</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28.50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15.9%</w:t>
            </w:r>
          </w:p>
        </w:tc>
        <w:tc>
          <w:tcPr>
            <w:tcW w:type="dxa" w:w="1541"/>
          </w:tcPr>
          <w:p>
            <w:pPr>
              <w:spacing w:after="20"/>
              <w:jc w:val="right"/>
            </w:pPr>
            <w:r>
              <w:rPr>
                <w:color w:val="1C3A36"/>
                <w:sz w:val="16"/>
              </w:rPr>
              <w:t>85.13</w:t>
            </w:r>
          </w:p>
        </w:tc>
        <w:tc>
          <w:tcPr>
            <w:tcW w:type="dxa" w:w="1541"/>
          </w:tcPr>
          <w:p>
            <w:pPr>
              <w:spacing w:after="20"/>
              <w:jc w:val="right"/>
            </w:pPr>
            <w:r>
              <w:rPr>
                <w:color w:val="1C3A36"/>
                <w:sz w:val="16"/>
              </w:rPr>
              <w:t>82.64</w:t>
            </w:r>
          </w:p>
        </w:tc>
        <w:tc>
          <w:tcPr>
            <w:tcW w:type="dxa" w:w="1541"/>
          </w:tcPr>
          <w:p>
            <w:pPr>
              <w:spacing w:after="20"/>
              <w:jc w:val="right"/>
            </w:pPr>
            <w:r>
              <w:rPr>
                <w:color w:val="1C3A36"/>
                <w:sz w:val="16"/>
              </w:rPr>
              <w:t>80.23</w:t>
            </w:r>
          </w:p>
        </w:tc>
        <w:tc>
          <w:tcPr>
            <w:tcW w:type="dxa" w:w="1541"/>
          </w:tcPr>
          <w:p>
            <w:pPr>
              <w:spacing w:after="20"/>
              <w:jc w:val="right"/>
            </w:pPr>
            <w:r>
              <w:rPr>
                <w:color w:val="1C3A36"/>
                <w:sz w:val="16"/>
              </w:rPr>
              <w:t>77.91</w:t>
            </w:r>
          </w:p>
        </w:tc>
        <w:tc>
          <w:tcPr>
            <w:tcW w:type="dxa" w:w="1541"/>
          </w:tcPr>
          <w:p>
            <w:pPr>
              <w:spacing w:after="20"/>
              <w:jc w:val="right"/>
            </w:pPr>
            <w:r>
              <w:rPr>
                <w:color w:val="1C3A36"/>
                <w:sz w:val="16"/>
              </w:rPr>
              <w:t>75.67</w:t>
            </w:r>
          </w:p>
        </w:tc>
      </w:tr>
      <w:tr>
        <w:tc>
          <w:tcPr>
            <w:tcW w:type="dxa" w:w="2333"/>
          </w:tcPr>
          <w:p>
            <w:pPr>
              <w:spacing w:after="20"/>
            </w:pPr>
            <w:r>
              <w:rPr>
                <w:color w:val="1C3A36"/>
                <w:sz w:val="16"/>
              </w:rPr>
              <w:t>terminal 16.9%</w:t>
            </w:r>
          </w:p>
        </w:tc>
        <w:tc>
          <w:tcPr>
            <w:tcW w:type="dxa" w:w="1541"/>
          </w:tcPr>
          <w:p>
            <w:pPr>
              <w:spacing w:after="20"/>
              <w:jc w:val="right"/>
            </w:pPr>
            <w:r>
              <w:rPr>
                <w:color w:val="1C3A36"/>
                <w:sz w:val="16"/>
              </w:rPr>
              <w:t>72.62</w:t>
            </w:r>
          </w:p>
        </w:tc>
        <w:tc>
          <w:tcPr>
            <w:tcW w:type="dxa" w:w="1541"/>
          </w:tcPr>
          <w:p>
            <w:pPr>
              <w:spacing w:after="20"/>
              <w:jc w:val="right"/>
            </w:pPr>
            <w:r>
              <w:rPr>
                <w:color w:val="1C3A36"/>
                <w:sz w:val="16"/>
              </w:rPr>
              <w:t>70.47</w:t>
            </w:r>
          </w:p>
        </w:tc>
        <w:tc>
          <w:tcPr>
            <w:tcW w:type="dxa" w:w="1541"/>
          </w:tcPr>
          <w:p>
            <w:pPr>
              <w:spacing w:after="20"/>
              <w:jc w:val="right"/>
            </w:pPr>
            <w:r>
              <w:rPr>
                <w:color w:val="1C3A36"/>
                <w:sz w:val="16"/>
              </w:rPr>
              <w:t>68.39</w:t>
            </w:r>
          </w:p>
        </w:tc>
        <w:tc>
          <w:tcPr>
            <w:tcW w:type="dxa" w:w="1541"/>
          </w:tcPr>
          <w:p>
            <w:pPr>
              <w:spacing w:after="20"/>
              <w:jc w:val="right"/>
            </w:pPr>
            <w:r>
              <w:rPr>
                <w:color w:val="1C3A36"/>
                <w:sz w:val="16"/>
              </w:rPr>
              <w:t>66.39</w:t>
            </w:r>
          </w:p>
        </w:tc>
        <w:tc>
          <w:tcPr>
            <w:tcW w:type="dxa" w:w="1541"/>
          </w:tcPr>
          <w:p>
            <w:pPr>
              <w:spacing w:after="20"/>
              <w:jc w:val="right"/>
            </w:pPr>
            <w:r>
              <w:rPr>
                <w:color w:val="1C3A36"/>
                <w:sz w:val="16"/>
              </w:rPr>
              <w:t>64.46</w:t>
            </w:r>
          </w:p>
        </w:tc>
      </w:tr>
      <w:tr>
        <w:tc>
          <w:tcPr>
            <w:tcW w:type="dxa" w:w="2333"/>
          </w:tcPr>
          <w:p>
            <w:pPr>
              <w:spacing w:after="20"/>
            </w:pPr>
            <w:r>
              <w:rPr>
                <w:color w:val="1C3A36"/>
                <w:sz w:val="16"/>
              </w:rPr>
              <w:t>terminal 17.9%</w:t>
            </w:r>
          </w:p>
        </w:tc>
        <w:tc>
          <w:tcPr>
            <w:tcW w:type="dxa" w:w="1541"/>
          </w:tcPr>
          <w:p>
            <w:pPr>
              <w:spacing w:after="20"/>
              <w:jc w:val="right"/>
            </w:pPr>
            <w:r>
              <w:rPr>
                <w:color w:val="1C3A36"/>
                <w:sz w:val="16"/>
              </w:rPr>
              <w:t>62.99</w:t>
            </w:r>
          </w:p>
        </w:tc>
        <w:tc>
          <w:tcPr>
            <w:tcW w:type="dxa" w:w="1541"/>
          </w:tcPr>
          <w:p>
            <w:pPr>
              <w:spacing w:after="20"/>
              <w:jc w:val="right"/>
            </w:pPr>
            <w:r>
              <w:rPr>
                <w:color w:val="1C3A36"/>
                <w:sz w:val="16"/>
              </w:rPr>
              <w:t>61.10</w:t>
            </w:r>
          </w:p>
        </w:tc>
        <w:tc>
          <w:tcPr>
            <w:tcW w:type="dxa" w:w="1541"/>
          </w:tcPr>
          <w:p>
            <w:pPr>
              <w:spacing w:after="20"/>
              <w:jc w:val="right"/>
            </w:pPr>
            <w:r>
              <w:rPr>
                <w:color w:val="1C3A36"/>
                <w:sz w:val="16"/>
              </w:rPr>
              <w:t>59.28</w:t>
            </w:r>
          </w:p>
        </w:tc>
        <w:tc>
          <w:tcPr>
            <w:tcW w:type="dxa" w:w="1541"/>
          </w:tcPr>
          <w:p>
            <w:pPr>
              <w:spacing w:after="20"/>
              <w:jc w:val="right"/>
            </w:pPr>
            <w:r>
              <w:rPr>
                <w:color w:val="1C3A36"/>
                <w:sz w:val="16"/>
              </w:rPr>
              <w:t>57.52</w:t>
            </w:r>
          </w:p>
        </w:tc>
        <w:tc>
          <w:tcPr>
            <w:tcW w:type="dxa" w:w="1541"/>
          </w:tcPr>
          <w:p>
            <w:pPr>
              <w:spacing w:after="20"/>
              <w:jc w:val="right"/>
            </w:pPr>
            <w:r>
              <w:rPr>
                <w:color w:val="1C3A36"/>
                <w:sz w:val="16"/>
              </w:rPr>
              <w:t>55.83</w:t>
            </w:r>
          </w:p>
        </w:tc>
      </w:tr>
      <w:tr>
        <w:tc>
          <w:tcPr>
            <w:tcW w:type="dxa" w:w="2333"/>
          </w:tcPr>
          <w:p>
            <w:pPr>
              <w:spacing w:after="20"/>
            </w:pPr>
            <w:r>
              <w:rPr>
                <w:color w:val="1C3A36"/>
                <w:sz w:val="16"/>
              </w:rPr>
              <w:t>terminal 18.9%</w:t>
            </w:r>
          </w:p>
        </w:tc>
        <w:tc>
          <w:tcPr>
            <w:tcW w:type="dxa" w:w="1541"/>
          </w:tcPr>
          <w:p>
            <w:pPr>
              <w:spacing w:after="20"/>
              <w:jc w:val="right"/>
            </w:pPr>
            <w:r>
              <w:rPr>
                <w:color w:val="1C3A36"/>
                <w:sz w:val="16"/>
              </w:rPr>
              <w:t>55.36</w:t>
            </w:r>
          </w:p>
        </w:tc>
        <w:tc>
          <w:tcPr>
            <w:tcW w:type="dxa" w:w="1541"/>
          </w:tcPr>
          <w:p>
            <w:pPr>
              <w:spacing w:after="20"/>
              <w:jc w:val="right"/>
            </w:pPr>
            <w:r>
              <w:rPr>
                <w:color w:val="1C3A36"/>
                <w:sz w:val="16"/>
              </w:rPr>
              <w:t>53.68</w:t>
            </w:r>
          </w:p>
        </w:tc>
        <w:tc>
          <w:tcPr>
            <w:tcW w:type="dxa" w:w="1541"/>
          </w:tcPr>
          <w:p>
            <w:pPr>
              <w:spacing w:after="20"/>
              <w:jc w:val="right"/>
            </w:pPr>
            <w:r>
              <w:rPr>
                <w:color w:val="1C3A36"/>
                <w:sz w:val="16"/>
              </w:rPr>
              <w:t>52.06</w:t>
            </w:r>
          </w:p>
        </w:tc>
        <w:tc>
          <w:tcPr>
            <w:tcW w:type="dxa" w:w="1541"/>
          </w:tcPr>
          <w:p>
            <w:pPr>
              <w:spacing w:after="20"/>
              <w:jc w:val="right"/>
            </w:pPr>
            <w:r>
              <w:rPr>
                <w:color w:val="1C3A36"/>
                <w:sz w:val="16"/>
              </w:rPr>
              <w:t>50.50</w:t>
            </w:r>
          </w:p>
        </w:tc>
        <w:tc>
          <w:tcPr>
            <w:tcW w:type="dxa" w:w="1541"/>
          </w:tcPr>
          <w:p>
            <w:pPr>
              <w:spacing w:after="20"/>
              <w:jc w:val="right"/>
            </w:pPr>
            <w:r>
              <w:rPr>
                <w:color w:val="1C3A36"/>
                <w:sz w:val="16"/>
              </w:rPr>
              <w:t>48.98</w:t>
            </w:r>
          </w:p>
        </w:tc>
      </w:tr>
      <w:tr>
        <w:tc>
          <w:tcPr>
            <w:tcW w:type="dxa" w:w="2333"/>
          </w:tcPr>
          <w:p>
            <w:pPr>
              <w:spacing w:after="20"/>
            </w:pPr>
            <w:r>
              <w:rPr>
                <w:color w:val="1C3A36"/>
                <w:sz w:val="16"/>
              </w:rPr>
              <w:t>terminal 19.9%</w:t>
            </w:r>
          </w:p>
        </w:tc>
        <w:tc>
          <w:tcPr>
            <w:tcW w:type="dxa" w:w="1541"/>
          </w:tcPr>
          <w:p>
            <w:pPr>
              <w:spacing w:after="20"/>
              <w:jc w:val="right"/>
            </w:pPr>
            <w:r>
              <w:rPr>
                <w:color w:val="1C3A36"/>
                <w:sz w:val="16"/>
              </w:rPr>
              <w:t>49.16</w:t>
            </w:r>
          </w:p>
        </w:tc>
        <w:tc>
          <w:tcPr>
            <w:tcW w:type="dxa" w:w="1541"/>
          </w:tcPr>
          <w:p>
            <w:pPr>
              <w:spacing w:after="20"/>
              <w:jc w:val="right"/>
            </w:pPr>
            <w:r>
              <w:rPr>
                <w:color w:val="1C3A36"/>
                <w:sz w:val="16"/>
              </w:rPr>
              <w:t>47.65</w:t>
            </w:r>
          </w:p>
        </w:tc>
        <w:tc>
          <w:tcPr>
            <w:tcW w:type="dxa" w:w="1541"/>
          </w:tcPr>
          <w:p>
            <w:pPr>
              <w:spacing w:after="20"/>
              <w:jc w:val="right"/>
            </w:pPr>
            <w:r>
              <w:rPr>
                <w:color w:val="1C3A36"/>
                <w:sz w:val="16"/>
              </w:rPr>
              <w:t>46.20</w:t>
            </w:r>
          </w:p>
        </w:tc>
        <w:tc>
          <w:tcPr>
            <w:tcW w:type="dxa" w:w="1541"/>
          </w:tcPr>
          <w:p>
            <w:pPr>
              <w:spacing w:after="20"/>
              <w:jc w:val="right"/>
            </w:pPr>
            <w:r>
              <w:rPr>
                <w:color w:val="1C3A36"/>
                <w:sz w:val="16"/>
              </w:rPr>
              <w:t>44.79</w:t>
            </w:r>
          </w:p>
        </w:tc>
        <w:tc>
          <w:tcPr>
            <w:tcW w:type="dxa" w:w="1541"/>
          </w:tcPr>
          <w:p>
            <w:pPr>
              <w:spacing w:after="20"/>
              <w:jc w:val="right"/>
            </w:pPr>
            <w:r>
              <w:rPr>
                <w:color w:val="1C3A36"/>
                <w:sz w:val="16"/>
              </w:rPr>
              <w:t>43.43</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56.83 – 87.98</w:t>
            </w:r>
          </w:p>
        </w:tc>
        <w:tc>
          <w:tcPr>
            <w:tcW w:type="dxa" w:w="1944"/>
          </w:tcPr>
          <w:p>
            <w:pPr>
              <w:spacing w:after="20"/>
              <w:jc w:val="right"/>
            </w:pPr>
            <w:r>
              <w:rPr>
                <w:color w:val="1C3A36"/>
                <w:sz w:val="17"/>
              </w:rPr>
              <w:t>31.16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59.28 – 59.28</w:t>
            </w:r>
          </w:p>
        </w:tc>
        <w:tc>
          <w:tcPr>
            <w:tcW w:type="dxa" w:w="1944"/>
          </w:tcPr>
          <w:p>
            <w:pPr>
              <w:spacing w:after="20"/>
              <w:jc w:val="right"/>
            </w:pPr>
            <w:r>
              <w:rPr>
                <w:color w:val="1C3A36"/>
                <w:sz w:val="17"/>
              </w:rPr>
              <w:t>0.00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31.94 – 86.62</w:t>
            </w:r>
          </w:p>
        </w:tc>
        <w:tc>
          <w:tcPr>
            <w:tcW w:type="dxa" w:w="1944"/>
          </w:tcPr>
          <w:p>
            <w:pPr>
              <w:spacing w:after="20"/>
              <w:jc w:val="right"/>
            </w:pPr>
            <w:r>
              <w:rPr>
                <w:color w:val="1C3A36"/>
                <w:sz w:val="17"/>
              </w:rPr>
              <w:t>54.68</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59.28 – 59.28</w:t>
            </w:r>
          </w:p>
        </w:tc>
        <w:tc>
          <w:tcPr>
            <w:tcW w:type="dxa" w:w="1944"/>
          </w:tcPr>
          <w:p>
            <w:pPr>
              <w:spacing w:after="20"/>
              <w:jc w:val="right"/>
            </w:pPr>
            <w:r>
              <w:rPr>
                <w:color w:val="1C3A36"/>
                <w:sz w:val="17"/>
              </w:rPr>
              <w:t>0.00</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49.09 – 67.45</w:t>
            </w:r>
          </w:p>
        </w:tc>
        <w:tc>
          <w:tcPr>
            <w:tcW w:type="dxa" w:w="1944"/>
          </w:tcPr>
          <w:p>
            <w:pPr>
              <w:spacing w:after="20"/>
              <w:jc w:val="right"/>
            </w:pPr>
            <w:r>
              <w:rPr>
                <w:color w:val="1C3A36"/>
                <w:sz w:val="17"/>
              </w:rPr>
              <w:t>18.36</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45.13 – 78.50</w:t>
            </w:r>
          </w:p>
        </w:tc>
        <w:tc>
          <w:tcPr>
            <w:tcW w:type="dxa" w:w="1944"/>
          </w:tcPr>
          <w:p>
            <w:pPr>
              <w:spacing w:after="20"/>
              <w:jc w:val="right"/>
            </w:pPr>
            <w:r>
              <w:rPr>
                <w:color w:val="1C3A36"/>
                <w:sz w:val="17"/>
              </w:rPr>
              <w:t>33.37</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54.67 – 66.23</w:t>
            </w:r>
          </w:p>
        </w:tc>
        <w:tc>
          <w:tcPr>
            <w:tcW w:type="dxa" w:w="1944"/>
          </w:tcPr>
          <w:p>
            <w:pPr>
              <w:spacing w:after="20"/>
              <w:jc w:val="right"/>
            </w:pPr>
            <w:r>
              <w:rPr>
                <w:color w:val="1C3A36"/>
                <w:sz w:val="17"/>
              </w:rPr>
              <w:t>11.55</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59.28 against the published central of 59.28.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59.28;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59.28 central, -54%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59.28, -54%</w:t>
            </w:r>
          </w:p>
        </w:tc>
        <w:tc>
          <w:tcPr>
            <w:tcW w:type="dxa" w:w="4248"/>
          </w:tcPr>
          <w:p>
            <w:pPr>
              <w:spacing w:after="20"/>
              <w:jc w:val="right"/>
            </w:pPr>
            <w:r>
              <w:rPr>
                <w:color w:val="1C3A36"/>
                <w:sz w:val="17"/>
              </w:rPr>
              <w:t>a cost of capital gliding 26.7% to 17.9%</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67.84, -48%</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78.13, -40%</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67.84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59.28</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+9.29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85%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67.84.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13,537mn (6.32 per share) from the equity value — EGP 3.93 per share MORE than deducting the audited book value of 5,119mn would (an earlier wording conflated the total charge with the excess; this states both). It is also the internally consistent choice: this study values the group's equity at 1.3×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55,346</w:t>
            </w:r>
          </w:p>
        </w:tc>
        <w:tc>
          <w:tcPr>
            <w:tcW w:type="dxa" w:w="950"/>
          </w:tcPr>
          <w:p>
            <w:pPr>
              <w:spacing w:after="20"/>
              <w:jc w:val="right"/>
            </w:pPr>
            <w:r>
              <w:rPr>
                <w:color w:val="1C3A36"/>
                <w:sz w:val="15"/>
              </w:rPr>
              <w:t>64,177</w:t>
            </w:r>
          </w:p>
        </w:tc>
        <w:tc>
          <w:tcPr>
            <w:tcW w:type="dxa" w:w="950"/>
          </w:tcPr>
          <w:p>
            <w:pPr>
              <w:spacing w:after="20"/>
              <w:jc w:val="right"/>
            </w:pPr>
            <w:r>
              <w:rPr>
                <w:color w:val="1C3A36"/>
                <w:sz w:val="15"/>
              </w:rPr>
              <w:t>72,980</w:t>
            </w:r>
          </w:p>
        </w:tc>
        <w:tc>
          <w:tcPr>
            <w:tcW w:type="dxa" w:w="950"/>
          </w:tcPr>
          <w:p>
            <w:pPr>
              <w:spacing w:after="20"/>
              <w:jc w:val="right"/>
            </w:pPr>
            <w:r>
              <w:rPr>
                <w:color w:val="1C3A36"/>
                <w:sz w:val="15"/>
              </w:rPr>
              <w:t>81,828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38,286</w:t>
            </w:r>
          </w:p>
        </w:tc>
        <w:tc>
          <w:tcPr>
            <w:tcW w:type="dxa" w:w="950"/>
            <w:shd w:val="clear" w:color="auto" w:fill="F6F1E6"/>
          </w:tcPr>
          <w:p>
            <w:pPr>
              <w:spacing w:after="20"/>
              <w:jc w:val="right"/>
            </w:pPr>
            <w:r>
              <w:rPr>
                <w:b/>
                <w:color w:val="1C3A36"/>
                <w:sz w:val="15"/>
              </w:rPr>
              <w:t>46,512</w:t>
            </w:r>
          </w:p>
        </w:tc>
        <w:tc>
          <w:tcPr>
            <w:tcW w:type="dxa" w:w="950"/>
            <w:shd w:val="clear" w:color="auto" w:fill="F6F1E6"/>
          </w:tcPr>
          <w:p>
            <w:pPr>
              <w:spacing w:after="20"/>
              <w:jc w:val="right"/>
            </w:pPr>
            <w:r>
              <w:rPr>
                <w:b/>
                <w:color w:val="1C3A36"/>
                <w:sz w:val="15"/>
              </w:rPr>
              <w:t>54,041</w:t>
            </w:r>
          </w:p>
        </w:tc>
        <w:tc>
          <w:tcPr>
            <w:tcW w:type="dxa" w:w="950"/>
            <w:shd w:val="clear" w:color="auto" w:fill="F6F1E6"/>
          </w:tcPr>
          <w:p>
            <w:pPr>
              <w:spacing w:after="20"/>
              <w:jc w:val="right"/>
            </w:pPr>
            <w:r>
              <w:rPr>
                <w:b/>
                <w:color w:val="1C3A36"/>
                <w:sz w:val="15"/>
              </w:rPr>
              <w:t>61,508</w:t>
            </w:r>
          </w:p>
        </w:tc>
        <w:tc>
          <w:tcPr>
            <w:tcW w:type="dxa" w:w="950"/>
            <w:shd w:val="clear" w:color="auto" w:fill="F6F1E6"/>
          </w:tcPr>
          <w:p>
            <w:pPr>
              <w:spacing w:after="20"/>
              <w:jc w:val="right"/>
            </w:pPr>
            <w:r>
              <w:rPr>
                <w:b/>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(3,961)</w:t>
            </w:r>
          </w:p>
        </w:tc>
        <w:tc>
          <w:tcPr>
            <w:tcW w:type="dxa" w:w="950"/>
          </w:tcPr>
          <w:p>
            <w:pPr>
              <w:spacing w:after="20"/>
              <w:jc w:val="right"/>
            </w:pPr>
            <w:r>
              <w:rPr>
                <w:color w:val="1C3A36"/>
                <w:sz w:val="15"/>
              </w:rPr>
              <w:t>(4,726)</w:t>
            </w:r>
          </w:p>
        </w:tc>
        <w:tc>
          <w:tcPr>
            <w:tcW w:type="dxa" w:w="950"/>
          </w:tcPr>
          <w:p>
            <w:pPr>
              <w:spacing w:after="20"/>
              <w:jc w:val="right"/>
            </w:pPr>
            <w:r>
              <w:rPr>
                <w:color w:val="1C3A36"/>
                <w:sz w:val="15"/>
              </w:rPr>
              <w:t>(5,423)</w:t>
            </w:r>
          </w:p>
        </w:tc>
        <w:tc>
          <w:tcPr>
            <w:tcW w:type="dxa" w:w="950"/>
          </w:tcPr>
          <w:p>
            <w:pPr>
              <w:spacing w:after="20"/>
              <w:jc w:val="right"/>
            </w:pPr>
            <w:r>
              <w:rPr>
                <w:color w:val="1C3A36"/>
                <w:sz w:val="15"/>
              </w:rPr>
              <w:t>(6,137)</w:t>
            </w:r>
          </w:p>
        </w:tc>
        <w:tc>
          <w:tcPr>
            <w:tcW w:type="dxa" w:w="950"/>
          </w:tcPr>
          <w:p>
            <w:pPr>
              <w:spacing w:after="20"/>
              <w:jc w:val="right"/>
            </w:pPr>
            <w:r>
              <w:rPr>
                <w:color w:val="1C3A36"/>
                <w:sz w:val="15"/>
              </w:rPr>
              <w:t>(6,881)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41,785</w:t>
            </w:r>
          </w:p>
        </w:tc>
        <w:tc>
          <w:tcPr>
            <w:tcW w:type="dxa" w:w="950"/>
            <w:shd w:val="clear" w:color="auto" w:fill="F6F1E6"/>
          </w:tcPr>
          <w:p>
            <w:pPr>
              <w:spacing w:after="20"/>
              <w:jc w:val="right"/>
            </w:pPr>
            <w:r>
              <w:rPr>
                <w:b/>
                <w:color w:val="1C3A36"/>
                <w:sz w:val="15"/>
              </w:rPr>
              <w:t>48,618</w:t>
            </w:r>
          </w:p>
        </w:tc>
        <w:tc>
          <w:tcPr>
            <w:tcW w:type="dxa" w:w="950"/>
            <w:shd w:val="clear" w:color="auto" w:fill="F6F1E6"/>
          </w:tcPr>
          <w:p>
            <w:pPr>
              <w:spacing w:after="20"/>
              <w:jc w:val="right"/>
            </w:pPr>
            <w:r>
              <w:rPr>
                <w:b/>
                <w:color w:val="1C3A36"/>
                <w:sz w:val="15"/>
              </w:rPr>
              <w:t>55,371</w:t>
            </w:r>
          </w:p>
        </w:tc>
        <w:tc>
          <w:tcPr>
            <w:tcW w:type="dxa" w:w="950"/>
            <w:shd w:val="clear" w:color="auto" w:fill="F6F1E6"/>
          </w:tcPr>
          <w:p>
            <w:pPr>
              <w:spacing w:after="20"/>
              <w:jc w:val="right"/>
            </w:pPr>
            <w:r>
              <w:rPr>
                <w:b/>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(3,031)</w:t>
            </w:r>
          </w:p>
        </w:tc>
        <w:tc>
          <w:tcPr>
            <w:tcW w:type="dxa" w:w="950"/>
          </w:tcPr>
          <w:p>
            <w:pPr>
              <w:spacing w:after="20"/>
              <w:jc w:val="right"/>
            </w:pPr>
            <w:r>
              <w:rPr>
                <w:color w:val="1C3A36"/>
                <w:sz w:val="15"/>
              </w:rPr>
              <w:t>(3,547)</w:t>
            </w:r>
          </w:p>
        </w:tc>
        <w:tc>
          <w:tcPr>
            <w:tcW w:type="dxa" w:w="950"/>
          </w:tcPr>
          <w:p>
            <w:pPr>
              <w:spacing w:after="20"/>
              <w:jc w:val="right"/>
            </w:pPr>
            <w:r>
              <w:rPr>
                <w:color w:val="1C3A36"/>
                <w:sz w:val="15"/>
              </w:rPr>
              <w:t>(4,081)</w:t>
            </w:r>
          </w:p>
        </w:tc>
        <w:tc>
          <w:tcPr>
            <w:tcW w:type="dxa" w:w="950"/>
          </w:tcPr>
          <w:p>
            <w:pPr>
              <w:spacing w:after="20"/>
              <w:jc w:val="right"/>
            </w:pPr>
            <w:r>
              <w:rPr>
                <w:color w:val="1C3A36"/>
                <w:sz w:val="15"/>
              </w:rPr>
              <w:t>(4,623)</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28,300</w:t>
            </w:r>
          </w:p>
        </w:tc>
        <w:tc>
          <w:tcPr>
            <w:tcW w:type="dxa" w:w="950"/>
            <w:shd w:val="clear" w:color="auto" w:fill="F6F1E6"/>
          </w:tcPr>
          <w:p>
            <w:pPr>
              <w:spacing w:after="20"/>
              <w:jc w:val="right"/>
            </w:pPr>
            <w:r>
              <w:rPr>
                <w:b/>
                <w:color w:val="1C3A36"/>
                <w:sz w:val="15"/>
              </w:rPr>
              <w:t>33,119</w:t>
            </w:r>
          </w:p>
        </w:tc>
        <w:tc>
          <w:tcPr>
            <w:tcW w:type="dxa" w:w="950"/>
            <w:shd w:val="clear" w:color="auto" w:fill="F6F1E6"/>
          </w:tcPr>
          <w:p>
            <w:pPr>
              <w:spacing w:after="20"/>
              <w:jc w:val="right"/>
            </w:pPr>
            <w:r>
              <w:rPr>
                <w:b/>
                <w:color w:val="1C3A36"/>
                <w:sz w:val="15"/>
              </w:rPr>
              <w:t>38,098</w:t>
            </w:r>
          </w:p>
        </w:tc>
        <w:tc>
          <w:tcPr>
            <w:tcW w:type="dxa" w:w="950"/>
            <w:shd w:val="clear" w:color="auto" w:fill="F6F1E6"/>
          </w:tcPr>
          <w:p>
            <w:pPr>
              <w:spacing w:after="20"/>
              <w:jc w:val="right"/>
            </w:pPr>
            <w:r>
              <w:rPr>
                <w:b/>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13.22</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17.80</w:t>
            </w:r>
          </w:p>
        </w:tc>
        <w:tc>
          <w:tcPr>
            <w:tcW w:type="dxa" w:w="950"/>
          </w:tcPr>
          <w:p>
            <w:pPr>
              <w:spacing w:after="20"/>
              <w:jc w:val="right"/>
            </w:pPr>
            <w:r>
              <w:rPr>
                <w:color w:val="1C3A36"/>
                <w:sz w:val="15"/>
              </w:rPr>
              <w:t>20.16</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0.00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41.70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18.36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54.68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33.37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173.71 and 103.51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173.71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127.48 – 219.94</w:t>
            </w:r>
          </w:p>
        </w:tc>
      </w:tr>
    </w:tbl>
    <w:p>
      <w:pPr>
        <w:spacing w:after="40"/>
      </w:pPr>
    </w:p>
    <w:p>
      <w:pPr>
        <w:spacing w:after="120" w:before="0"/>
      </w:pPr>
      <w:r>
        <w:rPr>
          <w:b w:val="0"/>
          <w:i w:val="0"/>
          <w:color w:val="1C3A36"/>
          <w:sz w:val="21"/>
        </w:rPr>
        <w:t>Named sensitivity: each one-turn change in the multiple is worth EGP 15.65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(19.8%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67.30</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31.35 – 50.02</w:t>
            </w:r>
          </w:p>
        </w:tc>
      </w:tr>
    </w:tbl>
    <w:p>
      <w:pPr>
        <w:spacing w:after="40"/>
      </w:pPr>
    </w:p>
    <w:p>
      <w:pPr>
        <w:spacing w:after="120" w:before="0"/>
      </w:pPr>
      <w:r>
        <w:rPr>
          <w:b w:val="0"/>
          <w:i w:val="0"/>
          <w:color w:val="1C3A36"/>
          <w:sz w:val="21"/>
        </w:rPr>
        <w:t>This is the harshest of the three readings, at EGP 67.30,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14,097</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29,158</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136,818</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59.36</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50.01 – 67.84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23.7%</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19.3%</w:t>
            </w:r>
          </w:p>
        </w:tc>
        <w:tc>
          <w:tcPr>
            <w:tcW w:type="dxa" w:w="1426"/>
          </w:tcPr>
          <w:p>
            <w:pPr>
              <w:spacing w:after="20"/>
              <w:jc w:val="right"/>
            </w:pPr>
            <w:r>
              <w:rPr>
                <w:color w:val="1C3A36"/>
                <w:sz w:val="16"/>
              </w:rPr>
              <w:t>17.9%</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-2.0pp</w:t>
            </w:r>
          </w:p>
        </w:tc>
        <w:tc>
          <w:tcPr>
            <w:tcW w:type="dxa" w:w="1426"/>
          </w:tcPr>
          <w:p>
            <w:pPr>
              <w:spacing w:after="20"/>
              <w:jc w:val="right"/>
            </w:pPr>
            <w:r>
              <w:rPr>
                <w:color w:val="1C3A36"/>
                <w:sz w:val="16"/>
              </w:rPr>
              <w:t>+0.3pp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+2.7pp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3,133</w:t>
            </w:r>
          </w:p>
        </w:tc>
        <w:tc>
          <w:tcPr>
            <w:tcW w:type="dxa" w:w="1426"/>
            <w:shd w:val="clear" w:color="auto" w:fill="F6F1E6"/>
          </w:tcPr>
          <w:p>
            <w:pPr>
              <w:spacing w:after="20"/>
              <w:jc w:val="right"/>
            </w:pPr>
            <w:r>
              <w:rPr>
                <w:b/>
                <w:color w:val="1C3A36"/>
                <w:sz w:val="16"/>
              </w:rPr>
              <w:t>5,873</w:t>
            </w:r>
          </w:p>
        </w:tc>
        <w:tc>
          <w:tcPr>
            <w:tcW w:type="dxa" w:w="1426"/>
            <w:shd w:val="clear" w:color="auto" w:fill="F6F1E6"/>
          </w:tcPr>
          <w:p>
            <w:pPr>
              <w:spacing w:after="20"/>
              <w:jc w:val="right"/>
            </w:pPr>
            <w:r>
              <w:rPr>
                <w:b/>
                <w:color w:val="1C3A36"/>
                <w:sz w:val="16"/>
              </w:rPr>
              <w:t>8,878</w:t>
            </w:r>
          </w:p>
        </w:tc>
        <w:tc>
          <w:tcPr>
            <w:tcW w:type="dxa" w:w="1426"/>
            <w:shd w:val="clear" w:color="auto" w:fill="F6F1E6"/>
          </w:tcPr>
          <w:p>
            <w:pPr>
              <w:spacing w:after="20"/>
              <w:jc w:val="right"/>
            </w:pPr>
            <w:r>
              <w:rPr>
                <w:b/>
                <w:color w:val="1C3A36"/>
                <w:sz w:val="16"/>
              </w:rPr>
              <w:t>11,538</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(136,818) and the DCF's (153,722) differ by 16,904: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67.30; the vertical line is the market price of 130.00.</w:t>
      </w:r>
    </w:p>
    <w:p>
      <w:pPr>
        <w:spacing w:after="120" w:before="0"/>
      </w:pPr>
      <w:r>
        <w:rPr>
          <w:b w:val="0"/>
          <w:i w:val="0"/>
          <w:color w:val="1C3A36"/>
          <w:sz w:val="21"/>
        </w:rPr>
        <w:t>The panel spans EGP 59.36 to 173.71 — a factor of 2.9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67.30 sits -48% against the market price and +14% against the study's own central of 59.28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19.8%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85%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