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i w:val="0"/>
          <w:color w:val="1C3A36"/>
          <w:sz w:val="40"/>
        </w:rPr>
        <w:t>ADNOC Drilling Company P.J.S.C.</w:t>
      </w:r>
    </w:p>
    <w:p>
      <w:pPr>
        <w:spacing w:after="80" w:before="0"/>
      </w:pPr>
      <w:r>
        <w:rPr>
          <w:b/>
          <w:i w:val="0"/>
          <w:color w:val="896F36"/>
          <w:sz w:val="26"/>
        </w:rPr>
        <w:t>Bibliography and input register</w:t>
      </w:r>
    </w:p>
    <w:p>
      <w:pPr>
        <w:spacing w:after="240" w:before="0"/>
      </w:pPr>
      <w:r>
        <w:rPr>
          <w:b w:val="0"/>
          <w:i w:val="0"/>
          <w:color w:val="6E7B77"/>
          <w:sz w:val="21"/>
        </w:rPr>
        <w:t>Companion to the valuation study of 9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Why this document exists. </w:t>
            </w:r>
            <w:r>
              <w:rPr>
                <w:color w:val="1C3A36"/>
                <w:sz w:val="19"/>
              </w:rPr>
              <w:t>A valuation is only as good as what it was built from. This document lists every source that was read, every number that entered the model with its value and its date, every judgement that was made and what would overturn it, and — just as important — everything that was looked for and could not be found.</w:t>
            </w:r>
          </w:p>
          <w:p>
            <w:pPr>
              <w:spacing w:after="100"/>
            </w:pPr>
            <w:r>
              <w:rPr>
                <w:b/>
                <w:color w:val="1C3A36"/>
                <w:sz w:val="19"/>
              </w:rPr>
              <w:t xml:space="preserve">The rule that governs it. </w:t>
            </w:r>
            <w:r>
              <w:rPr>
                <w:color w:val="1C3A36"/>
                <w:sz w:val="19"/>
              </w:rPr>
              <w:t>Every historical figure about ADNOC Drilling comes from the company's own issued financial statements and disclosures, read from an official source. No data vendor, broker note, press report or search-result extract is a source for any figure about the company itself. Third-party data appears in exactly one place — the peer comparison — and is labelled as such.</w:t>
            </w:r>
          </w:p>
        </w:tc>
      </w:tr>
    </w:tbl>
    <w:p>
      <w:pPr>
        <w:spacing w:after="40"/>
      </w:pPr>
    </w:p>
    <w:p>
      <w:pPr>
        <w:spacing w:after="120" w:before="280"/>
      </w:pPr>
      <w:r>
        <w:rPr>
          <w:b/>
          <w:i w:val="0"/>
          <w:color w:val="1C3A36"/>
          <w:sz w:val="30"/>
        </w:rPr>
        <w:t>1. Primary documents 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57"/>
        <w:gridCol w:w="1827"/>
        <w:gridCol w:w="2331"/>
        <w:gridCol w:w="1323"/>
        <w:gridCol w:w="2142"/>
      </w:tblGrid>
      <w:tr>
        <w:tc>
          <w:tcPr>
            <w:tcW w:type="dxa" w:w="2457"/>
            <w:shd w:val="clear" w:color="auto" w:fill="EAF0EE"/>
          </w:tcPr>
          <w:p>
            <w:pPr>
              <w:spacing w:after="20"/>
            </w:pPr>
            <w:r>
              <w:rPr>
                <w:b/>
                <w:color w:val="1C3A36"/>
                <w:sz w:val="16"/>
              </w:rPr>
              <w:t>Document</w:t>
            </w:r>
          </w:p>
        </w:tc>
        <w:tc>
          <w:tcPr>
            <w:tcW w:type="dxa" w:w="1827"/>
            <w:shd w:val="clear" w:color="auto" w:fill="EAF0EE"/>
          </w:tcPr>
          <w:p>
            <w:pPr>
              <w:spacing w:after="20"/>
            </w:pPr>
            <w:r>
              <w:rPr>
                <w:b/>
                <w:color w:val="1C3A36"/>
                <w:sz w:val="16"/>
              </w:rPr>
              <w:t>Period</w:t>
            </w:r>
          </w:p>
        </w:tc>
        <w:tc>
          <w:tcPr>
            <w:tcW w:type="dxa" w:w="2331"/>
            <w:shd w:val="clear" w:color="auto" w:fill="EAF0EE"/>
          </w:tcPr>
          <w:p>
            <w:pPr>
              <w:spacing w:after="20"/>
            </w:pPr>
            <w:r>
              <w:rPr>
                <w:b/>
                <w:color w:val="1C3A36"/>
                <w:sz w:val="16"/>
              </w:rPr>
              <w:t>Status</w:t>
            </w:r>
          </w:p>
        </w:tc>
        <w:tc>
          <w:tcPr>
            <w:tcW w:type="dxa" w:w="1323"/>
            <w:shd w:val="clear" w:color="auto" w:fill="EAF0EE"/>
          </w:tcPr>
          <w:p>
            <w:pPr>
              <w:spacing w:after="20"/>
            </w:pPr>
            <w:r>
              <w:rPr>
                <w:b/>
                <w:color w:val="1C3A36"/>
                <w:sz w:val="16"/>
              </w:rPr>
              <w:t>Signed / issued</w:t>
            </w:r>
          </w:p>
        </w:tc>
        <w:tc>
          <w:tcPr>
            <w:tcW w:type="dxa" w:w="2142"/>
            <w:shd w:val="clear" w:color="auto" w:fill="EAF0EE"/>
          </w:tcPr>
          <w:p>
            <w:pPr>
              <w:spacing w:after="20"/>
            </w:pPr>
            <w:r>
              <w:rPr>
                <w:b/>
                <w:color w:val="1C3A36"/>
                <w:sz w:val="16"/>
              </w:rPr>
              <w:t>Where it was obtained</w:t>
            </w:r>
          </w:p>
        </w:tc>
      </w:tr>
      <w:tr>
        <w:tc>
          <w:tcPr>
            <w:tcW w:type="dxa" w:w="2457"/>
          </w:tcPr>
          <w:p>
            <w:pPr>
              <w:spacing w:after="20"/>
            </w:pPr>
            <w:r>
              <w:rPr>
                <w:color w:val="1C3A36"/>
                <w:sz w:val="16"/>
              </w:rPr>
              <w:t>Reports and consolidated financial statements</w:t>
            </w:r>
          </w:p>
        </w:tc>
        <w:tc>
          <w:tcPr>
            <w:tcW w:type="dxa" w:w="1827"/>
          </w:tcPr>
          <w:p>
            <w:pPr>
              <w:spacing w:after="20"/>
              <w:jc w:val="right"/>
            </w:pPr>
            <w:r>
              <w:rPr>
                <w:color w:val="1C3A36"/>
                <w:sz w:val="16"/>
              </w:rPr>
              <w:t>Year ended 31 December 2023</w:t>
            </w:r>
          </w:p>
        </w:tc>
        <w:tc>
          <w:tcPr>
            <w:tcW w:type="dxa" w:w="2331"/>
          </w:tcPr>
          <w:p>
            <w:pPr>
              <w:spacing w:after="20"/>
              <w:jc w:val="right"/>
            </w:pPr>
            <w:r>
              <w:rPr>
                <w:color w:val="1C3A36"/>
                <w:sz w:val="16"/>
              </w:rPr>
              <w:t>Audited — KPMG Lower Gulf Limited, unqualified opinion</w:t>
            </w:r>
          </w:p>
        </w:tc>
        <w:tc>
          <w:tcPr>
            <w:tcW w:type="dxa" w:w="1323"/>
          </w:tcPr>
          <w:p>
            <w:pPr>
              <w:spacing w:after="20"/>
              <w:jc w:val="right"/>
            </w:pPr>
            <w:r>
              <w:rPr>
                <w:color w:val="1C3A36"/>
                <w:sz w:val="16"/>
              </w:rPr>
              <w:t>12 February 2024</w:t>
            </w:r>
          </w:p>
        </w:tc>
        <w:tc>
          <w:tcPr>
            <w:tcW w:type="dxa" w:w="2142"/>
          </w:tcPr>
          <w:p>
            <w:pPr>
              <w:spacing w:after="20"/>
              <w:jc w:val="right"/>
            </w:pPr>
            <w:r>
              <w:rPr>
                <w:color w:val="1C3A36"/>
                <w:sz w:val="16"/>
              </w:rPr>
              <w:t>adnocdrilling.ae — investor relations, financial results and presentations</w:t>
            </w:r>
          </w:p>
        </w:tc>
      </w:tr>
      <w:tr>
        <w:tc>
          <w:tcPr>
            <w:tcW w:type="dxa" w:w="2457"/>
          </w:tcPr>
          <w:p>
            <w:pPr>
              <w:spacing w:after="20"/>
            </w:pPr>
            <w:r>
              <w:rPr>
                <w:color w:val="1C3A36"/>
                <w:sz w:val="16"/>
              </w:rPr>
              <w:t>Reports and consolidated financial statements</w:t>
            </w:r>
          </w:p>
        </w:tc>
        <w:tc>
          <w:tcPr>
            <w:tcW w:type="dxa" w:w="1827"/>
          </w:tcPr>
          <w:p>
            <w:pPr>
              <w:spacing w:after="20"/>
              <w:jc w:val="right"/>
            </w:pPr>
            <w:r>
              <w:rPr>
                <w:color w:val="1C3A36"/>
                <w:sz w:val="16"/>
              </w:rPr>
              <w:t>Year ended 31 December 2024</w:t>
            </w:r>
          </w:p>
        </w:tc>
        <w:tc>
          <w:tcPr>
            <w:tcW w:type="dxa" w:w="2331"/>
          </w:tcPr>
          <w:p>
            <w:pPr>
              <w:spacing w:after="20"/>
              <w:jc w:val="right"/>
            </w:pPr>
            <w:r>
              <w:rPr>
                <w:color w:val="1C3A36"/>
                <w:sz w:val="16"/>
              </w:rPr>
              <w:t>Audited — Deloitte &amp; Touche (M.E.), unqualified opinion</w:t>
            </w:r>
          </w:p>
        </w:tc>
        <w:tc>
          <w:tcPr>
            <w:tcW w:type="dxa" w:w="1323"/>
          </w:tcPr>
          <w:p>
            <w:pPr>
              <w:spacing w:after="20"/>
              <w:jc w:val="right"/>
            </w:pPr>
            <w:r>
              <w:rPr>
                <w:color w:val="1C3A36"/>
                <w:sz w:val="16"/>
              </w:rPr>
              <w:t>11 February 2025</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Reports and consolidated financial statements</w:t>
            </w:r>
          </w:p>
        </w:tc>
        <w:tc>
          <w:tcPr>
            <w:tcW w:type="dxa" w:w="1827"/>
          </w:tcPr>
          <w:p>
            <w:pPr>
              <w:spacing w:after="20"/>
              <w:jc w:val="right"/>
            </w:pPr>
            <w:r>
              <w:rPr>
                <w:color w:val="1C3A36"/>
                <w:sz w:val="16"/>
              </w:rPr>
              <w:t>Year ended 31 December 2025</w:t>
            </w:r>
          </w:p>
        </w:tc>
        <w:tc>
          <w:tcPr>
            <w:tcW w:type="dxa" w:w="2331"/>
          </w:tcPr>
          <w:p>
            <w:pPr>
              <w:spacing w:after="20"/>
              <w:jc w:val="right"/>
            </w:pPr>
            <w:r>
              <w:rPr>
                <w:color w:val="1C3A36"/>
                <w:sz w:val="16"/>
              </w:rPr>
              <w:t>Audited — Deloitte &amp; Touche (M.E.), unqualified opinion</w:t>
            </w:r>
          </w:p>
        </w:tc>
        <w:tc>
          <w:tcPr>
            <w:tcW w:type="dxa" w:w="1323"/>
          </w:tcPr>
          <w:p>
            <w:pPr>
              <w:spacing w:after="20"/>
              <w:jc w:val="right"/>
            </w:pPr>
            <w:r>
              <w:rPr>
                <w:color w:val="1C3A36"/>
                <w:sz w:val="16"/>
              </w:rPr>
              <w:t>11 February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Condensed consolidated interim financial information</w:t>
            </w:r>
          </w:p>
        </w:tc>
        <w:tc>
          <w:tcPr>
            <w:tcW w:type="dxa" w:w="1827"/>
          </w:tcPr>
          <w:p>
            <w:pPr>
              <w:spacing w:after="20"/>
              <w:jc w:val="right"/>
            </w:pPr>
            <w:r>
              <w:rPr>
                <w:color w:val="1C3A36"/>
                <w:sz w:val="16"/>
              </w:rPr>
              <w:t>Three months to 31 March 2026</w:t>
            </w:r>
          </w:p>
        </w:tc>
        <w:tc>
          <w:tcPr>
            <w:tcW w:type="dxa" w:w="2331"/>
          </w:tcPr>
          <w:p>
            <w:pPr>
              <w:spacing w:after="20"/>
              <w:jc w:val="right"/>
            </w:pPr>
            <w:r>
              <w:rPr>
                <w:color w:val="1C3A36"/>
                <w:sz w:val="16"/>
              </w:rPr>
              <w:t>Reviewed</w:t>
            </w:r>
          </w:p>
        </w:tc>
        <w:tc>
          <w:tcPr>
            <w:tcW w:type="dxa" w:w="1323"/>
          </w:tcPr>
          <w:p>
            <w:pPr>
              <w:spacing w:after="20"/>
              <w:jc w:val="right"/>
            </w:pPr>
            <w:r>
              <w:rPr>
                <w:color w:val="1C3A36"/>
                <w:sz w:val="16"/>
              </w:rPr>
              <w:t>May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Condensed consolidated interim financial information</w:t>
            </w:r>
          </w:p>
        </w:tc>
        <w:tc>
          <w:tcPr>
            <w:tcW w:type="dxa" w:w="1827"/>
          </w:tcPr>
          <w:p>
            <w:pPr>
              <w:spacing w:after="20"/>
              <w:jc w:val="right"/>
            </w:pPr>
            <w:r>
              <w:rPr>
                <w:color w:val="1C3A36"/>
                <w:sz w:val="16"/>
              </w:rPr>
              <w:t>Six months to 30 June 2026</w:t>
            </w:r>
          </w:p>
        </w:tc>
        <w:tc>
          <w:tcPr>
            <w:tcW w:type="dxa" w:w="2331"/>
          </w:tcPr>
          <w:p>
            <w:pPr>
              <w:spacing w:after="20"/>
              <w:jc w:val="right"/>
            </w:pPr>
            <w:r>
              <w:rPr>
                <w:color w:val="1C3A36"/>
                <w:sz w:val="16"/>
              </w:rPr>
              <w:t>Reviewed</w:t>
            </w:r>
          </w:p>
        </w:tc>
        <w:tc>
          <w:tcPr>
            <w:tcW w:type="dxa" w:w="1323"/>
          </w:tcPr>
          <w:p>
            <w:pPr>
              <w:spacing w:after="20"/>
              <w:jc w:val="right"/>
            </w:pPr>
            <w:r>
              <w:rPr>
                <w:color w:val="1C3A36"/>
                <w:sz w:val="16"/>
              </w:rPr>
              <w:t>30 July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Management discussion and analysis</w:t>
            </w:r>
          </w:p>
        </w:tc>
        <w:tc>
          <w:tcPr>
            <w:tcW w:type="dxa" w:w="1827"/>
          </w:tcPr>
          <w:p>
            <w:pPr>
              <w:spacing w:after="20"/>
              <w:jc w:val="right"/>
            </w:pPr>
            <w:r>
              <w:rPr>
                <w:color w:val="1C3A36"/>
                <w:sz w:val="16"/>
              </w:rPr>
              <w:t>Full year 2023</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February 2024</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Management discussion and analysis</w:t>
            </w:r>
          </w:p>
        </w:tc>
        <w:tc>
          <w:tcPr>
            <w:tcW w:type="dxa" w:w="1827"/>
          </w:tcPr>
          <w:p>
            <w:pPr>
              <w:spacing w:after="20"/>
              <w:jc w:val="right"/>
            </w:pPr>
            <w:r>
              <w:rPr>
                <w:color w:val="1C3A36"/>
                <w:sz w:val="16"/>
              </w:rPr>
              <w:t>Full year 2024</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February 2025</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Management discussion and analysis</w:t>
            </w:r>
          </w:p>
        </w:tc>
        <w:tc>
          <w:tcPr>
            <w:tcW w:type="dxa" w:w="1827"/>
          </w:tcPr>
          <w:p>
            <w:pPr>
              <w:spacing w:after="20"/>
              <w:jc w:val="right"/>
            </w:pPr>
            <w:r>
              <w:rPr>
                <w:color w:val="1C3A36"/>
                <w:sz w:val="16"/>
              </w:rPr>
              <w:t>Full year 2025</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February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Management discussion and analysis</w:t>
            </w:r>
          </w:p>
        </w:tc>
        <w:tc>
          <w:tcPr>
            <w:tcW w:type="dxa" w:w="1827"/>
          </w:tcPr>
          <w:p>
            <w:pPr>
              <w:spacing w:after="20"/>
              <w:jc w:val="right"/>
            </w:pPr>
            <w:r>
              <w:rPr>
                <w:color w:val="1C3A36"/>
                <w:sz w:val="16"/>
              </w:rPr>
              <w:t>First quarter 2026</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May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Management discussion and analysis</w:t>
            </w:r>
          </w:p>
        </w:tc>
        <w:tc>
          <w:tcPr>
            <w:tcW w:type="dxa" w:w="1827"/>
          </w:tcPr>
          <w:p>
            <w:pPr>
              <w:spacing w:after="20"/>
              <w:jc w:val="right"/>
            </w:pPr>
            <w:r>
              <w:rPr>
                <w:color w:val="1C3A36"/>
                <w:sz w:val="16"/>
              </w:rPr>
              <w:t>First half 2026</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30 July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Earnings presentation</w:t>
            </w:r>
          </w:p>
        </w:tc>
        <w:tc>
          <w:tcPr>
            <w:tcW w:type="dxa" w:w="1827"/>
          </w:tcPr>
          <w:p>
            <w:pPr>
              <w:spacing w:after="20"/>
              <w:jc w:val="right"/>
            </w:pPr>
            <w:r>
              <w:rPr>
                <w:color w:val="1C3A36"/>
                <w:sz w:val="16"/>
              </w:rPr>
              <w:t>Full year 2025</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February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Earnings presentation</w:t>
            </w:r>
          </w:p>
        </w:tc>
        <w:tc>
          <w:tcPr>
            <w:tcW w:type="dxa" w:w="1827"/>
          </w:tcPr>
          <w:p>
            <w:pPr>
              <w:spacing w:after="20"/>
              <w:jc w:val="right"/>
            </w:pPr>
            <w:r>
              <w:rPr>
                <w:color w:val="1C3A36"/>
                <w:sz w:val="16"/>
              </w:rPr>
              <w:t>Second quarter and first half 2026</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30 July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Earnings press release</w:t>
            </w:r>
          </w:p>
        </w:tc>
        <w:tc>
          <w:tcPr>
            <w:tcW w:type="dxa" w:w="1827"/>
          </w:tcPr>
          <w:p>
            <w:pPr>
              <w:spacing w:after="20"/>
              <w:jc w:val="right"/>
            </w:pPr>
            <w:r>
              <w:rPr>
                <w:color w:val="1C3A36"/>
                <w:sz w:val="16"/>
              </w:rPr>
              <w:t>Second quarter and first half 2026</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30 July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Earnings call and webcast transcript</w:t>
            </w:r>
          </w:p>
        </w:tc>
        <w:tc>
          <w:tcPr>
            <w:tcW w:type="dxa" w:w="1827"/>
          </w:tcPr>
          <w:p>
            <w:pPr>
              <w:spacing w:after="20"/>
              <w:jc w:val="right"/>
            </w:pPr>
            <w:r>
              <w:rPr>
                <w:color w:val="1C3A36"/>
                <w:sz w:val="16"/>
              </w:rPr>
              <w:t>Second quarter 2026</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30 July 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Corporate presentation</w:t>
            </w:r>
          </w:p>
        </w:tc>
        <w:tc>
          <w:tcPr>
            <w:tcW w:type="dxa" w:w="1827"/>
          </w:tcPr>
          <w:p>
            <w:pPr>
              <w:spacing w:after="20"/>
              <w:jc w:val="right"/>
            </w:pPr>
            <w:r>
              <w:rPr>
                <w:color w:val="1C3A36"/>
                <w:sz w:val="16"/>
              </w:rPr>
              <w:t>2026</w:t>
            </w:r>
          </w:p>
        </w:tc>
        <w:tc>
          <w:tcPr>
            <w:tcW w:type="dxa" w:w="2331"/>
          </w:tcPr>
          <w:p>
            <w:pPr>
              <w:spacing w:after="20"/>
              <w:jc w:val="right"/>
            </w:pPr>
            <w:r>
              <w:rPr>
                <w:color w:val="1C3A36"/>
                <w:sz w:val="16"/>
              </w:rPr>
              <w:t>Company-issued</w:t>
            </w:r>
          </w:p>
        </w:tc>
        <w:tc>
          <w:tcPr>
            <w:tcW w:type="dxa" w:w="1323"/>
          </w:tcPr>
          <w:p>
            <w:pPr>
              <w:spacing w:after="20"/>
              <w:jc w:val="right"/>
            </w:pPr>
            <w:r>
              <w:rPr>
                <w:color w:val="1C3A36"/>
                <w:sz w:val="16"/>
              </w:rPr>
              <w:t>2026</w:t>
            </w:r>
          </w:p>
        </w:tc>
        <w:tc>
          <w:tcPr>
            <w:tcW w:type="dxa" w:w="2142"/>
          </w:tcPr>
          <w:p>
            <w:pPr>
              <w:spacing w:after="20"/>
              <w:jc w:val="right"/>
            </w:pPr>
            <w:r>
              <w:rPr>
                <w:color w:val="1C3A36"/>
                <w:sz w:val="16"/>
              </w:rPr>
              <w:t>adnocdrilling.ae — investor relations</w:t>
            </w:r>
          </w:p>
        </w:tc>
      </w:tr>
      <w:tr>
        <w:tc>
          <w:tcPr>
            <w:tcW w:type="dxa" w:w="2457"/>
          </w:tcPr>
          <w:p>
            <w:pPr>
              <w:spacing w:after="20"/>
            </w:pPr>
            <w:r>
              <w:rPr>
                <w:color w:val="1C3A36"/>
                <w:sz w:val="16"/>
              </w:rPr>
              <w:t>Daily price history, October 2021 to 7 August 2026</w:t>
            </w:r>
          </w:p>
        </w:tc>
        <w:tc>
          <w:tcPr>
            <w:tcW w:type="dxa" w:w="1827"/>
          </w:tcPr>
          <w:p>
            <w:pPr>
              <w:spacing w:after="20"/>
              <w:jc w:val="right"/>
            </w:pPr>
            <w:r>
              <w:rPr>
                <w:color w:val="1C3A36"/>
                <w:sz w:val="16"/>
              </w:rPr>
              <w:t>Market data</w:t>
            </w:r>
          </w:p>
        </w:tc>
        <w:tc>
          <w:tcPr>
            <w:tcW w:type="dxa" w:w="2331"/>
          </w:tcPr>
          <w:p>
            <w:pPr>
              <w:spacing w:after="20"/>
              <w:jc w:val="right"/>
            </w:pPr>
            <w:r>
              <w:rPr>
                <w:color w:val="1C3A36"/>
                <w:sz w:val="16"/>
              </w:rPr>
              <w:t>1,215 sessions, screened for corporate actions and non-trading rows before use</w:t>
            </w:r>
          </w:p>
        </w:tc>
        <w:tc>
          <w:tcPr>
            <w:tcW w:type="dxa" w:w="1323"/>
          </w:tcPr>
          <w:p>
            <w:pPr>
              <w:spacing w:after="20"/>
              <w:jc w:val="right"/>
            </w:pPr>
            <w:r>
              <w:rPr>
                <w:color w:val="1C3A36"/>
                <w:sz w:val="16"/>
              </w:rPr>
              <w:t>7 August 2026</w:t>
            </w:r>
          </w:p>
        </w:tc>
        <w:tc>
          <w:tcPr>
            <w:tcW w:type="dxa" w:w="2142"/>
          </w:tcPr>
          <w:p>
            <w:pPr>
              <w:spacing w:after="20"/>
              <w:jc w:val="right"/>
            </w:pPr>
            <w:r>
              <w:rPr>
                <w:color w:val="1C3A36"/>
                <w:sz w:val="16"/>
              </w:rPr>
              <w:t>Supplied price file</w:t>
            </w:r>
          </w:p>
        </w:tc>
      </w:tr>
      <w:tr>
        <w:tc>
          <w:tcPr>
            <w:tcW w:type="dxa" w:w="2457"/>
          </w:tcPr>
          <w:p>
            <w:pPr>
              <w:spacing w:after="20"/>
            </w:pPr>
            <w:r>
              <w:rPr>
                <w:color w:val="1C3A36"/>
                <w:sz w:val="16"/>
              </w:rPr>
              <w:t>FTSE ADX General Index daily history, January 2011 to July 2026</w:t>
            </w:r>
          </w:p>
        </w:tc>
        <w:tc>
          <w:tcPr>
            <w:tcW w:type="dxa" w:w="1827"/>
          </w:tcPr>
          <w:p>
            <w:pPr>
              <w:spacing w:after="20"/>
              <w:jc w:val="right"/>
            </w:pPr>
            <w:r>
              <w:rPr>
                <w:color w:val="1C3A36"/>
                <w:sz w:val="16"/>
              </w:rPr>
              <w:t>Market data</w:t>
            </w:r>
          </w:p>
        </w:tc>
        <w:tc>
          <w:tcPr>
            <w:tcW w:type="dxa" w:w="2331"/>
          </w:tcPr>
          <w:p>
            <w:pPr>
              <w:spacing w:after="20"/>
              <w:jc w:val="right"/>
            </w:pPr>
            <w:r>
              <w:rPr>
                <w:color w:val="1C3A36"/>
                <w:sz w:val="16"/>
              </w:rPr>
              <w:t>3,884 sessions; screened before use for blank prices, duplicate dates, any single-session move beyond the exchange limit, and trading-day density against the real exchange calendar (238–253 sessions a year, 2021–2025). It is the regressor for the equity beta</w:t>
            </w:r>
          </w:p>
        </w:tc>
        <w:tc>
          <w:tcPr>
            <w:tcW w:type="dxa" w:w="1323"/>
          </w:tcPr>
          <w:p>
            <w:pPr>
              <w:spacing w:after="20"/>
              <w:jc w:val="right"/>
            </w:pPr>
            <w:r>
              <w:rPr>
                <w:color w:val="1C3A36"/>
                <w:sz w:val="16"/>
              </w:rPr>
              <w:t>24 July 2026</w:t>
            </w:r>
          </w:p>
        </w:tc>
        <w:tc>
          <w:tcPr>
            <w:tcW w:type="dxa" w:w="2142"/>
          </w:tcPr>
          <w:p>
            <w:pPr>
              <w:spacing w:after="20"/>
              <w:jc w:val="right"/>
            </w:pPr>
            <w:r>
              <w:rPr>
                <w:color w:val="1C3A36"/>
                <w:sz w:val="16"/>
              </w:rPr>
              <w:t>Supplied index file</w:t>
            </w:r>
          </w:p>
        </w:tc>
      </w:tr>
    </w:tbl>
    <w:p>
      <w:pPr>
        <w:spacing w:after="40"/>
      </w:pPr>
    </w:p>
    <w:p>
      <w:pPr>
        <w:spacing w:after="120" w:before="0"/>
      </w:pPr>
      <w:r>
        <w:rPr>
          <w:b w:val="0"/>
          <w:i w:val="0"/>
          <w:color w:val="1C3A36"/>
          <w:sz w:val="19"/>
        </w:rPr>
        <w:t>The 2023 and 2024 statements were each cross-confirmed against the following year's comparative column and tie to the dollar. Every statement page parsed cleanly except the signed balance-sheet page in each annual report, which is an image; those three pages were read by optical character recognition and then verified by checking that the totals foot and that each year's figures match the following year's comparative column.</w:t>
      </w:r>
    </w:p>
    <w:p>
      <w:r>
        <w:br w:type="page"/>
      </w:r>
    </w:p>
    <w:p>
      <w:pPr>
        <w:spacing w:after="120" w:before="280"/>
      </w:pPr>
      <w:r>
        <w:rPr>
          <w:b/>
          <w:i w:val="0"/>
          <w:color w:val="1C3A36"/>
          <w:sz w:val="30"/>
        </w:rPr>
        <w:t>2. The input register</w:t>
      </w:r>
    </w:p>
    <w:p>
      <w:pPr>
        <w:spacing w:after="120" w:before="0"/>
      </w:pPr>
      <w:r>
        <w:rPr>
          <w:b w:val="0"/>
          <w:i w:val="0"/>
          <w:color w:val="1C3A36"/>
          <w:sz w:val="21"/>
        </w:rPr>
        <w:t>Every input to the model, grouped by the layer of research it came from. An input with no source is not permitted to enter the model — the build fails rather than proceeding.</w:t>
      </w:r>
    </w:p>
    <w:p>
      <w:pPr>
        <w:spacing w:after="80" w:before="200"/>
      </w:pPr>
      <w:r>
        <w:rPr>
          <w:b/>
          <w:i w:val="0"/>
          <w:color w:val="1C3A36"/>
          <w:sz w:val="24"/>
        </w:rPr>
        <w:t>Company — audited and reviewed financial statements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acq borrowings</w:t>
            </w:r>
          </w:p>
        </w:tc>
        <w:tc>
          <w:tcPr>
            <w:tcW w:type="dxa" w:w="1296"/>
          </w:tcPr>
          <w:p>
            <w:pPr>
              <w:spacing w:after="20"/>
              <w:jc w:val="right"/>
            </w:pPr>
            <w:r>
              <w:rPr>
                <w:color w:val="1C3A36"/>
                <w:sz w:val="16"/>
              </w:rPr>
              <w:t>172,931.0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term loans, overdraft and borrowings assumed with MBPS</w:t>
            </w:r>
          </w:p>
        </w:tc>
      </w:tr>
      <w:tr>
        <w:tc>
          <w:tcPr>
            <w:tcW w:type="dxa" w:w="2088"/>
          </w:tcPr>
          <w:p>
            <w:pPr>
              <w:spacing w:after="20"/>
            </w:pPr>
            <w:r>
              <w:rPr>
                <w:color w:val="1C3A36"/>
                <w:sz w:val="16"/>
              </w:rPr>
              <w:t>acq cash</w:t>
            </w:r>
          </w:p>
        </w:tc>
        <w:tc>
          <w:tcPr>
            <w:tcW w:type="dxa" w:w="1296"/>
          </w:tcPr>
          <w:p>
            <w:pPr>
              <w:spacing w:after="20"/>
              <w:jc w:val="right"/>
            </w:pPr>
            <w:r>
              <w:rPr>
                <w:color w:val="1C3A36"/>
                <w:sz w:val="16"/>
              </w:rPr>
              <w:t>42,683.0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cash acquired: 4,086 plus 38,597</w:t>
            </w:r>
          </w:p>
        </w:tc>
      </w:tr>
      <w:tr>
        <w:tc>
          <w:tcPr>
            <w:tcW w:type="dxa" w:w="2088"/>
          </w:tcPr>
          <w:p>
            <w:pPr>
              <w:spacing w:after="20"/>
            </w:pPr>
            <w:r>
              <w:rPr>
                <w:color w:val="1C3A36"/>
                <w:sz w:val="16"/>
              </w:rPr>
              <w:t>acq cash returned</w:t>
            </w:r>
          </w:p>
        </w:tc>
        <w:tc>
          <w:tcPr>
            <w:tcW w:type="dxa" w:w="1296"/>
          </w:tcPr>
          <w:p>
            <w:pPr>
              <w:spacing w:after="20"/>
              <w:jc w:val="right"/>
            </w:pPr>
            <w:r>
              <w:rPr>
                <w:color w:val="1C3A36"/>
                <w:sz w:val="16"/>
              </w:rPr>
              <w:t>9,632.0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SLDC analysis of cash flows — 'consideration received against acquisition paid in the prior year'</w:t>
            </w:r>
          </w:p>
        </w:tc>
      </w:tr>
      <w:tr>
        <w:tc>
          <w:tcPr>
            <w:tcW w:type="dxa" w:w="2088"/>
          </w:tcPr>
          <w:p>
            <w:pPr>
              <w:spacing w:after="20"/>
            </w:pPr>
            <w:r>
              <w:rPr>
                <w:color w:val="1C3A36"/>
                <w:sz w:val="16"/>
              </w:rPr>
              <w:t>acq consideration 2026</w:t>
            </w:r>
          </w:p>
        </w:tc>
        <w:tc>
          <w:tcPr>
            <w:tcW w:type="dxa" w:w="1296"/>
          </w:tcPr>
          <w:p>
            <w:pPr>
              <w:spacing w:after="20"/>
              <w:jc w:val="right"/>
            </w:pPr>
            <w:r>
              <w:rPr>
                <w:color w:val="1C3A36"/>
                <w:sz w:val="16"/>
              </w:rPr>
              <w:t>47,287.0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MBPS total purchase consideration, paid in cash in the period per that acquisition's own analysis of cash flows</w:t>
            </w:r>
          </w:p>
        </w:tc>
      </w:tr>
      <w:tr>
        <w:tc>
          <w:tcPr>
            <w:tcW w:type="dxa" w:w="2088"/>
          </w:tcPr>
          <w:p>
            <w:pPr>
              <w:spacing w:after="20"/>
            </w:pPr>
            <w:r>
              <w:rPr>
                <w:color w:val="1C3A36"/>
                <w:sz w:val="16"/>
              </w:rPr>
              <w:t>acq contingent</w:t>
            </w:r>
          </w:p>
        </w:tc>
        <w:tc>
          <w:tcPr>
            <w:tcW w:type="dxa" w:w="1296"/>
          </w:tcPr>
          <w:p>
            <w:pPr>
              <w:spacing w:after="20"/>
              <w:jc w:val="right"/>
            </w:pPr>
            <w:r>
              <w:rPr>
                <w:color w:val="1C3A36"/>
                <w:sz w:val="16"/>
              </w:rPr>
              <w:t>20,372.0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contingent consideration inside SLDC's purchase consideration, at fair value at the acquisition date, payable over three years against EBITDA-based performance targets</w:t>
            </w:r>
          </w:p>
        </w:tc>
      </w:tr>
      <w:tr>
        <w:tc>
          <w:tcPr>
            <w:tcW w:type="dxa" w:w="2088"/>
          </w:tcPr>
          <w:p>
            <w:pPr>
              <w:spacing w:after="20"/>
            </w:pPr>
            <w:r>
              <w:rPr>
                <w:color w:val="1C3A36"/>
                <w:sz w:val="16"/>
              </w:rPr>
              <w:t>acq deferred tax</w:t>
            </w:r>
          </w:p>
        </w:tc>
        <w:tc>
          <w:tcPr>
            <w:tcW w:type="dxa" w:w="1296"/>
          </w:tcPr>
          <w:p>
            <w:pPr>
              <w:spacing w:after="20"/>
              <w:jc w:val="right"/>
            </w:pPr>
            <w:r>
              <w:rPr>
                <w:color w:val="1C3A36"/>
                <w:sz w:val="16"/>
              </w:rPr>
              <w:t>4,697.0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deferred tax liability assumed with SLDC. Ties to the new 'deferred tax liability' line on the face of the 30-Jun-2026 balance sheet, which was nil at 31-Dec-2025</w:t>
            </w:r>
          </w:p>
        </w:tc>
      </w:tr>
      <w:tr>
        <w:tc>
          <w:tcPr>
            <w:tcW w:type="dxa" w:w="2088"/>
          </w:tcPr>
          <w:p>
            <w:pPr>
              <w:spacing w:after="20"/>
            </w:pPr>
            <w:r>
              <w:rPr>
                <w:color w:val="1C3A36"/>
                <w:sz w:val="16"/>
              </w:rPr>
              <w:t>acq eosb</w:t>
            </w:r>
          </w:p>
        </w:tc>
        <w:tc>
          <w:tcPr>
            <w:tcW w:type="dxa" w:w="1296"/>
          </w:tcPr>
          <w:p>
            <w:pPr>
              <w:spacing w:after="20"/>
              <w:jc w:val="right"/>
            </w:pPr>
            <w:r>
              <w:rPr>
                <w:color w:val="1C3A36"/>
                <w:sz w:val="16"/>
              </w:rPr>
              <w:t>2,693.0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provision for employees' end of service benefits assumed with MBPS</w:t>
            </w:r>
          </w:p>
        </w:tc>
      </w:tr>
      <w:tr>
        <w:tc>
          <w:tcPr>
            <w:tcW w:type="dxa" w:w="2088"/>
          </w:tcPr>
          <w:p>
            <w:pPr>
              <w:spacing w:after="20"/>
            </w:pPr>
            <w:r>
              <w:rPr>
                <w:color w:val="1C3A36"/>
                <w:sz w:val="16"/>
              </w:rPr>
              <w:t>acq goodwill</w:t>
            </w:r>
          </w:p>
        </w:tc>
        <w:tc>
          <w:tcPr>
            <w:tcW w:type="dxa" w:w="1296"/>
          </w:tcPr>
          <w:p>
            <w:pPr>
              <w:spacing w:after="20"/>
              <w:jc w:val="right"/>
            </w:pPr>
            <w:r>
              <w:rPr>
                <w:color w:val="1C3A36"/>
                <w:sz w:val="16"/>
              </w:rPr>
              <w:t>16,830.0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provisional goodwill: SLDC 7,029 plus MBPS 9,801. Ties exactly to the goodwill line on the face of the balance sheet</w:t>
            </w:r>
          </w:p>
        </w:tc>
      </w:tr>
      <w:tr>
        <w:tc>
          <w:tcPr>
            <w:tcW w:type="dxa" w:w="2088"/>
          </w:tcPr>
          <w:p>
            <w:pPr>
              <w:spacing w:after="20"/>
            </w:pPr>
            <w:r>
              <w:rPr>
                <w:color w:val="1C3A36"/>
                <w:sz w:val="16"/>
              </w:rPr>
              <w:t>acq income tax</w:t>
            </w:r>
          </w:p>
        </w:tc>
        <w:tc>
          <w:tcPr>
            <w:tcW w:type="dxa" w:w="1296"/>
          </w:tcPr>
          <w:p>
            <w:pPr>
              <w:spacing w:after="20"/>
              <w:jc w:val="right"/>
            </w:pPr>
            <w:r>
              <w:rPr>
                <w:color w:val="1C3A36"/>
                <w:sz w:val="16"/>
              </w:rPr>
              <w:t>7,293.0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income tax payable assumed: SLDC 4,600 plus MBPS 2,693</w:t>
            </w:r>
          </w:p>
        </w:tc>
      </w:tr>
      <w:tr>
        <w:tc>
          <w:tcPr>
            <w:tcW w:type="dxa" w:w="2088"/>
          </w:tcPr>
          <w:p>
            <w:pPr>
              <w:spacing w:after="20"/>
            </w:pPr>
            <w:r>
              <w:rPr>
                <w:color w:val="1C3A36"/>
                <w:sz w:val="16"/>
              </w:rPr>
              <w:t>acq inventories</w:t>
            </w:r>
          </w:p>
        </w:tc>
        <w:tc>
          <w:tcPr>
            <w:tcW w:type="dxa" w:w="1296"/>
          </w:tcPr>
          <w:p>
            <w:pPr>
              <w:spacing w:after="20"/>
              <w:jc w:val="right"/>
            </w:pPr>
            <w:r>
              <w:rPr>
                <w:color w:val="1C3A36"/>
                <w:sz w:val="16"/>
              </w:rPr>
              <w:t>13,590.0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inventories acquired: 3,348 plus 10,242</w:t>
            </w:r>
          </w:p>
        </w:tc>
      </w:tr>
      <w:tr>
        <w:tc>
          <w:tcPr>
            <w:tcW w:type="dxa" w:w="2088"/>
          </w:tcPr>
          <w:p>
            <w:pPr>
              <w:spacing w:after="20"/>
            </w:pPr>
            <w:r>
              <w:rPr>
                <w:color w:val="1C3A36"/>
                <w:sz w:val="16"/>
              </w:rPr>
              <w:t>acq leases</w:t>
            </w:r>
          </w:p>
        </w:tc>
        <w:tc>
          <w:tcPr>
            <w:tcW w:type="dxa" w:w="1296"/>
          </w:tcPr>
          <w:p>
            <w:pPr>
              <w:spacing w:after="20"/>
              <w:jc w:val="right"/>
            </w:pPr>
            <w:r>
              <w:rPr>
                <w:color w:val="1C3A36"/>
                <w:sz w:val="16"/>
              </w:rPr>
              <w:t>6,717.0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lease liabilities assumed with MBPS</w:t>
            </w:r>
          </w:p>
        </w:tc>
      </w:tr>
      <w:tr>
        <w:tc>
          <w:tcPr>
            <w:tcW w:type="dxa" w:w="2088"/>
          </w:tcPr>
          <w:p>
            <w:pPr>
              <w:spacing w:after="20"/>
            </w:pPr>
            <w:r>
              <w:rPr>
                <w:color w:val="1C3A36"/>
                <w:sz w:val="16"/>
              </w:rPr>
              <w:t>acq nci</w:t>
            </w:r>
          </w:p>
        </w:tc>
        <w:tc>
          <w:tcPr>
            <w:tcW w:type="dxa" w:w="1296"/>
          </w:tcPr>
          <w:p>
            <w:pPr>
              <w:spacing w:after="20"/>
              <w:jc w:val="right"/>
            </w:pPr>
            <w:r>
              <w:rPr>
                <w:color w:val="1C3A36"/>
                <w:sz w:val="16"/>
              </w:rPr>
              <w:t>49,931.0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minority interests recognised on acquisition: 40,559 plus 9,372. Ties exactly to the statement of changes in equity</w:t>
            </w:r>
          </w:p>
        </w:tc>
      </w:tr>
      <w:tr>
        <w:tc>
          <w:tcPr>
            <w:tcW w:type="dxa" w:w="2088"/>
          </w:tcPr>
          <w:p>
            <w:pPr>
              <w:spacing w:after="20"/>
            </w:pPr>
            <w:r>
              <w:rPr>
                <w:color w:val="1C3A36"/>
                <w:sz w:val="16"/>
              </w:rPr>
              <w:t>acq payables</w:t>
            </w:r>
          </w:p>
        </w:tc>
        <w:tc>
          <w:tcPr>
            <w:tcW w:type="dxa" w:w="1296"/>
          </w:tcPr>
          <w:p>
            <w:pPr>
              <w:spacing w:after="20"/>
              <w:jc w:val="right"/>
            </w:pPr>
            <w:r>
              <w:rPr>
                <w:color w:val="1C3A36"/>
                <w:sz w:val="16"/>
              </w:rPr>
              <w:t>53,013.0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trade and other payables assumed: 13,094 plus 39,919</w:t>
            </w:r>
          </w:p>
        </w:tc>
      </w:tr>
      <w:tr>
        <w:tc>
          <w:tcPr>
            <w:tcW w:type="dxa" w:w="2088"/>
          </w:tcPr>
          <w:p>
            <w:pPr>
              <w:spacing w:after="20"/>
            </w:pPr>
            <w:r>
              <w:rPr>
                <w:color w:val="1C3A36"/>
                <w:sz w:val="16"/>
              </w:rPr>
              <w:t>acq ppe</w:t>
            </w:r>
          </w:p>
        </w:tc>
        <w:tc>
          <w:tcPr>
            <w:tcW w:type="dxa" w:w="1296"/>
          </w:tcPr>
          <w:p>
            <w:pPr>
              <w:spacing w:after="20"/>
              <w:jc w:val="right"/>
            </w:pPr>
            <w:r>
              <w:rPr>
                <w:color w:val="1C3A36"/>
                <w:sz w:val="16"/>
              </w:rPr>
              <w:t>282,531.0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property and equipment acquired: SLDC 138,622 plus MBPS 143,909</w:t>
            </w:r>
          </w:p>
        </w:tc>
      </w:tr>
      <w:tr>
        <w:tc>
          <w:tcPr>
            <w:tcW w:type="dxa" w:w="2088"/>
          </w:tcPr>
          <w:p>
            <w:pPr>
              <w:spacing w:after="20"/>
            </w:pPr>
            <w:r>
              <w:rPr>
                <w:color w:val="1C3A36"/>
                <w:sz w:val="16"/>
              </w:rPr>
              <w:t>acq receivables</w:t>
            </w:r>
          </w:p>
        </w:tc>
        <w:tc>
          <w:tcPr>
            <w:tcW w:type="dxa" w:w="1296"/>
          </w:tcPr>
          <w:p>
            <w:pPr>
              <w:spacing w:after="20"/>
              <w:jc w:val="right"/>
            </w:pPr>
            <w:r>
              <w:rPr>
                <w:color w:val="1C3A36"/>
                <w:sz w:val="16"/>
              </w:rPr>
              <w:t>80,557.0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trade and other receivables acquired: 11,531 plus 69,026</w:t>
            </w:r>
          </w:p>
        </w:tc>
      </w:tr>
      <w:tr>
        <w:tc>
          <w:tcPr>
            <w:tcW w:type="dxa" w:w="2088"/>
          </w:tcPr>
          <w:p>
            <w:pPr>
              <w:spacing w:after="20"/>
            </w:pPr>
            <w:r>
              <w:rPr>
                <w:color w:val="1C3A36"/>
                <w:sz w:val="16"/>
              </w:rPr>
              <w:t>acq rou</w:t>
            </w:r>
          </w:p>
        </w:tc>
        <w:tc>
          <w:tcPr>
            <w:tcW w:type="dxa" w:w="1296"/>
          </w:tcPr>
          <w:p>
            <w:pPr>
              <w:spacing w:after="20"/>
              <w:jc w:val="right"/>
            </w:pPr>
            <w:r>
              <w:rPr>
                <w:color w:val="1C3A36"/>
                <w:sz w:val="16"/>
              </w:rPr>
              <w:t>10,037.0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5, 1H-2026 condensed consolidated interim financial information (reviewed) — right-of-use assets acquired (MBPS)</w:t>
            </w:r>
          </w:p>
        </w:tc>
      </w:tr>
      <w:tr>
        <w:tc>
          <w:tcPr>
            <w:tcW w:type="dxa" w:w="2088"/>
          </w:tcPr>
          <w:p>
            <w:pPr>
              <w:spacing w:after="20"/>
            </w:pPr>
            <w:r>
              <w:rPr>
                <w:color w:val="1C3A36"/>
                <w:sz w:val="16"/>
              </w:rPr>
              <w:t>advacq fy23</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No advance for acquisition of a subsidiary is presented in FY2023 audited consolidated financial statements (KPMG Lower Gulf Limited, unqualified)</w:t>
            </w:r>
          </w:p>
        </w:tc>
      </w:tr>
      <w:tr>
        <w:tc>
          <w:tcPr>
            <w:tcW w:type="dxa" w:w="2088"/>
          </w:tcPr>
          <w:p>
            <w:pPr>
              <w:spacing w:after="20"/>
            </w:pPr>
            <w:r>
              <w:rPr>
                <w:color w:val="1C3A36"/>
                <w:sz w:val="16"/>
              </w:rPr>
              <w:t>advacq fy24</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No advance for acquisition of a subsidiary is presented in FY2024 audited consolidated financial statements (Deloitte &amp; Touche (M.E.), unqualified)</w:t>
            </w:r>
          </w:p>
        </w:tc>
      </w:tr>
      <w:tr>
        <w:tc>
          <w:tcPr>
            <w:tcW w:type="dxa" w:w="2088"/>
          </w:tcPr>
          <w:p>
            <w:pPr>
              <w:spacing w:after="20"/>
            </w:pPr>
            <w:r>
              <w:rPr>
                <w:color w:val="1C3A36"/>
                <w:sz w:val="16"/>
              </w:rPr>
              <w:t>advacq fy25</w:t>
            </w:r>
          </w:p>
        </w:tc>
        <w:tc>
          <w:tcPr>
            <w:tcW w:type="dxa" w:w="1296"/>
          </w:tcPr>
          <w:p>
            <w:pPr>
              <w:spacing w:after="20"/>
              <w:jc w:val="right"/>
            </w:pPr>
            <w:r>
              <w:rPr>
                <w:color w:val="1C3A36"/>
                <w:sz w:val="16"/>
              </w:rPr>
              <w:t>90,926.0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Advance for acquisition of a subsidiary, FY2025 audited consolidated financial statements (Deloitte &amp; Touche (M.E.), unqualified). Nil at 31 December 2024 and nil again at 30 June 2026, when the SLDC acquisition completed</w:t>
            </w:r>
          </w:p>
        </w:tc>
      </w:tr>
      <w:tr>
        <w:tc>
          <w:tcPr>
            <w:tcW w:type="dxa" w:w="2088"/>
          </w:tcPr>
          <w:p>
            <w:pPr>
              <w:spacing w:after="20"/>
            </w:pPr>
            <w:r>
              <w:rPr>
                <w:color w:val="1C3A36"/>
                <w:sz w:val="16"/>
              </w:rPr>
              <w:t>advnc fy23</w:t>
            </w:r>
          </w:p>
        </w:tc>
        <w:tc>
          <w:tcPr>
            <w:tcW w:type="dxa" w:w="1296"/>
          </w:tcPr>
          <w:p>
            <w:pPr>
              <w:spacing w:after="20"/>
              <w:jc w:val="right"/>
            </w:pPr>
            <w:r>
              <w:rPr>
                <w:color w:val="1C3A36"/>
                <w:sz w:val="16"/>
              </w:rPr>
              <w:t>1,654.0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Advances (non-current), FY2023 audited consolidated financial statements (KPMG Lower Gulf Limited, unqualified)</w:t>
            </w:r>
          </w:p>
        </w:tc>
      </w:tr>
      <w:tr>
        <w:tc>
          <w:tcPr>
            <w:tcW w:type="dxa" w:w="2088"/>
          </w:tcPr>
          <w:p>
            <w:pPr>
              <w:spacing w:after="20"/>
            </w:pPr>
            <w:r>
              <w:rPr>
                <w:color w:val="1C3A36"/>
                <w:sz w:val="16"/>
              </w:rPr>
              <w:t>advnc fy24</w:t>
            </w:r>
          </w:p>
        </w:tc>
        <w:tc>
          <w:tcPr>
            <w:tcW w:type="dxa" w:w="1296"/>
          </w:tcPr>
          <w:p>
            <w:pPr>
              <w:spacing w:after="20"/>
              <w:jc w:val="right"/>
            </w:pPr>
            <w:r>
              <w:rPr>
                <w:color w:val="1C3A36"/>
                <w:sz w:val="16"/>
              </w:rPr>
              <w:t>2,230.0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Advances (non-current), FY2024 audited consolidated financial statements (Deloitte &amp; Touche (M.E.), unqualified)</w:t>
            </w:r>
          </w:p>
        </w:tc>
      </w:tr>
      <w:tr>
        <w:tc>
          <w:tcPr>
            <w:tcW w:type="dxa" w:w="2088"/>
          </w:tcPr>
          <w:p>
            <w:pPr>
              <w:spacing w:after="20"/>
            </w:pPr>
            <w:r>
              <w:rPr>
                <w:color w:val="1C3A36"/>
                <w:sz w:val="16"/>
              </w:rPr>
              <w:t>advnc fy25</w:t>
            </w:r>
          </w:p>
        </w:tc>
        <w:tc>
          <w:tcPr>
            <w:tcW w:type="dxa" w:w="1296"/>
          </w:tcPr>
          <w:p>
            <w:pPr>
              <w:spacing w:after="20"/>
              <w:jc w:val="right"/>
            </w:pPr>
            <w:r>
              <w:rPr>
                <w:color w:val="1C3A36"/>
                <w:sz w:val="16"/>
              </w:rPr>
              <w:t>8,292.0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Advances (non-current), FY2025 audited consolidated financial statements (Deloitte &amp; Touche (M.E.), unqualified)</w:t>
            </w:r>
          </w:p>
        </w:tc>
      </w:tr>
      <w:tr>
        <w:tc>
          <w:tcPr>
            <w:tcW w:type="dxa" w:w="2088"/>
          </w:tcPr>
          <w:p>
            <w:pPr>
              <w:spacing w:after="20"/>
            </w:pPr>
            <w:r>
              <w:rPr>
                <w:color w:val="1C3A36"/>
                <w:sz w:val="16"/>
              </w:rPr>
              <w:t>afs fy23</w:t>
            </w:r>
          </w:p>
        </w:tc>
        <w:tc>
          <w:tcPr>
            <w:tcW w:type="dxa" w:w="1296"/>
          </w:tcPr>
          <w:p>
            <w:pPr>
              <w:spacing w:after="20"/>
              <w:jc w:val="right"/>
            </w:pPr>
            <w:r>
              <w:rPr>
                <w:color w:val="1C3A36"/>
                <w:sz w:val="16"/>
              </w:rPr>
              <w:t>10,717.0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Assets held for sale, FY2023 audited consolidated financial statements (KPMG Lower Gulf Limited, unqualified)</w:t>
            </w:r>
          </w:p>
        </w:tc>
      </w:tr>
      <w:tr>
        <w:tc>
          <w:tcPr>
            <w:tcW w:type="dxa" w:w="2088"/>
          </w:tcPr>
          <w:p>
            <w:pPr>
              <w:spacing w:after="20"/>
            </w:pPr>
            <w:r>
              <w:rPr>
                <w:color w:val="1C3A36"/>
                <w:sz w:val="16"/>
              </w:rPr>
              <w:t>afs fy24</w:t>
            </w:r>
          </w:p>
        </w:tc>
        <w:tc>
          <w:tcPr>
            <w:tcW w:type="dxa" w:w="1296"/>
          </w:tcPr>
          <w:p>
            <w:pPr>
              <w:spacing w:after="20"/>
              <w:jc w:val="right"/>
            </w:pPr>
            <w:r>
              <w:rPr>
                <w:color w:val="1C3A36"/>
                <w:sz w:val="16"/>
              </w:rPr>
              <w:t>5,708.0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Assets held for sale, FY2024 audited consolidated financial statements (Deloitte &amp; Touche (M.E.), unqualified)</w:t>
            </w:r>
          </w:p>
        </w:tc>
      </w:tr>
      <w:tr>
        <w:tc>
          <w:tcPr>
            <w:tcW w:type="dxa" w:w="2088"/>
          </w:tcPr>
          <w:p>
            <w:pPr>
              <w:spacing w:after="20"/>
            </w:pPr>
            <w:r>
              <w:rPr>
                <w:color w:val="1C3A36"/>
                <w:sz w:val="16"/>
              </w:rPr>
              <w:t>afs fy25</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Assets held for sale, FY2025 audited consolidated financial statements (Deloitte &amp; Touche (M.E.), unqualified) — nil at year end</w:t>
            </w:r>
          </w:p>
        </w:tc>
      </w:tr>
      <w:tr>
        <w:tc>
          <w:tcPr>
            <w:tcW w:type="dxa" w:w="2088"/>
          </w:tcPr>
          <w:p>
            <w:pPr>
              <w:spacing w:after="20"/>
            </w:pPr>
            <w:r>
              <w:rPr>
                <w:color w:val="1C3A36"/>
                <w:sz w:val="16"/>
              </w:rPr>
              <w:t>capex 1h26</w:t>
            </w:r>
          </w:p>
        </w:tc>
        <w:tc>
          <w:tcPr>
            <w:tcW w:type="dxa" w:w="1296"/>
          </w:tcPr>
          <w:p>
            <w:pPr>
              <w:spacing w:after="20"/>
              <w:jc w:val="right"/>
            </w:pPr>
            <w:r>
              <w:rPr>
                <w:color w:val="1C3A36"/>
                <w:sz w:val="16"/>
              </w:rPr>
              <w:t>189,878.0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Payments for purchase of property and equipment, 1H-2026 condensed consolidated interim financial information (reviewed)</w:t>
            </w:r>
          </w:p>
        </w:tc>
      </w:tr>
      <w:tr>
        <w:tc>
          <w:tcPr>
            <w:tcW w:type="dxa" w:w="2088"/>
          </w:tcPr>
          <w:p>
            <w:pPr>
              <w:spacing w:after="20"/>
            </w:pPr>
            <w:r>
              <w:rPr>
                <w:color w:val="1C3A36"/>
                <w:sz w:val="16"/>
              </w:rPr>
              <w:t>capex fy23</w:t>
            </w:r>
          </w:p>
        </w:tc>
        <w:tc>
          <w:tcPr>
            <w:tcW w:type="dxa" w:w="1296"/>
          </w:tcPr>
          <w:p>
            <w:pPr>
              <w:spacing w:after="20"/>
              <w:jc w:val="right"/>
            </w:pPr>
            <w:r>
              <w:rPr>
                <w:color w:val="1C3A36"/>
                <w:sz w:val="16"/>
              </w:rPr>
              <w:t>1,062,274.0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Payments for purchase of property and equipment, FY2023 audited consolidated financial statements (KPMG Lower Gulf Limited, unqualified)</w:t>
            </w:r>
          </w:p>
        </w:tc>
      </w:tr>
      <w:tr>
        <w:tc>
          <w:tcPr>
            <w:tcW w:type="dxa" w:w="2088"/>
          </w:tcPr>
          <w:p>
            <w:pPr>
              <w:spacing w:after="20"/>
            </w:pPr>
            <w:r>
              <w:rPr>
                <w:color w:val="1C3A36"/>
                <w:sz w:val="16"/>
              </w:rPr>
              <w:t>capex fy24</w:t>
            </w:r>
          </w:p>
        </w:tc>
        <w:tc>
          <w:tcPr>
            <w:tcW w:type="dxa" w:w="1296"/>
          </w:tcPr>
          <w:p>
            <w:pPr>
              <w:spacing w:after="20"/>
              <w:jc w:val="right"/>
            </w:pPr>
            <w:r>
              <w:rPr>
                <w:color w:val="1C3A36"/>
                <w:sz w:val="16"/>
              </w:rPr>
              <w:t>761,822.0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Purchase of property and equipment 758,409 plus intangibles 3,413, FY2024 audited consolidated financial statements (Deloitte &amp; Touche (M.E.), unqualified)</w:t>
            </w:r>
          </w:p>
        </w:tc>
      </w:tr>
      <w:tr>
        <w:tc>
          <w:tcPr>
            <w:tcW w:type="dxa" w:w="2088"/>
          </w:tcPr>
          <w:p>
            <w:pPr>
              <w:spacing w:after="20"/>
            </w:pPr>
            <w:r>
              <w:rPr>
                <w:color w:val="1C3A36"/>
                <w:sz w:val="16"/>
              </w:rPr>
              <w:t>capex fy25</w:t>
            </w:r>
          </w:p>
        </w:tc>
        <w:tc>
          <w:tcPr>
            <w:tcW w:type="dxa" w:w="1296"/>
          </w:tcPr>
          <w:p>
            <w:pPr>
              <w:spacing w:after="20"/>
              <w:jc w:val="right"/>
            </w:pPr>
            <w:r>
              <w:rPr>
                <w:color w:val="1C3A36"/>
                <w:sz w:val="16"/>
              </w:rPr>
              <w:t>814,876.0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Purchase of property and equipment 805,215 plus intangibles 9,661, FY2025 audited consolidated financial statements (Deloitte &amp; Touche (M.E.), unqualified)</w:t>
            </w:r>
          </w:p>
        </w:tc>
      </w:tr>
      <w:tr>
        <w:tc>
          <w:tcPr>
            <w:tcW w:type="dxa" w:w="2088"/>
          </w:tcPr>
          <w:p>
            <w:pPr>
              <w:spacing w:after="20"/>
            </w:pPr>
            <w:r>
              <w:rPr>
                <w:color w:val="1C3A36"/>
                <w:sz w:val="16"/>
              </w:rPr>
              <w:t>cash 1h26</w:t>
            </w:r>
          </w:p>
        </w:tc>
        <w:tc>
          <w:tcPr>
            <w:tcW w:type="dxa" w:w="1296"/>
          </w:tcPr>
          <w:p>
            <w:pPr>
              <w:spacing w:after="20"/>
              <w:jc w:val="right"/>
            </w:pPr>
            <w:r>
              <w:rPr>
                <w:color w:val="1C3A36"/>
                <w:sz w:val="16"/>
              </w:rPr>
              <w:t>355,423.0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Cash and cash equivalents, 1H-2026 condensed consolidated interim financial information (reviewed)</w:t>
            </w:r>
          </w:p>
        </w:tc>
      </w:tr>
      <w:tr>
        <w:tc>
          <w:tcPr>
            <w:tcW w:type="dxa" w:w="2088"/>
          </w:tcPr>
          <w:p>
            <w:pPr>
              <w:spacing w:after="20"/>
            </w:pPr>
            <w:r>
              <w:rPr>
                <w:color w:val="1C3A36"/>
                <w:sz w:val="16"/>
              </w:rPr>
              <w:t>cash fy23</w:t>
            </w:r>
          </w:p>
        </w:tc>
        <w:tc>
          <w:tcPr>
            <w:tcW w:type="dxa" w:w="1296"/>
          </w:tcPr>
          <w:p>
            <w:pPr>
              <w:spacing w:after="20"/>
              <w:jc w:val="right"/>
            </w:pPr>
            <w:r>
              <w:rPr>
                <w:color w:val="1C3A36"/>
                <w:sz w:val="16"/>
              </w:rPr>
              <w:t>354,122.0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Cash and cash equivalents, FY2023 audited consolidated financial statements (KPMG Lower Gulf Limited, unqualified)</w:t>
            </w:r>
          </w:p>
        </w:tc>
      </w:tr>
      <w:tr>
        <w:tc>
          <w:tcPr>
            <w:tcW w:type="dxa" w:w="2088"/>
          </w:tcPr>
          <w:p>
            <w:pPr>
              <w:spacing w:after="20"/>
            </w:pPr>
            <w:r>
              <w:rPr>
                <w:color w:val="1C3A36"/>
                <w:sz w:val="16"/>
              </w:rPr>
              <w:t>cash fy24</w:t>
            </w:r>
          </w:p>
        </w:tc>
        <w:tc>
          <w:tcPr>
            <w:tcW w:type="dxa" w:w="1296"/>
          </w:tcPr>
          <w:p>
            <w:pPr>
              <w:spacing w:after="20"/>
              <w:jc w:val="right"/>
            </w:pPr>
            <w:r>
              <w:rPr>
                <w:color w:val="1C3A36"/>
                <w:sz w:val="16"/>
              </w:rPr>
              <w:t>330,288.0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Cash and cash equivalents, FY2024 audited consolidated financial statements (Deloitte &amp; Touche (M.E.), unqualified)</w:t>
            </w:r>
          </w:p>
        </w:tc>
      </w:tr>
      <w:tr>
        <w:tc>
          <w:tcPr>
            <w:tcW w:type="dxa" w:w="2088"/>
          </w:tcPr>
          <w:p>
            <w:pPr>
              <w:spacing w:after="20"/>
            </w:pPr>
            <w:r>
              <w:rPr>
                <w:color w:val="1C3A36"/>
                <w:sz w:val="16"/>
              </w:rPr>
              <w:t>cash fy25</w:t>
            </w:r>
          </w:p>
        </w:tc>
        <w:tc>
          <w:tcPr>
            <w:tcW w:type="dxa" w:w="1296"/>
          </w:tcPr>
          <w:p>
            <w:pPr>
              <w:spacing w:after="20"/>
              <w:jc w:val="right"/>
            </w:pPr>
            <w:r>
              <w:rPr>
                <w:color w:val="1C3A36"/>
                <w:sz w:val="16"/>
              </w:rPr>
              <w:t>236,016.0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Cash and cash equivalents, FY2025 audited consolidated financial statements (Deloitte &amp; Touche (M.E.), unqualified)</w:t>
            </w:r>
          </w:p>
        </w:tc>
      </w:tr>
      <w:tr>
        <w:tc>
          <w:tcPr>
            <w:tcW w:type="dxa" w:w="2088"/>
          </w:tcPr>
          <w:p>
            <w:pPr>
              <w:spacing w:after="20"/>
            </w:pPr>
            <w:r>
              <w:rPr>
                <w:color w:val="1C3A36"/>
                <w:sz w:val="16"/>
              </w:rPr>
              <w:t>cfo 1h26</w:t>
            </w:r>
          </w:p>
        </w:tc>
        <w:tc>
          <w:tcPr>
            <w:tcW w:type="dxa" w:w="1296"/>
          </w:tcPr>
          <w:p>
            <w:pPr>
              <w:spacing w:after="20"/>
              <w:jc w:val="right"/>
            </w:pPr>
            <w:r>
              <w:rPr>
                <w:color w:val="1C3A36"/>
                <w:sz w:val="16"/>
              </w:rPr>
              <w:t>843,049.0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Net cash generated from operating activities, 1H-2026 condensed consolidated interim financial information (reviewed). Stated after income tax and end-of-service benefits paid and BEFORE finance cost paid, which this company presents inside financing — so the figure is already unlevered</w:t>
            </w:r>
          </w:p>
        </w:tc>
      </w:tr>
      <w:tr>
        <w:tc>
          <w:tcPr>
            <w:tcW w:type="dxa" w:w="2088"/>
          </w:tcPr>
          <w:p>
            <w:pPr>
              <w:spacing w:after="20"/>
            </w:pPr>
            <w:r>
              <w:rPr>
                <w:color w:val="1C3A36"/>
                <w:sz w:val="16"/>
              </w:rPr>
              <w:t>cfo fy23</w:t>
            </w:r>
          </w:p>
        </w:tc>
        <w:tc>
          <w:tcPr>
            <w:tcW w:type="dxa" w:w="1296"/>
          </w:tcPr>
          <w:p>
            <w:pPr>
              <w:spacing w:after="20"/>
              <w:jc w:val="right"/>
            </w:pPr>
            <w:r>
              <w:rPr>
                <w:color w:val="1C3A36"/>
                <w:sz w:val="16"/>
              </w:rPr>
              <w:t>1,355,056.0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Net cash from operating activities, FY2023 audited consolidated financial statements (KPMG Lower Gulf Limited, unqualified)</w:t>
            </w:r>
          </w:p>
        </w:tc>
      </w:tr>
      <w:tr>
        <w:tc>
          <w:tcPr>
            <w:tcW w:type="dxa" w:w="2088"/>
          </w:tcPr>
          <w:p>
            <w:pPr>
              <w:spacing w:after="20"/>
            </w:pPr>
            <w:r>
              <w:rPr>
                <w:color w:val="1C3A36"/>
                <w:sz w:val="16"/>
              </w:rPr>
              <w:t>cfo fy24</w:t>
            </w:r>
          </w:p>
        </w:tc>
        <w:tc>
          <w:tcPr>
            <w:tcW w:type="dxa" w:w="1296"/>
          </w:tcPr>
          <w:p>
            <w:pPr>
              <w:spacing w:after="20"/>
              <w:jc w:val="right"/>
            </w:pPr>
            <w:r>
              <w:rPr>
                <w:color w:val="1C3A36"/>
                <w:sz w:val="16"/>
              </w:rPr>
              <w:t>1,653,666.0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Net cash from operating activities, FY2024 audited consolidated financial statements (Deloitte &amp; Touche (M.E.), unqualified)</w:t>
            </w:r>
          </w:p>
        </w:tc>
      </w:tr>
      <w:tr>
        <w:tc>
          <w:tcPr>
            <w:tcW w:type="dxa" w:w="2088"/>
          </w:tcPr>
          <w:p>
            <w:pPr>
              <w:spacing w:after="20"/>
            </w:pPr>
            <w:r>
              <w:rPr>
                <w:color w:val="1C3A36"/>
                <w:sz w:val="16"/>
              </w:rPr>
              <w:t>cfo fy25</w:t>
            </w:r>
          </w:p>
        </w:tc>
        <w:tc>
          <w:tcPr>
            <w:tcW w:type="dxa" w:w="1296"/>
          </w:tcPr>
          <w:p>
            <w:pPr>
              <w:spacing w:after="20"/>
              <w:jc w:val="right"/>
            </w:pPr>
            <w:r>
              <w:rPr>
                <w:color w:val="1C3A36"/>
                <w:sz w:val="16"/>
              </w:rPr>
              <w:t>2,225,843.0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Net cash from operating activities, FY2025 audited consolidated financial statements (Deloitte &amp; Touche (M.E.), unqualified)</w:t>
            </w:r>
          </w:p>
        </w:tc>
      </w:tr>
      <w:tr>
        <w:tc>
          <w:tcPr>
            <w:tcW w:type="dxa" w:w="2088"/>
          </w:tcPr>
          <w:p>
            <w:pPr>
              <w:spacing w:after="20"/>
            </w:pPr>
            <w:r>
              <w:rPr>
                <w:color w:val="1C3A36"/>
                <w:sz w:val="16"/>
              </w:rPr>
              <w:t>dc chem fy25</w:t>
            </w:r>
          </w:p>
        </w:tc>
        <w:tc>
          <w:tcPr>
            <w:tcW w:type="dxa" w:w="1296"/>
          </w:tcPr>
          <w:p>
            <w:pPr>
              <w:spacing w:after="20"/>
              <w:jc w:val="right"/>
            </w:pPr>
            <w:r>
              <w:rPr>
                <w:color w:val="1C3A36"/>
                <w:sz w:val="16"/>
              </w:rPr>
              <w:t>254,535.0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chemicals</w:t>
            </w:r>
          </w:p>
        </w:tc>
      </w:tr>
      <w:tr>
        <w:tc>
          <w:tcPr>
            <w:tcW w:type="dxa" w:w="2088"/>
          </w:tcPr>
          <w:p>
            <w:pPr>
              <w:spacing w:after="20"/>
            </w:pPr>
            <w:r>
              <w:rPr>
                <w:color w:val="1C3A36"/>
                <w:sz w:val="16"/>
              </w:rPr>
              <w:t>dc dep fy25</w:t>
            </w:r>
          </w:p>
        </w:tc>
        <w:tc>
          <w:tcPr>
            <w:tcW w:type="dxa" w:w="1296"/>
          </w:tcPr>
          <w:p>
            <w:pPr>
              <w:spacing w:after="20"/>
              <w:jc w:val="right"/>
            </w:pPr>
            <w:r>
              <w:rPr>
                <w:color w:val="1C3A36"/>
                <w:sz w:val="16"/>
              </w:rPr>
              <w:t>493,064.0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depreciation of property and equipment charged to direct cost</w:t>
            </w:r>
          </w:p>
        </w:tc>
      </w:tr>
      <w:tr>
        <w:tc>
          <w:tcPr>
            <w:tcW w:type="dxa" w:w="2088"/>
          </w:tcPr>
          <w:p>
            <w:pPr>
              <w:spacing w:after="20"/>
            </w:pPr>
            <w:r>
              <w:rPr>
                <w:color w:val="1C3A36"/>
                <w:sz w:val="16"/>
              </w:rPr>
              <w:t>dc fuel fy25</w:t>
            </w:r>
          </w:p>
        </w:tc>
        <w:tc>
          <w:tcPr>
            <w:tcW w:type="dxa" w:w="1296"/>
          </w:tcPr>
          <w:p>
            <w:pPr>
              <w:spacing w:after="20"/>
              <w:jc w:val="right"/>
            </w:pPr>
            <w:r>
              <w:rPr>
                <w:color w:val="1C3A36"/>
                <w:sz w:val="16"/>
              </w:rPr>
              <w:t>170,776.0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fuel and lubricants</w:t>
            </w:r>
          </w:p>
        </w:tc>
      </w:tr>
      <w:tr>
        <w:tc>
          <w:tcPr>
            <w:tcW w:type="dxa" w:w="2088"/>
          </w:tcPr>
          <w:p>
            <w:pPr>
              <w:spacing w:after="20"/>
            </w:pPr>
            <w:r>
              <w:rPr>
                <w:color w:val="1C3A36"/>
                <w:sz w:val="16"/>
              </w:rPr>
              <w:t>dc hire fy25</w:t>
            </w:r>
          </w:p>
        </w:tc>
        <w:tc>
          <w:tcPr>
            <w:tcW w:type="dxa" w:w="1296"/>
          </w:tcPr>
          <w:p>
            <w:pPr>
              <w:spacing w:after="20"/>
              <w:jc w:val="right"/>
            </w:pPr>
            <w:r>
              <w:rPr>
                <w:color w:val="1C3A36"/>
                <w:sz w:val="16"/>
              </w:rPr>
              <w:t>303,652.0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hire of equipment</w:t>
            </w:r>
          </w:p>
        </w:tc>
      </w:tr>
      <w:tr>
        <w:tc>
          <w:tcPr>
            <w:tcW w:type="dxa" w:w="2088"/>
          </w:tcPr>
          <w:p>
            <w:pPr>
              <w:spacing w:after="20"/>
            </w:pPr>
            <w:r>
              <w:rPr>
                <w:color w:val="1C3A36"/>
                <w:sz w:val="16"/>
              </w:rPr>
              <w:t>dc majmaint fy25</w:t>
            </w:r>
          </w:p>
        </w:tc>
        <w:tc>
          <w:tcPr>
            <w:tcW w:type="dxa" w:w="1296"/>
          </w:tcPr>
          <w:p>
            <w:pPr>
              <w:spacing w:after="20"/>
              <w:jc w:val="right"/>
            </w:pPr>
            <w:r>
              <w:rPr>
                <w:color w:val="1C3A36"/>
                <w:sz w:val="16"/>
              </w:rPr>
              <w:t>53,151.0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major maintenance charges</w:t>
            </w:r>
          </w:p>
        </w:tc>
      </w:tr>
      <w:tr>
        <w:tc>
          <w:tcPr>
            <w:tcW w:type="dxa" w:w="2088"/>
          </w:tcPr>
          <w:p>
            <w:pPr>
              <w:spacing w:after="20"/>
            </w:pPr>
            <w:r>
              <w:rPr>
                <w:color w:val="1C3A36"/>
                <w:sz w:val="16"/>
              </w:rPr>
              <w:t>dc other fy25</w:t>
            </w:r>
          </w:p>
        </w:tc>
        <w:tc>
          <w:tcPr>
            <w:tcW w:type="dxa" w:w="1296"/>
          </w:tcPr>
          <w:p>
            <w:pPr>
              <w:spacing w:after="20"/>
              <w:jc w:val="right"/>
            </w:pPr>
            <w:r>
              <w:rPr>
                <w:color w:val="1C3A36"/>
                <w:sz w:val="16"/>
              </w:rPr>
              <w:t>123,312.0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other direct cost</w:t>
            </w:r>
          </w:p>
        </w:tc>
      </w:tr>
      <w:tr>
        <w:tc>
          <w:tcPr>
            <w:tcW w:type="dxa" w:w="2088"/>
          </w:tcPr>
          <w:p>
            <w:pPr>
              <w:spacing w:after="20"/>
            </w:pPr>
            <w:r>
              <w:rPr>
                <w:color w:val="1C3A36"/>
                <w:sz w:val="16"/>
              </w:rPr>
              <w:t>dc repairs fy25</w:t>
            </w:r>
          </w:p>
        </w:tc>
        <w:tc>
          <w:tcPr>
            <w:tcW w:type="dxa" w:w="1296"/>
          </w:tcPr>
          <w:p>
            <w:pPr>
              <w:spacing w:after="20"/>
              <w:jc w:val="right"/>
            </w:pPr>
            <w:r>
              <w:rPr>
                <w:color w:val="1C3A36"/>
                <w:sz w:val="16"/>
              </w:rPr>
              <w:t>904,937.0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repairs and maintenance</w:t>
            </w:r>
          </w:p>
        </w:tc>
      </w:tr>
      <w:tr>
        <w:tc>
          <w:tcPr>
            <w:tcW w:type="dxa" w:w="2088"/>
          </w:tcPr>
          <w:p>
            <w:pPr>
              <w:spacing w:after="20"/>
            </w:pPr>
            <w:r>
              <w:rPr>
                <w:color w:val="1C3A36"/>
                <w:sz w:val="16"/>
              </w:rPr>
              <w:t>dc staff fy25</w:t>
            </w:r>
          </w:p>
        </w:tc>
        <w:tc>
          <w:tcPr>
            <w:tcW w:type="dxa" w:w="1296"/>
          </w:tcPr>
          <w:p>
            <w:pPr>
              <w:spacing w:after="20"/>
              <w:jc w:val="right"/>
            </w:pPr>
            <w:r>
              <w:rPr>
                <w:color w:val="1C3A36"/>
                <w:sz w:val="16"/>
              </w:rPr>
              <w:t>802,536.0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note 20, FY2025 audited consolidated financial statements (Deloitte &amp; Touche (M.E.), unqualified) — staff costs</w:t>
            </w:r>
          </w:p>
        </w:tc>
      </w:tr>
      <w:tr>
        <w:tc>
          <w:tcPr>
            <w:tcW w:type="dxa" w:w="2088"/>
          </w:tcPr>
          <w:p>
            <w:pPr>
              <w:spacing w:after="20"/>
            </w:pPr>
            <w:r>
              <w:rPr>
                <w:color w:val="1C3A36"/>
                <w:sz w:val="16"/>
              </w:rPr>
              <w:t>dcost fy23</w:t>
            </w:r>
          </w:p>
        </w:tc>
        <w:tc>
          <w:tcPr>
            <w:tcW w:type="dxa" w:w="1296"/>
          </w:tcPr>
          <w:p>
            <w:pPr>
              <w:spacing w:after="20"/>
              <w:jc w:val="right"/>
            </w:pPr>
            <w:r>
              <w:rPr>
                <w:color w:val="1C3A36"/>
                <w:sz w:val="16"/>
              </w:rPr>
              <w:t>1,848,729.0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Direct cost, FY2023 audited consolidated financial statements (KPMG Lower Gulf Limited, unqualified)</w:t>
            </w:r>
          </w:p>
        </w:tc>
      </w:tr>
      <w:tr>
        <w:tc>
          <w:tcPr>
            <w:tcW w:type="dxa" w:w="2088"/>
          </w:tcPr>
          <w:p>
            <w:pPr>
              <w:spacing w:after="20"/>
            </w:pPr>
            <w:r>
              <w:rPr>
                <w:color w:val="1C3A36"/>
                <w:sz w:val="16"/>
              </w:rPr>
              <w:t>dcost fy24</w:t>
            </w:r>
          </w:p>
        </w:tc>
        <w:tc>
          <w:tcPr>
            <w:tcW w:type="dxa" w:w="1296"/>
          </w:tcPr>
          <w:p>
            <w:pPr>
              <w:spacing w:after="20"/>
              <w:jc w:val="right"/>
            </w:pPr>
            <w:r>
              <w:rPr>
                <w:color w:val="1C3A36"/>
                <w:sz w:val="16"/>
              </w:rPr>
              <w:t>2,337,407.0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Direct cost, FY2024 audited consolidated financial statements (Deloitte &amp; Touche (M.E.), unqualified)</w:t>
            </w:r>
          </w:p>
        </w:tc>
      </w:tr>
      <w:tr>
        <w:tc>
          <w:tcPr>
            <w:tcW w:type="dxa" w:w="2088"/>
          </w:tcPr>
          <w:p>
            <w:pPr>
              <w:spacing w:after="20"/>
            </w:pPr>
            <w:r>
              <w:rPr>
                <w:color w:val="1C3A36"/>
                <w:sz w:val="16"/>
              </w:rPr>
              <w:t>dcost fy25</w:t>
            </w:r>
          </w:p>
        </w:tc>
        <w:tc>
          <w:tcPr>
            <w:tcW w:type="dxa" w:w="1296"/>
          </w:tcPr>
          <w:p>
            <w:pPr>
              <w:spacing w:after="20"/>
              <w:jc w:val="right"/>
            </w:pPr>
            <w:r>
              <w:rPr>
                <w:color w:val="1C3A36"/>
                <w:sz w:val="16"/>
              </w:rPr>
              <w:t>3,105,963.0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Direct cost, FY2025 audited consolidated financial statements (Deloitte &amp; Touche (M.E.), unqualified)</w:t>
            </w:r>
          </w:p>
        </w:tc>
      </w:tr>
      <w:tr>
        <w:tc>
          <w:tcPr>
            <w:tcW w:type="dxa" w:w="2088"/>
          </w:tcPr>
          <w:p>
            <w:pPr>
              <w:spacing w:after="20"/>
            </w:pPr>
            <w:r>
              <w:rPr>
                <w:color w:val="1C3A36"/>
                <w:sz w:val="16"/>
              </w:rPr>
              <w:t>debt 1h26</w:t>
            </w:r>
          </w:p>
        </w:tc>
        <w:tc>
          <w:tcPr>
            <w:tcW w:type="dxa" w:w="1296"/>
          </w:tcPr>
          <w:p>
            <w:pPr>
              <w:spacing w:after="20"/>
              <w:jc w:val="right"/>
            </w:pPr>
            <w:r>
              <w:rPr>
                <w:color w:val="1C3A36"/>
                <w:sz w:val="16"/>
              </w:rPr>
              <w:t>2,468,779.0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Borrowings, 1H-2026 condensed consolidated interim financial information (reviewed): non-current 1,247,510 plus current 1,221,269</w:t>
            </w:r>
          </w:p>
        </w:tc>
      </w:tr>
      <w:tr>
        <w:tc>
          <w:tcPr>
            <w:tcW w:type="dxa" w:w="2088"/>
          </w:tcPr>
          <w:p>
            <w:pPr>
              <w:spacing w:after="20"/>
            </w:pPr>
            <w:r>
              <w:rPr>
                <w:color w:val="1C3A36"/>
                <w:sz w:val="16"/>
              </w:rPr>
              <w:t>debt fy23</w:t>
            </w:r>
          </w:p>
        </w:tc>
        <w:tc>
          <w:tcPr>
            <w:tcW w:type="dxa" w:w="1296"/>
          </w:tcPr>
          <w:p>
            <w:pPr>
              <w:spacing w:after="20"/>
              <w:jc w:val="right"/>
            </w:pPr>
            <w:r>
              <w:rPr>
                <w:color w:val="1C3A36"/>
                <w:sz w:val="16"/>
              </w:rPr>
              <w:t>1,992,264.0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Borrowings note 13, FY2023 audited consolidated financial statements (KPMG Lower Gulf Limited, unqualified) (non-current 1,992,264, current nil)</w:t>
            </w:r>
          </w:p>
        </w:tc>
      </w:tr>
      <w:tr>
        <w:tc>
          <w:tcPr>
            <w:tcW w:type="dxa" w:w="2088"/>
          </w:tcPr>
          <w:p>
            <w:pPr>
              <w:spacing w:after="20"/>
            </w:pPr>
            <w:r>
              <w:rPr>
                <w:color w:val="1C3A36"/>
                <w:sz w:val="16"/>
              </w:rPr>
              <w:t>debt fy24</w:t>
            </w:r>
          </w:p>
        </w:tc>
        <w:tc>
          <w:tcPr>
            <w:tcW w:type="dxa" w:w="1296"/>
          </w:tcPr>
          <w:p>
            <w:pPr>
              <w:spacing w:after="20"/>
              <w:jc w:val="right"/>
            </w:pPr>
            <w:r>
              <w:rPr>
                <w:color w:val="1C3A36"/>
                <w:sz w:val="16"/>
              </w:rPr>
              <w:t>2,294,750.0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Borrowings note 15, FY2024 audited consolidated financial statements (Deloitte &amp; Touche (M.E.), unqualified): non-current 1,495,227 plus current 799,523</w:t>
            </w:r>
          </w:p>
        </w:tc>
      </w:tr>
      <w:tr>
        <w:tc>
          <w:tcPr>
            <w:tcW w:type="dxa" w:w="2088"/>
          </w:tcPr>
          <w:p>
            <w:pPr>
              <w:spacing w:after="20"/>
            </w:pPr>
            <w:r>
              <w:rPr>
                <w:color w:val="1C3A36"/>
                <w:sz w:val="16"/>
              </w:rPr>
              <w:t>debt fy25</w:t>
            </w:r>
          </w:p>
        </w:tc>
        <w:tc>
          <w:tcPr>
            <w:tcW w:type="dxa" w:w="1296"/>
          </w:tcPr>
          <w:p>
            <w:pPr>
              <w:spacing w:after="20"/>
              <w:jc w:val="right"/>
            </w:pPr>
            <w:r>
              <w:rPr>
                <w:color w:val="1C3A36"/>
                <w:sz w:val="16"/>
              </w:rPr>
              <w:t>2,269,039.0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Borrowings note 15, FY2025 audited consolidated financial statements (Deloitte &amp; Touche (M.E.), unqualified): non-current 1,246,507 plus current 1,022,532</w:t>
            </w:r>
          </w:p>
        </w:tc>
      </w:tr>
      <w:tr>
        <w:tc>
          <w:tcPr>
            <w:tcW w:type="dxa" w:w="2088"/>
          </w:tcPr>
          <w:p>
            <w:pPr>
              <w:spacing w:after="20"/>
            </w:pPr>
            <w:r>
              <w:rPr>
                <w:color w:val="1C3A36"/>
                <w:sz w:val="16"/>
              </w:rPr>
              <w:t>dfrp 1h26</w:t>
            </w:r>
          </w:p>
        </w:tc>
        <w:tc>
          <w:tcPr>
            <w:tcW w:type="dxa" w:w="1296"/>
          </w:tcPr>
          <w:p>
            <w:pPr>
              <w:spacing w:after="20"/>
              <w:jc w:val="right"/>
            </w:pPr>
            <w:r>
              <w:rPr>
                <w:color w:val="1C3A36"/>
                <w:sz w:val="16"/>
              </w:rPr>
              <w:t>1,418,236.0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Due from related parties, 1H-2026 condensed consolidated interim financial information (reviewed)</w:t>
            </w:r>
          </w:p>
        </w:tc>
      </w:tr>
      <w:tr>
        <w:tc>
          <w:tcPr>
            <w:tcW w:type="dxa" w:w="2088"/>
          </w:tcPr>
          <w:p>
            <w:pPr>
              <w:spacing w:after="20"/>
            </w:pPr>
            <w:r>
              <w:rPr>
                <w:color w:val="1C3A36"/>
                <w:sz w:val="16"/>
              </w:rPr>
              <w:t>dfrp fy23</w:t>
            </w:r>
          </w:p>
        </w:tc>
        <w:tc>
          <w:tcPr>
            <w:tcW w:type="dxa" w:w="1296"/>
          </w:tcPr>
          <w:p>
            <w:pPr>
              <w:spacing w:after="20"/>
              <w:jc w:val="right"/>
            </w:pPr>
            <w:r>
              <w:rPr>
                <w:color w:val="1C3A36"/>
                <w:sz w:val="16"/>
              </w:rPr>
              <w:t>986,696.0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Due from related parties, FY2023 audited consolidated financial statements (KPMG Lower Gulf Limited, unqualified)</w:t>
            </w:r>
          </w:p>
        </w:tc>
      </w:tr>
      <w:tr>
        <w:tc>
          <w:tcPr>
            <w:tcW w:type="dxa" w:w="2088"/>
          </w:tcPr>
          <w:p>
            <w:pPr>
              <w:spacing w:after="20"/>
            </w:pPr>
            <w:r>
              <w:rPr>
                <w:color w:val="1C3A36"/>
                <w:sz w:val="16"/>
              </w:rPr>
              <w:t>dfrp fy24</w:t>
            </w:r>
          </w:p>
        </w:tc>
        <w:tc>
          <w:tcPr>
            <w:tcW w:type="dxa" w:w="1296"/>
          </w:tcPr>
          <w:p>
            <w:pPr>
              <w:spacing w:after="20"/>
              <w:jc w:val="right"/>
            </w:pPr>
            <w:r>
              <w:rPr>
                <w:color w:val="1C3A36"/>
                <w:sz w:val="16"/>
              </w:rPr>
              <w:t>1,361,282.0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Due from related parties, FY2024 audited consolidated financial statements (Deloitte &amp; Touche (M.E.), unqualified)</w:t>
            </w:r>
          </w:p>
        </w:tc>
      </w:tr>
      <w:tr>
        <w:tc>
          <w:tcPr>
            <w:tcW w:type="dxa" w:w="2088"/>
          </w:tcPr>
          <w:p>
            <w:pPr>
              <w:spacing w:after="20"/>
            </w:pPr>
            <w:r>
              <w:rPr>
                <w:color w:val="1C3A36"/>
                <w:sz w:val="16"/>
              </w:rPr>
              <w:t>dfrp fy25</w:t>
            </w:r>
          </w:p>
        </w:tc>
        <w:tc>
          <w:tcPr>
            <w:tcW w:type="dxa" w:w="1296"/>
          </w:tcPr>
          <w:p>
            <w:pPr>
              <w:spacing w:after="20"/>
              <w:jc w:val="right"/>
            </w:pPr>
            <w:r>
              <w:rPr>
                <w:color w:val="1C3A36"/>
                <w:sz w:val="16"/>
              </w:rPr>
              <w:t>1,364,794.0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Due from related parties note 18, FY2025 audited consolidated financial statements (Deloitte &amp; Touche (M.E.), unqualified) — 228,666 billed plus 1,164,132 of unbilled contract assets less a 28,004 expected-credit-loss allowance</w:t>
            </w:r>
          </w:p>
        </w:tc>
      </w:tr>
      <w:tr>
        <w:tc>
          <w:tcPr>
            <w:tcW w:type="dxa" w:w="2088"/>
          </w:tcPr>
          <w:p>
            <w:pPr>
              <w:spacing w:after="20"/>
            </w:pPr>
            <w:r>
              <w:rPr>
                <w:color w:val="1C3A36"/>
                <w:sz w:val="16"/>
              </w:rPr>
              <w:t>div fy23</w:t>
            </w:r>
          </w:p>
        </w:tc>
        <w:tc>
          <w:tcPr>
            <w:tcW w:type="dxa" w:w="1296"/>
          </w:tcPr>
          <w:p>
            <w:pPr>
              <w:spacing w:after="20"/>
              <w:jc w:val="right"/>
            </w:pPr>
            <w:r>
              <w:rPr>
                <w:color w:val="1C3A36"/>
                <w:sz w:val="16"/>
              </w:rPr>
              <w:t>699,559.0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Dividends paid, FY2023 audited consolidated financial statements (KPMG Lower Gulf Limited, unqualified)</w:t>
            </w:r>
          </w:p>
        </w:tc>
      </w:tr>
      <w:tr>
        <w:tc>
          <w:tcPr>
            <w:tcW w:type="dxa" w:w="2088"/>
          </w:tcPr>
          <w:p>
            <w:pPr>
              <w:spacing w:after="20"/>
            </w:pPr>
            <w:r>
              <w:rPr>
                <w:color w:val="1C3A36"/>
                <w:sz w:val="16"/>
              </w:rPr>
              <w:t>div fy24</w:t>
            </w:r>
          </w:p>
        </w:tc>
        <w:tc>
          <w:tcPr>
            <w:tcW w:type="dxa" w:w="1296"/>
          </w:tcPr>
          <w:p>
            <w:pPr>
              <w:spacing w:after="20"/>
              <w:jc w:val="right"/>
            </w:pPr>
            <w:r>
              <w:rPr>
                <w:color w:val="1C3A36"/>
                <w:sz w:val="16"/>
              </w:rPr>
              <w:t>752,452.0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Dividends paid, FY2024 audited consolidated financial statements (Deloitte &amp; Touche (M.E.), unqualified)</w:t>
            </w:r>
          </w:p>
        </w:tc>
      </w:tr>
      <w:tr>
        <w:tc>
          <w:tcPr>
            <w:tcW w:type="dxa" w:w="2088"/>
          </w:tcPr>
          <w:p>
            <w:pPr>
              <w:spacing w:after="20"/>
            </w:pPr>
            <w:r>
              <w:rPr>
                <w:color w:val="1C3A36"/>
                <w:sz w:val="16"/>
              </w:rPr>
              <w:t>div fy25</w:t>
            </w:r>
          </w:p>
        </w:tc>
        <w:tc>
          <w:tcPr>
            <w:tcW w:type="dxa" w:w="1296"/>
          </w:tcPr>
          <w:p>
            <w:pPr>
              <w:spacing w:after="20"/>
              <w:jc w:val="right"/>
            </w:pPr>
            <w:r>
              <w:rPr>
                <w:color w:val="1C3A36"/>
                <w:sz w:val="16"/>
              </w:rPr>
              <w:t>1,143,567.0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Dividends paid, FY2025 audited consolidated financial statements (Deloitte &amp; Touche (M.E.), unqualified)</w:t>
            </w:r>
          </w:p>
        </w:tc>
      </w:tr>
      <w:tr>
        <w:tc>
          <w:tcPr>
            <w:tcW w:type="dxa" w:w="2088"/>
          </w:tcPr>
          <w:p>
            <w:pPr>
              <w:spacing w:after="20"/>
            </w:pPr>
            <w:r>
              <w:rPr>
                <w:color w:val="1C3A36"/>
                <w:sz w:val="16"/>
              </w:rPr>
              <w:t>div paid 1h26</w:t>
            </w:r>
          </w:p>
        </w:tc>
        <w:tc>
          <w:tcPr>
            <w:tcW w:type="dxa" w:w="1296"/>
          </w:tcPr>
          <w:p>
            <w:pPr>
              <w:spacing w:after="20"/>
              <w:jc w:val="right"/>
            </w:pPr>
            <w:r>
              <w:rPr>
                <w:color w:val="1C3A36"/>
                <w:sz w:val="16"/>
              </w:rPr>
              <w:t>512,500.0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Dividends paid, 1H-2026 condensed consolidated interim financial information (reviewed) statement of cash flows</w:t>
            </w:r>
          </w:p>
        </w:tc>
      </w:tr>
      <w:tr>
        <w:tc>
          <w:tcPr>
            <w:tcW w:type="dxa" w:w="2088"/>
          </w:tcPr>
          <w:p>
            <w:pPr>
              <w:spacing w:after="20"/>
            </w:pPr>
            <w:r>
              <w:rPr>
                <w:color w:val="1C3A36"/>
                <w:sz w:val="16"/>
              </w:rPr>
              <w:t>dna 1h26</w:t>
            </w:r>
          </w:p>
        </w:tc>
        <w:tc>
          <w:tcPr>
            <w:tcW w:type="dxa" w:w="1296"/>
          </w:tcPr>
          <w:p>
            <w:pPr>
              <w:spacing w:after="20"/>
              <w:jc w:val="right"/>
            </w:pPr>
            <w:r>
              <w:rPr>
                <w:color w:val="1C3A36"/>
                <w:sz w:val="16"/>
              </w:rPr>
              <w:t>260,530.0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Cash-flow statement adjustments, 1H-2026 condensed consolidated interim financial information (reviewed): property and equipment 252,319 plus right-of-use 5,906 plus intangibles 2,305</w:t>
            </w:r>
          </w:p>
        </w:tc>
      </w:tr>
      <w:tr>
        <w:tc>
          <w:tcPr>
            <w:tcW w:type="dxa" w:w="2088"/>
          </w:tcPr>
          <w:p>
            <w:pPr>
              <w:spacing w:after="20"/>
            </w:pPr>
            <w:r>
              <w:rPr>
                <w:color w:val="1C3A36"/>
                <w:sz w:val="16"/>
              </w:rPr>
              <w:t>dna fy23</w:t>
            </w:r>
          </w:p>
        </w:tc>
        <w:tc>
          <w:tcPr>
            <w:tcW w:type="dxa" w:w="1296"/>
          </w:tcPr>
          <w:p>
            <w:pPr>
              <w:spacing w:after="20"/>
              <w:jc w:val="right"/>
            </w:pPr>
            <w:r>
              <w:rPr>
                <w:color w:val="1C3A36"/>
                <w:sz w:val="16"/>
              </w:rPr>
              <w:t>391,247.0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Consolidated statement of cash flows, FY2023 audited consolidated financial statements (KPMG Lower Gulf Limited, unqualified): property and equipment 368,110 + right-of-use assets 19,589 + intangibles 3,548. Ties to the segment note's total depreciation of 391,247</w:t>
            </w:r>
          </w:p>
        </w:tc>
      </w:tr>
      <w:tr>
        <w:tc>
          <w:tcPr>
            <w:tcW w:type="dxa" w:w="2088"/>
          </w:tcPr>
          <w:p>
            <w:pPr>
              <w:spacing w:after="20"/>
            </w:pPr>
            <w:r>
              <w:rPr>
                <w:color w:val="1C3A36"/>
                <w:sz w:val="16"/>
              </w:rPr>
              <w:t>dna fy24</w:t>
            </w:r>
          </w:p>
        </w:tc>
        <w:tc>
          <w:tcPr>
            <w:tcW w:type="dxa" w:w="1296"/>
          </w:tcPr>
          <w:p>
            <w:pPr>
              <w:spacing w:after="20"/>
              <w:jc w:val="right"/>
            </w:pPr>
            <w:r>
              <w:rPr>
                <w:color w:val="1C3A36"/>
                <w:sz w:val="16"/>
              </w:rPr>
              <w:t>458,452.0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Consolidated statement of cash flows, FY2024 audited consolidated financial statements (Deloitte &amp; Touche (M.E.), unqualified): property and equipment 426,473 + right-of-use assets 28,435 + intangibles 3,544. Ties to the segment note's total depreciation and amortisation of 458,452</w:t>
            </w:r>
          </w:p>
        </w:tc>
      </w:tr>
      <w:tr>
        <w:tc>
          <w:tcPr>
            <w:tcW w:type="dxa" w:w="2088"/>
          </w:tcPr>
          <w:p>
            <w:pPr>
              <w:spacing w:after="20"/>
            </w:pPr>
            <w:r>
              <w:rPr>
                <w:color w:val="1C3A36"/>
                <w:sz w:val="16"/>
              </w:rPr>
              <w:t>dna fy25</w:t>
            </w:r>
          </w:p>
        </w:tc>
        <w:tc>
          <w:tcPr>
            <w:tcW w:type="dxa" w:w="1296"/>
          </w:tcPr>
          <w:p>
            <w:pPr>
              <w:spacing w:after="20"/>
              <w:jc w:val="right"/>
            </w:pPr>
            <w:r>
              <w:rPr>
                <w:color w:val="1C3A36"/>
                <w:sz w:val="16"/>
              </w:rPr>
              <w:t>512,319.0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Consolidated statement of cash flows, FY2025 audited consolidated financial statements (Deloitte &amp; Touche (M.E.), unqualified): property and equipment 497,084 + right-of-use assets 11,042 + intangibles 4,193. Ties to the segment note's total depreciation and amortisation of 512,319</w:t>
            </w:r>
          </w:p>
        </w:tc>
      </w:tr>
      <w:tr>
        <w:tc>
          <w:tcPr>
            <w:tcW w:type="dxa" w:w="2088"/>
          </w:tcPr>
          <w:p>
            <w:pPr>
              <w:spacing w:after="20"/>
            </w:pPr>
            <w:r>
              <w:rPr>
                <w:color w:val="1C3A36"/>
                <w:sz w:val="16"/>
              </w:rPr>
              <w:t>dta fy23</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Deferred tax assets, FY2023 audited consolidated financial statements (KPMG Lower Gulf Limited, unqualified) — none recognised</w:t>
            </w:r>
          </w:p>
        </w:tc>
      </w:tr>
      <w:tr>
        <w:tc>
          <w:tcPr>
            <w:tcW w:type="dxa" w:w="2088"/>
          </w:tcPr>
          <w:p>
            <w:pPr>
              <w:spacing w:after="20"/>
            </w:pPr>
            <w:r>
              <w:rPr>
                <w:color w:val="1C3A36"/>
                <w:sz w:val="16"/>
              </w:rPr>
              <w:t>dta fy24</w:t>
            </w:r>
          </w:p>
        </w:tc>
        <w:tc>
          <w:tcPr>
            <w:tcW w:type="dxa" w:w="1296"/>
          </w:tcPr>
          <w:p>
            <w:pPr>
              <w:spacing w:after="20"/>
              <w:jc w:val="right"/>
            </w:pPr>
            <w:r>
              <w:rPr>
                <w:color w:val="1C3A36"/>
                <w:sz w:val="16"/>
              </w:rPr>
              <w:t>1,397.0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Deferred tax assets, FY2024 audited consolidated financial statements (Deloitte &amp; Touche (M.E.), unqualified)</w:t>
            </w:r>
          </w:p>
        </w:tc>
      </w:tr>
      <w:tr>
        <w:tc>
          <w:tcPr>
            <w:tcW w:type="dxa" w:w="2088"/>
          </w:tcPr>
          <w:p>
            <w:pPr>
              <w:spacing w:after="20"/>
            </w:pPr>
            <w:r>
              <w:rPr>
                <w:color w:val="1C3A36"/>
                <w:sz w:val="16"/>
              </w:rPr>
              <w:t>dta fy25</w:t>
            </w:r>
          </w:p>
        </w:tc>
        <w:tc>
          <w:tcPr>
            <w:tcW w:type="dxa" w:w="1296"/>
          </w:tcPr>
          <w:p>
            <w:pPr>
              <w:spacing w:after="20"/>
              <w:jc w:val="right"/>
            </w:pPr>
            <w:r>
              <w:rPr>
                <w:color w:val="1C3A36"/>
                <w:sz w:val="16"/>
              </w:rPr>
              <w:t>1,228.0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Deferred tax assets, FY2025 audited consolidated financial statements (Deloitte &amp; Touche (M.E.), unqualified)</w:t>
            </w:r>
          </w:p>
        </w:tc>
      </w:tr>
      <w:tr>
        <w:tc>
          <w:tcPr>
            <w:tcW w:type="dxa" w:w="2088"/>
          </w:tcPr>
          <w:p>
            <w:pPr>
              <w:spacing w:after="20"/>
            </w:pPr>
            <w:r>
              <w:rPr>
                <w:color w:val="1C3A36"/>
                <w:sz w:val="16"/>
              </w:rPr>
              <w:t>dtrp 1h26</w:t>
            </w:r>
          </w:p>
        </w:tc>
        <w:tc>
          <w:tcPr>
            <w:tcW w:type="dxa" w:w="1296"/>
          </w:tcPr>
          <w:p>
            <w:pPr>
              <w:spacing w:after="20"/>
              <w:jc w:val="right"/>
            </w:pPr>
            <w:r>
              <w:rPr>
                <w:color w:val="1C3A36"/>
                <w:sz w:val="16"/>
              </w:rPr>
              <w:t>312,862.0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Due to related parties, 1H-2026 condensed consolidated interim financial information (reviewed)</w:t>
            </w:r>
          </w:p>
        </w:tc>
      </w:tr>
      <w:tr>
        <w:tc>
          <w:tcPr>
            <w:tcW w:type="dxa" w:w="2088"/>
          </w:tcPr>
          <w:p>
            <w:pPr>
              <w:spacing w:after="20"/>
            </w:pPr>
            <w:r>
              <w:rPr>
                <w:color w:val="1C3A36"/>
                <w:sz w:val="16"/>
              </w:rPr>
              <w:t>dtrp fy23</w:t>
            </w:r>
          </w:p>
        </w:tc>
        <w:tc>
          <w:tcPr>
            <w:tcW w:type="dxa" w:w="1296"/>
          </w:tcPr>
          <w:p>
            <w:pPr>
              <w:spacing w:after="20"/>
              <w:jc w:val="right"/>
            </w:pPr>
            <w:r>
              <w:rPr>
                <w:color w:val="1C3A36"/>
                <w:sz w:val="16"/>
              </w:rPr>
              <w:t>250,237.0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Due to related parties, FY2023 audited consolidated financial statements (KPMG Lower Gulf Limited, unqualified)</w:t>
            </w:r>
          </w:p>
        </w:tc>
      </w:tr>
      <w:tr>
        <w:tc>
          <w:tcPr>
            <w:tcW w:type="dxa" w:w="2088"/>
          </w:tcPr>
          <w:p>
            <w:pPr>
              <w:spacing w:after="20"/>
            </w:pPr>
            <w:r>
              <w:rPr>
                <w:color w:val="1C3A36"/>
                <w:sz w:val="16"/>
              </w:rPr>
              <w:t>dtrp fy24</w:t>
            </w:r>
          </w:p>
        </w:tc>
        <w:tc>
          <w:tcPr>
            <w:tcW w:type="dxa" w:w="1296"/>
          </w:tcPr>
          <w:p>
            <w:pPr>
              <w:spacing w:after="20"/>
              <w:jc w:val="right"/>
            </w:pPr>
            <w:r>
              <w:rPr>
                <w:color w:val="1C3A36"/>
                <w:sz w:val="16"/>
              </w:rPr>
              <w:t>250,850.0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Due to related parties, FY2024 audited consolidated financial statements (Deloitte &amp; Touche (M.E.), unqualified)</w:t>
            </w:r>
          </w:p>
        </w:tc>
      </w:tr>
      <w:tr>
        <w:tc>
          <w:tcPr>
            <w:tcW w:type="dxa" w:w="2088"/>
          </w:tcPr>
          <w:p>
            <w:pPr>
              <w:spacing w:after="20"/>
            </w:pPr>
            <w:r>
              <w:rPr>
                <w:color w:val="1C3A36"/>
                <w:sz w:val="16"/>
              </w:rPr>
              <w:t>dtrp fy25</w:t>
            </w:r>
          </w:p>
        </w:tc>
        <w:tc>
          <w:tcPr>
            <w:tcW w:type="dxa" w:w="1296"/>
          </w:tcPr>
          <w:p>
            <w:pPr>
              <w:spacing w:after="20"/>
              <w:jc w:val="right"/>
            </w:pPr>
            <w:r>
              <w:rPr>
                <w:color w:val="1C3A36"/>
                <w:sz w:val="16"/>
              </w:rPr>
              <w:t>416,071.0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Due to related parties note 18, FY2025 audited consolidated financial statements (Deloitte &amp; Touche (M.E.), unqualified)</w:t>
            </w:r>
          </w:p>
        </w:tc>
      </w:tr>
      <w:tr>
        <w:tc>
          <w:tcPr>
            <w:tcW w:type="dxa" w:w="2088"/>
          </w:tcPr>
          <w:p>
            <w:pPr>
              <w:spacing w:after="20"/>
            </w:pPr>
            <w:r>
              <w:rPr>
                <w:color w:val="1C3A36"/>
                <w:sz w:val="16"/>
              </w:rPr>
              <w:t>ebitda 1h26</w:t>
            </w:r>
          </w:p>
        </w:tc>
        <w:tc>
          <w:tcPr>
            <w:tcW w:type="dxa" w:w="1296"/>
          </w:tcPr>
          <w:p>
            <w:pPr>
              <w:spacing w:after="20"/>
              <w:jc w:val="right"/>
            </w:pPr>
            <w:r>
              <w:rPr>
                <w:color w:val="1C3A36"/>
                <w:sz w:val="16"/>
              </w:rPr>
              <w:t>1,084,000.0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EBITDA, 1H-2026 management discussion and analysis financial summary. Reconciles to the interim statements: revenue 2,459,813 less direct cost 1,566,479 less general and administrative 90,356 plus joint-venture share 16,479 plus other income 3,807 = 823,264 before adding back the 260,530 of depreciation and amortisation inside cost of sales and overheads</w:t>
            </w:r>
          </w:p>
        </w:tc>
      </w:tr>
      <w:tr>
        <w:tc>
          <w:tcPr>
            <w:tcW w:type="dxa" w:w="2088"/>
          </w:tcPr>
          <w:p>
            <w:pPr>
              <w:spacing w:after="20"/>
            </w:pPr>
            <w:r>
              <w:rPr>
                <w:color w:val="1C3A36"/>
                <w:sz w:val="16"/>
              </w:rPr>
              <w:t>eosb fy23</w:t>
            </w:r>
          </w:p>
        </w:tc>
        <w:tc>
          <w:tcPr>
            <w:tcW w:type="dxa" w:w="1296"/>
          </w:tcPr>
          <w:p>
            <w:pPr>
              <w:spacing w:after="20"/>
              <w:jc w:val="right"/>
            </w:pPr>
            <w:r>
              <w:rPr>
                <w:color w:val="1C3A36"/>
                <w:sz w:val="16"/>
              </w:rPr>
              <w:t>114,422.0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Provision for employees' end of service benefits, FY2023 audited consolidated financial statements (KPMG Lower Gulf Limited, unqualified): non-current 105,328 plus current 9,094</w:t>
            </w:r>
          </w:p>
        </w:tc>
      </w:tr>
      <w:tr>
        <w:tc>
          <w:tcPr>
            <w:tcW w:type="dxa" w:w="2088"/>
          </w:tcPr>
          <w:p>
            <w:pPr>
              <w:spacing w:after="20"/>
            </w:pPr>
            <w:r>
              <w:rPr>
                <w:color w:val="1C3A36"/>
                <w:sz w:val="16"/>
              </w:rPr>
              <w:t>eosb fy24</w:t>
            </w:r>
          </w:p>
        </w:tc>
        <w:tc>
          <w:tcPr>
            <w:tcW w:type="dxa" w:w="1296"/>
          </w:tcPr>
          <w:p>
            <w:pPr>
              <w:spacing w:after="20"/>
              <w:jc w:val="right"/>
            </w:pPr>
            <w:r>
              <w:rPr>
                <w:color w:val="1C3A36"/>
                <w:sz w:val="16"/>
              </w:rPr>
              <w:t>129,947.0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Provision for employees' end of service benefits note 16, FY2024 audited consolidated financial statements (Deloitte &amp; Touche (M.E.), unqualified)</w:t>
            </w:r>
          </w:p>
        </w:tc>
      </w:tr>
      <w:tr>
        <w:tc>
          <w:tcPr>
            <w:tcW w:type="dxa" w:w="2088"/>
          </w:tcPr>
          <w:p>
            <w:pPr>
              <w:spacing w:after="20"/>
            </w:pPr>
            <w:r>
              <w:rPr>
                <w:color w:val="1C3A36"/>
                <w:sz w:val="16"/>
              </w:rPr>
              <w:t>eosb fy25</w:t>
            </w:r>
          </w:p>
        </w:tc>
        <w:tc>
          <w:tcPr>
            <w:tcW w:type="dxa" w:w="1296"/>
          </w:tcPr>
          <w:p>
            <w:pPr>
              <w:spacing w:after="20"/>
              <w:jc w:val="right"/>
            </w:pPr>
            <w:r>
              <w:rPr>
                <w:color w:val="1C3A36"/>
                <w:sz w:val="16"/>
              </w:rPr>
              <w:t>143,587.0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Provision for employees' end of service benefits note 16, FY2025 audited consolidated financial statements (Deloitte &amp; Touche (M.E.), unqualified)</w:t>
            </w:r>
          </w:p>
        </w:tc>
      </w:tr>
      <w:tr>
        <w:tc>
          <w:tcPr>
            <w:tcW w:type="dxa" w:w="2088"/>
          </w:tcPr>
          <w:p>
            <w:pPr>
              <w:spacing w:after="20"/>
            </w:pPr>
            <w:r>
              <w:rPr>
                <w:color w:val="1C3A36"/>
                <w:sz w:val="16"/>
              </w:rPr>
              <w:t>equity 1h26</w:t>
            </w:r>
          </w:p>
        </w:tc>
        <w:tc>
          <w:tcPr>
            <w:tcW w:type="dxa" w:w="1296"/>
          </w:tcPr>
          <w:p>
            <w:pPr>
              <w:spacing w:after="20"/>
              <w:jc w:val="right"/>
            </w:pPr>
            <w:r>
              <w:rPr>
                <w:color w:val="1C3A36"/>
                <w:sz w:val="16"/>
              </w:rPr>
              <w:t>4,287,313.0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Total equity, 1H-2026 condensed consolidated interim financial information (reviewed)</w:t>
            </w:r>
          </w:p>
        </w:tc>
      </w:tr>
      <w:tr>
        <w:tc>
          <w:tcPr>
            <w:tcW w:type="dxa" w:w="2088"/>
          </w:tcPr>
          <w:p>
            <w:pPr>
              <w:spacing w:after="20"/>
            </w:pPr>
            <w:r>
              <w:rPr>
                <w:color w:val="1C3A36"/>
                <w:sz w:val="16"/>
              </w:rPr>
              <w:t>equity fy23</w:t>
            </w:r>
          </w:p>
        </w:tc>
        <w:tc>
          <w:tcPr>
            <w:tcW w:type="dxa" w:w="1296"/>
          </w:tcPr>
          <w:p>
            <w:pPr>
              <w:spacing w:after="20"/>
              <w:jc w:val="right"/>
            </w:pPr>
            <w:r>
              <w:rPr>
                <w:color w:val="1C3A36"/>
                <w:sz w:val="16"/>
              </w:rPr>
              <w:t>3,264,221.0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Total equity, FY2023 audited consolidated financial statements (KPMG Lower Gulf Limited, unqualified)</w:t>
            </w:r>
          </w:p>
        </w:tc>
      </w:tr>
      <w:tr>
        <w:tc>
          <w:tcPr>
            <w:tcW w:type="dxa" w:w="2088"/>
          </w:tcPr>
          <w:p>
            <w:pPr>
              <w:spacing w:after="20"/>
            </w:pPr>
            <w:r>
              <w:rPr>
                <w:color w:val="1C3A36"/>
                <w:sz w:val="16"/>
              </w:rPr>
              <w:t>equity fy24</w:t>
            </w:r>
          </w:p>
        </w:tc>
        <w:tc>
          <w:tcPr>
            <w:tcW w:type="dxa" w:w="1296"/>
          </w:tcPr>
          <w:p>
            <w:pPr>
              <w:spacing w:after="20"/>
              <w:jc w:val="right"/>
            </w:pPr>
            <w:r>
              <w:rPr>
                <w:color w:val="1C3A36"/>
                <w:sz w:val="16"/>
              </w:rPr>
              <w:t>3,810,169.0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Total equity, FY2024 audited consolidated financial statements (Deloitte &amp; Touche (M.E.), unqualified)</w:t>
            </w:r>
          </w:p>
        </w:tc>
      </w:tr>
      <w:tr>
        <w:tc>
          <w:tcPr>
            <w:tcW w:type="dxa" w:w="2088"/>
          </w:tcPr>
          <w:p>
            <w:pPr>
              <w:spacing w:after="20"/>
            </w:pPr>
            <w:r>
              <w:rPr>
                <w:color w:val="1C3A36"/>
                <w:sz w:val="16"/>
              </w:rPr>
              <w:t>equity fy25</w:t>
            </w:r>
          </w:p>
        </w:tc>
        <w:tc>
          <w:tcPr>
            <w:tcW w:type="dxa" w:w="1296"/>
          </w:tcPr>
          <w:p>
            <w:pPr>
              <w:spacing w:after="20"/>
              <w:jc w:val="right"/>
            </w:pPr>
            <w:r>
              <w:rPr>
                <w:color w:val="1C3A36"/>
                <w:sz w:val="16"/>
              </w:rPr>
              <w:t>4,099,312.0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Total equity, FY2025 audited consolidated financial statements (Deloitte &amp; Touche (M.E.), unqualified)</w:t>
            </w:r>
          </w:p>
        </w:tc>
      </w:tr>
      <w:tr>
        <w:tc>
          <w:tcPr>
            <w:tcW w:type="dxa" w:w="2088"/>
          </w:tcPr>
          <w:p>
            <w:pPr>
              <w:spacing w:after="20"/>
            </w:pPr>
            <w:r>
              <w:rPr>
                <w:color w:val="1C3A36"/>
                <w:sz w:val="16"/>
              </w:rPr>
              <w:t>facility margin</w:t>
            </w:r>
          </w:p>
        </w:tc>
        <w:tc>
          <w:tcPr>
            <w:tcW w:type="dxa" w:w="1296"/>
          </w:tcPr>
          <w:p>
            <w:pPr>
              <w:spacing w:after="20"/>
              <w:jc w:val="right"/>
            </w:pPr>
            <w:r>
              <w:rPr>
                <w:color w:val="1C3A36"/>
                <w:sz w:val="16"/>
              </w:rPr>
              <w:t>0.0075</w:t>
            </w:r>
          </w:p>
        </w:tc>
        <w:tc>
          <w:tcPr>
            <w:tcW w:type="dxa" w:w="1224"/>
          </w:tcPr>
          <w:p>
            <w:pPr>
              <w:spacing w:after="20"/>
              <w:jc w:val="right"/>
            </w:pPr>
            <w:r>
              <w:rPr>
                <w:color w:val="1C3A36"/>
                <w:sz w:val="16"/>
              </w:rPr>
              <w:t>2025-10-16</w:t>
            </w:r>
          </w:p>
        </w:tc>
        <w:tc>
          <w:tcPr>
            <w:tcW w:type="dxa" w:w="5472"/>
          </w:tcPr>
          <w:p>
            <w:pPr>
              <w:spacing w:after="20"/>
              <w:jc w:val="right"/>
            </w:pPr>
            <w:r>
              <w:rPr>
                <w:color w:val="1C3A36"/>
                <w:sz w:val="16"/>
              </w:rPr>
              <w:t>Borrowings note 15, FY2025 audited consolidated financial statements (Deloitte &amp; Touche (M.E.), unqualified) — the Facility E and F term loan and revolving facility signed 16 October 2025, USD 2.0 billion committed, 5-year initial maturity, priced at Term SOFR plus 0.75%. This is the company's own latest and longest-dated debt issue and therefore its marginal borrowing margin</w:t>
            </w:r>
          </w:p>
        </w:tc>
      </w:tr>
      <w:tr>
        <w:tc>
          <w:tcPr>
            <w:tcW w:type="dxa" w:w="2088"/>
          </w:tcPr>
          <w:p>
            <w:pPr>
              <w:spacing w:after="20"/>
            </w:pPr>
            <w:r>
              <w:rPr>
                <w:color w:val="1C3A36"/>
                <w:sz w:val="16"/>
              </w:rPr>
              <w:t>fincost fy23</w:t>
            </w:r>
          </w:p>
        </w:tc>
        <w:tc>
          <w:tcPr>
            <w:tcW w:type="dxa" w:w="1296"/>
          </w:tcPr>
          <w:p>
            <w:pPr>
              <w:spacing w:after="20"/>
              <w:jc w:val="right"/>
            </w:pPr>
            <w:r>
              <w:rPr>
                <w:color w:val="1C3A36"/>
                <w:sz w:val="16"/>
              </w:rPr>
              <w:t>74,577.0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Finance cost, FY2023 audited consolidated financial statements (KPMG Lower Gulf Limited, unqualified) (the FY2023 face presents finance cost net of income; the gross figures are in the cash-flow statement adjustments)</w:t>
            </w:r>
          </w:p>
        </w:tc>
      </w:tr>
      <w:tr>
        <w:tc>
          <w:tcPr>
            <w:tcW w:type="dxa" w:w="2088"/>
          </w:tcPr>
          <w:p>
            <w:pPr>
              <w:spacing w:after="20"/>
            </w:pPr>
            <w:r>
              <w:rPr>
                <w:color w:val="1C3A36"/>
                <w:sz w:val="16"/>
              </w:rPr>
              <w:t>fincost fy24</w:t>
            </w:r>
          </w:p>
        </w:tc>
        <w:tc>
          <w:tcPr>
            <w:tcW w:type="dxa" w:w="1296"/>
          </w:tcPr>
          <w:p>
            <w:pPr>
              <w:spacing w:after="20"/>
              <w:jc w:val="right"/>
            </w:pPr>
            <w:r>
              <w:rPr>
                <w:color w:val="1C3A36"/>
                <w:sz w:val="16"/>
              </w:rPr>
              <w:t>135,995.0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Finance cost, FY2024 audited consolidated financial statements (Deloitte &amp; Touche (M.E.), unqualified)</w:t>
            </w:r>
          </w:p>
        </w:tc>
      </w:tr>
      <w:tr>
        <w:tc>
          <w:tcPr>
            <w:tcW w:type="dxa" w:w="2088"/>
          </w:tcPr>
          <w:p>
            <w:pPr>
              <w:spacing w:after="20"/>
            </w:pPr>
            <w:r>
              <w:rPr>
                <w:color w:val="1C3A36"/>
                <w:sz w:val="16"/>
              </w:rPr>
              <w:t>fincost fy25</w:t>
            </w:r>
          </w:p>
        </w:tc>
        <w:tc>
          <w:tcPr>
            <w:tcW w:type="dxa" w:w="1296"/>
          </w:tcPr>
          <w:p>
            <w:pPr>
              <w:spacing w:after="20"/>
              <w:jc w:val="right"/>
            </w:pPr>
            <w:r>
              <w:rPr>
                <w:color w:val="1C3A36"/>
                <w:sz w:val="16"/>
              </w:rPr>
              <w:t>109,463.0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Finance cost note 23, FY2025 audited consolidated financial statements (Deloitte &amp; Touche (M.E.), unqualified): interest on loans 108,839 plus lease interest 624</w:t>
            </w:r>
          </w:p>
        </w:tc>
      </w:tr>
      <w:tr>
        <w:tc>
          <w:tcPr>
            <w:tcW w:type="dxa" w:w="2088"/>
          </w:tcPr>
          <w:p>
            <w:pPr>
              <w:spacing w:after="20"/>
            </w:pPr>
            <w:r>
              <w:rPr>
                <w:color w:val="1C3A36"/>
                <w:sz w:val="16"/>
              </w:rPr>
              <w:t>finincome fy23</w:t>
            </w:r>
          </w:p>
        </w:tc>
        <w:tc>
          <w:tcPr>
            <w:tcW w:type="dxa" w:w="1296"/>
          </w:tcPr>
          <w:p>
            <w:pPr>
              <w:spacing w:after="20"/>
              <w:jc w:val="right"/>
            </w:pPr>
            <w:r>
              <w:rPr>
                <w:color w:val="1C3A36"/>
                <w:sz w:val="16"/>
              </w:rPr>
              <w:t>15,727.0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Finance income, FY2023 audited consolidated financial statements (KPMG Lower Gulf Limited, unqualified)</w:t>
            </w:r>
          </w:p>
        </w:tc>
      </w:tr>
      <w:tr>
        <w:tc>
          <w:tcPr>
            <w:tcW w:type="dxa" w:w="2088"/>
          </w:tcPr>
          <w:p>
            <w:pPr>
              <w:spacing w:after="20"/>
            </w:pPr>
            <w:r>
              <w:rPr>
                <w:color w:val="1C3A36"/>
                <w:sz w:val="16"/>
              </w:rPr>
              <w:t>finincome fy24</w:t>
            </w:r>
          </w:p>
        </w:tc>
        <w:tc>
          <w:tcPr>
            <w:tcW w:type="dxa" w:w="1296"/>
          </w:tcPr>
          <w:p>
            <w:pPr>
              <w:spacing w:after="20"/>
              <w:jc w:val="right"/>
            </w:pPr>
            <w:r>
              <w:rPr>
                <w:color w:val="1C3A36"/>
                <w:sz w:val="16"/>
              </w:rPr>
              <w:t>11,736.0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Finance income, FY2024 audited consolidated financial statements (Deloitte &amp; Touche (M.E.), unqualified)</w:t>
            </w:r>
          </w:p>
        </w:tc>
      </w:tr>
      <w:tr>
        <w:tc>
          <w:tcPr>
            <w:tcW w:type="dxa" w:w="2088"/>
          </w:tcPr>
          <w:p>
            <w:pPr>
              <w:spacing w:after="20"/>
            </w:pPr>
            <w:r>
              <w:rPr>
                <w:color w:val="1C3A36"/>
                <w:sz w:val="16"/>
              </w:rPr>
              <w:t>finincome fy25</w:t>
            </w:r>
          </w:p>
        </w:tc>
        <w:tc>
          <w:tcPr>
            <w:tcW w:type="dxa" w:w="1296"/>
          </w:tcPr>
          <w:p>
            <w:pPr>
              <w:spacing w:after="20"/>
              <w:jc w:val="right"/>
            </w:pPr>
            <w:r>
              <w:rPr>
                <w:color w:val="1C3A36"/>
                <w:sz w:val="16"/>
              </w:rPr>
              <w:t>11,626.0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Finance income, FY2025 audited consolidated financial statements (Deloitte &amp; Touche (M.E.), unqualified)</w:t>
            </w:r>
          </w:p>
        </w:tc>
      </w:tr>
      <w:tr>
        <w:tc>
          <w:tcPr>
            <w:tcW w:type="dxa" w:w="2088"/>
          </w:tcPr>
          <w:p>
            <w:pPr>
              <w:spacing w:after="20"/>
            </w:pPr>
            <w:r>
              <w:rPr>
                <w:color w:val="1C3A36"/>
                <w:sz w:val="16"/>
              </w:rPr>
              <w:t>finliab 1h26</w:t>
            </w:r>
          </w:p>
        </w:tc>
        <w:tc>
          <w:tcPr>
            <w:tcW w:type="dxa" w:w="1296"/>
          </w:tcPr>
          <w:p>
            <w:pPr>
              <w:spacing w:after="20"/>
              <w:jc w:val="right"/>
            </w:pPr>
            <w:r>
              <w:rPr>
                <w:color w:val="1C3A36"/>
                <w:sz w:val="16"/>
              </w:rPr>
              <w:t>62,530.0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Financial liability, 1H-2026 condensed consolidated interim financial information (reviewed) note 5 — the put obligation recognised over the non-controlling interests in the acquired regional businesses</w:t>
            </w:r>
          </w:p>
        </w:tc>
      </w:tr>
      <w:tr>
        <w:tc>
          <w:tcPr>
            <w:tcW w:type="dxa" w:w="2088"/>
          </w:tcPr>
          <w:p>
            <w:pPr>
              <w:spacing w:after="20"/>
            </w:pPr>
            <w:r>
              <w:rPr>
                <w:color w:val="1C3A36"/>
                <w:sz w:val="16"/>
              </w:rPr>
              <w:t>gna dep fy25</w:t>
            </w:r>
          </w:p>
        </w:tc>
        <w:tc>
          <w:tcPr>
            <w:tcW w:type="dxa" w:w="1296"/>
          </w:tcPr>
          <w:p>
            <w:pPr>
              <w:spacing w:after="20"/>
              <w:jc w:val="right"/>
            </w:pPr>
            <w:r>
              <w:rPr>
                <w:color w:val="1C3A36"/>
                <w:sz w:val="16"/>
              </w:rPr>
              <w:t>19,255.0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depreciation and amortisation included in general and administrative expenses. Ties to note 21: property and equipment 4,020 plus right-of-use 11,042 plus intangibles 4,193</w:t>
            </w:r>
          </w:p>
        </w:tc>
      </w:tr>
      <w:tr>
        <w:tc>
          <w:tcPr>
            <w:tcW w:type="dxa" w:w="2088"/>
          </w:tcPr>
          <w:p>
            <w:pPr>
              <w:spacing w:after="20"/>
            </w:pPr>
            <w:r>
              <w:rPr>
                <w:color w:val="1C3A36"/>
                <w:sz w:val="16"/>
              </w:rPr>
              <w:t>gna fy23</w:t>
            </w:r>
          </w:p>
        </w:tc>
        <w:tc>
          <w:tcPr>
            <w:tcW w:type="dxa" w:w="1296"/>
          </w:tcPr>
          <w:p>
            <w:pPr>
              <w:spacing w:after="20"/>
              <w:jc w:val="right"/>
            </w:pPr>
            <w:r>
              <w:rPr>
                <w:color w:val="1C3A36"/>
                <w:sz w:val="16"/>
              </w:rPr>
              <w:t>126,334.0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General and administrative expenses, FY2023 audited consolidated financial statements (KPMG Lower Gulf Limited, unqualified)</w:t>
            </w:r>
          </w:p>
        </w:tc>
      </w:tr>
      <w:tr>
        <w:tc>
          <w:tcPr>
            <w:tcW w:type="dxa" w:w="2088"/>
          </w:tcPr>
          <w:p>
            <w:pPr>
              <w:spacing w:after="20"/>
            </w:pPr>
            <w:r>
              <w:rPr>
                <w:color w:val="1C3A36"/>
                <w:sz w:val="16"/>
              </w:rPr>
              <w:t>gna fy24</w:t>
            </w:r>
          </w:p>
        </w:tc>
        <w:tc>
          <w:tcPr>
            <w:tcW w:type="dxa" w:w="1296"/>
          </w:tcPr>
          <w:p>
            <w:pPr>
              <w:spacing w:after="20"/>
              <w:jc w:val="right"/>
            </w:pPr>
            <w:r>
              <w:rPr>
                <w:color w:val="1C3A36"/>
                <w:sz w:val="16"/>
              </w:rPr>
              <w:t>155,358.0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General and administrative expenses, FY2024 audited consolidated financial statements (Deloitte &amp; Touche (M.E.), unqualified)</w:t>
            </w:r>
          </w:p>
        </w:tc>
      </w:tr>
      <w:tr>
        <w:tc>
          <w:tcPr>
            <w:tcW w:type="dxa" w:w="2088"/>
          </w:tcPr>
          <w:p>
            <w:pPr>
              <w:spacing w:after="20"/>
            </w:pPr>
            <w:r>
              <w:rPr>
                <w:color w:val="1C3A36"/>
                <w:sz w:val="16"/>
              </w:rPr>
              <w:t>gna fy25</w:t>
            </w:r>
          </w:p>
        </w:tc>
        <w:tc>
          <w:tcPr>
            <w:tcW w:type="dxa" w:w="1296"/>
          </w:tcPr>
          <w:p>
            <w:pPr>
              <w:spacing w:after="20"/>
              <w:jc w:val="right"/>
            </w:pPr>
            <w:r>
              <w:rPr>
                <w:color w:val="1C3A36"/>
                <w:sz w:val="16"/>
              </w:rPr>
              <w:t>167,197.0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General and administrative expenses, FY2025 audited consolidated financial statements (Deloitte &amp; Touche (M.E.), unqualified)</w:t>
            </w:r>
          </w:p>
        </w:tc>
      </w:tr>
      <w:tr>
        <w:tc>
          <w:tcPr>
            <w:tcW w:type="dxa" w:w="2088"/>
          </w:tcPr>
          <w:p>
            <w:pPr>
              <w:spacing w:after="20"/>
            </w:pPr>
            <w:r>
              <w:rPr>
                <w:color w:val="1C3A36"/>
                <w:sz w:val="16"/>
              </w:rPr>
              <w:t>intang fy23</w:t>
            </w:r>
          </w:p>
        </w:tc>
        <w:tc>
          <w:tcPr>
            <w:tcW w:type="dxa" w:w="1296"/>
          </w:tcPr>
          <w:p>
            <w:pPr>
              <w:spacing w:after="20"/>
              <w:jc w:val="right"/>
            </w:pPr>
            <w:r>
              <w:rPr>
                <w:color w:val="1C3A36"/>
                <w:sz w:val="16"/>
              </w:rPr>
              <w:t>5,432.0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Intangible assets, FY2023 audited consolidated financial statements (KPMG Lower Gulf Limited, unqualified)</w:t>
            </w:r>
          </w:p>
        </w:tc>
      </w:tr>
      <w:tr>
        <w:tc>
          <w:tcPr>
            <w:tcW w:type="dxa" w:w="2088"/>
          </w:tcPr>
          <w:p>
            <w:pPr>
              <w:spacing w:after="20"/>
            </w:pPr>
            <w:r>
              <w:rPr>
                <w:color w:val="1C3A36"/>
                <w:sz w:val="16"/>
              </w:rPr>
              <w:t>intang fy24</w:t>
            </w:r>
          </w:p>
        </w:tc>
        <w:tc>
          <w:tcPr>
            <w:tcW w:type="dxa" w:w="1296"/>
          </w:tcPr>
          <w:p>
            <w:pPr>
              <w:spacing w:after="20"/>
              <w:jc w:val="right"/>
            </w:pPr>
            <w:r>
              <w:rPr>
                <w:color w:val="1C3A36"/>
                <w:sz w:val="16"/>
              </w:rPr>
              <w:t>5,301.0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Intangible assets, FY2024 audited consolidated financial statements (Deloitte &amp; Touche (M.E.), unqualified)</w:t>
            </w:r>
          </w:p>
        </w:tc>
      </w:tr>
      <w:tr>
        <w:tc>
          <w:tcPr>
            <w:tcW w:type="dxa" w:w="2088"/>
          </w:tcPr>
          <w:p>
            <w:pPr>
              <w:spacing w:after="20"/>
            </w:pPr>
            <w:r>
              <w:rPr>
                <w:color w:val="1C3A36"/>
                <w:sz w:val="16"/>
              </w:rPr>
              <w:t>intang fy25</w:t>
            </w:r>
          </w:p>
        </w:tc>
        <w:tc>
          <w:tcPr>
            <w:tcW w:type="dxa" w:w="1296"/>
          </w:tcPr>
          <w:p>
            <w:pPr>
              <w:spacing w:after="20"/>
              <w:jc w:val="right"/>
            </w:pPr>
            <w:r>
              <w:rPr>
                <w:color w:val="1C3A36"/>
                <w:sz w:val="16"/>
              </w:rPr>
              <w:t>10,769.0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Intangible assets, FY2025 audited consolidated financial statements (Deloitte &amp; Touche (M.E.), unqualified)</w:t>
            </w:r>
          </w:p>
        </w:tc>
      </w:tr>
      <w:tr>
        <w:tc>
          <w:tcPr>
            <w:tcW w:type="dxa" w:w="2088"/>
          </w:tcPr>
          <w:p>
            <w:pPr>
              <w:spacing w:after="20"/>
            </w:pPr>
            <w:r>
              <w:rPr>
                <w:color w:val="1C3A36"/>
                <w:sz w:val="16"/>
              </w:rPr>
              <w:t>inv 1h26</w:t>
            </w:r>
          </w:p>
        </w:tc>
        <w:tc>
          <w:tcPr>
            <w:tcW w:type="dxa" w:w="1296"/>
          </w:tcPr>
          <w:p>
            <w:pPr>
              <w:spacing w:after="20"/>
              <w:jc w:val="right"/>
            </w:pPr>
            <w:r>
              <w:rPr>
                <w:color w:val="1C3A36"/>
                <w:sz w:val="16"/>
              </w:rPr>
              <w:t>342,783.0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Inventories, 1H-2026 condensed consolidated interim financial information (reviewed)</w:t>
            </w:r>
          </w:p>
        </w:tc>
      </w:tr>
      <w:tr>
        <w:tc>
          <w:tcPr>
            <w:tcW w:type="dxa" w:w="2088"/>
          </w:tcPr>
          <w:p>
            <w:pPr>
              <w:spacing w:after="20"/>
            </w:pPr>
            <w:r>
              <w:rPr>
                <w:color w:val="1C3A36"/>
                <w:sz w:val="16"/>
              </w:rPr>
              <w:t>inv fy23</w:t>
            </w:r>
          </w:p>
        </w:tc>
        <w:tc>
          <w:tcPr>
            <w:tcW w:type="dxa" w:w="1296"/>
          </w:tcPr>
          <w:p>
            <w:pPr>
              <w:spacing w:after="20"/>
              <w:jc w:val="right"/>
            </w:pPr>
            <w:r>
              <w:rPr>
                <w:color w:val="1C3A36"/>
                <w:sz w:val="16"/>
              </w:rPr>
              <w:t>206,107.0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Inventories, FY2023 audited consolidated financial statements (KPMG Lower Gulf Limited, unqualified)</w:t>
            </w:r>
          </w:p>
        </w:tc>
      </w:tr>
      <w:tr>
        <w:tc>
          <w:tcPr>
            <w:tcW w:type="dxa" w:w="2088"/>
          </w:tcPr>
          <w:p>
            <w:pPr>
              <w:spacing w:after="20"/>
            </w:pPr>
            <w:r>
              <w:rPr>
                <w:color w:val="1C3A36"/>
                <w:sz w:val="16"/>
              </w:rPr>
              <w:t>inv fy24</w:t>
            </w:r>
          </w:p>
        </w:tc>
        <w:tc>
          <w:tcPr>
            <w:tcW w:type="dxa" w:w="1296"/>
          </w:tcPr>
          <w:p>
            <w:pPr>
              <w:spacing w:after="20"/>
              <w:jc w:val="right"/>
            </w:pPr>
            <w:r>
              <w:rPr>
                <w:color w:val="1C3A36"/>
                <w:sz w:val="16"/>
              </w:rPr>
              <w:t>223,083.0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Inventories, FY2024 audited consolidated financial statements (Deloitte &amp; Touche (M.E.), unqualified)</w:t>
            </w:r>
          </w:p>
        </w:tc>
      </w:tr>
      <w:tr>
        <w:tc>
          <w:tcPr>
            <w:tcW w:type="dxa" w:w="2088"/>
          </w:tcPr>
          <w:p>
            <w:pPr>
              <w:spacing w:after="20"/>
            </w:pPr>
            <w:r>
              <w:rPr>
                <w:color w:val="1C3A36"/>
                <w:sz w:val="16"/>
              </w:rPr>
              <w:t>inv fy25</w:t>
            </w:r>
          </w:p>
        </w:tc>
        <w:tc>
          <w:tcPr>
            <w:tcW w:type="dxa" w:w="1296"/>
          </w:tcPr>
          <w:p>
            <w:pPr>
              <w:spacing w:after="20"/>
              <w:jc w:val="right"/>
            </w:pPr>
            <w:r>
              <w:rPr>
                <w:color w:val="1C3A36"/>
                <w:sz w:val="16"/>
              </w:rPr>
              <w:t>279,030.0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Inventories, FY2025 audited consolidated financial statements (Deloitte &amp; Touche (M.E.), unqualified)</w:t>
            </w:r>
          </w:p>
        </w:tc>
      </w:tr>
      <w:tr>
        <w:tc>
          <w:tcPr>
            <w:tcW w:type="dxa" w:w="2088"/>
          </w:tcPr>
          <w:p>
            <w:pPr>
              <w:spacing w:after="20"/>
            </w:pPr>
            <w:r>
              <w:rPr>
                <w:color w:val="1C3A36"/>
                <w:sz w:val="16"/>
              </w:rPr>
              <w:t>jv 1h25</w:t>
            </w:r>
          </w:p>
        </w:tc>
        <w:tc>
          <w:tcPr>
            <w:tcW w:type="dxa" w:w="1296"/>
          </w:tcPr>
          <w:p>
            <w:pPr>
              <w:spacing w:after="20"/>
              <w:jc w:val="right"/>
            </w:pPr>
            <w:r>
              <w:rPr>
                <w:color w:val="1C3A36"/>
                <w:sz w:val="16"/>
              </w:rPr>
              <w:t>14,000.0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Share of results of joint ventures, 1H-2026 condensed consolidated interim financial information (reviewed) statement of cash flows, 1H-2025 comparative column</w:t>
            </w:r>
          </w:p>
        </w:tc>
      </w:tr>
      <w:tr>
        <w:tc>
          <w:tcPr>
            <w:tcW w:type="dxa" w:w="2088"/>
          </w:tcPr>
          <w:p>
            <w:pPr>
              <w:spacing w:after="20"/>
            </w:pPr>
            <w:r>
              <w:rPr>
                <w:color w:val="1C3A36"/>
                <w:sz w:val="16"/>
              </w:rPr>
              <w:t>jv 1h26</w:t>
            </w:r>
          </w:p>
        </w:tc>
        <w:tc>
          <w:tcPr>
            <w:tcW w:type="dxa" w:w="1296"/>
          </w:tcPr>
          <w:p>
            <w:pPr>
              <w:spacing w:after="20"/>
              <w:jc w:val="right"/>
            </w:pPr>
            <w:r>
              <w:rPr>
                <w:color w:val="1C3A36"/>
                <w:sz w:val="16"/>
              </w:rPr>
              <w:t>16,479.0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Share of results of joint ventures, 1H-2026 condensed consolidated interim financial information (reviewed) statement of cash flows</w:t>
            </w:r>
          </w:p>
        </w:tc>
      </w:tr>
      <w:tr>
        <w:tc>
          <w:tcPr>
            <w:tcW w:type="dxa" w:w="2088"/>
          </w:tcPr>
          <w:p>
            <w:pPr>
              <w:spacing w:after="20"/>
            </w:pPr>
            <w:r>
              <w:rPr>
                <w:color w:val="1C3A36"/>
                <w:sz w:val="16"/>
              </w:rPr>
              <w:t>jv fy23</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Share of results of joint ventures, FY2023 audited consolidated financial statements (KPMG Lower Gulf Limited, unqualified) — the joint ventures did not exist in FY2023; the first investment was made in FY2024</w:t>
            </w:r>
          </w:p>
        </w:tc>
      </w:tr>
      <w:tr>
        <w:tc>
          <w:tcPr>
            <w:tcW w:type="dxa" w:w="2088"/>
          </w:tcPr>
          <w:p>
            <w:pPr>
              <w:spacing w:after="20"/>
            </w:pPr>
            <w:r>
              <w:rPr>
                <w:color w:val="1C3A36"/>
                <w:sz w:val="16"/>
              </w:rPr>
              <w:t>jv fy24</w:t>
            </w:r>
          </w:p>
        </w:tc>
        <w:tc>
          <w:tcPr>
            <w:tcW w:type="dxa" w:w="1296"/>
          </w:tcPr>
          <w:p>
            <w:pPr>
              <w:spacing w:after="20"/>
              <w:jc w:val="right"/>
            </w:pPr>
            <w:r>
              <w:rPr>
                <w:color w:val="1C3A36"/>
                <w:sz w:val="16"/>
              </w:rPr>
              <w:t>8,490.0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Share of results of joint ventures, FY2024 audited consolidated financial statements (Deloitte &amp; Touche (M.E.), unqualified)</w:t>
            </w:r>
          </w:p>
        </w:tc>
      </w:tr>
      <w:tr>
        <w:tc>
          <w:tcPr>
            <w:tcW w:type="dxa" w:w="2088"/>
          </w:tcPr>
          <w:p>
            <w:pPr>
              <w:spacing w:after="20"/>
            </w:pPr>
            <w:r>
              <w:rPr>
                <w:color w:val="1C3A36"/>
                <w:sz w:val="16"/>
              </w:rPr>
              <w:t>jv fy25</w:t>
            </w:r>
          </w:p>
        </w:tc>
        <w:tc>
          <w:tcPr>
            <w:tcW w:type="dxa" w:w="1296"/>
          </w:tcPr>
          <w:p>
            <w:pPr>
              <w:spacing w:after="20"/>
              <w:jc w:val="right"/>
            </w:pPr>
            <w:r>
              <w:rPr>
                <w:color w:val="1C3A36"/>
                <w:sz w:val="16"/>
              </w:rPr>
              <w:t>29,000.0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Share of results of joint ventures, FY2025 audited consolidated financial statements (Deloitte &amp; Touche (M.E.), unqualified)</w:t>
            </w:r>
          </w:p>
        </w:tc>
      </w:tr>
      <w:tr>
        <w:tc>
          <w:tcPr>
            <w:tcW w:type="dxa" w:w="2088"/>
          </w:tcPr>
          <w:p>
            <w:pPr>
              <w:spacing w:after="20"/>
            </w:pPr>
            <w:r>
              <w:rPr>
                <w:color w:val="1C3A36"/>
                <w:sz w:val="16"/>
              </w:rPr>
              <w:t>jvinv 1h26</w:t>
            </w:r>
          </w:p>
        </w:tc>
        <w:tc>
          <w:tcPr>
            <w:tcW w:type="dxa" w:w="1296"/>
          </w:tcPr>
          <w:p>
            <w:pPr>
              <w:spacing w:after="20"/>
              <w:jc w:val="right"/>
            </w:pPr>
            <w:r>
              <w:rPr>
                <w:color w:val="1C3A36"/>
                <w:sz w:val="16"/>
              </w:rPr>
              <w:t>461,729.0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Investment in joint ventures, 1H-2026 condensed consolidated interim financial information (reviewed)</w:t>
            </w:r>
          </w:p>
        </w:tc>
      </w:tr>
      <w:tr>
        <w:tc>
          <w:tcPr>
            <w:tcW w:type="dxa" w:w="2088"/>
          </w:tcPr>
          <w:p>
            <w:pPr>
              <w:spacing w:after="20"/>
            </w:pPr>
            <w:r>
              <w:rPr>
                <w:color w:val="1C3A36"/>
                <w:sz w:val="16"/>
              </w:rPr>
              <w:t>jvinv fy23</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Investment in joint ventures, FY2023 audited consolidated financial statements (KPMG Lower Gulf Limited, unqualified) — none held</w:t>
            </w:r>
          </w:p>
        </w:tc>
      </w:tr>
      <w:tr>
        <w:tc>
          <w:tcPr>
            <w:tcW w:type="dxa" w:w="2088"/>
          </w:tcPr>
          <w:p>
            <w:pPr>
              <w:spacing w:after="20"/>
            </w:pPr>
            <w:r>
              <w:rPr>
                <w:color w:val="1C3A36"/>
                <w:sz w:val="16"/>
              </w:rPr>
              <w:t>jvinv fy24</w:t>
            </w:r>
          </w:p>
        </w:tc>
        <w:tc>
          <w:tcPr>
            <w:tcW w:type="dxa" w:w="1296"/>
          </w:tcPr>
          <w:p>
            <w:pPr>
              <w:spacing w:after="20"/>
              <w:jc w:val="right"/>
            </w:pPr>
            <w:r>
              <w:rPr>
                <w:color w:val="1C3A36"/>
                <w:sz w:val="16"/>
              </w:rPr>
              <w:t>275,240.0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Investment in joint ventures, FY2024 audited consolidated financial statements (Deloitte &amp; Touche (M.E.), unqualified)</w:t>
            </w:r>
          </w:p>
        </w:tc>
      </w:tr>
      <w:tr>
        <w:tc>
          <w:tcPr>
            <w:tcW w:type="dxa" w:w="2088"/>
          </w:tcPr>
          <w:p>
            <w:pPr>
              <w:spacing w:after="20"/>
            </w:pPr>
            <w:r>
              <w:rPr>
                <w:color w:val="1C3A36"/>
                <w:sz w:val="16"/>
              </w:rPr>
              <w:t>jvinv fy25</w:t>
            </w:r>
          </w:p>
        </w:tc>
        <w:tc>
          <w:tcPr>
            <w:tcW w:type="dxa" w:w="1296"/>
          </w:tcPr>
          <w:p>
            <w:pPr>
              <w:spacing w:after="20"/>
              <w:jc w:val="right"/>
            </w:pPr>
            <w:r>
              <w:rPr>
                <w:color w:val="1C3A36"/>
                <w:sz w:val="16"/>
              </w:rPr>
              <w:t>437,090.0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Investment in joint ventures, FY2025 audited consolidated financial statements (Deloitte &amp; Touche (M.E.), unqualified)</w:t>
            </w:r>
          </w:p>
        </w:tc>
      </w:tr>
      <w:tr>
        <w:tc>
          <w:tcPr>
            <w:tcW w:type="dxa" w:w="2088"/>
          </w:tcPr>
          <w:p>
            <w:pPr>
              <w:spacing w:after="20"/>
            </w:pPr>
            <w:r>
              <w:rPr>
                <w:color w:val="1C3A36"/>
                <w:sz w:val="16"/>
              </w:rPr>
              <w:t>lease 1h26</w:t>
            </w:r>
          </w:p>
        </w:tc>
        <w:tc>
          <w:tcPr>
            <w:tcW w:type="dxa" w:w="1296"/>
          </w:tcPr>
          <w:p>
            <w:pPr>
              <w:spacing w:after="20"/>
              <w:jc w:val="right"/>
            </w:pPr>
            <w:r>
              <w:rPr>
                <w:color w:val="1C3A36"/>
                <w:sz w:val="16"/>
              </w:rPr>
              <w:t>45,183.0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Lease liabilities, 1H-2026 condensed consolidated interim financial information (reviewed): non-current 28,206 plus current 16,977</w:t>
            </w:r>
          </w:p>
        </w:tc>
      </w:tr>
      <w:tr>
        <w:tc>
          <w:tcPr>
            <w:tcW w:type="dxa" w:w="2088"/>
          </w:tcPr>
          <w:p>
            <w:pPr>
              <w:spacing w:after="20"/>
            </w:pPr>
            <w:r>
              <w:rPr>
                <w:color w:val="1C3A36"/>
                <w:sz w:val="16"/>
              </w:rPr>
              <w:t>lease fy23</w:t>
            </w:r>
          </w:p>
        </w:tc>
        <w:tc>
          <w:tcPr>
            <w:tcW w:type="dxa" w:w="1296"/>
          </w:tcPr>
          <w:p>
            <w:pPr>
              <w:spacing w:after="20"/>
              <w:jc w:val="right"/>
            </w:pPr>
            <w:r>
              <w:rPr>
                <w:color w:val="1C3A36"/>
                <w:sz w:val="16"/>
              </w:rPr>
              <w:t>189,211.0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Lease liabilities, FY2023 audited consolidated financial statements (KPMG Lower Gulf Limited, unqualified): non-current 152,378 plus current 36,833</w:t>
            </w:r>
          </w:p>
        </w:tc>
      </w:tr>
      <w:tr>
        <w:tc>
          <w:tcPr>
            <w:tcW w:type="dxa" w:w="2088"/>
          </w:tcPr>
          <w:p>
            <w:pPr>
              <w:spacing w:after="20"/>
            </w:pPr>
            <w:r>
              <w:rPr>
                <w:color w:val="1C3A36"/>
                <w:sz w:val="16"/>
              </w:rPr>
              <w:t>lease fy24</w:t>
            </w:r>
          </w:p>
        </w:tc>
        <w:tc>
          <w:tcPr>
            <w:tcW w:type="dxa" w:w="1296"/>
          </w:tcPr>
          <w:p>
            <w:pPr>
              <w:spacing w:after="20"/>
              <w:jc w:val="right"/>
            </w:pPr>
            <w:r>
              <w:rPr>
                <w:color w:val="1C3A36"/>
                <w:sz w:val="16"/>
              </w:rPr>
              <w:t>25,157.0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Lease liabilities, FY2024 audited consolidated financial statements (Deloitte &amp; Touche (M.E.), unqualified): non-current 12,027 plus current 13,130</w:t>
            </w:r>
          </w:p>
        </w:tc>
      </w:tr>
      <w:tr>
        <w:tc>
          <w:tcPr>
            <w:tcW w:type="dxa" w:w="2088"/>
          </w:tcPr>
          <w:p>
            <w:pPr>
              <w:spacing w:after="20"/>
            </w:pPr>
            <w:r>
              <w:rPr>
                <w:color w:val="1C3A36"/>
                <w:sz w:val="16"/>
              </w:rPr>
              <w:t>lease fy25</w:t>
            </w:r>
          </w:p>
        </w:tc>
        <w:tc>
          <w:tcPr>
            <w:tcW w:type="dxa" w:w="1296"/>
          </w:tcPr>
          <w:p>
            <w:pPr>
              <w:spacing w:after="20"/>
              <w:jc w:val="right"/>
            </w:pPr>
            <w:r>
              <w:rPr>
                <w:color w:val="1C3A36"/>
                <w:sz w:val="16"/>
              </w:rPr>
              <w:t>47,581.0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Lease liabilities, FY2025 audited consolidated financial statements (Deloitte &amp; Touche (M.E.), unqualified): non-current 35,855 plus current 11,726</w:t>
            </w:r>
          </w:p>
        </w:tc>
      </w:tr>
      <w:tr>
        <w:tc>
          <w:tcPr>
            <w:tcW w:type="dxa" w:w="2088"/>
          </w:tcPr>
          <w:p>
            <w:pPr>
              <w:spacing w:after="20"/>
            </w:pPr>
            <w:r>
              <w:rPr>
                <w:color w:val="1C3A36"/>
                <w:sz w:val="16"/>
              </w:rPr>
              <w:t>nci 1h26</w:t>
            </w:r>
          </w:p>
        </w:tc>
        <w:tc>
          <w:tcPr>
            <w:tcW w:type="dxa" w:w="1296"/>
          </w:tcPr>
          <w:p>
            <w:pPr>
              <w:spacing w:after="20"/>
              <w:jc w:val="right"/>
            </w:pPr>
            <w:r>
              <w:rPr>
                <w:color w:val="1C3A36"/>
                <w:sz w:val="16"/>
              </w:rPr>
              <w:t>53,594.0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Non-controlling interests, 1H-2026 condensed consolidated interim financial information (reviewed) — arising on the SLDC and MBPS acquisitions completed in the period</w:t>
            </w:r>
          </w:p>
        </w:tc>
      </w:tr>
      <w:tr>
        <w:tc>
          <w:tcPr>
            <w:tcW w:type="dxa" w:w="2088"/>
          </w:tcPr>
          <w:p>
            <w:pPr>
              <w:spacing w:after="20"/>
            </w:pPr>
            <w:r>
              <w:rPr>
                <w:color w:val="1C3A36"/>
                <w:sz w:val="16"/>
              </w:rPr>
              <w:t>othinc fy23</w:t>
            </w:r>
          </w:p>
        </w:tc>
        <w:tc>
          <w:tcPr>
            <w:tcW w:type="dxa" w:w="1296"/>
          </w:tcPr>
          <w:p>
            <w:pPr>
              <w:spacing w:after="20"/>
              <w:jc w:val="right"/>
            </w:pPr>
            <w:r>
              <w:rPr>
                <w:color w:val="1C3A36"/>
                <w:sz w:val="16"/>
              </w:rPr>
              <w:t>9,847.0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Other income - net, FY2023 audited consolidated financial statements (KPMG Lower Gulf Limited, unqualified)</w:t>
            </w:r>
          </w:p>
        </w:tc>
      </w:tr>
      <w:tr>
        <w:tc>
          <w:tcPr>
            <w:tcW w:type="dxa" w:w="2088"/>
          </w:tcPr>
          <w:p>
            <w:pPr>
              <w:spacing w:after="20"/>
            </w:pPr>
            <w:r>
              <w:rPr>
                <w:color w:val="1C3A36"/>
                <w:sz w:val="16"/>
              </w:rPr>
              <w:t>othinc fy24</w:t>
            </w:r>
          </w:p>
        </w:tc>
        <w:tc>
          <w:tcPr>
            <w:tcW w:type="dxa" w:w="1296"/>
          </w:tcPr>
          <w:p>
            <w:pPr>
              <w:spacing w:after="20"/>
              <w:jc w:val="right"/>
            </w:pPr>
            <w:r>
              <w:rPr>
                <w:color w:val="1C3A36"/>
                <w:sz w:val="16"/>
              </w:rPr>
              <w:t>6,388.0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Other income - net, FY2024 audited consolidated financial statements (Deloitte &amp; Touche (M.E.), unqualified)</w:t>
            </w:r>
          </w:p>
        </w:tc>
      </w:tr>
      <w:tr>
        <w:tc>
          <w:tcPr>
            <w:tcW w:type="dxa" w:w="2088"/>
          </w:tcPr>
          <w:p>
            <w:pPr>
              <w:spacing w:after="20"/>
            </w:pPr>
            <w:r>
              <w:rPr>
                <w:color w:val="1C3A36"/>
                <w:sz w:val="16"/>
              </w:rPr>
              <w:t>othinc fy25</w:t>
            </w:r>
          </w:p>
        </w:tc>
        <w:tc>
          <w:tcPr>
            <w:tcW w:type="dxa" w:w="1296"/>
          </w:tcPr>
          <w:p>
            <w:pPr>
              <w:spacing w:after="20"/>
              <w:jc w:val="right"/>
            </w:pPr>
            <w:r>
              <w:rPr>
                <w:color w:val="1C3A36"/>
                <w:sz w:val="16"/>
              </w:rPr>
              <w:t>26,991.0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Other income - net, FY2025 audited consolidated financial statements (Deloitte &amp; Touche (M.E.), unqualified)</w:t>
            </w:r>
          </w:p>
        </w:tc>
      </w:tr>
      <w:tr>
        <w:tc>
          <w:tcPr>
            <w:tcW w:type="dxa" w:w="2088"/>
          </w:tcPr>
          <w:p>
            <w:pPr>
              <w:spacing w:after="20"/>
            </w:pPr>
            <w:r>
              <w:rPr>
                <w:color w:val="1C3A36"/>
                <w:sz w:val="16"/>
              </w:rPr>
              <w:t>pat 1h26</w:t>
            </w:r>
          </w:p>
        </w:tc>
        <w:tc>
          <w:tcPr>
            <w:tcW w:type="dxa" w:w="1296"/>
          </w:tcPr>
          <w:p>
            <w:pPr>
              <w:spacing w:after="20"/>
              <w:jc w:val="right"/>
            </w:pPr>
            <w:r>
              <w:rPr>
                <w:color w:val="1C3A36"/>
                <w:sz w:val="16"/>
              </w:rPr>
              <w:t>705,545.0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Profit after tax, 1H-2026 condensed consolidated interim financial information (reviewed)</w:t>
            </w:r>
          </w:p>
        </w:tc>
      </w:tr>
      <w:tr>
        <w:tc>
          <w:tcPr>
            <w:tcW w:type="dxa" w:w="2088"/>
          </w:tcPr>
          <w:p>
            <w:pPr>
              <w:spacing w:after="20"/>
            </w:pPr>
            <w:r>
              <w:rPr>
                <w:color w:val="1C3A36"/>
                <w:sz w:val="16"/>
              </w:rPr>
              <w:t>pat fy23</w:t>
            </w:r>
          </w:p>
        </w:tc>
        <w:tc>
          <w:tcPr>
            <w:tcW w:type="dxa" w:w="1296"/>
          </w:tcPr>
          <w:p>
            <w:pPr>
              <w:spacing w:after="20"/>
              <w:jc w:val="right"/>
            </w:pPr>
            <w:r>
              <w:rPr>
                <w:color w:val="1C3A36"/>
                <w:sz w:val="16"/>
              </w:rPr>
              <w:t>1,032,799.0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Profit for the year, FY2023 audited consolidated financial statements (KPMG Lower Gulf Limited, unqualified)</w:t>
            </w:r>
          </w:p>
        </w:tc>
      </w:tr>
      <w:tr>
        <w:tc>
          <w:tcPr>
            <w:tcW w:type="dxa" w:w="2088"/>
          </w:tcPr>
          <w:p>
            <w:pPr>
              <w:spacing w:after="20"/>
            </w:pPr>
            <w:r>
              <w:rPr>
                <w:color w:val="1C3A36"/>
                <w:sz w:val="16"/>
              </w:rPr>
              <w:t>pat fy24</w:t>
            </w:r>
          </w:p>
        </w:tc>
        <w:tc>
          <w:tcPr>
            <w:tcW w:type="dxa" w:w="1296"/>
          </w:tcPr>
          <w:p>
            <w:pPr>
              <w:spacing w:after="20"/>
              <w:jc w:val="right"/>
            </w:pPr>
            <w:r>
              <w:rPr>
                <w:color w:val="1C3A36"/>
                <w:sz w:val="16"/>
              </w:rPr>
              <w:t>1,303,566.0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Profit after tax, FY2024 audited consolidated financial statements (Deloitte &amp; Touche (M.E.), unqualified)</w:t>
            </w:r>
          </w:p>
        </w:tc>
      </w:tr>
      <w:tr>
        <w:tc>
          <w:tcPr>
            <w:tcW w:type="dxa" w:w="2088"/>
          </w:tcPr>
          <w:p>
            <w:pPr>
              <w:spacing w:after="20"/>
            </w:pPr>
            <w:r>
              <w:rPr>
                <w:color w:val="1C3A36"/>
                <w:sz w:val="16"/>
              </w:rPr>
              <w:t>pat fy25</w:t>
            </w:r>
          </w:p>
        </w:tc>
        <w:tc>
          <w:tcPr>
            <w:tcW w:type="dxa" w:w="1296"/>
          </w:tcPr>
          <w:p>
            <w:pPr>
              <w:spacing w:after="20"/>
              <w:jc w:val="right"/>
            </w:pPr>
            <w:r>
              <w:rPr>
                <w:color w:val="1C3A36"/>
                <w:sz w:val="16"/>
              </w:rPr>
              <w:t>1,448,781.0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Profit after tax, FY2025 audited consolidated financial statements (Deloitte &amp; Touche (M.E.), unqualified)</w:t>
            </w:r>
          </w:p>
        </w:tc>
      </w:tr>
      <w:tr>
        <w:tc>
          <w:tcPr>
            <w:tcW w:type="dxa" w:w="2088"/>
          </w:tcPr>
          <w:p>
            <w:pPr>
              <w:spacing w:after="20"/>
            </w:pPr>
            <w:r>
              <w:rPr>
                <w:color w:val="1C3A36"/>
                <w:sz w:val="16"/>
              </w:rPr>
              <w:t>ppe 1h26</w:t>
            </w:r>
          </w:p>
        </w:tc>
        <w:tc>
          <w:tcPr>
            <w:tcW w:type="dxa" w:w="1296"/>
          </w:tcPr>
          <w:p>
            <w:pPr>
              <w:spacing w:after="20"/>
              <w:jc w:val="right"/>
            </w:pPr>
            <w:r>
              <w:rPr>
                <w:color w:val="1C3A36"/>
                <w:sz w:val="16"/>
              </w:rPr>
              <w:t>5,705,373.0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Property and equipment, 1H-2026 condensed consolidated interim financial information (reviewed)</w:t>
            </w:r>
          </w:p>
        </w:tc>
      </w:tr>
      <w:tr>
        <w:tc>
          <w:tcPr>
            <w:tcW w:type="dxa" w:w="2088"/>
          </w:tcPr>
          <w:p>
            <w:pPr>
              <w:spacing w:after="20"/>
            </w:pPr>
            <w:r>
              <w:rPr>
                <w:color w:val="1C3A36"/>
                <w:sz w:val="16"/>
              </w:rPr>
              <w:t>ppe fy23</w:t>
            </w:r>
          </w:p>
        </w:tc>
        <w:tc>
          <w:tcPr>
            <w:tcW w:type="dxa" w:w="1296"/>
          </w:tcPr>
          <w:p>
            <w:pPr>
              <w:spacing w:after="20"/>
              <w:jc w:val="right"/>
            </w:pPr>
            <w:r>
              <w:rPr>
                <w:color w:val="1C3A36"/>
                <w:sz w:val="16"/>
              </w:rPr>
              <w:t>4,847,540.0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Consolidated statement of financial position, FY2023 audited consolidated financial statements (KPMG Lower Gulf Limited, unqualified)</w:t>
            </w:r>
          </w:p>
        </w:tc>
      </w:tr>
      <w:tr>
        <w:tc>
          <w:tcPr>
            <w:tcW w:type="dxa" w:w="2088"/>
          </w:tcPr>
          <w:p>
            <w:pPr>
              <w:spacing w:after="20"/>
            </w:pPr>
            <w:r>
              <w:rPr>
                <w:color w:val="1C3A36"/>
                <w:sz w:val="16"/>
              </w:rPr>
              <w:t>ppe fy24</w:t>
            </w:r>
          </w:p>
        </w:tc>
        <w:tc>
          <w:tcPr>
            <w:tcW w:type="dxa" w:w="1296"/>
          </w:tcPr>
          <w:p>
            <w:pPr>
              <w:spacing w:after="20"/>
              <w:jc w:val="right"/>
            </w:pPr>
            <w:r>
              <w:rPr>
                <w:color w:val="1C3A36"/>
                <w:sz w:val="16"/>
              </w:rPr>
              <w:t>5,352,674.0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Consolidated statement of financial position, FY2024 audited consolidated financial statements (Deloitte &amp; Touche (M.E.), unqualified)</w:t>
            </w:r>
          </w:p>
        </w:tc>
      </w:tr>
      <w:tr>
        <w:tc>
          <w:tcPr>
            <w:tcW w:type="dxa" w:w="2088"/>
          </w:tcPr>
          <w:p>
            <w:pPr>
              <w:spacing w:after="20"/>
            </w:pPr>
            <w:r>
              <w:rPr>
                <w:color w:val="1C3A36"/>
                <w:sz w:val="16"/>
              </w:rPr>
              <w:t>ppe fy25</w:t>
            </w:r>
          </w:p>
        </w:tc>
        <w:tc>
          <w:tcPr>
            <w:tcW w:type="dxa" w:w="1296"/>
          </w:tcPr>
          <w:p>
            <w:pPr>
              <w:spacing w:after="20"/>
              <w:jc w:val="right"/>
            </w:pPr>
            <w:r>
              <w:rPr>
                <w:color w:val="1C3A36"/>
                <w:sz w:val="16"/>
              </w:rPr>
              <w:t>5,477,158.0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Consolidated statement of financial position, FY2025 audited consolidated financial statements (Deloitte &amp; Touche (M.E.), unqualified)</w:t>
            </w:r>
          </w:p>
        </w:tc>
      </w:tr>
      <w:tr>
        <w:tc>
          <w:tcPr>
            <w:tcW w:type="dxa" w:w="2088"/>
          </w:tcPr>
          <w:p>
            <w:pPr>
              <w:spacing w:after="20"/>
            </w:pPr>
            <w:r>
              <w:rPr>
                <w:color w:val="1C3A36"/>
                <w:sz w:val="16"/>
              </w:rPr>
              <w:t>recv 1h26</w:t>
            </w:r>
          </w:p>
        </w:tc>
        <w:tc>
          <w:tcPr>
            <w:tcW w:type="dxa" w:w="1296"/>
          </w:tcPr>
          <w:p>
            <w:pPr>
              <w:spacing w:after="20"/>
              <w:jc w:val="right"/>
            </w:pPr>
            <w:r>
              <w:rPr>
                <w:color w:val="1C3A36"/>
                <w:sz w:val="16"/>
              </w:rPr>
              <w:t>233,060.0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Trade and other receivables, 1H-2026 condensed consolidated interim financial information (reviewed)</w:t>
            </w:r>
          </w:p>
        </w:tc>
      </w:tr>
      <w:tr>
        <w:tc>
          <w:tcPr>
            <w:tcW w:type="dxa" w:w="2088"/>
          </w:tcPr>
          <w:p>
            <w:pPr>
              <w:spacing w:after="20"/>
            </w:pPr>
            <w:r>
              <w:rPr>
                <w:color w:val="1C3A36"/>
                <w:sz w:val="16"/>
              </w:rPr>
              <w:t>rev 1h26</w:t>
            </w:r>
          </w:p>
        </w:tc>
        <w:tc>
          <w:tcPr>
            <w:tcW w:type="dxa" w:w="1296"/>
          </w:tcPr>
          <w:p>
            <w:pPr>
              <w:spacing w:after="20"/>
              <w:jc w:val="right"/>
            </w:pPr>
            <w:r>
              <w:rPr>
                <w:color w:val="1C3A36"/>
                <w:sz w:val="16"/>
              </w:rPr>
              <w:t>2,459,813.0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Revenue, 1H-2026 condensed consolidated interim financial information (reviewed)</w:t>
            </w:r>
          </w:p>
        </w:tc>
      </w:tr>
      <w:tr>
        <w:tc>
          <w:tcPr>
            <w:tcW w:type="dxa" w:w="2088"/>
          </w:tcPr>
          <w:p>
            <w:pPr>
              <w:spacing w:after="20"/>
            </w:pPr>
            <w:r>
              <w:rPr>
                <w:color w:val="1C3A36"/>
                <w:sz w:val="16"/>
              </w:rPr>
              <w:t>rev fy23</w:t>
            </w:r>
          </w:p>
        </w:tc>
        <w:tc>
          <w:tcPr>
            <w:tcW w:type="dxa" w:w="1296"/>
          </w:tcPr>
          <w:p>
            <w:pPr>
              <w:spacing w:after="20"/>
              <w:jc w:val="right"/>
            </w:pPr>
            <w:r>
              <w:rPr>
                <w:color w:val="1C3A36"/>
                <w:sz w:val="16"/>
              </w:rPr>
              <w:t>3,056,865.0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Consolidated statement of profit or loss, FY2023 audited consolidated financial statements (KPMG Lower Gulf Limited, unqualified) (confirmed to the dollar by the FY2024 filing's comparative column)</w:t>
            </w:r>
          </w:p>
        </w:tc>
      </w:tr>
      <w:tr>
        <w:tc>
          <w:tcPr>
            <w:tcW w:type="dxa" w:w="2088"/>
          </w:tcPr>
          <w:p>
            <w:pPr>
              <w:spacing w:after="20"/>
            </w:pPr>
            <w:r>
              <w:rPr>
                <w:color w:val="1C3A36"/>
                <w:sz w:val="16"/>
              </w:rPr>
              <w:t>rev fy24</w:t>
            </w:r>
          </w:p>
        </w:tc>
        <w:tc>
          <w:tcPr>
            <w:tcW w:type="dxa" w:w="1296"/>
          </w:tcPr>
          <w:p>
            <w:pPr>
              <w:spacing w:after="20"/>
              <w:jc w:val="right"/>
            </w:pPr>
            <w:r>
              <w:rPr>
                <w:color w:val="1C3A36"/>
                <w:sz w:val="16"/>
              </w:rPr>
              <w:t>4,034,222.0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Consolidated statement of profit or loss, FY2024 audited consolidated financial statements (Deloitte &amp; Touche (M.E.), unqualified) (confirmed to the dollar by the FY2025 filing's comparative column)</w:t>
            </w:r>
          </w:p>
        </w:tc>
      </w:tr>
      <w:tr>
        <w:tc>
          <w:tcPr>
            <w:tcW w:type="dxa" w:w="2088"/>
          </w:tcPr>
          <w:p>
            <w:pPr>
              <w:spacing w:after="20"/>
            </w:pPr>
            <w:r>
              <w:rPr>
                <w:color w:val="1C3A36"/>
                <w:sz w:val="16"/>
              </w:rPr>
              <w:t>rev fy25</w:t>
            </w:r>
          </w:p>
        </w:tc>
        <w:tc>
          <w:tcPr>
            <w:tcW w:type="dxa" w:w="1296"/>
          </w:tcPr>
          <w:p>
            <w:pPr>
              <w:spacing w:after="20"/>
              <w:jc w:val="right"/>
            </w:pPr>
            <w:r>
              <w:rPr>
                <w:color w:val="1C3A36"/>
                <w:sz w:val="16"/>
              </w:rPr>
              <w:t>4,902,886.0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Consolidated statement of profit or loss, FY2025 audited consolidated financial statements (Deloitte &amp; Touche (M.E.), unqualified)</w:t>
            </w:r>
          </w:p>
        </w:tc>
      </w:tr>
      <w:tr>
        <w:tc>
          <w:tcPr>
            <w:tcW w:type="dxa" w:w="2088"/>
          </w:tcPr>
          <w:p>
            <w:pPr>
              <w:spacing w:after="20"/>
            </w:pPr>
            <w:r>
              <w:rPr>
                <w:color w:val="1C3A36"/>
                <w:sz w:val="16"/>
              </w:rPr>
              <w:t>rou fy23</w:t>
            </w:r>
          </w:p>
        </w:tc>
        <w:tc>
          <w:tcPr>
            <w:tcW w:type="dxa" w:w="1296"/>
          </w:tcPr>
          <w:p>
            <w:pPr>
              <w:spacing w:after="20"/>
              <w:jc w:val="right"/>
            </w:pPr>
            <w:r>
              <w:rPr>
                <w:color w:val="1C3A36"/>
                <w:sz w:val="16"/>
              </w:rPr>
              <w:t>173,911.0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Right-of-use assets, FY2023 audited consolidated financial statements (KPMG Lower Gulf Limited, unqualified)</w:t>
            </w:r>
          </w:p>
        </w:tc>
      </w:tr>
      <w:tr>
        <w:tc>
          <w:tcPr>
            <w:tcW w:type="dxa" w:w="2088"/>
          </w:tcPr>
          <w:p>
            <w:pPr>
              <w:spacing w:after="20"/>
            </w:pPr>
            <w:r>
              <w:rPr>
                <w:color w:val="1C3A36"/>
                <w:sz w:val="16"/>
              </w:rPr>
              <w:t>rou fy24</w:t>
            </w:r>
          </w:p>
        </w:tc>
        <w:tc>
          <w:tcPr>
            <w:tcW w:type="dxa" w:w="1296"/>
          </w:tcPr>
          <w:p>
            <w:pPr>
              <w:spacing w:after="20"/>
              <w:jc w:val="right"/>
            </w:pPr>
            <w:r>
              <w:rPr>
                <w:color w:val="1C3A36"/>
                <w:sz w:val="16"/>
              </w:rPr>
              <w:t>23,310.0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Right-of-use assets, FY2024 audited consolidated financial statements (Deloitte &amp; Touche (M.E.), unqualified)</w:t>
            </w:r>
          </w:p>
        </w:tc>
      </w:tr>
      <w:tr>
        <w:tc>
          <w:tcPr>
            <w:tcW w:type="dxa" w:w="2088"/>
          </w:tcPr>
          <w:p>
            <w:pPr>
              <w:spacing w:after="20"/>
            </w:pPr>
            <w:r>
              <w:rPr>
                <w:color w:val="1C3A36"/>
                <w:sz w:val="16"/>
              </w:rPr>
              <w:t>rou fy25</w:t>
            </w:r>
          </w:p>
        </w:tc>
        <w:tc>
          <w:tcPr>
            <w:tcW w:type="dxa" w:w="1296"/>
          </w:tcPr>
          <w:p>
            <w:pPr>
              <w:spacing w:after="20"/>
              <w:jc w:val="right"/>
            </w:pPr>
            <w:r>
              <w:rPr>
                <w:color w:val="1C3A36"/>
                <w:sz w:val="16"/>
              </w:rPr>
              <w:t>45,729.0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Right-of-use assets, FY2025 audited consolidated financial statements (Deloitte &amp; Touche (M.E.), unqualified)</w:t>
            </w:r>
          </w:p>
        </w:tc>
      </w:tr>
      <w:tr>
        <w:tc>
          <w:tcPr>
            <w:tcW w:type="dxa" w:w="2088"/>
          </w:tcPr>
          <w:p>
            <w:pPr>
              <w:spacing w:after="20"/>
            </w:pPr>
            <w:r>
              <w:rPr>
                <w:color w:val="1C3A36"/>
                <w:sz w:val="16"/>
              </w:rPr>
              <w:t>seg ebitda off fy25</w:t>
            </w:r>
          </w:p>
        </w:tc>
        <w:tc>
          <w:tcPr>
            <w:tcW w:type="dxa" w:w="1296"/>
          </w:tcPr>
          <w:p>
            <w:pPr>
              <w:spacing w:after="20"/>
              <w:jc w:val="right"/>
            </w:pPr>
            <w:r>
              <w:rPr>
                <w:color w:val="1C3A36"/>
                <w:sz w:val="16"/>
              </w:rPr>
              <w:t>952,523.0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Offshore EBITDA</w:t>
            </w:r>
          </w:p>
        </w:tc>
      </w:tr>
      <w:tr>
        <w:tc>
          <w:tcPr>
            <w:tcW w:type="dxa" w:w="2088"/>
          </w:tcPr>
          <w:p>
            <w:pPr>
              <w:spacing w:after="20"/>
            </w:pPr>
            <w:r>
              <w:rPr>
                <w:color w:val="1C3A36"/>
                <w:sz w:val="16"/>
              </w:rPr>
              <w:t>seg ebitda ofs fy25</w:t>
            </w:r>
          </w:p>
        </w:tc>
        <w:tc>
          <w:tcPr>
            <w:tcW w:type="dxa" w:w="1296"/>
          </w:tcPr>
          <w:p>
            <w:pPr>
              <w:spacing w:after="20"/>
              <w:jc w:val="right"/>
            </w:pPr>
            <w:r>
              <w:rPr>
                <w:color w:val="1C3A36"/>
                <w:sz w:val="16"/>
              </w:rPr>
              <w:t>251,036.0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Oilfield Services EBITDA</w:t>
            </w:r>
          </w:p>
        </w:tc>
      </w:tr>
      <w:tr>
        <w:tc>
          <w:tcPr>
            <w:tcW w:type="dxa" w:w="2088"/>
          </w:tcPr>
          <w:p>
            <w:pPr>
              <w:spacing w:after="20"/>
            </w:pPr>
            <w:r>
              <w:rPr>
                <w:color w:val="1C3A36"/>
                <w:sz w:val="16"/>
              </w:rPr>
              <w:t>seg ebitda on fy25</w:t>
            </w:r>
          </w:p>
        </w:tc>
        <w:tc>
          <w:tcPr>
            <w:tcW w:type="dxa" w:w="1296"/>
          </w:tcPr>
          <w:p>
            <w:pPr>
              <w:spacing w:after="20"/>
              <w:jc w:val="right"/>
            </w:pPr>
            <w:r>
              <w:rPr>
                <w:color w:val="1C3A36"/>
                <w:sz w:val="16"/>
              </w:rPr>
              <w:t>994,477.0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Onshore EBITDA</w:t>
            </w:r>
          </w:p>
        </w:tc>
      </w:tr>
      <w:tr>
        <w:tc>
          <w:tcPr>
            <w:tcW w:type="dxa" w:w="2088"/>
          </w:tcPr>
          <w:p>
            <w:pPr>
              <w:spacing w:after="20"/>
            </w:pPr>
            <w:r>
              <w:rPr>
                <w:color w:val="1C3A36"/>
                <w:sz w:val="16"/>
              </w:rPr>
              <w:t>seg island fy23</w:t>
            </w:r>
          </w:p>
        </w:tc>
        <w:tc>
          <w:tcPr>
            <w:tcW w:type="dxa" w:w="1296"/>
          </w:tcPr>
          <w:p>
            <w:pPr>
              <w:spacing w:after="20"/>
              <w:jc w:val="right"/>
            </w:pPr>
            <w:r>
              <w:rPr>
                <w:color w:val="1C3A36"/>
                <w:sz w:val="16"/>
              </w:rPr>
              <w:t>209,079.0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audited consolidated financial statements (KPMG Lower Gulf Limited, unqualified) segment note — Offshore Island revenue for FY2023, the last year the island and jack-up businesses were reported as separate segments; from 1Q-2025 they are presented as one Offshore segment</w:t>
            </w:r>
          </w:p>
        </w:tc>
      </w:tr>
      <w:tr>
        <w:tc>
          <w:tcPr>
            <w:tcW w:type="dxa" w:w="2088"/>
          </w:tcPr>
          <w:p>
            <w:pPr>
              <w:spacing w:after="20"/>
            </w:pPr>
            <w:r>
              <w:rPr>
                <w:color w:val="1C3A36"/>
                <w:sz w:val="16"/>
              </w:rPr>
              <w:t>seg jackup fy23</w:t>
            </w:r>
          </w:p>
        </w:tc>
        <w:tc>
          <w:tcPr>
            <w:tcW w:type="dxa" w:w="1296"/>
          </w:tcPr>
          <w:p>
            <w:pPr>
              <w:spacing w:after="20"/>
              <w:jc w:val="right"/>
            </w:pPr>
            <w:r>
              <w:rPr>
                <w:color w:val="1C3A36"/>
                <w:sz w:val="16"/>
              </w:rPr>
              <w:t>799,726.0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audited consolidated financial statements (KPMG Lower Gulf Limited, unqualified) segment note — Offshore Jack-up revenue for FY2023</w:t>
            </w:r>
          </w:p>
        </w:tc>
      </w:tr>
      <w:tr>
        <w:tc>
          <w:tcPr>
            <w:tcW w:type="dxa" w:w="2088"/>
          </w:tcPr>
          <w:p>
            <w:pPr>
              <w:spacing w:after="20"/>
            </w:pPr>
            <w:r>
              <w:rPr>
                <w:color w:val="1C3A36"/>
                <w:sz w:val="16"/>
              </w:rPr>
              <w:t>seg off fy23</w:t>
            </w:r>
          </w:p>
        </w:tc>
        <w:tc>
          <w:tcPr>
            <w:tcW w:type="dxa" w:w="1296"/>
          </w:tcPr>
          <w:p>
            <w:pPr>
              <w:spacing w:after="20"/>
              <w:jc w:val="right"/>
            </w:pPr>
            <w:r>
              <w:rPr>
                <w:color w:val="1C3A36"/>
                <w:sz w:val="16"/>
              </w:rPr>
              <w:t>1,008,805.0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Segment note 26, FY2023 audited consolidated financial statements (KPMG Lower Gulf Limited, unqualified) — Offshore Jackup 799,726 plus Offshore Island 209,079. The two were reported separately until FY2024 and combined into a single Offshore segment from 1Q-2025; they are summed here so the three-year series is on one basis</w:t>
            </w:r>
          </w:p>
        </w:tc>
      </w:tr>
      <w:tr>
        <w:tc>
          <w:tcPr>
            <w:tcW w:type="dxa" w:w="2088"/>
          </w:tcPr>
          <w:p>
            <w:pPr>
              <w:spacing w:after="20"/>
            </w:pPr>
            <w:r>
              <w:rPr>
                <w:color w:val="1C3A36"/>
                <w:sz w:val="16"/>
              </w:rPr>
              <w:t>seg off fy24</w:t>
            </w:r>
          </w:p>
        </w:tc>
        <w:tc>
          <w:tcPr>
            <w:tcW w:type="dxa" w:w="1296"/>
          </w:tcPr>
          <w:p>
            <w:pPr>
              <w:spacing w:after="20"/>
              <w:jc w:val="right"/>
            </w:pPr>
            <w:r>
              <w:rPr>
                <w:color w:val="1C3A36"/>
                <w:sz w:val="16"/>
              </w:rPr>
              <w:t>1,328,436.0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comparative column — Offshore</w:t>
            </w:r>
          </w:p>
        </w:tc>
      </w:tr>
      <w:tr>
        <w:tc>
          <w:tcPr>
            <w:tcW w:type="dxa" w:w="2088"/>
          </w:tcPr>
          <w:p>
            <w:pPr>
              <w:spacing w:after="20"/>
            </w:pPr>
            <w:r>
              <w:rPr>
                <w:color w:val="1C3A36"/>
                <w:sz w:val="16"/>
              </w:rPr>
              <w:t>seg off fy25</w:t>
            </w:r>
          </w:p>
        </w:tc>
        <w:tc>
          <w:tcPr>
            <w:tcW w:type="dxa" w:w="1296"/>
          </w:tcPr>
          <w:p>
            <w:pPr>
              <w:spacing w:after="20"/>
              <w:jc w:val="right"/>
            </w:pPr>
            <w:r>
              <w:rPr>
                <w:color w:val="1C3A36"/>
                <w:sz w:val="16"/>
              </w:rPr>
              <w:t>1,403,893.0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Offshore</w:t>
            </w:r>
          </w:p>
        </w:tc>
      </w:tr>
      <w:tr>
        <w:tc>
          <w:tcPr>
            <w:tcW w:type="dxa" w:w="2088"/>
          </w:tcPr>
          <w:p>
            <w:pPr>
              <w:spacing w:after="20"/>
            </w:pPr>
            <w:r>
              <w:rPr>
                <w:color w:val="1C3A36"/>
                <w:sz w:val="16"/>
              </w:rPr>
              <w:t>seg ofs fy23</w:t>
            </w:r>
          </w:p>
        </w:tc>
        <w:tc>
          <w:tcPr>
            <w:tcW w:type="dxa" w:w="1296"/>
          </w:tcPr>
          <w:p>
            <w:pPr>
              <w:spacing w:after="20"/>
              <w:jc w:val="right"/>
            </w:pPr>
            <w:r>
              <w:rPr>
                <w:color w:val="1C3A36"/>
                <w:sz w:val="16"/>
              </w:rPr>
              <w:t>553,003.0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Segment note 26, FY2023 audited consolidated financial statements (KPMG Lower Gulf Limited, unqualified) — Oilfield Services</w:t>
            </w:r>
          </w:p>
        </w:tc>
      </w:tr>
      <w:tr>
        <w:tc>
          <w:tcPr>
            <w:tcW w:type="dxa" w:w="2088"/>
          </w:tcPr>
          <w:p>
            <w:pPr>
              <w:spacing w:after="20"/>
            </w:pPr>
            <w:r>
              <w:rPr>
                <w:color w:val="1C3A36"/>
                <w:sz w:val="16"/>
              </w:rPr>
              <w:t>seg ofs fy24</w:t>
            </w:r>
          </w:p>
        </w:tc>
        <w:tc>
          <w:tcPr>
            <w:tcW w:type="dxa" w:w="1296"/>
          </w:tcPr>
          <w:p>
            <w:pPr>
              <w:spacing w:after="20"/>
              <w:jc w:val="right"/>
            </w:pPr>
            <w:r>
              <w:rPr>
                <w:color w:val="1C3A36"/>
                <w:sz w:val="16"/>
              </w:rPr>
              <w:t>813,116.0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comparative column — Oilfield Services</w:t>
            </w:r>
          </w:p>
        </w:tc>
      </w:tr>
      <w:tr>
        <w:tc>
          <w:tcPr>
            <w:tcW w:type="dxa" w:w="2088"/>
          </w:tcPr>
          <w:p>
            <w:pPr>
              <w:spacing w:after="20"/>
            </w:pPr>
            <w:r>
              <w:rPr>
                <w:color w:val="1C3A36"/>
                <w:sz w:val="16"/>
              </w:rPr>
              <w:t>seg ofs fy25</w:t>
            </w:r>
          </w:p>
        </w:tc>
        <w:tc>
          <w:tcPr>
            <w:tcW w:type="dxa" w:w="1296"/>
          </w:tcPr>
          <w:p>
            <w:pPr>
              <w:spacing w:after="20"/>
              <w:jc w:val="right"/>
            </w:pPr>
            <w:r>
              <w:rPr>
                <w:color w:val="1C3A36"/>
                <w:sz w:val="16"/>
              </w:rPr>
              <w:t>1,461,968.0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Oilfield Services</w:t>
            </w:r>
          </w:p>
        </w:tc>
      </w:tr>
      <w:tr>
        <w:tc>
          <w:tcPr>
            <w:tcW w:type="dxa" w:w="2088"/>
          </w:tcPr>
          <w:p>
            <w:pPr>
              <w:spacing w:after="20"/>
            </w:pPr>
            <w:r>
              <w:rPr>
                <w:color w:val="1C3A36"/>
                <w:sz w:val="16"/>
              </w:rPr>
              <w:t>seg on fy23</w:t>
            </w:r>
          </w:p>
        </w:tc>
        <w:tc>
          <w:tcPr>
            <w:tcW w:type="dxa" w:w="1296"/>
          </w:tcPr>
          <w:p>
            <w:pPr>
              <w:spacing w:after="20"/>
              <w:jc w:val="right"/>
            </w:pPr>
            <w:r>
              <w:rPr>
                <w:color w:val="1C3A36"/>
                <w:sz w:val="16"/>
              </w:rPr>
              <w:t>1,495,057.0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Segment note 26, FY2023 audited consolidated financial statements (KPMG Lower Gulf Limited, unqualified) — Onshore</w:t>
            </w:r>
          </w:p>
        </w:tc>
      </w:tr>
      <w:tr>
        <w:tc>
          <w:tcPr>
            <w:tcW w:type="dxa" w:w="2088"/>
          </w:tcPr>
          <w:p>
            <w:pPr>
              <w:spacing w:after="20"/>
            </w:pPr>
            <w:r>
              <w:rPr>
                <w:color w:val="1C3A36"/>
                <w:sz w:val="16"/>
              </w:rPr>
              <w:t>seg on fy24</w:t>
            </w:r>
          </w:p>
        </w:tc>
        <w:tc>
          <w:tcPr>
            <w:tcW w:type="dxa" w:w="1296"/>
          </w:tcPr>
          <w:p>
            <w:pPr>
              <w:spacing w:after="20"/>
              <w:jc w:val="right"/>
            </w:pPr>
            <w:r>
              <w:rPr>
                <w:color w:val="1C3A36"/>
                <w:sz w:val="16"/>
              </w:rPr>
              <w:t>1,892,670.0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comparative column — Onshore</w:t>
            </w:r>
          </w:p>
        </w:tc>
      </w:tr>
      <w:tr>
        <w:tc>
          <w:tcPr>
            <w:tcW w:type="dxa" w:w="2088"/>
          </w:tcPr>
          <w:p>
            <w:pPr>
              <w:spacing w:after="20"/>
            </w:pPr>
            <w:r>
              <w:rPr>
                <w:color w:val="1C3A36"/>
                <w:sz w:val="16"/>
              </w:rPr>
              <w:t>seg on fy25</w:t>
            </w:r>
          </w:p>
        </w:tc>
        <w:tc>
          <w:tcPr>
            <w:tcW w:type="dxa" w:w="1296"/>
          </w:tcPr>
          <w:p>
            <w:pPr>
              <w:spacing w:after="20"/>
              <w:jc w:val="right"/>
            </w:pPr>
            <w:r>
              <w:rPr>
                <w:color w:val="1C3A36"/>
                <w:sz w:val="16"/>
              </w:rPr>
              <w:t>2,037,025.0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Segment note 28, FY2025 audited consolidated financial statements (Deloitte &amp; Touche (M.E.), unqualified) — Onshore</w:t>
            </w:r>
          </w:p>
        </w:tc>
      </w:tr>
      <w:tr>
        <w:tc>
          <w:tcPr>
            <w:tcW w:type="dxa" w:w="2088"/>
          </w:tcPr>
          <w:p>
            <w:pPr>
              <w:spacing w:after="20"/>
            </w:pPr>
            <w:r>
              <w:rPr>
                <w:color w:val="1C3A36"/>
                <w:sz w:val="16"/>
              </w:rPr>
              <w:t>shares issued k</w:t>
            </w:r>
          </w:p>
        </w:tc>
        <w:tc>
          <w:tcPr>
            <w:tcW w:type="dxa" w:w="1296"/>
          </w:tcPr>
          <w:p>
            <w:pPr>
              <w:spacing w:after="20"/>
              <w:jc w:val="right"/>
            </w:pPr>
            <w:r>
              <w:rPr>
                <w:color w:val="1C3A36"/>
                <w:sz w:val="16"/>
              </w:rPr>
              <w:t>16,000,000.0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Share capital note 13, FY2025 audited statements: 16,000,000 thousand shares of AED 0.10 each, unchanged since listing</w:t>
            </w:r>
          </w:p>
        </w:tc>
      </w:tr>
      <w:tr>
        <w:tc>
          <w:tcPr>
            <w:tcW w:type="dxa" w:w="2088"/>
          </w:tcPr>
          <w:p>
            <w:pPr>
              <w:spacing w:after="20"/>
            </w:pPr>
            <w:r>
              <w:rPr>
                <w:color w:val="1C3A36"/>
                <w:sz w:val="16"/>
              </w:rPr>
              <w:t>ta fy23</w:t>
            </w:r>
          </w:p>
        </w:tc>
        <w:tc>
          <w:tcPr>
            <w:tcW w:type="dxa" w:w="1296"/>
          </w:tcPr>
          <w:p>
            <w:pPr>
              <w:spacing w:after="20"/>
              <w:jc w:val="right"/>
            </w:pPr>
            <w:r>
              <w:rPr>
                <w:color w:val="1C3A36"/>
                <w:sz w:val="16"/>
              </w:rPr>
              <w:t>6,740,125.0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Total assets, FY2023 audited consolidated financial statements (KPMG Lower Gulf Limited, unqualified)</w:t>
            </w:r>
          </w:p>
        </w:tc>
      </w:tr>
      <w:tr>
        <w:tc>
          <w:tcPr>
            <w:tcW w:type="dxa" w:w="2088"/>
          </w:tcPr>
          <w:p>
            <w:pPr>
              <w:spacing w:after="20"/>
            </w:pPr>
            <w:r>
              <w:rPr>
                <w:color w:val="1C3A36"/>
                <w:sz w:val="16"/>
              </w:rPr>
              <w:t>ta fy24</w:t>
            </w:r>
          </w:p>
        </w:tc>
        <w:tc>
          <w:tcPr>
            <w:tcW w:type="dxa" w:w="1296"/>
          </w:tcPr>
          <w:p>
            <w:pPr>
              <w:spacing w:after="20"/>
              <w:jc w:val="right"/>
            </w:pPr>
            <w:r>
              <w:rPr>
                <w:color w:val="1C3A36"/>
                <w:sz w:val="16"/>
              </w:rPr>
              <w:t>7,766,471.0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Total assets, FY2024 audited consolidated financial statements (Deloitte &amp; Touche (M.E.), unqualified)</w:t>
            </w:r>
          </w:p>
        </w:tc>
      </w:tr>
      <w:tr>
        <w:tc>
          <w:tcPr>
            <w:tcW w:type="dxa" w:w="2088"/>
          </w:tcPr>
          <w:p>
            <w:pPr>
              <w:spacing w:after="20"/>
            </w:pPr>
            <w:r>
              <w:rPr>
                <w:color w:val="1C3A36"/>
                <w:sz w:val="16"/>
              </w:rPr>
              <w:t>ta fy25</w:t>
            </w:r>
          </w:p>
        </w:tc>
        <w:tc>
          <w:tcPr>
            <w:tcW w:type="dxa" w:w="1296"/>
          </w:tcPr>
          <w:p>
            <w:pPr>
              <w:spacing w:after="20"/>
              <w:jc w:val="right"/>
            </w:pPr>
            <w:r>
              <w:rPr>
                <w:color w:val="1C3A36"/>
                <w:sz w:val="16"/>
              </w:rPr>
              <w:t>8,101,408.0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Total assets, FY2025 audited consolidated financial statements (Deloitte &amp; Touche (M.E.), unqualified)</w:t>
            </w:r>
          </w:p>
        </w:tc>
      </w:tr>
      <w:tr>
        <w:tc>
          <w:tcPr>
            <w:tcW w:type="dxa" w:w="2088"/>
          </w:tcPr>
          <w:p>
            <w:pPr>
              <w:spacing w:after="20"/>
            </w:pPr>
            <w:r>
              <w:rPr>
                <w:color w:val="1C3A36"/>
                <w:sz w:val="16"/>
              </w:rPr>
              <w:t>tax fy23</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Income tax, FY2023 audited consolidated financial statements (KPMG Lower Gulf Limited, unqualified) — the Abu Dhabi fiscal arrangement took effect 1 January 2024, so FY2023 carries no corporate income tax charge</w:t>
            </w:r>
          </w:p>
        </w:tc>
      </w:tr>
      <w:tr>
        <w:tc>
          <w:tcPr>
            <w:tcW w:type="dxa" w:w="2088"/>
          </w:tcPr>
          <w:p>
            <w:pPr>
              <w:spacing w:after="20"/>
            </w:pPr>
            <w:r>
              <w:rPr>
                <w:color w:val="1C3A36"/>
                <w:sz w:val="16"/>
              </w:rPr>
              <w:t>tax fy24</w:t>
            </w:r>
          </w:p>
        </w:tc>
        <w:tc>
          <w:tcPr>
            <w:tcW w:type="dxa" w:w="1296"/>
          </w:tcPr>
          <w:p>
            <w:pPr>
              <w:spacing w:after="20"/>
              <w:jc w:val="right"/>
            </w:pPr>
            <w:r>
              <w:rPr>
                <w:color w:val="1C3A36"/>
                <w:sz w:val="16"/>
              </w:rPr>
              <w:t>128,510.0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Income tax note 30, FY2024 audited consolidated financial statements (Deloitte &amp; Touche (M.E.), unqualified)</w:t>
            </w:r>
          </w:p>
        </w:tc>
      </w:tr>
      <w:tr>
        <w:tc>
          <w:tcPr>
            <w:tcW w:type="dxa" w:w="2088"/>
          </w:tcPr>
          <w:p>
            <w:pPr>
              <w:spacing w:after="20"/>
            </w:pPr>
            <w:r>
              <w:rPr>
                <w:color w:val="1C3A36"/>
                <w:sz w:val="16"/>
              </w:rPr>
              <w:t>tax fy25</w:t>
            </w:r>
          </w:p>
        </w:tc>
        <w:tc>
          <w:tcPr>
            <w:tcW w:type="dxa" w:w="1296"/>
          </w:tcPr>
          <w:p>
            <w:pPr>
              <w:spacing w:after="20"/>
              <w:jc w:val="right"/>
            </w:pPr>
            <w:r>
              <w:rPr>
                <w:color w:val="1C3A36"/>
                <w:sz w:val="16"/>
              </w:rPr>
              <w:t>139,099.0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Income tax note 30, FY2025 audited consolidated financial statements (Deloitte &amp; Touche (M.E.), unqualified): current 138,930 plus deferred 169</w:t>
            </w:r>
          </w:p>
        </w:tc>
      </w:tr>
      <w:tr>
        <w:tc>
          <w:tcPr>
            <w:tcW w:type="dxa" w:w="2088"/>
          </w:tcPr>
          <w:p>
            <w:pPr>
              <w:spacing w:after="20"/>
            </w:pPr>
            <w:r>
              <w:rPr>
                <w:color w:val="1C3A36"/>
                <w:sz w:val="16"/>
              </w:rPr>
              <w:t>tax rate</w:t>
            </w:r>
          </w:p>
        </w:tc>
        <w:tc>
          <w:tcPr>
            <w:tcW w:type="dxa" w:w="1296"/>
          </w:tcPr>
          <w:p>
            <w:pPr>
              <w:spacing w:after="20"/>
              <w:jc w:val="right"/>
            </w:pPr>
            <w:r>
              <w:rPr>
                <w:color w:val="1C3A36"/>
                <w:sz w:val="16"/>
              </w:rPr>
              <w:t>0.0900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Income tax note 30, FY2025 audited consolidated financial statements (Deloitte &amp; Touche (M.E.), unqualified): 'The Group is subject to income tax at 9% on its taxable profits in accordance with the fiscal arrangement with Abu Dhabi Supreme Council for Financial and Economic Affairs effective 1 January 2024.' The same 9% is the UAE statutory corporate rate in the Damodaran country file</w:t>
            </w:r>
          </w:p>
        </w:tc>
      </w:tr>
      <w:tr>
        <w:tc>
          <w:tcPr>
            <w:tcW w:type="dxa" w:w="2088"/>
          </w:tcPr>
          <w:p>
            <w:pPr>
              <w:spacing w:after="20"/>
            </w:pPr>
            <w:r>
              <w:rPr>
                <w:color w:val="1C3A36"/>
                <w:sz w:val="16"/>
              </w:rPr>
              <w:t>taxpay fy23</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Income tax payable, FY2023 audited consolidated financial statements (KPMG Lower Gulf Limited, unqualified) — nil</w:t>
            </w:r>
          </w:p>
        </w:tc>
      </w:tr>
      <w:tr>
        <w:tc>
          <w:tcPr>
            <w:tcW w:type="dxa" w:w="2088"/>
          </w:tcPr>
          <w:p>
            <w:pPr>
              <w:spacing w:after="20"/>
            </w:pPr>
            <w:r>
              <w:rPr>
                <w:color w:val="1C3A36"/>
                <w:sz w:val="16"/>
              </w:rPr>
              <w:t>taxpay fy24</w:t>
            </w:r>
          </w:p>
        </w:tc>
        <w:tc>
          <w:tcPr>
            <w:tcW w:type="dxa" w:w="1296"/>
          </w:tcPr>
          <w:p>
            <w:pPr>
              <w:spacing w:after="20"/>
              <w:jc w:val="right"/>
            </w:pPr>
            <w:r>
              <w:rPr>
                <w:color w:val="1C3A36"/>
                <w:sz w:val="16"/>
              </w:rPr>
              <w:t>15,000.0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Income tax payable, FY2024 audited consolidated financial statements (Deloitte &amp; Touche (M.E.), unqualified)</w:t>
            </w:r>
          </w:p>
        </w:tc>
      </w:tr>
      <w:tr>
        <w:tc>
          <w:tcPr>
            <w:tcW w:type="dxa" w:w="2088"/>
          </w:tcPr>
          <w:p>
            <w:pPr>
              <w:spacing w:after="20"/>
            </w:pPr>
            <w:r>
              <w:rPr>
                <w:color w:val="1C3A36"/>
                <w:sz w:val="16"/>
              </w:rPr>
              <w:t>taxpay fy25</w:t>
            </w:r>
          </w:p>
        </w:tc>
        <w:tc>
          <w:tcPr>
            <w:tcW w:type="dxa" w:w="1296"/>
          </w:tcPr>
          <w:p>
            <w:pPr>
              <w:spacing w:after="20"/>
              <w:jc w:val="right"/>
            </w:pPr>
            <w:r>
              <w:rPr>
                <w:color w:val="1C3A36"/>
                <w:sz w:val="16"/>
              </w:rPr>
              <w:t>11,000.0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Income tax payable, FY2025 audited consolidated financial statements (Deloitte &amp; Touche (M.E.), unqualified)</w:t>
            </w:r>
          </w:p>
        </w:tc>
      </w:tr>
      <w:tr>
        <w:tc>
          <w:tcPr>
            <w:tcW w:type="dxa" w:w="2088"/>
          </w:tcPr>
          <w:p>
            <w:pPr>
              <w:spacing w:after="20"/>
            </w:pPr>
            <w:r>
              <w:rPr>
                <w:color w:val="1C3A36"/>
                <w:sz w:val="16"/>
              </w:rPr>
              <w:t>tp 1h26</w:t>
            </w:r>
          </w:p>
        </w:tc>
        <w:tc>
          <w:tcPr>
            <w:tcW w:type="dxa" w:w="1296"/>
          </w:tcPr>
          <w:p>
            <w:pPr>
              <w:spacing w:after="20"/>
              <w:jc w:val="right"/>
            </w:pPr>
            <w:r>
              <w:rPr>
                <w:color w:val="1C3A36"/>
                <w:sz w:val="16"/>
              </w:rPr>
              <w:t>1,238,037.0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Trade and other payables, 1H-2026 condensed consolidated interim financial information (reviewed): non-current 40,533 plus current 1,197,504</w:t>
            </w:r>
          </w:p>
        </w:tc>
      </w:tr>
      <w:tr>
        <w:tc>
          <w:tcPr>
            <w:tcW w:type="dxa" w:w="2088"/>
          </w:tcPr>
          <w:p>
            <w:pPr>
              <w:spacing w:after="20"/>
            </w:pPr>
            <w:r>
              <w:rPr>
                <w:color w:val="1C3A36"/>
                <w:sz w:val="16"/>
              </w:rPr>
              <w:t>tp fy23</w:t>
            </w:r>
          </w:p>
        </w:tc>
        <w:tc>
          <w:tcPr>
            <w:tcW w:type="dxa" w:w="1296"/>
          </w:tcPr>
          <w:p>
            <w:pPr>
              <w:spacing w:after="20"/>
              <w:jc w:val="right"/>
            </w:pPr>
            <w:r>
              <w:rPr>
                <w:color w:val="1C3A36"/>
                <w:sz w:val="16"/>
              </w:rPr>
              <w:t>929,770.0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Trade and other payables, FY2023 audited consolidated financial statements (KPMG Lower Gulf Limited, unqualified): non-current 80,936 plus current 848,834</w:t>
            </w:r>
          </w:p>
        </w:tc>
      </w:tr>
      <w:tr>
        <w:tc>
          <w:tcPr>
            <w:tcW w:type="dxa" w:w="2088"/>
          </w:tcPr>
          <w:p>
            <w:pPr>
              <w:spacing w:after="20"/>
            </w:pPr>
            <w:r>
              <w:rPr>
                <w:color w:val="1C3A36"/>
                <w:sz w:val="16"/>
              </w:rPr>
              <w:t>tp fy24</w:t>
            </w:r>
          </w:p>
        </w:tc>
        <w:tc>
          <w:tcPr>
            <w:tcW w:type="dxa" w:w="1296"/>
          </w:tcPr>
          <w:p>
            <w:pPr>
              <w:spacing w:after="20"/>
              <w:jc w:val="right"/>
            </w:pPr>
            <w:r>
              <w:rPr>
                <w:color w:val="1C3A36"/>
                <w:sz w:val="16"/>
              </w:rPr>
              <w:t>1,240,598.0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Trade and other payables note 17, FY2024 audited consolidated financial statements (Deloitte &amp; Touche (M.E.), unqualified): non-current 64,849 plus current 1,175,749</w:t>
            </w:r>
          </w:p>
        </w:tc>
      </w:tr>
      <w:tr>
        <w:tc>
          <w:tcPr>
            <w:tcW w:type="dxa" w:w="2088"/>
          </w:tcPr>
          <w:p>
            <w:pPr>
              <w:spacing w:after="20"/>
            </w:pPr>
            <w:r>
              <w:rPr>
                <w:color w:val="1C3A36"/>
                <w:sz w:val="16"/>
              </w:rPr>
              <w:t>tp fy25</w:t>
            </w:r>
          </w:p>
        </w:tc>
        <w:tc>
          <w:tcPr>
            <w:tcW w:type="dxa" w:w="1296"/>
          </w:tcPr>
          <w:p>
            <w:pPr>
              <w:spacing w:after="20"/>
              <w:jc w:val="right"/>
            </w:pPr>
            <w:r>
              <w:rPr>
                <w:color w:val="1C3A36"/>
                <w:sz w:val="16"/>
              </w:rPr>
              <w:t>1,114,818.0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Trade and other payables note 17, FY2025 audited consolidated financial statements (Deloitte &amp; Touche (M.E.), unqualified): non-current 75,399 plus current 1,039,419</w:t>
            </w:r>
          </w:p>
        </w:tc>
      </w:tr>
      <w:tr>
        <w:tc>
          <w:tcPr>
            <w:tcW w:type="dxa" w:w="2088"/>
          </w:tcPr>
          <w:p>
            <w:pPr>
              <w:spacing w:after="20"/>
            </w:pPr>
            <w:r>
              <w:rPr>
                <w:color w:val="1C3A36"/>
                <w:sz w:val="16"/>
              </w:rPr>
              <w:t>tr fy23</w:t>
            </w:r>
          </w:p>
        </w:tc>
        <w:tc>
          <w:tcPr>
            <w:tcW w:type="dxa" w:w="1296"/>
          </w:tcPr>
          <w:p>
            <w:pPr>
              <w:spacing w:after="20"/>
              <w:jc w:val="right"/>
            </w:pPr>
            <w:r>
              <w:rPr>
                <w:color w:val="1C3A36"/>
                <w:sz w:val="16"/>
              </w:rPr>
              <w:t>153,946.0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Trade and other receivables, FY2023 audited consolidated financial statements (KPMG Lower Gulf Limited, unqualified)</w:t>
            </w:r>
          </w:p>
        </w:tc>
      </w:tr>
      <w:tr>
        <w:tc>
          <w:tcPr>
            <w:tcW w:type="dxa" w:w="2088"/>
          </w:tcPr>
          <w:p>
            <w:pPr>
              <w:spacing w:after="20"/>
            </w:pPr>
            <w:r>
              <w:rPr>
                <w:color w:val="1C3A36"/>
                <w:sz w:val="16"/>
              </w:rPr>
              <w:t>tr fy24</w:t>
            </w:r>
          </w:p>
        </w:tc>
        <w:tc>
          <w:tcPr>
            <w:tcW w:type="dxa" w:w="1296"/>
          </w:tcPr>
          <w:p>
            <w:pPr>
              <w:spacing w:after="20"/>
              <w:jc w:val="right"/>
            </w:pPr>
            <w:r>
              <w:rPr>
                <w:color w:val="1C3A36"/>
                <w:sz w:val="16"/>
              </w:rPr>
              <w:t>185,958.0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Trade and other receivables, FY2024 audited consolidated financial statements (Deloitte &amp; Touche (M.E.), unqualified)</w:t>
            </w:r>
          </w:p>
        </w:tc>
      </w:tr>
      <w:tr>
        <w:tc>
          <w:tcPr>
            <w:tcW w:type="dxa" w:w="2088"/>
          </w:tcPr>
          <w:p>
            <w:pPr>
              <w:spacing w:after="20"/>
            </w:pPr>
            <w:r>
              <w:rPr>
                <w:color w:val="1C3A36"/>
                <w:sz w:val="16"/>
              </w:rPr>
              <w:t>tr fy25</w:t>
            </w:r>
          </w:p>
        </w:tc>
        <w:tc>
          <w:tcPr>
            <w:tcW w:type="dxa" w:w="1296"/>
          </w:tcPr>
          <w:p>
            <w:pPr>
              <w:spacing w:after="20"/>
              <w:jc w:val="right"/>
            </w:pPr>
            <w:r>
              <w:rPr>
                <w:color w:val="1C3A36"/>
                <w:sz w:val="16"/>
              </w:rPr>
              <w:t>150,376.0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Trade and other receivables, FY2025 audited consolidated financial statements (Deloitte &amp; Touche (M.E.), unqualified)</w:t>
            </w:r>
          </w:p>
        </w:tc>
      </w:tr>
      <w:tr>
        <w:tc>
          <w:tcPr>
            <w:tcW w:type="dxa" w:w="2088"/>
          </w:tcPr>
          <w:p>
            <w:pPr>
              <w:spacing w:after="20"/>
            </w:pPr>
            <w:r>
              <w:rPr>
                <w:color w:val="1C3A36"/>
                <w:sz w:val="16"/>
              </w:rPr>
              <w:t>treasury shares k</w:t>
            </w:r>
          </w:p>
        </w:tc>
        <w:tc>
          <w:tcPr>
            <w:tcW w:type="dxa" w:w="1296"/>
          </w:tcPr>
          <w:p>
            <w:pPr>
              <w:spacing w:after="20"/>
              <w:jc w:val="right"/>
            </w:pPr>
            <w:r>
              <w:rPr>
                <w:color w:val="1C3A36"/>
                <w:sz w:val="16"/>
              </w:rPr>
              <w:t>7,349.0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Note 14, 1H-2026 interim: the appointed market maker held 7,349 thousand shares on the company's behalf at 30 June 2026, classified as treasury shares in equity (31 Dec 2025: 9,279 thousand)</w:t>
            </w:r>
          </w:p>
        </w:tc>
      </w:tr>
      <w:tr>
        <w:tc>
          <w:tcPr>
            <w:tcW w:type="dxa" w:w="2088"/>
          </w:tcPr>
          <w:p>
            <w:pPr>
              <w:spacing w:after="20"/>
            </w:pPr>
            <w:r>
              <w:rPr>
                <w:color w:val="1C3A36"/>
                <w:sz w:val="16"/>
              </w:rPr>
              <w:t>wc move 1h25</w:t>
            </w:r>
          </w:p>
        </w:tc>
        <w:tc>
          <w:tcPr>
            <w:tcW w:type="dxa" w:w="1296"/>
          </w:tcPr>
          <w:p>
            <w:pPr>
              <w:spacing w:after="20"/>
              <w:jc w:val="right"/>
            </w:pPr>
            <w:r>
              <w:rPr>
                <w:color w:val="1C3A36"/>
                <w:sz w:val="16"/>
              </w:rPr>
              <w:t>154,080.0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condensed consolidated interim financial information (reviewed) statement of cash flows, 1H-2025 comparative column — inventories (6,132), receivables (3,671), due from related parties (57,523), payables 58,261, due to related parties 163,145; a net RELEASE of working capital of 154,080 over the first half of 2025</w:t>
            </w:r>
          </w:p>
        </w:tc>
      </w:tr>
      <w:tr>
        <w:tc>
          <w:tcPr>
            <w:tcW w:type="dxa" w:w="2088"/>
          </w:tcPr>
          <w:p>
            <w:pPr>
              <w:spacing w:after="20"/>
            </w:pPr>
            <w:r>
              <w:rPr>
                <w:color w:val="1C3A36"/>
                <w:sz w:val="16"/>
              </w:rPr>
              <w:t>wc move 1h26</w:t>
            </w:r>
          </w:p>
        </w:tc>
        <w:tc>
          <w:tcPr>
            <w:tcW w:type="dxa" w:w="1296"/>
          </w:tcPr>
          <w:p>
            <w:pPr>
              <w:spacing w:after="20"/>
              <w:jc w:val="right"/>
            </w:pPr>
            <w:r>
              <w:rPr>
                <w:color w:val="1C3A36"/>
                <w:sz w:val="16"/>
              </w:rPr>
              <w:t>-172,636.0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condensed consolidated interim financial information (reviewed) statement of cash flows — inventories (50,645), receivables (2,127), due from related parties (53,442), payables 36,787, due to related parties (103,209); a net ABSORPTION of 172,636 over the first half of 2026, before the working capital that arrived with the acquisitions</w:t>
            </w:r>
          </w:p>
        </w:tc>
      </w:tr>
    </w:tbl>
    <w:p>
      <w:pPr>
        <w:spacing w:after="40"/>
      </w:pPr>
    </w:p>
    <w:p>
      <w:pPr>
        <w:spacing w:after="80" w:before="200"/>
      </w:pPr>
      <w:r>
        <w:rPr>
          <w:b/>
          <w:i w:val="0"/>
          <w:color w:val="1C3A36"/>
          <w:sz w:val="24"/>
        </w:rPr>
        <w:t>Company — investor communications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availability fy25</w:t>
            </w:r>
          </w:p>
        </w:tc>
        <w:tc>
          <w:tcPr>
            <w:tcW w:type="dxa" w:w="1296"/>
          </w:tcPr>
          <w:p>
            <w:pPr>
              <w:spacing w:after="20"/>
              <w:jc w:val="right"/>
            </w:pPr>
            <w:r>
              <w:rPr>
                <w:color w:val="1C3A36"/>
                <w:sz w:val="16"/>
              </w:rPr>
              <w:t>0.9800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 overall owned fleet availability at year end, excluding the 29 regional rigs</w:t>
            </w:r>
          </w:p>
        </w:tc>
      </w:tr>
      <w:tr>
        <w:tc>
          <w:tcPr>
            <w:tcW w:type="dxa" w:w="2088"/>
          </w:tcPr>
          <w:p>
            <w:pPr>
              <w:spacing w:after="20"/>
            </w:pPr>
            <w:r>
              <w:rPr>
                <w:color w:val="1C3A36"/>
                <w:sz w:val="16"/>
              </w:rPr>
              <w:t>conv ebitda margin fy24</w:t>
            </w:r>
          </w:p>
        </w:tc>
        <w:tc>
          <w:tcPr>
            <w:tcW w:type="dxa" w:w="1296"/>
          </w:tcPr>
          <w:p>
            <w:pPr>
              <w:spacing w:after="20"/>
              <w:jc w:val="right"/>
            </w:pPr>
            <w:r>
              <w:rPr>
                <w:color w:val="1C3A36"/>
                <w:sz w:val="16"/>
              </w:rPr>
              <w:t>0.5200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management discussion and analysis financial summary — conventional EBITDA margin for FY2024, on the same definition</w:t>
            </w:r>
          </w:p>
        </w:tc>
      </w:tr>
      <w:tr>
        <w:tc>
          <w:tcPr>
            <w:tcW w:type="dxa" w:w="2088"/>
          </w:tcPr>
          <w:p>
            <w:pPr>
              <w:spacing w:after="20"/>
            </w:pPr>
            <w:r>
              <w:rPr>
                <w:color w:val="1C3A36"/>
                <w:sz w:val="16"/>
              </w:rPr>
              <w:t>conv ebitda margin fy25</w:t>
            </w:r>
          </w:p>
        </w:tc>
        <w:tc>
          <w:tcPr>
            <w:tcW w:type="dxa" w:w="1296"/>
          </w:tcPr>
          <w:p>
            <w:pPr>
              <w:spacing w:after="20"/>
              <w:jc w:val="right"/>
            </w:pPr>
            <w:r>
              <w:rPr>
                <w:color w:val="1C3A36"/>
                <w:sz w:val="16"/>
              </w:rPr>
              <w:t>0.5100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financial summary — conventional EBITDA margin for FY2025, defined by the company as excluding the contribution of the unconventional business</w:t>
            </w:r>
          </w:p>
        </w:tc>
      </w:tr>
      <w:tr>
        <w:tc>
          <w:tcPr>
            <w:tcW w:type="dxa" w:w="2088"/>
          </w:tcPr>
          <w:p>
            <w:pPr>
              <w:spacing w:after="20"/>
            </w:pPr>
            <w:r>
              <w:rPr>
                <w:color w:val="1C3A36"/>
                <w:sz w:val="16"/>
              </w:rPr>
              <w:t>discrete 2q26</w:t>
            </w:r>
          </w:p>
        </w:tc>
        <w:tc>
          <w:tcPr>
            <w:tcW w:type="dxa" w:w="1296"/>
          </w:tcPr>
          <w:p>
            <w:pPr>
              <w:spacing w:after="20"/>
              <w:jc w:val="right"/>
            </w:pPr>
            <w:r>
              <w:rPr>
                <w:color w:val="1C3A36"/>
                <w:sz w:val="16"/>
              </w:rPr>
              <w:t>53.000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management discussion and analysis: 'at least one discrete service was delivered across an additional 53 rigs... resulting in OFS coverage across a total of 114 rigs'</w:t>
            </w:r>
          </w:p>
        </w:tc>
      </w:tr>
      <w:tr>
        <w:tc>
          <w:tcPr>
            <w:tcW w:type="dxa" w:w="2088"/>
          </w:tcPr>
          <w:p>
            <w:pPr>
              <w:spacing w:after="20"/>
            </w:pPr>
            <w:r>
              <w:rPr>
                <w:color w:val="1C3A36"/>
                <w:sz w:val="16"/>
              </w:rPr>
              <w:t>discrete fy24</w:t>
            </w:r>
          </w:p>
        </w:tc>
        <w:tc>
          <w:tcPr>
            <w:tcW w:type="dxa" w:w="1296"/>
          </w:tcPr>
          <w:p>
            <w:pPr>
              <w:spacing w:after="20"/>
              <w:jc w:val="right"/>
            </w:pPr>
            <w:r>
              <w:rPr>
                <w:color w:val="1C3A36"/>
                <w:sz w:val="16"/>
              </w:rPr>
              <w:t>48.000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'offered at least one discrete service to an additional 48 rigs between onshore and offshore'</w:t>
            </w:r>
          </w:p>
        </w:tc>
      </w:tr>
      <w:tr>
        <w:tc>
          <w:tcPr>
            <w:tcW w:type="dxa" w:w="2088"/>
          </w:tcPr>
          <w:p>
            <w:pPr>
              <w:spacing w:after="20"/>
            </w:pPr>
            <w:r>
              <w:rPr>
                <w:color w:val="1C3A36"/>
                <w:sz w:val="16"/>
              </w:rPr>
              <w:t>discrete fy25</w:t>
            </w:r>
          </w:p>
        </w:tc>
        <w:tc>
          <w:tcPr>
            <w:tcW w:type="dxa" w:w="1296"/>
          </w:tcPr>
          <w:p>
            <w:pPr>
              <w:spacing w:after="20"/>
              <w:jc w:val="right"/>
            </w:pPr>
            <w:r>
              <w:rPr>
                <w:color w:val="1C3A36"/>
                <w:sz w:val="16"/>
              </w:rPr>
              <w:t>58.000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'The segment offered at least one discrete service to an additional 58 rigs between onshore and offshore in the fourth quarter. All in all, oilfield services are offered to 118 rigs'</w:t>
            </w:r>
          </w:p>
        </w:tc>
      </w:tr>
      <w:tr>
        <w:tc>
          <w:tcPr>
            <w:tcW w:type="dxa" w:w="2088"/>
          </w:tcPr>
          <w:p>
            <w:pPr>
              <w:spacing w:after="20"/>
            </w:pPr>
            <w:r>
              <w:rPr>
                <w:color w:val="1C3A36"/>
                <w:sz w:val="16"/>
              </w:rPr>
              <w:t>ebitda 1h25</w:t>
            </w:r>
          </w:p>
        </w:tc>
        <w:tc>
          <w:tcPr>
            <w:tcW w:type="dxa" w:w="1296"/>
          </w:tcPr>
          <w:p>
            <w:pPr>
              <w:spacing w:after="20"/>
              <w:jc w:val="right"/>
            </w:pPr>
            <w:r>
              <w:rPr>
                <w:color w:val="1C3A36"/>
                <w:sz w:val="16"/>
              </w:rPr>
              <w:t>1,078,000.0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management discussion and analysis financial summary, 1H-2025 comparative column — group EBITDA of $1,078 million</w:t>
            </w:r>
          </w:p>
        </w:tc>
      </w:tr>
      <w:tr>
        <w:tc>
          <w:tcPr>
            <w:tcW w:type="dxa" w:w="2088"/>
          </w:tcPr>
          <w:p>
            <w:pPr>
              <w:spacing w:after="20"/>
            </w:pPr>
            <w:r>
              <w:rPr>
                <w:color w:val="1C3A36"/>
                <w:sz w:val="16"/>
              </w:rPr>
              <w:t>g26 capex hi</w:t>
            </w:r>
          </w:p>
        </w:tc>
        <w:tc>
          <w:tcPr>
            <w:tcW w:type="dxa" w:w="1296"/>
          </w:tcPr>
          <w:p>
            <w:pPr>
              <w:spacing w:after="20"/>
              <w:jc w:val="right"/>
            </w:pPr>
            <w:r>
              <w:rPr>
                <w:color w:val="1C3A36"/>
                <w:sz w:val="16"/>
              </w:rPr>
              <w:t>800,000.0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cash capital expenditure excluding mergers and acquisitions of $0.6-0.8 billion</w:t>
            </w:r>
          </w:p>
        </w:tc>
      </w:tr>
      <w:tr>
        <w:tc>
          <w:tcPr>
            <w:tcW w:type="dxa" w:w="2088"/>
          </w:tcPr>
          <w:p>
            <w:pPr>
              <w:spacing w:after="20"/>
            </w:pPr>
            <w:r>
              <w:rPr>
                <w:color w:val="1C3A36"/>
                <w:sz w:val="16"/>
              </w:rPr>
              <w:t>g26 capex lo</w:t>
            </w:r>
          </w:p>
        </w:tc>
        <w:tc>
          <w:tcPr>
            <w:tcW w:type="dxa" w:w="1296"/>
          </w:tcPr>
          <w:p>
            <w:pPr>
              <w:spacing w:after="20"/>
              <w:jc w:val="right"/>
            </w:pPr>
            <w:r>
              <w:rPr>
                <w:color w:val="1C3A36"/>
                <w:sz w:val="16"/>
              </w:rPr>
              <w:t>600,000.0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cash capital expenditure excluding mergers and acquisitions of $0.6-0.8 billion</w:t>
            </w:r>
          </w:p>
        </w:tc>
      </w:tr>
      <w:tr>
        <w:tc>
          <w:tcPr>
            <w:tcW w:type="dxa" w:w="2088"/>
          </w:tcPr>
          <w:p>
            <w:pPr>
              <w:spacing w:after="20"/>
            </w:pPr>
            <w:r>
              <w:rPr>
                <w:color w:val="1C3A36"/>
                <w:sz w:val="16"/>
              </w:rPr>
              <w:t>g26 dividend</w:t>
            </w:r>
          </w:p>
        </w:tc>
        <w:tc>
          <w:tcPr>
            <w:tcW w:type="dxa" w:w="1296"/>
          </w:tcPr>
          <w:p>
            <w:pPr>
              <w:spacing w:after="20"/>
              <w:jc w:val="right"/>
            </w:pPr>
            <w:r>
              <w:rPr>
                <w:color w:val="1C3A36"/>
                <w:sz w:val="16"/>
              </w:rPr>
              <w:t>1,050,000.0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dividend floor of $1.05 billion, up 5% year on year</w:t>
            </w:r>
          </w:p>
        </w:tc>
      </w:tr>
      <w:tr>
        <w:tc>
          <w:tcPr>
            <w:tcW w:type="dxa" w:w="2088"/>
          </w:tcPr>
          <w:p>
            <w:pPr>
              <w:spacing w:after="20"/>
            </w:pPr>
            <w:r>
              <w:rPr>
                <w:color w:val="1C3A36"/>
                <w:sz w:val="16"/>
              </w:rPr>
              <w:t>g26 ebitda hi</w:t>
            </w:r>
          </w:p>
        </w:tc>
        <w:tc>
          <w:tcPr>
            <w:tcW w:type="dxa" w:w="1296"/>
          </w:tcPr>
          <w:p>
            <w:pPr>
              <w:spacing w:after="20"/>
              <w:jc w:val="right"/>
            </w:pPr>
            <w:r>
              <w:rPr>
                <w:color w:val="1C3A36"/>
                <w:sz w:val="16"/>
              </w:rPr>
              <w:t>2,300,000.0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EBITDA of $2.2-2.3 billion</w:t>
            </w:r>
          </w:p>
        </w:tc>
      </w:tr>
      <w:tr>
        <w:tc>
          <w:tcPr>
            <w:tcW w:type="dxa" w:w="2088"/>
          </w:tcPr>
          <w:p>
            <w:pPr>
              <w:spacing w:after="20"/>
            </w:pPr>
            <w:r>
              <w:rPr>
                <w:color w:val="1C3A36"/>
                <w:sz w:val="16"/>
              </w:rPr>
              <w:t>g26 ebitda lo</w:t>
            </w:r>
          </w:p>
        </w:tc>
        <w:tc>
          <w:tcPr>
            <w:tcW w:type="dxa" w:w="1296"/>
          </w:tcPr>
          <w:p>
            <w:pPr>
              <w:spacing w:after="20"/>
              <w:jc w:val="right"/>
            </w:pPr>
            <w:r>
              <w:rPr>
                <w:color w:val="1C3A36"/>
                <w:sz w:val="16"/>
              </w:rPr>
              <w:t>2,200,000.0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EBITDA of $2.2-2.3 billion</w:t>
            </w:r>
          </w:p>
        </w:tc>
      </w:tr>
      <w:tr>
        <w:tc>
          <w:tcPr>
            <w:tcW w:type="dxa" w:w="2088"/>
          </w:tcPr>
          <w:p>
            <w:pPr>
              <w:spacing w:after="20"/>
            </w:pPr>
            <w:r>
              <w:rPr>
                <w:color w:val="1C3A36"/>
                <w:sz w:val="16"/>
              </w:rPr>
              <w:t>g26 rev offshore</w:t>
            </w:r>
          </w:p>
        </w:tc>
        <w:tc>
          <w:tcPr>
            <w:tcW w:type="dxa" w:w="1296"/>
          </w:tcPr>
          <w:p>
            <w:pPr>
              <w:spacing w:after="20"/>
              <w:jc w:val="right"/>
            </w:pPr>
            <w:r>
              <w:rPr>
                <w:color w:val="1C3A36"/>
                <w:sz w:val="16"/>
              </w:rPr>
              <w:t>1,500,000.0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Offshore revenue of approximately $1.5 billion</w:t>
            </w:r>
          </w:p>
        </w:tc>
      </w:tr>
      <w:tr>
        <w:tc>
          <w:tcPr>
            <w:tcW w:type="dxa" w:w="2088"/>
          </w:tcPr>
          <w:p>
            <w:pPr>
              <w:spacing w:after="20"/>
            </w:pPr>
            <w:r>
              <w:rPr>
                <w:color w:val="1C3A36"/>
                <w:sz w:val="16"/>
              </w:rPr>
              <w:t>g26 rev ofs</w:t>
            </w:r>
          </w:p>
        </w:tc>
        <w:tc>
          <w:tcPr>
            <w:tcW w:type="dxa" w:w="1296"/>
          </w:tcPr>
          <w:p>
            <w:pPr>
              <w:spacing w:after="20"/>
              <w:jc w:val="right"/>
            </w:pPr>
            <w:r>
              <w:rPr>
                <w:color w:val="1C3A36"/>
                <w:sz w:val="16"/>
              </w:rPr>
              <w:t>1,500,000.0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Oilfield Services revenue of approximately $1.5 billion</w:t>
            </w:r>
          </w:p>
        </w:tc>
      </w:tr>
      <w:tr>
        <w:tc>
          <w:tcPr>
            <w:tcW w:type="dxa" w:w="2088"/>
          </w:tcPr>
          <w:p>
            <w:pPr>
              <w:spacing w:after="20"/>
            </w:pPr>
            <w:r>
              <w:rPr>
                <w:color w:val="1C3A36"/>
                <w:sz w:val="16"/>
              </w:rPr>
              <w:t>g26 rev onshore</w:t>
            </w:r>
          </w:p>
        </w:tc>
        <w:tc>
          <w:tcPr>
            <w:tcW w:type="dxa" w:w="1296"/>
          </w:tcPr>
          <w:p>
            <w:pPr>
              <w:spacing w:after="20"/>
              <w:jc w:val="right"/>
            </w:pPr>
            <w:r>
              <w:rPr>
                <w:color w:val="1C3A36"/>
                <w:sz w:val="16"/>
              </w:rPr>
              <w:t>2,000,000.0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guidance — Onshore revenue of approximately $2 billion</w:t>
            </w:r>
          </w:p>
        </w:tc>
      </w:tr>
      <w:tr>
        <w:tc>
          <w:tcPr>
            <w:tcW w:type="dxa" w:w="2088"/>
          </w:tcPr>
          <w:p>
            <w:pPr>
              <w:spacing w:after="20"/>
            </w:pPr>
            <w:r>
              <w:rPr>
                <w:color w:val="1C3A36"/>
                <w:sz w:val="16"/>
              </w:rPr>
              <w:t>g26 revenue</w:t>
            </w:r>
          </w:p>
        </w:tc>
        <w:tc>
          <w:tcPr>
            <w:tcW w:type="dxa" w:w="1296"/>
          </w:tcPr>
          <w:p>
            <w:pPr>
              <w:spacing w:after="20"/>
              <w:jc w:val="right"/>
            </w:pPr>
            <w:r>
              <w:rPr>
                <w:color w:val="1C3A36"/>
                <w:sz w:val="16"/>
              </w:rPr>
              <w:t>5,000,000.0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full-year 2026 guidance — revenue of approximately $5 billion, reaffirmed at the 1H-2026 results</w:t>
            </w:r>
          </w:p>
        </w:tc>
      </w:tr>
      <w:tr>
        <w:tc>
          <w:tcPr>
            <w:tcW w:type="dxa" w:w="2088"/>
          </w:tcPr>
          <w:p>
            <w:pPr>
              <w:spacing w:after="20"/>
            </w:pPr>
            <w:r>
              <w:rPr>
                <w:color w:val="1C3A36"/>
                <w:sz w:val="16"/>
              </w:rPr>
              <w:t>g conv margin mt</w:t>
            </w:r>
          </w:p>
        </w:tc>
        <w:tc>
          <w:tcPr>
            <w:tcW w:type="dxa" w:w="1296"/>
          </w:tcPr>
          <w:p>
            <w:pPr>
              <w:spacing w:after="20"/>
              <w:jc w:val="right"/>
            </w:pPr>
            <w:r>
              <w:rPr>
                <w:color w:val="1C3A36"/>
                <w:sz w:val="16"/>
              </w:rPr>
              <w:t>0.5000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'management is focused on preserving a healthy EBITDA margin of circa 50% in the domestic conventional drilling business'</w:t>
            </w:r>
          </w:p>
        </w:tc>
      </w:tr>
      <w:tr>
        <w:tc>
          <w:tcPr>
            <w:tcW w:type="dxa" w:w="2088"/>
          </w:tcPr>
          <w:p>
            <w:pPr>
              <w:spacing w:after="20"/>
            </w:pPr>
            <w:r>
              <w:rPr>
                <w:color w:val="1C3A36"/>
                <w:sz w:val="16"/>
              </w:rPr>
              <w:t>g maint capex</w:t>
            </w:r>
          </w:p>
        </w:tc>
        <w:tc>
          <w:tcPr>
            <w:tcW w:type="dxa" w:w="1296"/>
          </w:tcPr>
          <w:p>
            <w:pPr>
              <w:spacing w:after="20"/>
              <w:jc w:val="right"/>
            </w:pPr>
            <w:r>
              <w:rPr>
                <w:color w:val="1C3A36"/>
                <w:sz w:val="16"/>
              </w:rPr>
              <w:t>250,000.0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'Maintenance CapEx is expected at around $250 million per annum'</w:t>
            </w:r>
          </w:p>
        </w:tc>
      </w:tr>
      <w:tr>
        <w:tc>
          <w:tcPr>
            <w:tcW w:type="dxa" w:w="2088"/>
          </w:tcPr>
          <w:p>
            <w:pPr>
              <w:spacing w:after="20"/>
            </w:pPr>
            <w:r>
              <w:rPr>
                <w:color w:val="1C3A36"/>
                <w:sz w:val="16"/>
              </w:rPr>
              <w:t>g ofs margin mt hi</w:t>
            </w:r>
          </w:p>
        </w:tc>
        <w:tc>
          <w:tcPr>
            <w:tcW w:type="dxa" w:w="1296"/>
          </w:tcPr>
          <w:p>
            <w:pPr>
              <w:spacing w:after="20"/>
              <w:jc w:val="right"/>
            </w:pPr>
            <w:r>
              <w:rPr>
                <w:color w:val="1C3A36"/>
                <w:sz w:val="16"/>
              </w:rPr>
              <w:t>0.2600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medium-term guidance — conventional Oilfield Services EBITDA margin of 23-26%</w:t>
            </w:r>
          </w:p>
        </w:tc>
      </w:tr>
      <w:tr>
        <w:tc>
          <w:tcPr>
            <w:tcW w:type="dxa" w:w="2088"/>
          </w:tcPr>
          <w:p>
            <w:pPr>
              <w:spacing w:after="20"/>
            </w:pPr>
            <w:r>
              <w:rPr>
                <w:color w:val="1C3A36"/>
                <w:sz w:val="16"/>
              </w:rPr>
              <w:t>g ofs margin mt lo</w:t>
            </w:r>
          </w:p>
        </w:tc>
        <w:tc>
          <w:tcPr>
            <w:tcW w:type="dxa" w:w="1296"/>
          </w:tcPr>
          <w:p>
            <w:pPr>
              <w:spacing w:after="20"/>
              <w:jc w:val="right"/>
            </w:pPr>
            <w:r>
              <w:rPr>
                <w:color w:val="1C3A36"/>
                <w:sz w:val="16"/>
              </w:rPr>
              <w:t>0.2300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medium-term guidance — conventional Oilfield Services EBITDA margin of 23-26%</w:t>
            </w:r>
          </w:p>
        </w:tc>
      </w:tr>
      <w:tr>
        <w:tc>
          <w:tcPr>
            <w:tcW w:type="dxa" w:w="2088"/>
          </w:tcPr>
          <w:p>
            <w:pPr>
              <w:spacing w:after="20"/>
            </w:pPr>
            <w:r>
              <w:rPr>
                <w:color w:val="1C3A36"/>
                <w:sz w:val="16"/>
              </w:rPr>
              <w:t>ids 2q26</w:t>
            </w:r>
          </w:p>
        </w:tc>
        <w:tc>
          <w:tcPr>
            <w:tcW w:type="dxa" w:w="1296"/>
          </w:tcPr>
          <w:p>
            <w:pPr>
              <w:spacing w:after="20"/>
              <w:jc w:val="right"/>
            </w:pPr>
            <w:r>
              <w:rPr>
                <w:color w:val="1C3A36"/>
                <w:sz w:val="16"/>
              </w:rPr>
              <w:t>61.000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management discussion and analysis — integrated-drilling-services rigs at 30 June 2026</w:t>
            </w:r>
          </w:p>
        </w:tc>
      </w:tr>
      <w:tr>
        <w:tc>
          <w:tcPr>
            <w:tcW w:type="dxa" w:w="2088"/>
          </w:tcPr>
          <w:p>
            <w:pPr>
              <w:spacing w:after="20"/>
            </w:pPr>
            <w:r>
              <w:rPr>
                <w:color w:val="1C3A36"/>
                <w:sz w:val="16"/>
              </w:rPr>
              <w:t>ids fy22</w:t>
            </w:r>
          </w:p>
        </w:tc>
        <w:tc>
          <w:tcPr>
            <w:tcW w:type="dxa" w:w="1296"/>
          </w:tcPr>
          <w:p>
            <w:pPr>
              <w:spacing w:after="20"/>
              <w:jc w:val="right"/>
            </w:pPr>
            <w:r>
              <w:rPr>
                <w:color w:val="1C3A36"/>
                <w:sz w:val="16"/>
              </w:rPr>
              <w:t>40.000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operational highlights, FY2022 comparative column — integrated-drilling-services rigs at year end</w:t>
            </w:r>
          </w:p>
        </w:tc>
      </w:tr>
      <w:tr>
        <w:tc>
          <w:tcPr>
            <w:tcW w:type="dxa" w:w="2088"/>
          </w:tcPr>
          <w:p>
            <w:pPr>
              <w:spacing w:after="20"/>
            </w:pPr>
            <w:r>
              <w:rPr>
                <w:color w:val="1C3A36"/>
                <w:sz w:val="16"/>
              </w:rPr>
              <w:t>ids fy23</w:t>
            </w:r>
          </w:p>
        </w:tc>
        <w:tc>
          <w:tcPr>
            <w:tcW w:type="dxa" w:w="1296"/>
          </w:tcPr>
          <w:p>
            <w:pPr>
              <w:spacing w:after="20"/>
              <w:jc w:val="right"/>
            </w:pPr>
            <w:r>
              <w:rPr>
                <w:color w:val="1C3A36"/>
                <w:sz w:val="16"/>
              </w:rPr>
              <w:t>48.000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 integrated-drilling-services rigs at year end (2022: 40)</w:t>
            </w:r>
          </w:p>
        </w:tc>
      </w:tr>
      <w:tr>
        <w:tc>
          <w:tcPr>
            <w:tcW w:type="dxa" w:w="2088"/>
          </w:tcPr>
          <w:p>
            <w:pPr>
              <w:spacing w:after="20"/>
            </w:pPr>
            <w:r>
              <w:rPr>
                <w:color w:val="1C3A36"/>
                <w:sz w:val="16"/>
              </w:rPr>
              <w:t>ids fy24</w:t>
            </w:r>
          </w:p>
        </w:tc>
        <w:tc>
          <w:tcPr>
            <w:tcW w:type="dxa" w:w="1296"/>
          </w:tcPr>
          <w:p>
            <w:pPr>
              <w:spacing w:after="20"/>
              <w:jc w:val="right"/>
            </w:pPr>
            <w:r>
              <w:rPr>
                <w:color w:val="1C3A36"/>
                <w:sz w:val="16"/>
              </w:rPr>
              <w:t>57.000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 integrated-drilling-services rigs at year end</w:t>
            </w:r>
          </w:p>
        </w:tc>
      </w:tr>
      <w:tr>
        <w:tc>
          <w:tcPr>
            <w:tcW w:type="dxa" w:w="2088"/>
          </w:tcPr>
          <w:p>
            <w:pPr>
              <w:spacing w:after="20"/>
            </w:pPr>
            <w:r>
              <w:rPr>
                <w:color w:val="1C3A36"/>
                <w:sz w:val="16"/>
              </w:rPr>
              <w:t>ids fy25</w:t>
            </w:r>
          </w:p>
        </w:tc>
        <w:tc>
          <w:tcPr>
            <w:tcW w:type="dxa" w:w="1296"/>
          </w:tcPr>
          <w:p>
            <w:pPr>
              <w:spacing w:after="20"/>
              <w:jc w:val="right"/>
            </w:pPr>
            <w:r>
              <w:rPr>
                <w:color w:val="1C3A36"/>
                <w:sz w:val="16"/>
              </w:rPr>
              <w:t>60.000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 integrated-drilling-services rigs at year end</w:t>
            </w:r>
          </w:p>
        </w:tc>
      </w:tr>
      <w:tr>
        <w:tc>
          <w:tcPr>
            <w:tcW w:type="dxa" w:w="2088"/>
          </w:tcPr>
          <w:p>
            <w:pPr>
              <w:spacing w:after="20"/>
            </w:pPr>
            <w:r>
              <w:rPr>
                <w:color w:val="1C3A36"/>
                <w:sz w:val="16"/>
              </w:rPr>
              <w:t>ids target fy26</w:t>
            </w:r>
          </w:p>
        </w:tc>
        <w:tc>
          <w:tcPr>
            <w:tcW w:type="dxa" w:w="1296"/>
          </w:tcPr>
          <w:p>
            <w:pPr>
              <w:spacing w:after="20"/>
              <w:jc w:val="right"/>
            </w:pPr>
            <w:r>
              <w:rPr>
                <w:color w:val="1C3A36"/>
                <w:sz w:val="16"/>
              </w:rPr>
              <w:t>70.000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earnings press release: 'ADNOC Drilling targets to deploy approximately 70 IDS rigs by the end of 2026'</w:t>
            </w:r>
          </w:p>
        </w:tc>
      </w:tr>
      <w:tr>
        <w:tc>
          <w:tcPr>
            <w:tcW w:type="dxa" w:w="2088"/>
          </w:tcPr>
          <w:p>
            <w:pPr>
              <w:spacing w:after="20"/>
            </w:pPr>
            <w:r>
              <w:rPr>
                <w:color w:val="1C3A36"/>
                <w:sz w:val="16"/>
              </w:rPr>
              <w:t>island rigs ordered</w:t>
            </w:r>
          </w:p>
        </w:tc>
        <w:tc>
          <w:tcPr>
            <w:tcW w:type="dxa" w:w="1296"/>
          </w:tcPr>
          <w:p>
            <w:pPr>
              <w:spacing w:after="20"/>
              <w:jc w:val="right"/>
            </w:pPr>
            <w:r>
              <w:rPr>
                <w:color w:val="1C3A36"/>
                <w:sz w:val="16"/>
              </w:rPr>
              <w:t>6.000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'the Company has ordered an additional six new island rigs that are expected to join the fleet gradually between 2026 and 2028'</w:t>
            </w:r>
          </w:p>
        </w:tc>
      </w:tr>
      <w:tr>
        <w:tc>
          <w:tcPr>
            <w:tcW w:type="dxa" w:w="2088"/>
          </w:tcPr>
          <w:p>
            <w:pPr>
              <w:spacing w:after="20"/>
            </w:pPr>
            <w:r>
              <w:rPr>
                <w:color w:val="1C3A36"/>
                <w:sz w:val="16"/>
              </w:rPr>
              <w:t>rigs island 2q26</w:t>
            </w:r>
          </w:p>
        </w:tc>
        <w:tc>
          <w:tcPr>
            <w:tcW w:type="dxa" w:w="1296"/>
          </w:tcPr>
          <w:p>
            <w:pPr>
              <w:spacing w:after="20"/>
              <w:jc w:val="right"/>
            </w:pPr>
            <w:r>
              <w:rPr>
                <w:color w:val="1C3A36"/>
                <w:sz w:val="16"/>
              </w:rPr>
              <w:t>13.000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1H-2026 management discussion and analysis: 'One additional AI-enabled Island rig entered the domestic fleet during the second quarter, ahead of schedule' — 12 at 31 December 2025 plus one</w:t>
            </w:r>
          </w:p>
        </w:tc>
      </w:tr>
      <w:tr>
        <w:tc>
          <w:tcPr>
            <w:tcW w:type="dxa" w:w="2088"/>
          </w:tcPr>
          <w:p>
            <w:pPr>
              <w:spacing w:after="20"/>
            </w:pPr>
            <w:r>
              <w:rPr>
                <w:color w:val="1C3A36"/>
                <w:sz w:val="16"/>
              </w:rPr>
              <w:t>rigs island fy22</w:t>
            </w:r>
          </w:p>
        </w:tc>
        <w:tc>
          <w:tcPr>
            <w:tcW w:type="dxa" w:w="1296"/>
          </w:tcPr>
          <w:p>
            <w:pPr>
              <w:spacing w:after="20"/>
              <w:jc w:val="right"/>
            </w:pPr>
            <w:r>
              <w:rPr>
                <w:color w:val="1C3A36"/>
                <w:sz w:val="16"/>
              </w:rPr>
              <w:t>10.000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FY22 comparative — offshore island rigs</w:t>
            </w:r>
          </w:p>
        </w:tc>
      </w:tr>
      <w:tr>
        <w:tc>
          <w:tcPr>
            <w:tcW w:type="dxa" w:w="2088"/>
          </w:tcPr>
          <w:p>
            <w:pPr>
              <w:spacing w:after="20"/>
            </w:pPr>
            <w:r>
              <w:rPr>
                <w:color w:val="1C3A36"/>
                <w:sz w:val="16"/>
              </w:rPr>
              <w:t>rigs island fy23</w:t>
            </w:r>
          </w:p>
        </w:tc>
        <w:tc>
          <w:tcPr>
            <w:tcW w:type="dxa" w:w="1296"/>
          </w:tcPr>
          <w:p>
            <w:pPr>
              <w:spacing w:after="20"/>
              <w:jc w:val="right"/>
            </w:pPr>
            <w:r>
              <w:rPr>
                <w:color w:val="1C3A36"/>
                <w:sz w:val="16"/>
              </w:rPr>
              <w:t>10.000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 offshore island rigs at year end</w:t>
            </w:r>
          </w:p>
        </w:tc>
      </w:tr>
      <w:tr>
        <w:tc>
          <w:tcPr>
            <w:tcW w:type="dxa" w:w="2088"/>
          </w:tcPr>
          <w:p>
            <w:pPr>
              <w:spacing w:after="20"/>
            </w:pPr>
            <w:r>
              <w:rPr>
                <w:color w:val="1C3A36"/>
                <w:sz w:val="16"/>
              </w:rPr>
              <w:t>rigs island fy24</w:t>
            </w:r>
          </w:p>
        </w:tc>
        <w:tc>
          <w:tcPr>
            <w:tcW w:type="dxa" w:w="1296"/>
          </w:tcPr>
          <w:p>
            <w:pPr>
              <w:spacing w:after="20"/>
              <w:jc w:val="right"/>
            </w:pPr>
            <w:r>
              <w:rPr>
                <w:color w:val="1C3A36"/>
                <w:sz w:val="16"/>
              </w:rPr>
              <w:t>10.000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 offshore island rigs at year end</w:t>
            </w:r>
          </w:p>
        </w:tc>
      </w:tr>
      <w:tr>
        <w:tc>
          <w:tcPr>
            <w:tcW w:type="dxa" w:w="2088"/>
          </w:tcPr>
          <w:p>
            <w:pPr>
              <w:spacing w:after="20"/>
            </w:pPr>
            <w:r>
              <w:rPr>
                <w:color w:val="1C3A36"/>
                <w:sz w:val="16"/>
              </w:rPr>
              <w:t>rigs island fy25</w:t>
            </w:r>
          </w:p>
        </w:tc>
        <w:tc>
          <w:tcPr>
            <w:tcW w:type="dxa" w:w="1296"/>
          </w:tcPr>
          <w:p>
            <w:pPr>
              <w:spacing w:after="20"/>
              <w:jc w:val="right"/>
            </w:pPr>
            <w:r>
              <w:rPr>
                <w:color w:val="1C3A36"/>
                <w:sz w:val="16"/>
              </w:rPr>
              <w:t>12.000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 offshore island rigs at year end</w:t>
            </w:r>
          </w:p>
        </w:tc>
      </w:tr>
      <w:tr>
        <w:tc>
          <w:tcPr>
            <w:tcW w:type="dxa" w:w="2088"/>
          </w:tcPr>
          <w:p>
            <w:pPr>
              <w:spacing w:after="20"/>
            </w:pPr>
            <w:r>
              <w:rPr>
                <w:color w:val="1C3A36"/>
                <w:sz w:val="16"/>
              </w:rPr>
              <w:t>rigs jackup fy22</w:t>
            </w:r>
          </w:p>
        </w:tc>
        <w:tc>
          <w:tcPr>
            <w:tcW w:type="dxa" w:w="1296"/>
          </w:tcPr>
          <w:p>
            <w:pPr>
              <w:spacing w:after="20"/>
              <w:jc w:val="right"/>
            </w:pPr>
            <w:r>
              <w:rPr>
                <w:color w:val="1C3A36"/>
                <w:sz w:val="16"/>
              </w:rPr>
              <w:t>31.000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FY22 comparative — offshore jack-up rigs</w:t>
            </w:r>
          </w:p>
        </w:tc>
      </w:tr>
      <w:tr>
        <w:tc>
          <w:tcPr>
            <w:tcW w:type="dxa" w:w="2088"/>
          </w:tcPr>
          <w:p>
            <w:pPr>
              <w:spacing w:after="20"/>
            </w:pPr>
            <w:r>
              <w:rPr>
                <w:color w:val="1C3A36"/>
                <w:sz w:val="16"/>
              </w:rPr>
              <w:t>rigs jackup fy23</w:t>
            </w:r>
          </w:p>
        </w:tc>
        <w:tc>
          <w:tcPr>
            <w:tcW w:type="dxa" w:w="1296"/>
          </w:tcPr>
          <w:p>
            <w:pPr>
              <w:spacing w:after="20"/>
              <w:jc w:val="right"/>
            </w:pPr>
            <w:r>
              <w:rPr>
                <w:color w:val="1C3A36"/>
                <w:sz w:val="16"/>
              </w:rPr>
              <w:t>35.000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 offshore jack-up rigs at year end</w:t>
            </w:r>
          </w:p>
        </w:tc>
      </w:tr>
      <w:tr>
        <w:tc>
          <w:tcPr>
            <w:tcW w:type="dxa" w:w="2088"/>
          </w:tcPr>
          <w:p>
            <w:pPr>
              <w:spacing w:after="20"/>
            </w:pPr>
            <w:r>
              <w:rPr>
                <w:color w:val="1C3A36"/>
                <w:sz w:val="16"/>
              </w:rPr>
              <w:t>rigs jackup fy24</w:t>
            </w:r>
          </w:p>
        </w:tc>
        <w:tc>
          <w:tcPr>
            <w:tcW w:type="dxa" w:w="1296"/>
          </w:tcPr>
          <w:p>
            <w:pPr>
              <w:spacing w:after="20"/>
              <w:jc w:val="right"/>
            </w:pPr>
            <w:r>
              <w:rPr>
                <w:color w:val="1C3A36"/>
                <w:sz w:val="16"/>
              </w:rPr>
              <w:t>37.000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 offshore jack-up rigs at year end</w:t>
            </w:r>
          </w:p>
        </w:tc>
      </w:tr>
      <w:tr>
        <w:tc>
          <w:tcPr>
            <w:tcW w:type="dxa" w:w="2088"/>
          </w:tcPr>
          <w:p>
            <w:pPr>
              <w:spacing w:after="20"/>
            </w:pPr>
            <w:r>
              <w:rPr>
                <w:color w:val="1C3A36"/>
                <w:sz w:val="16"/>
              </w:rPr>
              <w:t>rigs jackup fy25</w:t>
            </w:r>
          </w:p>
        </w:tc>
        <w:tc>
          <w:tcPr>
            <w:tcW w:type="dxa" w:w="1296"/>
          </w:tcPr>
          <w:p>
            <w:pPr>
              <w:spacing w:after="20"/>
              <w:jc w:val="right"/>
            </w:pPr>
            <w:r>
              <w:rPr>
                <w:color w:val="1C3A36"/>
                <w:sz w:val="16"/>
              </w:rPr>
              <w:t>36.000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 offshore jack-up rigs at year end</w:t>
            </w:r>
          </w:p>
        </w:tc>
      </w:tr>
      <w:tr>
        <w:tc>
          <w:tcPr>
            <w:tcW w:type="dxa" w:w="2088"/>
          </w:tcPr>
          <w:p>
            <w:pPr>
              <w:spacing w:after="20"/>
            </w:pPr>
            <w:r>
              <w:rPr>
                <w:color w:val="1C3A36"/>
                <w:sz w:val="16"/>
              </w:rPr>
              <w:t>rigs onshore fy22</w:t>
            </w:r>
          </w:p>
        </w:tc>
        <w:tc>
          <w:tcPr>
            <w:tcW w:type="dxa" w:w="1296"/>
          </w:tcPr>
          <w:p>
            <w:pPr>
              <w:spacing w:after="20"/>
              <w:jc w:val="right"/>
            </w:pPr>
            <w:r>
              <w:rPr>
                <w:color w:val="1C3A36"/>
                <w:sz w:val="16"/>
              </w:rPr>
              <w:t>74.000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operational highlights, FY22 comparative column — onshore rigs at year end</w:t>
            </w:r>
          </w:p>
        </w:tc>
      </w:tr>
      <w:tr>
        <w:tc>
          <w:tcPr>
            <w:tcW w:type="dxa" w:w="2088"/>
          </w:tcPr>
          <w:p>
            <w:pPr>
              <w:spacing w:after="20"/>
            </w:pPr>
            <w:r>
              <w:rPr>
                <w:color w:val="1C3A36"/>
                <w:sz w:val="16"/>
              </w:rPr>
              <w:t>rigs onshore fy23</w:t>
            </w:r>
          </w:p>
        </w:tc>
        <w:tc>
          <w:tcPr>
            <w:tcW w:type="dxa" w:w="1296"/>
          </w:tcPr>
          <w:p>
            <w:pPr>
              <w:spacing w:after="20"/>
              <w:jc w:val="right"/>
            </w:pPr>
            <w:r>
              <w:rPr>
                <w:color w:val="1C3A36"/>
                <w:sz w:val="16"/>
              </w:rPr>
              <w:t>84.000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operational highlights — onshore rigs at year end (includes 4 lease-to-own land rigs)</w:t>
            </w:r>
          </w:p>
        </w:tc>
      </w:tr>
      <w:tr>
        <w:tc>
          <w:tcPr>
            <w:tcW w:type="dxa" w:w="2088"/>
          </w:tcPr>
          <w:p>
            <w:pPr>
              <w:spacing w:after="20"/>
            </w:pPr>
            <w:r>
              <w:rPr>
                <w:color w:val="1C3A36"/>
                <w:sz w:val="16"/>
              </w:rPr>
              <w:t>rigs onshore fy24</w:t>
            </w:r>
          </w:p>
        </w:tc>
        <w:tc>
          <w:tcPr>
            <w:tcW w:type="dxa" w:w="1296"/>
          </w:tcPr>
          <w:p>
            <w:pPr>
              <w:spacing w:after="20"/>
              <w:jc w:val="right"/>
            </w:pPr>
            <w:r>
              <w:rPr>
                <w:color w:val="1C3A36"/>
                <w:sz w:val="16"/>
              </w:rPr>
              <w:t>95.000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operational highlights — onshore rigs at year end</w:t>
            </w:r>
          </w:p>
        </w:tc>
      </w:tr>
      <w:tr>
        <w:tc>
          <w:tcPr>
            <w:tcW w:type="dxa" w:w="2088"/>
          </w:tcPr>
          <w:p>
            <w:pPr>
              <w:spacing w:after="20"/>
            </w:pPr>
            <w:r>
              <w:rPr>
                <w:color w:val="1C3A36"/>
                <w:sz w:val="16"/>
              </w:rPr>
              <w:t>rigs onshore fy25</w:t>
            </w:r>
          </w:p>
        </w:tc>
        <w:tc>
          <w:tcPr>
            <w:tcW w:type="dxa" w:w="1296"/>
          </w:tcPr>
          <w:p>
            <w:pPr>
              <w:spacing w:after="20"/>
              <w:jc w:val="right"/>
            </w:pPr>
            <w:r>
              <w:rPr>
                <w:color w:val="1C3A36"/>
                <w:sz w:val="16"/>
              </w:rPr>
              <w:t>92.000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operational highlights — Abu Dhabi onshore rigs at year end</w:t>
            </w:r>
          </w:p>
        </w:tc>
      </w:tr>
      <w:tr>
        <w:tc>
          <w:tcPr>
            <w:tcW w:type="dxa" w:w="2088"/>
          </w:tcPr>
          <w:p>
            <w:pPr>
              <w:spacing w:after="20"/>
            </w:pPr>
            <w:r>
              <w:rPr>
                <w:color w:val="1C3A36"/>
                <w:sz w:val="16"/>
              </w:rPr>
              <w:t>rigs regional 2q26</w:t>
            </w:r>
          </w:p>
        </w:tc>
        <w:tc>
          <w:tcPr>
            <w:tcW w:type="dxa" w:w="1296"/>
          </w:tcPr>
          <w:p>
            <w:pPr>
              <w:spacing w:after="20"/>
              <w:jc w:val="right"/>
            </w:pPr>
            <w:r>
              <w:rPr>
                <w:color w:val="1C3A36"/>
                <w:sz w:val="16"/>
              </w:rPr>
              <w:t>30.000</w:t>
            </w:r>
          </w:p>
        </w:tc>
        <w:tc>
          <w:tcPr>
            <w:tcW w:type="dxa" w:w="1224"/>
          </w:tcPr>
          <w:p>
            <w:pPr>
              <w:spacing w:after="20"/>
              <w:jc w:val="right"/>
            </w:pPr>
            <w:r>
              <w:rPr>
                <w:color w:val="1C3A36"/>
                <w:sz w:val="16"/>
              </w:rPr>
              <w:t>2026-06-30</w:t>
            </w:r>
          </w:p>
        </w:tc>
        <w:tc>
          <w:tcPr>
            <w:tcW w:type="dxa" w:w="5472"/>
          </w:tcPr>
          <w:p>
            <w:pPr>
              <w:spacing w:after="20"/>
              <w:jc w:val="right"/>
            </w:pPr>
            <w:r>
              <w:rPr>
                <w:color w:val="1C3A36"/>
                <w:sz w:val="16"/>
              </w:rPr>
              <w:t>1H-2026 management discussion and analysis: 30 regional rigs outside the UAE at 30 June 2026 — 8 in Oman and Kuwait from the 70%-owned SLDC joint venture with SLB (completed January 2026) and 22 from the 80% stake in MBPS</w:t>
            </w:r>
          </w:p>
        </w:tc>
      </w:tr>
      <w:tr>
        <w:tc>
          <w:tcPr>
            <w:tcW w:type="dxa" w:w="2088"/>
          </w:tcPr>
          <w:p>
            <w:pPr>
              <w:spacing w:after="20"/>
            </w:pPr>
            <w:r>
              <w:rPr>
                <w:color w:val="1C3A36"/>
                <w:sz w:val="16"/>
              </w:rPr>
              <w:t>unconv 1h26</w:t>
            </w:r>
          </w:p>
        </w:tc>
        <w:tc>
          <w:tcPr>
            <w:tcW w:type="dxa" w:w="1296"/>
          </w:tcPr>
          <w:p>
            <w:pPr>
              <w:spacing w:after="20"/>
              <w:jc w:val="right"/>
            </w:pPr>
            <w:r>
              <w:rPr>
                <w:color w:val="1C3A36"/>
                <w:sz w:val="16"/>
              </w:rPr>
              <w:t>206,000.0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1Q-2026 MD&amp;A ($131 million) plus 1H-2026 management discussion and analysis ($75 million in 2Q26, split $60 million Oilfield Services and $15 million Onshore)</w:t>
            </w:r>
          </w:p>
        </w:tc>
      </w:tr>
      <w:tr>
        <w:tc>
          <w:tcPr>
            <w:tcW w:type="dxa" w:w="2088"/>
          </w:tcPr>
          <w:p>
            <w:pPr>
              <w:spacing w:after="20"/>
            </w:pPr>
            <w:r>
              <w:rPr>
                <w:color w:val="1C3A36"/>
                <w:sz w:val="16"/>
              </w:rPr>
              <w:t>unconv fy24</w:t>
            </w:r>
          </w:p>
        </w:tc>
        <w:tc>
          <w:tcPr>
            <w:tcW w:type="dxa" w:w="1296"/>
          </w:tcPr>
          <w:p>
            <w:pPr>
              <w:spacing w:after="20"/>
              <w:jc w:val="right"/>
            </w:pPr>
            <w:r>
              <w:rPr>
                <w:color w:val="1C3A36"/>
                <w:sz w:val="16"/>
              </w:rPr>
              <w:t>117,000.0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 unconventional business revenue contribution</w:t>
            </w:r>
          </w:p>
        </w:tc>
      </w:tr>
      <w:tr>
        <w:tc>
          <w:tcPr>
            <w:tcW w:type="dxa" w:w="2088"/>
          </w:tcPr>
          <w:p>
            <w:pPr>
              <w:spacing w:after="20"/>
            </w:pPr>
            <w:r>
              <w:rPr>
                <w:color w:val="1C3A36"/>
                <w:sz w:val="16"/>
              </w:rPr>
              <w:t>unconv fy25</w:t>
            </w:r>
          </w:p>
        </w:tc>
        <w:tc>
          <w:tcPr>
            <w:tcW w:type="dxa" w:w="1296"/>
          </w:tcPr>
          <w:p>
            <w:pPr>
              <w:spacing w:after="20"/>
              <w:jc w:val="right"/>
            </w:pPr>
            <w:r>
              <w:rPr>
                <w:color w:val="1C3A36"/>
                <w:sz w:val="16"/>
              </w:rPr>
              <w:t>692,000.0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unconventional revenue of $692 million in full year 2025, split $534 million in Oilfield Services and $158 million in Onshore land drilling</w:t>
            </w:r>
          </w:p>
        </w:tc>
      </w:tr>
      <w:tr>
        <w:tc>
          <w:tcPr>
            <w:tcW w:type="dxa" w:w="2088"/>
          </w:tcPr>
          <w:p>
            <w:pPr>
              <w:spacing w:after="20"/>
            </w:pPr>
            <w:r>
              <w:rPr>
                <w:color w:val="1C3A36"/>
                <w:sz w:val="16"/>
              </w:rPr>
              <w:t>unconv ofs fy24</w:t>
            </w:r>
          </w:p>
        </w:tc>
        <w:tc>
          <w:tcPr>
            <w:tcW w:type="dxa" w:w="1296"/>
          </w:tcPr>
          <w:p>
            <w:pPr>
              <w:spacing w:after="20"/>
              <w:jc w:val="right"/>
            </w:pPr>
            <w:r>
              <w:rPr>
                <w:color w:val="1C3A36"/>
                <w:sz w:val="16"/>
              </w:rPr>
              <w:t>95,000.0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Oilfield Services commentary, prior-year comparative — the unconventional contribution inside Oilfield Services was $95 million in 2024</w:t>
            </w:r>
          </w:p>
        </w:tc>
      </w:tr>
      <w:tr>
        <w:tc>
          <w:tcPr>
            <w:tcW w:type="dxa" w:w="2088"/>
          </w:tcPr>
          <w:p>
            <w:pPr>
              <w:spacing w:after="20"/>
            </w:pPr>
            <w:r>
              <w:rPr>
                <w:color w:val="1C3A36"/>
                <w:sz w:val="16"/>
              </w:rPr>
              <w:t>unconv ofs fy25</w:t>
            </w:r>
          </w:p>
        </w:tc>
        <w:tc>
          <w:tcPr>
            <w:tcW w:type="dxa" w:w="1296"/>
          </w:tcPr>
          <w:p>
            <w:pPr>
              <w:spacing w:after="20"/>
              <w:jc w:val="right"/>
            </w:pPr>
            <w:r>
              <w:rPr>
                <w:color w:val="1C3A36"/>
                <w:sz w:val="16"/>
              </w:rPr>
              <w:t>534,000.0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Oilfield Services commentary — unconventional contribution rose from $95 million in 2024 to $534 million in 2025</w:t>
            </w:r>
          </w:p>
        </w:tc>
      </w:tr>
      <w:tr>
        <w:tc>
          <w:tcPr>
            <w:tcW w:type="dxa" w:w="2088"/>
          </w:tcPr>
          <w:p>
            <w:pPr>
              <w:spacing w:after="20"/>
            </w:pPr>
            <w:r>
              <w:rPr>
                <w:color w:val="1C3A36"/>
                <w:sz w:val="16"/>
              </w:rPr>
              <w:t>unconv remaining 2025</w:t>
            </w:r>
          </w:p>
        </w:tc>
        <w:tc>
          <w:tcPr>
            <w:tcW w:type="dxa" w:w="1296"/>
          </w:tcPr>
          <w:p>
            <w:pPr>
              <w:spacing w:after="20"/>
              <w:jc w:val="right"/>
            </w:pPr>
            <w:r>
              <w:rPr>
                <w:color w:val="1C3A36"/>
                <w:sz w:val="16"/>
              </w:rPr>
              <w:t>860,000.0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'The remaining $0.86 billion contract value for unconventional ($1.7 billion total contract value less...)'</w:t>
            </w:r>
          </w:p>
        </w:tc>
      </w:tr>
      <w:tr>
        <w:tc>
          <w:tcPr>
            <w:tcW w:type="dxa" w:w="2088"/>
          </w:tcPr>
          <w:p>
            <w:pPr>
              <w:spacing w:after="20"/>
            </w:pPr>
            <w:r>
              <w:rPr>
                <w:color w:val="1C3A36"/>
                <w:sz w:val="16"/>
              </w:rPr>
              <w:t>wells fy23</w:t>
            </w:r>
          </w:p>
        </w:tc>
        <w:tc>
          <w:tcPr>
            <w:tcW w:type="dxa" w:w="1296"/>
          </w:tcPr>
          <w:p>
            <w:pPr>
              <w:spacing w:after="20"/>
              <w:jc w:val="right"/>
            </w:pPr>
            <w:r>
              <w:rPr>
                <w:color w:val="1C3A36"/>
                <w:sz w:val="16"/>
              </w:rPr>
              <w:t>613.000</w:t>
            </w:r>
          </w:p>
        </w:tc>
        <w:tc>
          <w:tcPr>
            <w:tcW w:type="dxa" w:w="1224"/>
          </w:tcPr>
          <w:p>
            <w:pPr>
              <w:spacing w:after="20"/>
              <w:jc w:val="right"/>
            </w:pPr>
            <w:r>
              <w:rPr>
                <w:color w:val="1C3A36"/>
                <w:sz w:val="16"/>
              </w:rPr>
              <w:t>2024-02-12</w:t>
            </w:r>
          </w:p>
        </w:tc>
        <w:tc>
          <w:tcPr>
            <w:tcW w:type="dxa" w:w="5472"/>
          </w:tcPr>
          <w:p>
            <w:pPr>
              <w:spacing w:after="20"/>
              <w:jc w:val="right"/>
            </w:pPr>
            <w:r>
              <w:rPr>
                <w:color w:val="1C3A36"/>
                <w:sz w:val="16"/>
              </w:rPr>
              <w:t>FY2023 MD&amp;A — wells drilled</w:t>
            </w:r>
          </w:p>
        </w:tc>
      </w:tr>
      <w:tr>
        <w:tc>
          <w:tcPr>
            <w:tcW w:type="dxa" w:w="2088"/>
          </w:tcPr>
          <w:p>
            <w:pPr>
              <w:spacing w:after="20"/>
            </w:pPr>
            <w:r>
              <w:rPr>
                <w:color w:val="1C3A36"/>
                <w:sz w:val="16"/>
              </w:rPr>
              <w:t>wells fy24</w:t>
            </w:r>
          </w:p>
        </w:tc>
        <w:tc>
          <w:tcPr>
            <w:tcW w:type="dxa" w:w="1296"/>
          </w:tcPr>
          <w:p>
            <w:pPr>
              <w:spacing w:after="20"/>
              <w:jc w:val="right"/>
            </w:pPr>
            <w:r>
              <w:rPr>
                <w:color w:val="1C3A36"/>
                <w:sz w:val="16"/>
              </w:rPr>
              <w:t>676.000</w:t>
            </w:r>
          </w:p>
        </w:tc>
        <w:tc>
          <w:tcPr>
            <w:tcW w:type="dxa" w:w="1224"/>
          </w:tcPr>
          <w:p>
            <w:pPr>
              <w:spacing w:after="20"/>
              <w:jc w:val="right"/>
            </w:pPr>
            <w:r>
              <w:rPr>
                <w:color w:val="1C3A36"/>
                <w:sz w:val="16"/>
              </w:rPr>
              <w:t>2025-02-11</w:t>
            </w:r>
          </w:p>
        </w:tc>
        <w:tc>
          <w:tcPr>
            <w:tcW w:type="dxa" w:w="5472"/>
          </w:tcPr>
          <w:p>
            <w:pPr>
              <w:spacing w:after="20"/>
              <w:jc w:val="right"/>
            </w:pPr>
            <w:r>
              <w:rPr>
                <w:color w:val="1C3A36"/>
                <w:sz w:val="16"/>
              </w:rPr>
              <w:t>FY2024 MD&amp;A — wells drilled</w:t>
            </w:r>
          </w:p>
        </w:tc>
      </w:tr>
      <w:tr>
        <w:tc>
          <w:tcPr>
            <w:tcW w:type="dxa" w:w="2088"/>
          </w:tcPr>
          <w:p>
            <w:pPr>
              <w:spacing w:after="20"/>
            </w:pPr>
            <w:r>
              <w:rPr>
                <w:color w:val="1C3A36"/>
                <w:sz w:val="16"/>
              </w:rPr>
              <w:t>wells fy25</w:t>
            </w:r>
          </w:p>
        </w:tc>
        <w:tc>
          <w:tcPr>
            <w:tcW w:type="dxa" w:w="1296"/>
          </w:tcPr>
          <w:p>
            <w:pPr>
              <w:spacing w:after="20"/>
              <w:jc w:val="right"/>
            </w:pPr>
            <w:r>
              <w:rPr>
                <w:color w:val="1C3A36"/>
                <w:sz w:val="16"/>
              </w:rPr>
              <w:t>836.000</w:t>
            </w:r>
          </w:p>
        </w:tc>
        <w:tc>
          <w:tcPr>
            <w:tcW w:type="dxa" w:w="1224"/>
          </w:tcPr>
          <w:p>
            <w:pPr>
              <w:spacing w:after="20"/>
              <w:jc w:val="right"/>
            </w:pPr>
            <w:r>
              <w:rPr>
                <w:color w:val="1C3A36"/>
                <w:sz w:val="16"/>
              </w:rPr>
              <w:t>2026-02-11</w:t>
            </w:r>
          </w:p>
        </w:tc>
        <w:tc>
          <w:tcPr>
            <w:tcW w:type="dxa" w:w="5472"/>
          </w:tcPr>
          <w:p>
            <w:pPr>
              <w:spacing w:after="20"/>
              <w:jc w:val="right"/>
            </w:pPr>
            <w:r>
              <w:rPr>
                <w:color w:val="1C3A36"/>
                <w:sz w:val="16"/>
              </w:rPr>
              <w:t>FY2025 management discussion and analysis — wells drilled</w:t>
            </w:r>
          </w:p>
        </w:tc>
      </w:tr>
    </w:tbl>
    <w:p>
      <w:pPr>
        <w:spacing w:after="40"/>
      </w:pPr>
    </w:p>
    <w:p>
      <w:pPr>
        <w:spacing w:after="80" w:before="200"/>
      </w:pPr>
      <w:r>
        <w:rPr>
          <w:b/>
          <w:i w:val="0"/>
          <w:color w:val="1C3A36"/>
          <w:sz w:val="24"/>
        </w:rPr>
        <w:t>Industry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esc dayrate</w:t>
            </w:r>
          </w:p>
        </w:tc>
        <w:tc>
          <w:tcPr>
            <w:tcW w:type="dxa" w:w="1296"/>
          </w:tcPr>
          <w:p>
            <w:pPr>
              <w:spacing w:after="20"/>
              <w:jc w:val="right"/>
            </w:pPr>
            <w:r>
              <w:rPr>
                <w:color w:val="1C3A36"/>
                <w:sz w:val="16"/>
              </w:rPr>
              <w:t>0.0150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Contract day-rate escalator applied to the conventional revenue-per-rig price line. The customer is a single national oil company on multi-year contracts, so realised day rates track a negotiated escalation rather than a spot market. Realised Abu Dhabi onshore revenue per average deployed rig moved from $18.9 million in FY2023 to $20.9 million in FY2024 to $20.1 million in FY2025 (this model's own unit arithmetic on disclosed segment revenue and disclosed rig counts) — a three-year path that is up but not monotone. 1.5% is set at domestic inflation rather than extrapolating the FY2024 step</w:t>
            </w:r>
          </w:p>
        </w:tc>
      </w:tr>
      <w:tr>
        <w:tc>
          <w:tcPr>
            <w:tcW w:type="dxa" w:w="2088"/>
          </w:tcPr>
          <w:p>
            <w:pPr>
              <w:spacing w:after="20"/>
            </w:pPr>
            <w:r>
              <w:rPr>
                <w:color w:val="1C3A36"/>
                <w:sz w:val="16"/>
              </w:rPr>
              <w:t>esc oilfield</w:t>
            </w:r>
          </w:p>
        </w:tc>
        <w:tc>
          <w:tcPr>
            <w:tcW w:type="dxa" w:w="1296"/>
          </w:tcPr>
          <w:p>
            <w:pPr>
              <w:spacing w:after="20"/>
              <w:jc w:val="right"/>
            </w:pPr>
            <w:r>
              <w:rPr>
                <w:color w:val="1C3A36"/>
                <w:sz w:val="16"/>
              </w:rPr>
              <w:t>0.0150</w:t>
            </w:r>
          </w:p>
        </w:tc>
        <w:tc>
          <w:tcPr>
            <w:tcW w:type="dxa" w:w="1224"/>
          </w:tcPr>
          <w:p>
            <w:pPr>
              <w:spacing w:after="20"/>
              <w:jc w:val="right"/>
            </w:pPr>
            <w:r>
              <w:rPr>
                <w:color w:val="1C3A36"/>
                <w:sz w:val="16"/>
              </w:rPr>
              <w:t>2026-06-01</w:t>
            </w:r>
          </w:p>
        </w:tc>
        <w:tc>
          <w:tcPr>
            <w:tcW w:type="dxa" w:w="5472"/>
          </w:tcPr>
          <w:p>
            <w:pPr>
              <w:spacing w:after="20"/>
              <w:jc w:val="right"/>
            </w:pPr>
            <w:r>
              <w:rPr>
                <w:color w:val="1C3A36"/>
                <w:sz w:val="16"/>
              </w:rPr>
              <w:t>Oilfield-services cost escalator, applied to repairs and maintenance, major maintenance and hire of equipment. US producer price index for drilling oil and gas wells (series PCU213111213111) stood at 396.978 in June 2026, down 1.63% year on year with a three-year compound rate of +0.29%. 1.5% sits above the flat recent print and below general inflation, on the view that the recent softness reflects the US land downturn rather than the Gulf market these costs are actually incurred in — the gap is flagged rather than smoothed away</w:t>
            </w:r>
          </w:p>
        </w:tc>
      </w:tr>
    </w:tbl>
    <w:p>
      <w:pPr>
        <w:spacing w:after="40"/>
      </w:pPr>
    </w:p>
    <w:p>
      <w:pPr>
        <w:spacing w:after="80" w:before="200"/>
      </w:pPr>
      <w:r>
        <w:rPr>
          <w:b/>
          <w:i w:val="0"/>
          <w:color w:val="1C3A36"/>
          <w:sz w:val="24"/>
        </w:rPr>
        <w:t>Country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ad cds</w:t>
            </w:r>
          </w:p>
        </w:tc>
        <w:tc>
          <w:tcPr>
            <w:tcW w:type="dxa" w:w="1296"/>
          </w:tcPr>
          <w:p>
            <w:pPr>
              <w:spacing w:after="20"/>
              <w:jc w:val="right"/>
            </w:pPr>
            <w:r>
              <w:rPr>
                <w:color w:val="1C3A36"/>
                <w:sz w:val="16"/>
              </w:rPr>
              <w:t>0.0046</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Sovereign credit-default-swap spread for the Emirate of Abu Dhabi, Damodaran ctryprem file</w:t>
            </w:r>
          </w:p>
        </w:tc>
      </w:tr>
      <w:tr>
        <w:tc>
          <w:tcPr>
            <w:tcW w:type="dxa" w:w="2088"/>
          </w:tcPr>
          <w:p>
            <w:pPr>
              <w:spacing w:after="20"/>
            </w:pPr>
            <w:r>
              <w:rPr>
                <w:color w:val="1C3A36"/>
                <w:sz w:val="16"/>
              </w:rPr>
              <w:t>ad crp</w:t>
            </w:r>
          </w:p>
        </w:tc>
        <w:tc>
          <w:tcPr>
            <w:tcW w:type="dxa" w:w="1296"/>
          </w:tcPr>
          <w:p>
            <w:pPr>
              <w:spacing w:after="20"/>
              <w:jc w:val="right"/>
            </w:pPr>
            <w:r>
              <w:rPr>
                <w:color w:val="1C3A36"/>
                <w:sz w:val="16"/>
              </w:rPr>
              <w:t>0.0064</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Country risk premium for the Emirate of Abu Dhabi, Damodaran ctryprem file</w:t>
            </w:r>
          </w:p>
        </w:tc>
      </w:tr>
      <w:tr>
        <w:tc>
          <w:tcPr>
            <w:tcW w:type="dxa" w:w="2088"/>
          </w:tcPr>
          <w:p>
            <w:pPr>
              <w:spacing w:after="20"/>
            </w:pPr>
            <w:r>
              <w:rPr>
                <w:color w:val="1C3A36"/>
                <w:sz w:val="16"/>
              </w:rPr>
              <w:t>ad default spread</w:t>
            </w:r>
          </w:p>
        </w:tc>
        <w:tc>
          <w:tcPr>
            <w:tcW w:type="dxa" w:w="1296"/>
          </w:tcPr>
          <w:p>
            <w:pPr>
              <w:spacing w:after="20"/>
              <w:jc w:val="right"/>
            </w:pPr>
            <w:r>
              <w:rPr>
                <w:color w:val="1C3A36"/>
                <w:sz w:val="16"/>
              </w:rPr>
              <w:t>0.0042</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Adjusted default spread for the Emirate of Abu Dhabi (Aa2), Damodaran ctryprem file, 5 January 2026</w:t>
            </w:r>
          </w:p>
        </w:tc>
      </w:tr>
      <w:tr>
        <w:tc>
          <w:tcPr>
            <w:tcW w:type="dxa" w:w="2088"/>
          </w:tcPr>
          <w:p>
            <w:pPr>
              <w:spacing w:after="20"/>
            </w:pPr>
            <w:r>
              <w:rPr>
                <w:color w:val="1C3A36"/>
                <w:sz w:val="16"/>
              </w:rPr>
              <w:t>ad rating</w:t>
            </w:r>
          </w:p>
        </w:tc>
        <w:tc>
          <w:tcPr>
            <w:tcW w:type="dxa" w:w="1296"/>
          </w:tcPr>
          <w:p>
            <w:pPr>
              <w:spacing w:after="20"/>
              <w:jc w:val="right"/>
            </w:pPr>
            <w:r>
              <w:rPr>
                <w:color w:val="1C3A36"/>
                <w:sz w:val="16"/>
              </w:rPr>
              <w:t>Aa2</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Moody's rating for the Emirate of Abu Dhabi, Damodaran ctryprem file</w:t>
            </w:r>
          </w:p>
        </w:tc>
      </w:tr>
      <w:tr>
        <w:tc>
          <w:tcPr>
            <w:tcW w:type="dxa" w:w="2088"/>
          </w:tcPr>
          <w:p>
            <w:pPr>
              <w:spacing w:after="20"/>
            </w:pPr>
            <w:r>
              <w:rPr>
                <w:color w:val="1C3A36"/>
                <w:sz w:val="16"/>
              </w:rPr>
              <w:t>erp cds</w:t>
            </w:r>
          </w:p>
        </w:tc>
        <w:tc>
          <w:tcPr>
            <w:tcW w:type="dxa" w:w="1296"/>
          </w:tcPr>
          <w:p>
            <w:pPr>
              <w:spacing w:after="20"/>
              <w:jc w:val="right"/>
            </w:pPr>
            <w:r>
              <w:rPr>
                <w:color w:val="1C3A36"/>
                <w:sz w:val="16"/>
              </w:rPr>
              <w:t>0.0493</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Equity risk premium for the Emirate of Abu Dhabi on the credit-default-swap basis, Damodaran ctryprem file, 5 January 2026</w:t>
            </w:r>
          </w:p>
        </w:tc>
      </w:tr>
      <w:tr>
        <w:tc>
          <w:tcPr>
            <w:tcW w:type="dxa" w:w="2088"/>
          </w:tcPr>
          <w:p>
            <w:pPr>
              <w:spacing w:after="20"/>
            </w:pPr>
            <w:r>
              <w:rPr>
                <w:color w:val="1C3A36"/>
                <w:sz w:val="16"/>
              </w:rPr>
              <w:t>erp rating</w:t>
            </w:r>
          </w:p>
        </w:tc>
        <w:tc>
          <w:tcPr>
            <w:tcW w:type="dxa" w:w="1296"/>
          </w:tcPr>
          <w:p>
            <w:pPr>
              <w:spacing w:after="20"/>
              <w:jc w:val="right"/>
            </w:pPr>
            <w:r>
              <w:rPr>
                <w:color w:val="1C3A36"/>
                <w:sz w:val="16"/>
              </w:rPr>
              <w:t>0.0487</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Equity risk premium for the Emirate of Abu Dhabi on the rating basis (mature-market premium plus the Abu Dhabi country risk premium), Damodaran ctryprem file, 5 January 2026. The United Arab Emirates federal row carries the identical Aa2 / 0.42% / 0.64% / 4.87% set</w:t>
            </w:r>
          </w:p>
        </w:tc>
      </w:tr>
      <w:tr>
        <w:tc>
          <w:tcPr>
            <w:tcW w:type="dxa" w:w="2088"/>
          </w:tcPr>
          <w:p>
            <w:pPr>
              <w:spacing w:after="20"/>
            </w:pPr>
            <w:r>
              <w:rPr>
                <w:color w:val="1C3A36"/>
                <w:sz w:val="16"/>
              </w:rPr>
              <w:t>esc general</w:t>
            </w:r>
          </w:p>
        </w:tc>
        <w:tc>
          <w:tcPr>
            <w:tcW w:type="dxa" w:w="1296"/>
          </w:tcPr>
          <w:p>
            <w:pPr>
              <w:spacing w:after="20"/>
              <w:jc w:val="right"/>
            </w:pPr>
            <w:r>
              <w:rPr>
                <w:color w:val="1C3A36"/>
                <w:sz w:val="16"/>
              </w:rPr>
              <w:t>0.0150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Escalator for other direct cost and for general and administrative expenses, anchored on United Arab Emirates consumer price inflation (1.25% in 2025, 1.66% in 2024) rounded to 1.5%</w:t>
            </w:r>
          </w:p>
        </w:tc>
      </w:tr>
      <w:tr>
        <w:tc>
          <w:tcPr>
            <w:tcW w:type="dxa" w:w="2088"/>
          </w:tcPr>
          <w:p>
            <w:pPr>
              <w:spacing w:after="20"/>
            </w:pPr>
            <w:r>
              <w:rPr>
                <w:color w:val="1C3A36"/>
                <w:sz w:val="16"/>
              </w:rPr>
              <w:t>esc wages</w:t>
            </w:r>
          </w:p>
        </w:tc>
        <w:tc>
          <w:tcPr>
            <w:tcW w:type="dxa" w:w="1296"/>
          </w:tcPr>
          <w:p>
            <w:pPr>
              <w:spacing w:after="20"/>
              <w:jc w:val="right"/>
            </w:pPr>
            <w:r>
              <w:rPr>
                <w:color w:val="1C3A36"/>
                <w:sz w:val="16"/>
              </w:rPr>
              <w:t>0.0200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Staff-cost escalator. United Arab Emirates consumer price inflation ran 1.63% in 2023, 1.66% in 2024 and 1.25% in 2025 (World Bank via the St. Louis Fed, series FPCPITOTLZGARE); 2.0% carries a modest real-wage drift above that for a business competing for skilled rig crews in a tight regional labour market. Applies ONLY to the domestic labour line</w:t>
            </w:r>
          </w:p>
        </w:tc>
      </w:tr>
      <w:tr>
        <w:tc>
          <w:tcPr>
            <w:tcW w:type="dxa" w:w="2088"/>
          </w:tcPr>
          <w:p>
            <w:pPr>
              <w:spacing w:after="20"/>
            </w:pPr>
            <w:r>
              <w:rPr>
                <w:color w:val="1C3A36"/>
                <w:sz w:val="16"/>
              </w:rPr>
              <w:t>fx aed usd</w:t>
            </w:r>
          </w:p>
        </w:tc>
        <w:tc>
          <w:tcPr>
            <w:tcW w:type="dxa" w:w="1296"/>
          </w:tcPr>
          <w:p>
            <w:pPr>
              <w:spacing w:after="20"/>
              <w:jc w:val="right"/>
            </w:pPr>
            <w:r>
              <w:rPr>
                <w:color w:val="1C3A36"/>
                <w:sz w:val="16"/>
              </w:rPr>
              <w:t>3.672</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AED/USD central-bank peg, unchanged since 1997; the rate at which the company itself translates its AED-declared dividends into the USD amounts disclosed in Note 24 of the audited statements</w:t>
            </w:r>
          </w:p>
        </w:tc>
      </w:tr>
    </w:tbl>
    <w:p>
      <w:pPr>
        <w:spacing w:after="40"/>
      </w:pPr>
    </w:p>
    <w:p>
      <w:pPr>
        <w:spacing w:after="80" w:before="200"/>
      </w:pPr>
      <w:r>
        <w:rPr>
          <w:b/>
          <w:i w:val="0"/>
          <w:color w:val="1C3A36"/>
          <w:sz w:val="24"/>
        </w:rPr>
        <w:t>Global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esc fuel</w:t>
            </w:r>
          </w:p>
        </w:tc>
        <w:tc>
          <w:tcPr>
            <w:tcW w:type="dxa" w:w="1296"/>
          </w:tcPr>
          <w:p>
            <w:pPr>
              <w:spacing w:after="20"/>
              <w:jc w:val="right"/>
            </w:pPr>
            <w:r>
              <w:rPr>
                <w:color w:val="1C3A36"/>
                <w:sz w:val="16"/>
              </w:rPr>
              <w:t>0.0000</w:t>
            </w:r>
          </w:p>
        </w:tc>
        <w:tc>
          <w:tcPr>
            <w:tcW w:type="dxa" w:w="1224"/>
          </w:tcPr>
          <w:p>
            <w:pPr>
              <w:spacing w:after="20"/>
              <w:jc w:val="right"/>
            </w:pPr>
            <w:r>
              <w:rPr>
                <w:color w:val="1C3A36"/>
                <w:sz w:val="16"/>
              </w:rPr>
              <w:t>2026-08-03</w:t>
            </w:r>
          </w:p>
        </w:tc>
        <w:tc>
          <w:tcPr>
            <w:tcW w:type="dxa" w:w="5472"/>
          </w:tcPr>
          <w:p>
            <w:pPr>
              <w:spacing w:after="20"/>
              <w:jc w:val="right"/>
            </w:pPr>
            <w:r>
              <w:rPr>
                <w:color w:val="1C3A36"/>
                <w:sz w:val="16"/>
              </w:rPr>
              <w:t>Fuel and lubricants escalator. This is a globally traded input and is escalated on its own commodity path, NOT on a domestic inflation proxy: Brent closed at $88.90 on 03-Aug-2026 against a one-year average of $79.69 and a three-year average of $79.48 (US Energy Information Administration via the St. Louis Fed, series DCOILBRENTEU). Spot sits roughly 12% above the three-year mean, so a flat nominal path embeds mean reversion in real terms. The company's onshore contracts carry an explicit fuel-escalation pass-through — the 1H-2026 MD&amp;A attributes part of the onshore revenue increase to 'higher fuel escalation' — so this line is close to margin-neutral either way</w:t>
            </w:r>
          </w:p>
        </w:tc>
      </w:tr>
      <w:tr>
        <w:tc>
          <w:tcPr>
            <w:tcW w:type="dxa" w:w="2088"/>
          </w:tcPr>
          <w:p>
            <w:pPr>
              <w:spacing w:after="20"/>
            </w:pPr>
            <w:r>
              <w:rPr>
                <w:color w:val="1C3A36"/>
                <w:sz w:val="16"/>
              </w:rPr>
              <w:t>sofr spot</w:t>
            </w:r>
          </w:p>
        </w:tc>
        <w:tc>
          <w:tcPr>
            <w:tcW w:type="dxa" w:w="1296"/>
          </w:tcPr>
          <w:p>
            <w:pPr>
              <w:spacing w:after="20"/>
              <w:jc w:val="right"/>
            </w:pPr>
            <w:r>
              <w:rPr>
                <w:color w:val="1C3A36"/>
                <w:sz w:val="16"/>
              </w:rPr>
              <w:t>0.0365</w:t>
            </w:r>
          </w:p>
        </w:tc>
        <w:tc>
          <w:tcPr>
            <w:tcW w:type="dxa" w:w="1224"/>
          </w:tcPr>
          <w:p>
            <w:pPr>
              <w:spacing w:after="20"/>
              <w:jc w:val="right"/>
            </w:pPr>
            <w:r>
              <w:rPr>
                <w:color w:val="1C3A36"/>
                <w:sz w:val="16"/>
              </w:rPr>
              <w:t>2026-08-06</w:t>
            </w:r>
          </w:p>
        </w:tc>
        <w:tc>
          <w:tcPr>
            <w:tcW w:type="dxa" w:w="5472"/>
          </w:tcPr>
          <w:p>
            <w:pPr>
              <w:spacing w:after="20"/>
              <w:jc w:val="right"/>
            </w:pPr>
            <w:r>
              <w:rPr>
                <w:color w:val="1C3A36"/>
                <w:sz w:val="16"/>
              </w:rPr>
              <w:t>Secured Overnight Financing Rate, New York Fed via the St. Louis Fed (series SOFR), 06-Aug-2026</w:t>
            </w:r>
          </w:p>
        </w:tc>
      </w:tr>
      <w:tr>
        <w:tc>
          <w:tcPr>
            <w:tcW w:type="dxa" w:w="2088"/>
          </w:tcPr>
          <w:p>
            <w:pPr>
              <w:spacing w:after="20"/>
            </w:pPr>
            <w:r>
              <w:rPr>
                <w:color w:val="1C3A36"/>
                <w:sz w:val="16"/>
              </w:rPr>
              <w:t>us default spread</w:t>
            </w:r>
          </w:p>
        </w:tc>
        <w:tc>
          <w:tcPr>
            <w:tcW w:type="dxa" w:w="1296"/>
          </w:tcPr>
          <w:p>
            <w:pPr>
              <w:spacing w:after="20"/>
              <w:jc w:val="right"/>
            </w:pPr>
            <w:r>
              <w:rPr>
                <w:color w:val="1C3A36"/>
                <w:sz w:val="16"/>
              </w:rPr>
              <w:t>0.0023</w:t>
            </w:r>
          </w:p>
        </w:tc>
        <w:tc>
          <w:tcPr>
            <w:tcW w:type="dxa" w:w="1224"/>
          </w:tcPr>
          <w:p>
            <w:pPr>
              <w:spacing w:after="20"/>
              <w:jc w:val="right"/>
            </w:pPr>
            <w:r>
              <w:rPr>
                <w:color w:val="1C3A36"/>
                <w:sz w:val="16"/>
              </w:rPr>
              <w:t>2026-01-05</w:t>
            </w:r>
          </w:p>
        </w:tc>
        <w:tc>
          <w:tcPr>
            <w:tcW w:type="dxa" w:w="5472"/>
          </w:tcPr>
          <w:p>
            <w:pPr>
              <w:spacing w:after="20"/>
              <w:jc w:val="right"/>
            </w:pPr>
            <w:r>
              <w:rPr>
                <w:color w:val="1C3A36"/>
                <w:sz w:val="16"/>
              </w:rPr>
              <w:t>Adjusted default spread for the United States (Moody's Aa1), Damodaran country default spreads and risk premiums, original ctryprem file, last updated 5 January 2026</w:t>
            </w:r>
          </w:p>
        </w:tc>
      </w:tr>
      <w:tr>
        <w:tc>
          <w:tcPr>
            <w:tcW w:type="dxa" w:w="2088"/>
          </w:tcPr>
          <w:p>
            <w:pPr>
              <w:spacing w:after="20"/>
            </w:pPr>
            <w:r>
              <w:rPr>
                <w:color w:val="1C3A36"/>
                <w:sz w:val="16"/>
              </w:rPr>
              <w:t>ust10</w:t>
            </w:r>
          </w:p>
        </w:tc>
        <w:tc>
          <w:tcPr>
            <w:tcW w:type="dxa" w:w="1296"/>
          </w:tcPr>
          <w:p>
            <w:pPr>
              <w:spacing w:after="20"/>
              <w:jc w:val="right"/>
            </w:pPr>
            <w:r>
              <w:rPr>
                <w:color w:val="1C3A36"/>
                <w:sz w:val="16"/>
              </w:rPr>
              <w:t>0.0469</w:t>
            </w:r>
          </w:p>
        </w:tc>
        <w:tc>
          <w:tcPr>
            <w:tcW w:type="dxa" w:w="1224"/>
          </w:tcPr>
          <w:p>
            <w:pPr>
              <w:spacing w:after="20"/>
              <w:jc w:val="right"/>
            </w:pPr>
            <w:r>
              <w:rPr>
                <w:color w:val="1C3A36"/>
                <w:sz w:val="16"/>
              </w:rPr>
              <w:t>2026-08-06</w:t>
            </w:r>
          </w:p>
        </w:tc>
        <w:tc>
          <w:tcPr>
            <w:tcW w:type="dxa" w:w="5472"/>
          </w:tcPr>
          <w:p>
            <w:pPr>
              <w:spacing w:after="20"/>
              <w:jc w:val="right"/>
            </w:pPr>
            <w:r>
              <w:rPr>
                <w:color w:val="1C3A36"/>
                <w:sz w:val="16"/>
              </w:rPr>
              <w:t>US 10-year constant-maturity Treasury yield, Federal Reserve H.15 via the St. Louis Fed (series DGS10), 06-Aug-2026 close</w:t>
            </w:r>
          </w:p>
        </w:tc>
      </w:tr>
      <w:tr>
        <w:tc>
          <w:tcPr>
            <w:tcW w:type="dxa" w:w="2088"/>
          </w:tcPr>
          <w:p>
            <w:pPr>
              <w:spacing w:after="20"/>
            </w:pPr>
            <w:r>
              <w:rPr>
                <w:color w:val="1C3A36"/>
                <w:sz w:val="16"/>
              </w:rPr>
              <w:t>ust5</w:t>
            </w:r>
          </w:p>
        </w:tc>
        <w:tc>
          <w:tcPr>
            <w:tcW w:type="dxa" w:w="1296"/>
          </w:tcPr>
          <w:p>
            <w:pPr>
              <w:spacing w:after="20"/>
              <w:jc w:val="right"/>
            </w:pPr>
            <w:r>
              <w:rPr>
                <w:color w:val="1C3A36"/>
                <w:sz w:val="16"/>
              </w:rPr>
              <w:t>0.0440</w:t>
            </w:r>
          </w:p>
        </w:tc>
        <w:tc>
          <w:tcPr>
            <w:tcW w:type="dxa" w:w="1224"/>
          </w:tcPr>
          <w:p>
            <w:pPr>
              <w:spacing w:after="20"/>
              <w:jc w:val="right"/>
            </w:pPr>
            <w:r>
              <w:rPr>
                <w:color w:val="1C3A36"/>
                <w:sz w:val="16"/>
              </w:rPr>
              <w:t>2026-08-06</w:t>
            </w:r>
          </w:p>
        </w:tc>
        <w:tc>
          <w:tcPr>
            <w:tcW w:type="dxa" w:w="5472"/>
          </w:tcPr>
          <w:p>
            <w:pPr>
              <w:spacing w:after="20"/>
              <w:jc w:val="right"/>
            </w:pPr>
            <w:r>
              <w:rPr>
                <w:color w:val="1C3A36"/>
                <w:sz w:val="16"/>
              </w:rPr>
              <w:t>US 5-year constant-maturity Treasury yield, Federal Reserve H.15 via the St. Louis Fed (series DGS5), 06-Aug-2026 close</w:t>
            </w:r>
          </w:p>
        </w:tc>
      </w:tr>
    </w:tbl>
    <w:p>
      <w:pPr>
        <w:spacing w:after="40"/>
      </w:pPr>
    </w:p>
    <w:p>
      <w:pPr>
        <w:spacing w:after="80" w:before="200"/>
      </w:pPr>
      <w:r>
        <w:rPr>
          <w:b/>
          <w:i w:val="0"/>
          <w:color w:val="1C3A36"/>
          <w:sz w:val="24"/>
        </w:rPr>
        <w:t>Market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beta raw</w:t>
            </w:r>
          </w:p>
        </w:tc>
        <w:tc>
          <w:tcPr>
            <w:tcW w:type="dxa" w:w="1296"/>
          </w:tcPr>
          <w:p>
            <w:pPr>
              <w:spacing w:after="20"/>
              <w:jc w:val="right"/>
            </w:pPr>
            <w:r>
              <w:rPr>
                <w:color w:val="1C3A36"/>
                <w:sz w:val="16"/>
              </w:rPr>
              <w:t>0.7950</w:t>
            </w:r>
          </w:p>
        </w:tc>
        <w:tc>
          <w:tcPr>
            <w:tcW w:type="dxa" w:w="1224"/>
          </w:tcPr>
          <w:p>
            <w:pPr>
              <w:spacing w:after="20"/>
              <w:jc w:val="right"/>
            </w:pPr>
            <w:r>
              <w:rPr>
                <w:color w:val="1C3A36"/>
                <w:sz w:val="16"/>
              </w:rPr>
              <w:t>2026-07-24</w:t>
            </w:r>
          </w:p>
        </w:tc>
        <w:tc>
          <w:tcPr>
            <w:tcW w:type="dxa" w:w="5472"/>
          </w:tcPr>
          <w:p>
            <w:pPr>
              <w:spacing w:after="20"/>
              <w:jc w:val="right"/>
            </w:pPr>
            <w:r>
              <w:rPr>
                <w:color w:val="1C3A36"/>
                <w:sz w:val="16"/>
              </w:rPr>
              <w:t>Own-stock 5-year weekly regression against the FTSE ADX General Index — the headline index of the exchange the stock actually trades on, held at engine/raw_indices/AE/ADXGENERAL.csv (3,884 sessions, 02-Jan-2011 to 24-Jul-2026, screened for blanks, duplicate dates, limit-exceeding single-session moves and trading-day density before use). n=247 weekly observations, R-squared 0.128, standard error 0.133, 90% interval 0.58 to 1.01. Clears the regression usability gate (n&gt;=24, R-squared&gt;=5%, standard error below the absolute beta), so the first tier of the beta hierarchy applies and no peer beta is needed. SUPERSEDES a prior 0.664 measured against an equal-weight composite of the 18-name UAE price library; that composite under-weights the large-capitalisation names the published index is concentrated in, and it is retained as a robustness check rather than as the regressor. The index series ends 24-Jul-2026 against a 07-Aug-2026 price anchor, a 14-day gap that costs the regression two of roughly 250 weekly observations. Source: engine/adnocdrill_study/beta_reg.py</w:t>
            </w:r>
          </w:p>
        </w:tc>
      </w:tr>
      <w:tr>
        <w:tc>
          <w:tcPr>
            <w:tcW w:type="dxa" w:w="2088"/>
          </w:tcPr>
          <w:p>
            <w:pPr>
              <w:spacing w:after="20"/>
            </w:pPr>
            <w:r>
              <w:rPr>
                <w:color w:val="1C3A36"/>
                <w:sz w:val="16"/>
              </w:rPr>
              <w:t>days dec25 to anchor</w:t>
            </w:r>
          </w:p>
        </w:tc>
        <w:tc>
          <w:tcPr>
            <w:tcW w:type="dxa" w:w="1296"/>
          </w:tcPr>
          <w:p>
            <w:pPr>
              <w:spacing w:after="20"/>
              <w:jc w:val="right"/>
            </w:pPr>
            <w:r>
              <w:rPr>
                <w:color w:val="1C3A36"/>
                <w:sz w:val="16"/>
              </w:rPr>
              <w:t>219.000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Calendar days from 31 December 2025, the date the discounting convention places enterprise value on, to the 7 August 2026 price anchor</w:t>
            </w:r>
          </w:p>
        </w:tc>
      </w:tr>
      <w:tr>
        <w:tc>
          <w:tcPr>
            <w:tcW w:type="dxa" w:w="2088"/>
          </w:tcPr>
          <w:p>
            <w:pPr>
              <w:spacing w:after="20"/>
            </w:pPr>
            <w:r>
              <w:rPr>
                <w:color w:val="1C3A36"/>
                <w:sz w:val="16"/>
              </w:rPr>
              <w:t>days jun26 to anchor</w:t>
            </w:r>
          </w:p>
        </w:tc>
        <w:tc>
          <w:tcPr>
            <w:tcW w:type="dxa" w:w="1296"/>
          </w:tcPr>
          <w:p>
            <w:pPr>
              <w:spacing w:after="20"/>
              <w:jc w:val="right"/>
            </w:pPr>
            <w:r>
              <w:rPr>
                <w:color w:val="1C3A36"/>
                <w:sz w:val="16"/>
              </w:rPr>
              <w:t>38.000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Calendar days from 30 June 2026, the date the bridge is struck on, to the 7 August 2026 price anchor</w:t>
            </w:r>
          </w:p>
        </w:tc>
      </w:tr>
      <w:tr>
        <w:tc>
          <w:tcPr>
            <w:tcW w:type="dxa" w:w="2088"/>
          </w:tcPr>
          <w:p>
            <w:pPr>
              <w:spacing w:after="20"/>
            </w:pPr>
            <w:r>
              <w:rPr>
                <w:color w:val="1C3A36"/>
                <w:sz w:val="16"/>
              </w:rPr>
              <w:t>spot aed</w:t>
            </w:r>
          </w:p>
        </w:tc>
        <w:tc>
          <w:tcPr>
            <w:tcW w:type="dxa" w:w="1296"/>
          </w:tcPr>
          <w:p>
            <w:pPr>
              <w:spacing w:after="20"/>
              <w:jc w:val="right"/>
            </w:pPr>
            <w:r>
              <w:rPr>
                <w:color w:val="1C3A36"/>
                <w:sz w:val="16"/>
              </w:rPr>
              <w:t>5.800</w:t>
            </w:r>
          </w:p>
        </w:tc>
        <w:tc>
          <w:tcPr>
            <w:tcW w:type="dxa" w:w="1224"/>
          </w:tcPr>
          <w:p>
            <w:pPr>
              <w:spacing w:after="20"/>
              <w:jc w:val="right"/>
            </w:pPr>
            <w:r>
              <w:rPr>
                <w:color w:val="1C3A36"/>
                <w:sz w:val="16"/>
              </w:rPr>
              <w:t>2026-09-03</w:t>
            </w:r>
          </w:p>
        </w:tc>
        <w:tc>
          <w:tcPr>
            <w:tcW w:type="dxa" w:w="5472"/>
          </w:tcPr>
          <w:p>
            <w:pPr>
              <w:spacing w:after="20"/>
              <w:jc w:val="right"/>
            </w:pPr>
            <w:r>
              <w:rPr>
                <w:color w:val="1C3A36"/>
                <w:sz w:val="16"/>
              </w:rPr>
              <w:t>Uploaded ADX daily price history for ADNOCDRILL, last close 03-Sep-2026 — the latest price supplied to this repository (SUPPLIED_03-09-2026.json). Superseded: AED 5.94 of 7 August 2026, on which every edition before this one was struck</w:t>
            </w:r>
          </w:p>
        </w:tc>
      </w:tr>
    </w:tbl>
    <w:p>
      <w:pPr>
        <w:spacing w:after="40"/>
      </w:pPr>
    </w:p>
    <w:p>
      <w:pPr>
        <w:spacing w:after="80" w:before="200"/>
      </w:pPr>
      <w:r>
        <w:rPr>
          <w:b/>
          <w:i w:val="0"/>
          <w:color w:val="1C3A36"/>
          <w:sz w:val="24"/>
        </w:rPr>
        <w:t>Analyst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96"/>
        <w:gridCol w:w="1224"/>
        <w:gridCol w:w="5472"/>
      </w:tblGrid>
      <w:tr>
        <w:tc>
          <w:tcPr>
            <w:tcW w:type="dxa" w:w="2088"/>
            <w:shd w:val="clear" w:color="auto" w:fill="EAF0EE"/>
          </w:tcPr>
          <w:p>
            <w:pPr>
              <w:spacing w:after="20"/>
            </w:pPr>
            <w:r>
              <w:rPr>
                <w:b/>
                <w:color w:val="1C3A36"/>
                <w:sz w:val="16"/>
              </w:rPr>
              <w:t>Input</w:t>
            </w:r>
          </w:p>
        </w:tc>
        <w:tc>
          <w:tcPr>
            <w:tcW w:type="dxa" w:w="129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Date</w:t>
            </w:r>
          </w:p>
        </w:tc>
        <w:tc>
          <w:tcPr>
            <w:tcW w:type="dxa" w:w="5472"/>
            <w:shd w:val="clear" w:color="auto" w:fill="EAF0EE"/>
          </w:tcPr>
          <w:p>
            <w:pPr>
              <w:spacing w:after="20"/>
            </w:pPr>
            <w:r>
              <w:rPr>
                <w:b/>
                <w:color w:val="1C3A36"/>
                <w:sz w:val="16"/>
              </w:rPr>
              <w:t>Source and construction</w:t>
            </w:r>
          </w:p>
        </w:tc>
      </w:tr>
      <w:tr>
        <w:tc>
          <w:tcPr>
            <w:tcW w:type="dxa" w:w="2088"/>
          </w:tcPr>
          <w:p>
            <w:pPr>
              <w:spacing w:after="20"/>
            </w:pPr>
            <w:r>
              <w:rPr>
                <w:color w:val="1C3A36"/>
                <w:sz w:val="16"/>
              </w:rPr>
              <w:t>rev per rig regional</w:t>
            </w:r>
          </w:p>
        </w:tc>
        <w:tc>
          <w:tcPr>
            <w:tcW w:type="dxa" w:w="1296"/>
          </w:tcPr>
          <w:p>
            <w:pPr>
              <w:spacing w:after="20"/>
              <w:jc w:val="right"/>
            </w:pPr>
            <w:r>
              <w:rPr>
                <w:color w:val="1C3A36"/>
                <w:sz w:val="16"/>
              </w:rPr>
              <w:t>8,000.0</w:t>
            </w:r>
          </w:p>
        </w:tc>
        <w:tc>
          <w:tcPr>
            <w:tcW w:type="dxa" w:w="1224"/>
          </w:tcPr>
          <w:p>
            <w:pPr>
              <w:spacing w:after="20"/>
              <w:jc w:val="right"/>
            </w:pPr>
            <w:r>
              <w:rPr>
                <w:color w:val="1C3A36"/>
                <w:sz w:val="16"/>
              </w:rPr>
              <w:t>2026-07-30</w:t>
            </w:r>
          </w:p>
        </w:tc>
        <w:tc>
          <w:tcPr>
            <w:tcW w:type="dxa" w:w="5472"/>
          </w:tcPr>
          <w:p>
            <w:pPr>
              <w:spacing w:after="20"/>
              <w:jc w:val="right"/>
            </w:pPr>
            <w:r>
              <w:rPr>
                <w:color w:val="1C3A36"/>
                <w:sz w:val="16"/>
              </w:rPr>
              <w:t>Revenue per regional land rig-year, USD thousands. Derived, not assumed: 1H-2026 Onshore revenue of $1,031 million less roughly $35 million of unconventional land drilling leaves $996 million; the Abu Dhabi conventional fleet at its disclosed FY2025 realised rate accounts for approximately $920 million of that, leaving about $76 million earned across an average of roughly 19 regional rigs in the half (8 SLDC rigs from January, 22 MBPS rigs part-period). That is about $8.0 million per rig-year, roughly 40% of the Abu Dhabi rate, consistent with smaller land rigs on Oman and Kuwait terms</w:t>
            </w:r>
          </w:p>
        </w:tc>
      </w:tr>
      <w:tr>
        <w:tc>
          <w:tcPr>
            <w:tcW w:type="dxa" w:w="2088"/>
          </w:tcPr>
          <w:p>
            <w:pPr>
              <w:spacing w:after="20"/>
            </w:pPr>
            <w:r>
              <w:rPr>
                <w:color w:val="1C3A36"/>
                <w:sz w:val="16"/>
              </w:rPr>
              <w:t>terminal growth A</w:t>
            </w:r>
          </w:p>
        </w:tc>
        <w:tc>
          <w:tcPr>
            <w:tcW w:type="dxa" w:w="1296"/>
          </w:tcPr>
          <w:p>
            <w:pPr>
              <w:spacing w:after="20"/>
              <w:jc w:val="right"/>
            </w:pPr>
            <w:r>
              <w:rPr>
                <w:color w:val="1C3A36"/>
                <w:sz w:val="16"/>
              </w:rPr>
              <w:t>0.0250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Terminal nominal growth under the continued-expansion framing. Sits below long-run United States inflation expectations of 2.25% plus real regional activity growth, and below the 3.0% ceiling a mature contract driller could justify</w:t>
            </w:r>
          </w:p>
        </w:tc>
      </w:tr>
      <w:tr>
        <w:tc>
          <w:tcPr>
            <w:tcW w:type="dxa" w:w="2088"/>
          </w:tcPr>
          <w:p>
            <w:pPr>
              <w:spacing w:after="20"/>
            </w:pPr>
            <w:r>
              <w:rPr>
                <w:color w:val="1C3A36"/>
                <w:sz w:val="16"/>
              </w:rPr>
              <w:t>terminal growth B</w:t>
            </w:r>
          </w:p>
        </w:tc>
        <w:tc>
          <w:tcPr>
            <w:tcW w:type="dxa" w:w="1296"/>
          </w:tcPr>
          <w:p>
            <w:pPr>
              <w:spacing w:after="20"/>
              <w:jc w:val="right"/>
            </w:pPr>
            <w:r>
              <w:rPr>
                <w:color w:val="1C3A36"/>
                <w:sz w:val="16"/>
              </w:rPr>
              <w:t>0.0150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Terminal nominal growth under the capacity-plateau framing — the domestic fleet stops growing once the five-million-barrel-per-day capacity target is met, so nominal growth is contract escalation only</w:t>
            </w:r>
          </w:p>
        </w:tc>
      </w:tr>
      <w:tr>
        <w:tc>
          <w:tcPr>
            <w:tcW w:type="dxa" w:w="2088"/>
          </w:tcPr>
          <w:p>
            <w:pPr>
              <w:spacing w:after="20"/>
            </w:pPr>
            <w:r>
              <w:rPr>
                <w:color w:val="1C3A36"/>
                <w:sz w:val="16"/>
              </w:rPr>
              <w:t>terminal roic</w:t>
            </w:r>
          </w:p>
        </w:tc>
        <w:tc>
          <w:tcPr>
            <w:tcW w:type="dxa" w:w="1296"/>
          </w:tcPr>
          <w:p>
            <w:pPr>
              <w:spacing w:after="20"/>
              <w:jc w:val="right"/>
            </w:pPr>
            <w:r>
              <w:rPr>
                <w:color w:val="1C3A36"/>
                <w:sz w:val="16"/>
              </w:rPr>
              <w:t>0.1800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Terminal after-tax return on invested capital. The company earned a 23% return on capital employed in FY2025 and again in 1H-2026 (both disclosed in the MD&amp;A financial summary). 18% fades that toward, but not to, a cost-of-capital return: the rig fleet is contracted to a single national oil company on terms that have sustained a 23% return through a full commodity cycle, so a fade to parity would contradict the observed record, while holding 23% in perpetuity would capitalise an incumbency that faces renegotiation at every contract roll</w:t>
            </w:r>
          </w:p>
        </w:tc>
      </w:tr>
      <w:tr>
        <w:tc>
          <w:tcPr>
            <w:tcW w:type="dxa" w:w="2088"/>
          </w:tcPr>
          <w:p>
            <w:pPr>
              <w:spacing w:after="20"/>
            </w:pPr>
            <w:r>
              <w:rPr>
                <w:color w:val="1C3A36"/>
                <w:sz w:val="16"/>
              </w:rPr>
              <w:t>unconv ebitda margin</w:t>
            </w:r>
          </w:p>
        </w:tc>
        <w:tc>
          <w:tcPr>
            <w:tcW w:type="dxa" w:w="1296"/>
          </w:tcPr>
          <w:p>
            <w:pPr>
              <w:spacing w:after="20"/>
              <w:jc w:val="right"/>
            </w:pPr>
            <w:r>
              <w:rPr>
                <w:color w:val="1C3A36"/>
                <w:sz w:val="16"/>
              </w:rPr>
              <w:t>0.0650</w:t>
            </w:r>
          </w:p>
        </w:tc>
        <w:tc>
          <w:tcPr>
            <w:tcW w:type="dxa" w:w="1224"/>
          </w:tcPr>
          <w:p>
            <w:pPr>
              <w:spacing w:after="20"/>
              <w:jc w:val="right"/>
            </w:pPr>
            <w:r>
              <w:rPr>
                <w:color w:val="1C3A36"/>
                <w:sz w:val="16"/>
              </w:rPr>
              <w:t>2026-08-07</w:t>
            </w:r>
          </w:p>
        </w:tc>
        <w:tc>
          <w:tcPr>
            <w:tcW w:type="dxa" w:w="5472"/>
          </w:tcPr>
          <w:p>
            <w:pPr>
              <w:spacing w:after="20"/>
              <w:jc w:val="right"/>
            </w:pPr>
            <w:r>
              <w:rPr>
                <w:color w:val="1C3A36"/>
                <w:sz w:val="16"/>
              </w:rPr>
              <w:t>EBITDA margin on unconventional revenue, triangulated three ways in the workbook rather than asserted: (i) the FY2025 disclosed conventional EBITDA margin of 51% applied to conventional revenue implies $50 million of EBITDA on $692 million of unconventional revenue, a 7.3% margin; (ii) the same arithmetic on FY2024's disclosed 52% implies a negative margin, but on a $117 million revenue base a half-point of rounding in the disclosed margin swings the answer by more than the answer itself, so it is reported and discarded; (iii) the FY2024-to-FY2025 incremental bridge — group EBITDA up $183 million on revenue up $869 million, of which $294 million of conventional revenue at 51% explains $150 million — leaves $33 million on $575 million of incremental unconventional revenue, a 5.8% margin. The average of the two usable estimates is 6.5%. This is the single most consequential fact about the unconventional programme: it is a large revenue line that carries almost no profit</w:t>
            </w:r>
          </w:p>
        </w:tc>
      </w:tr>
    </w:tbl>
    <w:p>
      <w:pPr>
        <w:spacing w:after="40"/>
      </w:pPr>
    </w:p>
    <w:p>
      <w:r>
        <w:br w:type="page"/>
      </w:r>
    </w:p>
    <w:p>
      <w:pPr>
        <w:spacing w:after="120" w:before="280"/>
      </w:pPr>
      <w:r>
        <w:rPr>
          <w:b/>
          <w:i w:val="0"/>
          <w:color w:val="1C3A36"/>
          <w:sz w:val="30"/>
        </w:rPr>
        <w:t>3. Judgements, and what would overturn each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27"/>
        <w:gridCol w:w="2142"/>
        <w:gridCol w:w="3276"/>
        <w:gridCol w:w="2835"/>
      </w:tblGrid>
      <w:tr>
        <w:tc>
          <w:tcPr>
            <w:tcW w:type="dxa" w:w="1827"/>
            <w:shd w:val="clear" w:color="auto" w:fill="EAF0EE"/>
          </w:tcPr>
          <w:p>
            <w:pPr>
              <w:spacing w:after="20"/>
            </w:pPr>
            <w:r>
              <w:rPr>
                <w:b/>
                <w:color w:val="1C3A36"/>
                <w:sz w:val="16"/>
              </w:rPr>
              <w:t>Judgement</w:t>
            </w:r>
          </w:p>
        </w:tc>
        <w:tc>
          <w:tcPr>
            <w:tcW w:type="dxa" w:w="2142"/>
            <w:shd w:val="clear" w:color="auto" w:fill="EAF0EE"/>
          </w:tcPr>
          <w:p>
            <w:pPr>
              <w:spacing w:after="20"/>
            </w:pPr>
            <w:r>
              <w:rPr>
                <w:b/>
                <w:color w:val="1C3A36"/>
                <w:sz w:val="16"/>
              </w:rPr>
              <w:t>What was decided</w:t>
            </w:r>
          </w:p>
        </w:tc>
        <w:tc>
          <w:tcPr>
            <w:tcW w:type="dxa" w:w="3276"/>
            <w:shd w:val="clear" w:color="auto" w:fill="EAF0EE"/>
          </w:tcPr>
          <w:p>
            <w:pPr>
              <w:spacing w:after="20"/>
            </w:pPr>
            <w:r>
              <w:rPr>
                <w:b/>
                <w:color w:val="1C3A36"/>
                <w:sz w:val="16"/>
              </w:rPr>
              <w:t>Why</w:t>
            </w:r>
          </w:p>
        </w:tc>
        <w:tc>
          <w:tcPr>
            <w:tcW w:type="dxa" w:w="2835"/>
            <w:shd w:val="clear" w:color="auto" w:fill="EAF0EE"/>
          </w:tcPr>
          <w:p>
            <w:pPr>
              <w:spacing w:after="20"/>
            </w:pPr>
            <w:r>
              <w:rPr>
                <w:b/>
                <w:color w:val="1C3A36"/>
                <w:sz w:val="16"/>
              </w:rPr>
              <w:t>What would overturn it</w:t>
            </w:r>
          </w:p>
        </w:tc>
      </w:tr>
      <w:tr>
        <w:tc>
          <w:tcPr>
            <w:tcW w:type="dxa" w:w="1827"/>
          </w:tcPr>
          <w:p>
            <w:pPr>
              <w:spacing w:after="20"/>
            </w:pPr>
            <w:r>
              <w:rPr>
                <w:color w:val="1C3A36"/>
                <w:sz w:val="16"/>
              </w:rPr>
              <w:t>The company is an operating company, not a holding company</w:t>
            </w:r>
          </w:p>
        </w:tc>
        <w:tc>
          <w:tcPr>
            <w:tcW w:type="dxa" w:w="2142"/>
          </w:tcPr>
          <w:p>
            <w:pPr>
              <w:spacing w:after="20"/>
              <w:jc w:val="right"/>
            </w:pPr>
            <w:r>
              <w:rPr>
                <w:color w:val="1C3A36"/>
                <w:sz w:val="16"/>
              </w:rPr>
              <w:t>Valued on the cash its own fleet generates, primarily by discounted cash flow</w:t>
            </w:r>
          </w:p>
        </w:tc>
        <w:tc>
          <w:tcPr>
            <w:tcW w:type="dxa" w:w="3276"/>
          </w:tcPr>
          <w:p>
            <w:pPr>
              <w:spacing w:after="20"/>
              <w:jc w:val="right"/>
            </w:pPr>
            <w:r>
              <w:rPr>
                <w:color w:val="1C3A36"/>
                <w:sz w:val="16"/>
              </w:rPr>
              <w:t>Three operating segments with no inter-segment sales, property and equipment two-thirds of total assets, no lending book, no investment property, and only two small equity-accounted service joint ventures</w:t>
            </w:r>
          </w:p>
        </w:tc>
        <w:tc>
          <w:tcPr>
            <w:tcW w:type="dxa" w:w="2835"/>
          </w:tcPr>
          <w:p>
            <w:pPr>
              <w:spacing w:after="20"/>
              <w:jc w:val="right"/>
            </w:pPr>
            <w:r>
              <w:rPr>
                <w:color w:val="1C3A36"/>
                <w:sz w:val="16"/>
              </w:rPr>
              <w:t>A restructuring that turned the company into a holder of stakes rather than an operator</w:t>
            </w:r>
          </w:p>
        </w:tc>
      </w:tr>
      <w:tr>
        <w:tc>
          <w:tcPr>
            <w:tcW w:type="dxa" w:w="1827"/>
          </w:tcPr>
          <w:p>
            <w:pPr>
              <w:spacing w:after="20"/>
            </w:pPr>
            <w:r>
              <w:rPr>
                <w:color w:val="1C3A36"/>
                <w:sz w:val="16"/>
              </w:rPr>
              <w:t>The valuation runs in US dollars</w:t>
            </w:r>
          </w:p>
        </w:tc>
        <w:tc>
          <w:tcPr>
            <w:tcW w:type="dxa" w:w="2142"/>
          </w:tcPr>
          <w:p>
            <w:pPr>
              <w:spacing w:after="20"/>
              <w:jc w:val="right"/>
            </w:pPr>
            <w:r>
              <w:rPr>
                <w:color w:val="1C3A36"/>
                <w:sz w:val="16"/>
              </w:rPr>
              <w:t>The model is built in dollars and converted to dirhams at the peg</w:t>
            </w:r>
          </w:p>
        </w:tc>
        <w:tc>
          <w:tcPr>
            <w:tcW w:type="dxa" w:w="3276"/>
          </w:tcPr>
          <w:p>
            <w:pPr>
              <w:spacing w:after="20"/>
              <w:jc w:val="right"/>
            </w:pPr>
            <w:r>
              <w:rPr>
                <w:color w:val="1C3A36"/>
                <w:sz w:val="16"/>
              </w:rPr>
              <w:t>The company states in its accounts that the dollar is its functional and presentation currency; re-expressing three audited years into dirhams would add translation noise the source data does not contain</w:t>
            </w:r>
          </w:p>
        </w:tc>
        <w:tc>
          <w:tcPr>
            <w:tcW w:type="dxa" w:w="2835"/>
          </w:tcPr>
          <w:p>
            <w:pPr>
              <w:spacing w:after="20"/>
              <w:jc w:val="right"/>
            </w:pPr>
            <w:r>
              <w:rPr>
                <w:color w:val="1C3A36"/>
                <w:sz w:val="16"/>
              </w:rPr>
              <w:t>A change of functional currency, or the end of the dirham peg</w:t>
            </w:r>
          </w:p>
        </w:tc>
      </w:tr>
      <w:tr>
        <w:tc>
          <w:tcPr>
            <w:tcW w:type="dxa" w:w="1827"/>
          </w:tcPr>
          <w:p>
            <w:pPr>
              <w:spacing w:after="20"/>
            </w:pPr>
            <w:r>
              <w:rPr>
                <w:color w:val="1C3A36"/>
                <w:sz w:val="16"/>
              </w:rPr>
              <w:t>The terminal question is computed both ways rather than resolved</w:t>
            </w:r>
          </w:p>
        </w:tc>
        <w:tc>
          <w:tcPr>
            <w:tcW w:type="dxa" w:w="2142"/>
          </w:tcPr>
          <w:p>
            <w:pPr>
              <w:spacing w:after="20"/>
              <w:jc w:val="right"/>
            </w:pPr>
            <w:r>
              <w:rPr>
                <w:color w:val="1C3A36"/>
                <w:sz w:val="16"/>
              </w:rPr>
              <w:t>Two full discounted-cash-flow cases, weighted equally, published side by side</w:t>
            </w:r>
          </w:p>
        </w:tc>
        <w:tc>
          <w:tcPr>
            <w:tcW w:type="dxa" w:w="3276"/>
          </w:tcPr>
          <w:p>
            <w:pPr>
              <w:spacing w:after="20"/>
              <w:jc w:val="right"/>
            </w:pPr>
            <w:r>
              <w:rPr>
                <w:color w:val="1C3A36"/>
                <w:sz w:val="16"/>
              </w:rPr>
              <w:t>The company has explicitly declined to guide beyond 2026 until phasing is fixed, so there is no evidential basis on which to prefer one</w:t>
            </w:r>
          </w:p>
        </w:tc>
        <w:tc>
          <w:tcPr>
            <w:tcW w:type="dxa" w:w="2835"/>
          </w:tcPr>
          <w:p>
            <w:pPr>
              <w:spacing w:after="20"/>
              <w:jc w:val="right"/>
            </w:pPr>
            <w:r>
              <w:rPr>
                <w:color w:val="1C3A36"/>
                <w:sz w:val="16"/>
              </w:rPr>
              <w:t>Published 2027 and medium-term guidance</w:t>
            </w:r>
          </w:p>
        </w:tc>
      </w:tr>
      <w:tr>
        <w:tc>
          <w:tcPr>
            <w:tcW w:type="dxa" w:w="1827"/>
          </w:tcPr>
          <w:p>
            <w:pPr>
              <w:spacing w:after="20"/>
            </w:pPr>
            <w:r>
              <w:rPr>
                <w:color w:val="1C3A36"/>
                <w:sz w:val="16"/>
              </w:rPr>
              <w:t>The beta is regressed against the published index, not a constructed composite</w:t>
            </w:r>
          </w:p>
        </w:tc>
        <w:tc>
          <w:tcPr>
            <w:tcW w:type="dxa" w:w="2142"/>
          </w:tcPr>
          <w:p>
            <w:pPr>
              <w:spacing w:after="20"/>
              <w:jc w:val="right"/>
            </w:pPr>
            <w:r>
              <w:rPr>
                <w:color w:val="1C3A36"/>
                <w:sz w:val="16"/>
              </w:rPr>
              <w:t>0.795, from a five-year weekly regression against the FTSE ADX General Index</w:t>
            </w:r>
          </w:p>
        </w:tc>
        <w:tc>
          <w:tcPr>
            <w:tcW w:type="dxa" w:w="3276"/>
          </w:tcPr>
          <w:p>
            <w:pPr>
              <w:spacing w:after="20"/>
              <w:jc w:val="right"/>
            </w:pPr>
            <w:r>
              <w:rPr>
                <w:color w:val="1C3A36"/>
                <w:sz w:val="16"/>
              </w:rPr>
              <w:t>The listing dates from October 2021, so a full five-year window exists and clears the usability standard: 247 observations, R-squared 0.128, standard error 0.133. This SUPERSEDES an earlier 0.664 measured against an equal-weight composite of the market's listed names. A composite of that kind under-weights the large-capitalisation constituents the published index is concentrated in, and the difference is worth +0.132 of beta despite a weekly return correlation of 0.84 between the two series</w:t>
            </w:r>
          </w:p>
        </w:tc>
        <w:tc>
          <w:tcPr>
            <w:tcW w:type="dxa" w:w="2835"/>
          </w:tcPr>
          <w:p>
            <w:pPr>
              <w:spacing w:after="20"/>
              <w:jc w:val="right"/>
            </w:pPr>
            <w:r>
              <w:rPr>
                <w:color w:val="1C3A36"/>
                <w:sz w:val="16"/>
              </w:rPr>
              <w:t>A materially different beta from a longer record, or a stress episode that breaks the historical correlation. The valuation is more sensitive to this than to any other input, and the estimate is not stable across windows — the three-year run gives 1.025 and the monthly run 0.471</w:t>
            </w:r>
          </w:p>
        </w:tc>
      </w:tr>
      <w:tr>
        <w:tc>
          <w:tcPr>
            <w:tcW w:type="dxa" w:w="1827"/>
          </w:tcPr>
          <w:p>
            <w:pPr>
              <w:spacing w:after="20"/>
            </w:pPr>
            <w:r>
              <w:rPr>
                <w:color w:val="1C3A36"/>
                <w:sz w:val="16"/>
              </w:rPr>
              <w:t>The cost of debt is term-matched, not spot</w:t>
            </w:r>
          </w:p>
        </w:tc>
        <w:tc>
          <w:tcPr>
            <w:tcW w:type="dxa" w:w="2142"/>
          </w:tcPr>
          <w:p>
            <w:pPr>
              <w:spacing w:after="20"/>
              <w:jc w:val="right"/>
            </w:pPr>
            <w:r>
              <w:rPr>
                <w:color w:val="1C3A36"/>
                <w:sz w:val="16"/>
              </w:rPr>
              <w:t>5.15%, the five-year Treasury yield plus the company's own 0.75% facility margin</w:t>
            </w:r>
          </w:p>
        </w:tc>
        <w:tc>
          <w:tcPr>
            <w:tcW w:type="dxa" w:w="3276"/>
          </w:tcPr>
          <w:p>
            <w:pPr>
              <w:spacing w:after="20"/>
              <w:jc w:val="right"/>
            </w:pPr>
            <w:r>
              <w:rPr>
                <w:color w:val="1C3A36"/>
                <w:sz w:val="16"/>
              </w:rPr>
              <w:t>A five-year facility should be priced off a five-year rate. The spot floating cost and the trailing accounting rate were both computed and both fail the test that a same-currency corporate cannot borrow below its own sovereign</w:t>
            </w:r>
          </w:p>
        </w:tc>
        <w:tc>
          <w:tcPr>
            <w:tcW w:type="dxa" w:w="2835"/>
          </w:tcPr>
          <w:p>
            <w:pPr>
              <w:spacing w:after="20"/>
              <w:jc w:val="right"/>
            </w:pPr>
            <w:r>
              <w:rPr>
                <w:color w:val="1C3A36"/>
                <w:sz w:val="16"/>
              </w:rPr>
              <w:t>A new facility priced differently, or a change in the sovereign spread</w:t>
            </w:r>
          </w:p>
        </w:tc>
      </w:tr>
      <w:tr>
        <w:tc>
          <w:tcPr>
            <w:tcW w:type="dxa" w:w="1827"/>
          </w:tcPr>
          <w:p>
            <w:pPr>
              <w:spacing w:after="20"/>
            </w:pPr>
            <w:r>
              <w:rPr>
                <w:color w:val="1C3A36"/>
                <w:sz w:val="16"/>
              </w:rPr>
              <w:t>The unconventional programme earns almost no margin</w:t>
            </w:r>
          </w:p>
        </w:tc>
        <w:tc>
          <w:tcPr>
            <w:tcW w:type="dxa" w:w="2142"/>
          </w:tcPr>
          <w:p>
            <w:pPr>
              <w:spacing w:after="20"/>
              <w:jc w:val="right"/>
            </w:pPr>
            <w:r>
              <w:rPr>
                <w:color w:val="1C3A36"/>
                <w:sz w:val="16"/>
              </w:rPr>
              <w:t>6.5% EBITDA margin, triangulated two ways in the workbook and averaged there</w:t>
            </w:r>
          </w:p>
        </w:tc>
        <w:tc>
          <w:tcPr>
            <w:tcW w:type="dxa" w:w="3276"/>
          </w:tcPr>
          <w:p>
            <w:pPr>
              <w:spacing w:after="20"/>
              <w:jc w:val="right"/>
            </w:pPr>
            <w:r>
              <w:rPr>
                <w:color w:val="1C3A36"/>
                <w:sz w:val="16"/>
              </w:rPr>
              <w:t>The company discloses a conventional EBITDA margin separately from the group margin; the difference between them, applied to the disclosed unconventional revenue, is what is left</w:t>
            </w:r>
          </w:p>
        </w:tc>
        <w:tc>
          <w:tcPr>
            <w:tcW w:type="dxa" w:w="2835"/>
          </w:tcPr>
          <w:p>
            <w:pPr>
              <w:spacing w:after="20"/>
              <w:jc w:val="right"/>
            </w:pPr>
            <w:r>
              <w:rPr>
                <w:color w:val="1C3A36"/>
                <w:sz w:val="16"/>
              </w:rPr>
              <w:t>A disclosed segment margin for the unconventional business, or a materially different group margin once the programme runs off</w:t>
            </w:r>
          </w:p>
        </w:tc>
      </w:tr>
      <w:tr>
        <w:tc>
          <w:tcPr>
            <w:tcW w:type="dxa" w:w="1827"/>
          </w:tcPr>
          <w:p>
            <w:pPr>
              <w:spacing w:after="20"/>
            </w:pPr>
            <w:r>
              <w:rPr>
                <w:color w:val="1C3A36"/>
                <w:sz w:val="16"/>
              </w:rPr>
              <w:t>Revenue per regional rig is roughly 40% of the Abu Dhabi rate</w:t>
            </w:r>
          </w:p>
        </w:tc>
        <w:tc>
          <w:tcPr>
            <w:tcW w:type="dxa" w:w="2142"/>
          </w:tcPr>
          <w:p>
            <w:pPr>
              <w:spacing w:after="20"/>
              <w:jc w:val="right"/>
            </w:pPr>
            <w:r>
              <w:rPr>
                <w:color w:val="1C3A36"/>
                <w:sz w:val="16"/>
              </w:rPr>
              <w:t>USD 8.0 million per rig-year</w:t>
            </w:r>
          </w:p>
        </w:tc>
        <w:tc>
          <w:tcPr>
            <w:tcW w:type="dxa" w:w="3276"/>
          </w:tcPr>
          <w:p>
            <w:pPr>
              <w:spacing w:after="20"/>
              <w:jc w:val="right"/>
            </w:pPr>
            <w:r>
              <w:rPr>
                <w:color w:val="1C3A36"/>
                <w:sz w:val="16"/>
              </w:rPr>
              <w:t>Derived by subtracting the Abu Dhabi fleet at its disclosed realised rate from the reported first-half onshore revenue, leaving what the regional rigs earned</w:t>
            </w:r>
          </w:p>
        </w:tc>
        <w:tc>
          <w:tcPr>
            <w:tcW w:type="dxa" w:w="2835"/>
          </w:tcPr>
          <w:p>
            <w:pPr>
              <w:spacing w:after="20"/>
              <w:jc w:val="right"/>
            </w:pPr>
            <w:r>
              <w:rPr>
                <w:color w:val="1C3A36"/>
                <w:sz w:val="16"/>
              </w:rPr>
              <w:t>A full year of reported regional data, which does not yet exist</w:t>
            </w:r>
          </w:p>
        </w:tc>
      </w:tr>
      <w:tr>
        <w:tc>
          <w:tcPr>
            <w:tcW w:type="dxa" w:w="1827"/>
          </w:tcPr>
          <w:p>
            <w:pPr>
              <w:spacing w:after="20"/>
            </w:pPr>
            <w:r>
              <w:rPr>
                <w:color w:val="1C3A36"/>
                <w:sz w:val="16"/>
              </w:rPr>
              <w:t>Terminal return on invested capital fades to 18%</w:t>
            </w:r>
          </w:p>
        </w:tc>
        <w:tc>
          <w:tcPr>
            <w:tcW w:type="dxa" w:w="2142"/>
          </w:tcPr>
          <w:p>
            <w:pPr>
              <w:spacing w:after="20"/>
              <w:jc w:val="right"/>
            </w:pPr>
            <w:r>
              <w:rPr>
                <w:color w:val="1C3A36"/>
                <w:sz w:val="16"/>
              </w:rPr>
              <w:t>From a demonstrated 23% return on capital employed</w:t>
            </w:r>
          </w:p>
        </w:tc>
        <w:tc>
          <w:tcPr>
            <w:tcW w:type="dxa" w:w="3276"/>
          </w:tcPr>
          <w:p>
            <w:pPr>
              <w:spacing w:after="20"/>
              <w:jc w:val="right"/>
            </w:pPr>
            <w:r>
              <w:rPr>
                <w:color w:val="1C3A36"/>
                <w:sz w:val="16"/>
              </w:rPr>
              <w:t>Holding 23% in perpetuity capitalises an incumbency that faces renegotiation at every contract roll; fading to the cost of capital would contradict a record sustained through a full commodity cycle</w:t>
            </w:r>
          </w:p>
        </w:tc>
        <w:tc>
          <w:tcPr>
            <w:tcW w:type="dxa" w:w="2835"/>
          </w:tcPr>
          <w:p>
            <w:pPr>
              <w:spacing w:after="20"/>
              <w:jc w:val="right"/>
            </w:pPr>
            <w:r>
              <w:rPr>
                <w:color w:val="1C3A36"/>
                <w:sz w:val="16"/>
              </w:rPr>
              <w:t>A contract renewal at materially different terms</w:t>
            </w:r>
          </w:p>
        </w:tc>
      </w:tr>
      <w:tr>
        <w:tc>
          <w:tcPr>
            <w:tcW w:type="dxa" w:w="1827"/>
          </w:tcPr>
          <w:p>
            <w:pPr>
              <w:spacing w:after="20"/>
            </w:pPr>
            <w:r>
              <w:rPr>
                <w:color w:val="1C3A36"/>
                <w:sz w:val="16"/>
              </w:rPr>
              <w:t>Costs escalate one class at a time</w:t>
            </w:r>
          </w:p>
        </w:tc>
        <w:tc>
          <w:tcPr>
            <w:tcW w:type="dxa" w:w="2142"/>
          </w:tcPr>
          <w:p>
            <w:pPr>
              <w:spacing w:after="20"/>
              <w:jc w:val="right"/>
            </w:pPr>
            <w:r>
              <w:rPr>
                <w:color w:val="1C3A36"/>
                <w:sz w:val="16"/>
              </w:rPr>
              <w:t>A wage index on labour, an oilfield-services index on maintenance and equipment hire, and the commodity's own path on fuel</w:t>
            </w:r>
          </w:p>
        </w:tc>
        <w:tc>
          <w:tcPr>
            <w:tcW w:type="dxa" w:w="3276"/>
          </w:tcPr>
          <w:p>
            <w:pPr>
              <w:spacing w:after="20"/>
              <w:jc w:val="right"/>
            </w:pPr>
            <w:r>
              <w:rPr>
                <w:color w:val="1C3A36"/>
                <w:sz w:val="16"/>
              </w:rPr>
              <w:t>A single blended index across physically different cost lines manufactures a margin trend that is an artifact of the assumption rather than of the business</w:t>
            </w:r>
          </w:p>
        </w:tc>
        <w:tc>
          <w:tcPr>
            <w:tcW w:type="dxa" w:w="2835"/>
          </w:tcPr>
          <w:p>
            <w:pPr>
              <w:spacing w:after="20"/>
              <w:jc w:val="right"/>
            </w:pPr>
            <w:r>
              <w:rPr>
                <w:color w:val="1C3A36"/>
                <w:sz w:val="16"/>
              </w:rPr>
              <w:t>Disclosure of the actual contractual escalation mechanics, which are not published</w:t>
            </w:r>
          </w:p>
        </w:tc>
      </w:tr>
      <w:tr>
        <w:tc>
          <w:tcPr>
            <w:tcW w:type="dxa" w:w="1827"/>
          </w:tcPr>
          <w:p>
            <w:pPr>
              <w:spacing w:after="20"/>
            </w:pPr>
            <w:r>
              <w:rPr>
                <w:color w:val="1C3A36"/>
                <w:sz w:val="16"/>
              </w:rPr>
              <w:t>Debt is held flat and only the guided dividend floor is paid</w:t>
            </w:r>
          </w:p>
        </w:tc>
        <w:tc>
          <w:tcPr>
            <w:tcW w:type="dxa" w:w="2142"/>
          </w:tcPr>
          <w:p>
            <w:pPr>
              <w:spacing w:after="20"/>
              <w:jc w:val="right"/>
            </w:pPr>
            <w:r>
              <w:rPr>
                <w:color w:val="1C3A36"/>
                <w:sz w:val="16"/>
              </w:rPr>
              <w:t>Cash accumulates and net debt turns negative by 2030</w:t>
            </w:r>
          </w:p>
        </w:tc>
        <w:tc>
          <w:tcPr>
            <w:tcW w:type="dxa" w:w="3276"/>
          </w:tcPr>
          <w:p>
            <w:pPr>
              <w:spacing w:after="20"/>
              <w:jc w:val="right"/>
            </w:pPr>
            <w:r>
              <w:rPr>
                <w:color w:val="1C3A36"/>
                <w:sz w:val="16"/>
              </w:rPr>
              <w:t>The company guides to leverage below 2.0 times and runs at 1.0 times, and the dividend floor is the only distribution it has committed to</w:t>
            </w:r>
          </w:p>
        </w:tc>
        <w:tc>
          <w:tcPr>
            <w:tcW w:type="dxa" w:w="2835"/>
          </w:tcPr>
          <w:p>
            <w:pPr>
              <w:spacing w:after="20"/>
              <w:jc w:val="right"/>
            </w:pPr>
            <w:r>
              <w:rPr>
                <w:color w:val="1C3A36"/>
                <w:sz w:val="16"/>
              </w:rPr>
              <w:t>Any capital-allocation announcement. This affects the forecast balance sheet, not the enterprise value</w:t>
            </w:r>
          </w:p>
        </w:tc>
      </w:tr>
    </w:tbl>
    <w:p>
      <w:pPr>
        <w:spacing w:after="40"/>
      </w:pPr>
    </w:p>
    <w:p>
      <w:r>
        <w:br w:type="page"/>
      </w:r>
    </w:p>
    <w:p>
      <w:pPr>
        <w:spacing w:after="120" w:before="280"/>
      </w:pPr>
      <w:r>
        <w:rPr>
          <w:b/>
          <w:i w:val="0"/>
          <w:color w:val="1C3A36"/>
          <w:sz w:val="30"/>
        </w:rPr>
        <w:t>4. Negative results — what was looked for and not found</w:t>
      </w:r>
    </w:p>
    <w:p>
      <w:pPr>
        <w:spacing w:after="120" w:before="0"/>
      </w:pPr>
      <w:r>
        <w:rPr>
          <w:b w:val="0"/>
          <w:i w:val="0"/>
          <w:color w:val="1C3A36"/>
          <w:sz w:val="21"/>
        </w:rPr>
        <w:t>A register of sources is only honest if it records the searches that failed. Each row below is something this study would have used and could not obtain, together with what was done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53"/>
        <w:gridCol w:w="1953"/>
        <w:gridCol w:w="2961"/>
        <w:gridCol w:w="3213"/>
      </w:tblGrid>
      <w:tr>
        <w:tc>
          <w:tcPr>
            <w:tcW w:type="dxa" w:w="1953"/>
            <w:shd w:val="clear" w:color="auto" w:fill="EAF0EE"/>
          </w:tcPr>
          <w:p>
            <w:pPr>
              <w:spacing w:after="20"/>
            </w:pPr>
            <w:r>
              <w:rPr>
                <w:b/>
                <w:color w:val="1C3A36"/>
                <w:sz w:val="16"/>
              </w:rPr>
              <w:t>What was sought</w:t>
            </w:r>
          </w:p>
        </w:tc>
        <w:tc>
          <w:tcPr>
            <w:tcW w:type="dxa" w:w="1953"/>
            <w:shd w:val="clear" w:color="auto" w:fill="EAF0EE"/>
          </w:tcPr>
          <w:p>
            <w:pPr>
              <w:spacing w:after="20"/>
            </w:pPr>
            <w:r>
              <w:rPr>
                <w:b/>
                <w:color w:val="1C3A36"/>
                <w:sz w:val="16"/>
              </w:rPr>
              <w:t>Where</w:t>
            </w:r>
          </w:p>
        </w:tc>
        <w:tc>
          <w:tcPr>
            <w:tcW w:type="dxa" w:w="2961"/>
            <w:shd w:val="clear" w:color="auto" w:fill="EAF0EE"/>
          </w:tcPr>
          <w:p>
            <w:pPr>
              <w:spacing w:after="20"/>
            </w:pPr>
            <w:r>
              <w:rPr>
                <w:b/>
                <w:color w:val="1C3A36"/>
                <w:sz w:val="16"/>
              </w:rPr>
              <w:t>Outcome</w:t>
            </w:r>
          </w:p>
        </w:tc>
        <w:tc>
          <w:tcPr>
            <w:tcW w:type="dxa" w:w="3213"/>
            <w:shd w:val="clear" w:color="auto" w:fill="EAF0EE"/>
          </w:tcPr>
          <w:p>
            <w:pPr>
              <w:spacing w:after="20"/>
            </w:pPr>
            <w:r>
              <w:rPr>
                <w:b/>
                <w:color w:val="1C3A36"/>
                <w:sz w:val="16"/>
              </w:rPr>
              <w:t>What was done instead</w:t>
            </w:r>
          </w:p>
        </w:tc>
      </w:tr>
      <w:tr>
        <w:tc>
          <w:tcPr>
            <w:tcW w:type="dxa" w:w="1953"/>
          </w:tcPr>
          <w:p>
            <w:pPr>
              <w:spacing w:after="20"/>
            </w:pPr>
            <w:r>
              <w:rPr>
                <w:color w:val="1C3A36"/>
                <w:sz w:val="16"/>
              </w:rPr>
              <w:t>Contract tenor, day-rate mechanics and repricing terms</w:t>
            </w:r>
          </w:p>
        </w:tc>
        <w:tc>
          <w:tcPr>
            <w:tcW w:type="dxa" w:w="1953"/>
          </w:tcPr>
          <w:p>
            <w:pPr>
              <w:spacing w:after="20"/>
              <w:jc w:val="right"/>
            </w:pPr>
            <w:r>
              <w:rPr>
                <w:color w:val="1C3A36"/>
                <w:sz w:val="16"/>
              </w:rPr>
              <w:t>All annual and interim filings, all management commentary, the corporate presentation and the second-quarter 2026 earnings call transcript</w:t>
            </w:r>
          </w:p>
        </w:tc>
        <w:tc>
          <w:tcPr>
            <w:tcW w:type="dxa" w:w="2961"/>
          </w:tcPr>
          <w:p>
            <w:pPr>
              <w:spacing w:after="20"/>
              <w:jc w:val="right"/>
            </w:pPr>
            <w:r>
              <w:rPr>
                <w:color w:val="1C3A36"/>
                <w:sz w:val="16"/>
              </w:rPr>
              <w:t>Not disclosed anywhere. The company describes its revenue base as "highly contracted" and as supporting visibility "through at least 2030", but publishes no tenor, no rate and no escalation mechanism</w:t>
            </w:r>
          </w:p>
        </w:tc>
        <w:tc>
          <w:tcPr>
            <w:tcW w:type="dxa" w:w="3213"/>
          </w:tcPr>
          <w:p>
            <w:pPr>
              <w:spacing w:after="20"/>
              <w:jc w:val="right"/>
            </w:pPr>
            <w:r>
              <w:rPr>
                <w:color w:val="1C3A36"/>
                <w:sz w:val="16"/>
              </w:rPr>
              <w:t>Realised revenue per rig-year is derived from disclosed segment revenue and disclosed rig counts, and escalated at domestic inflation rather than at an assumed contractual rate. The gap is flagged in the study caveats</w:t>
            </w:r>
          </w:p>
        </w:tc>
      </w:tr>
      <w:tr>
        <w:tc>
          <w:tcPr>
            <w:tcW w:type="dxa" w:w="1953"/>
          </w:tcPr>
          <w:p>
            <w:pPr>
              <w:spacing w:after="20"/>
            </w:pPr>
            <w:r>
              <w:rPr>
                <w:color w:val="1C3A36"/>
                <w:sz w:val="16"/>
              </w:rPr>
              <w:t>Backlog on the basis other listed drillers report it</w:t>
            </w:r>
          </w:p>
        </w:tc>
        <w:tc>
          <w:tcPr>
            <w:tcW w:type="dxa" w:w="1953"/>
          </w:tcPr>
          <w:p>
            <w:pPr>
              <w:spacing w:after="20"/>
              <w:jc w:val="right"/>
            </w:pPr>
            <w:r>
              <w:rPr>
                <w:color w:val="1C3A36"/>
                <w:sz w:val="16"/>
              </w:rPr>
              <w:t>All filings</w:t>
            </w:r>
          </w:p>
        </w:tc>
        <w:tc>
          <w:tcPr>
            <w:tcW w:type="dxa" w:w="2961"/>
          </w:tcPr>
          <w:p>
            <w:pPr>
              <w:spacing w:after="20"/>
              <w:jc w:val="right"/>
            </w:pPr>
            <w:r>
              <w:rPr>
                <w:color w:val="1C3A36"/>
                <w:sz w:val="16"/>
              </w:rPr>
              <w:t>Not published. The accounts disclose USD 19.4 million of unsatisfied performance obligations, which is a revenue-recognition measure covering work already promised and not a contract backlog</w:t>
            </w:r>
          </w:p>
        </w:tc>
        <w:tc>
          <w:tcPr>
            <w:tcW w:type="dxa" w:w="3213"/>
          </w:tcPr>
          <w:p>
            <w:pPr>
              <w:spacing w:after="20"/>
              <w:jc w:val="right"/>
            </w:pPr>
            <w:r>
              <w:rPr>
                <w:color w:val="1C3A36"/>
                <w:sz w:val="16"/>
              </w:rPr>
              <w:t>The contracted-cash-flow expert treats the five forecast years as the contracted book rather than relying on a published backlog figure, and says so</w:t>
            </w:r>
          </w:p>
        </w:tc>
      </w:tr>
      <w:tr>
        <w:tc>
          <w:tcPr>
            <w:tcW w:type="dxa" w:w="1953"/>
          </w:tcPr>
          <w:p>
            <w:pPr>
              <w:spacing w:after="20"/>
            </w:pPr>
            <w:r>
              <w:rPr>
                <w:color w:val="1C3A36"/>
                <w:sz w:val="16"/>
              </w:rPr>
              <w:t>Guidance for 2027 and beyond</w:t>
            </w:r>
          </w:p>
        </w:tc>
        <w:tc>
          <w:tcPr>
            <w:tcW w:type="dxa" w:w="1953"/>
          </w:tcPr>
          <w:p>
            <w:pPr>
              <w:spacing w:after="20"/>
              <w:jc w:val="right"/>
            </w:pPr>
            <w:r>
              <w:rPr>
                <w:color w:val="1C3A36"/>
                <w:sz w:val="16"/>
              </w:rPr>
              <w:t>The full-year 2025 results, the first-quarter 2026 results and the first-half 2026 results</w:t>
            </w:r>
          </w:p>
        </w:tc>
        <w:tc>
          <w:tcPr>
            <w:tcW w:type="dxa" w:w="2961"/>
          </w:tcPr>
          <w:p>
            <w:pPr>
              <w:spacing w:after="20"/>
              <w:jc w:val="right"/>
            </w:pPr>
            <w:r>
              <w:rPr>
                <w:color w:val="1C3A36"/>
                <w:sz w:val="16"/>
              </w:rPr>
              <w:t>Withheld. The company states guidance will be provided "as the phasing for additional rigs and additional OFS volumes is finalized"</w:t>
            </w:r>
          </w:p>
        </w:tc>
        <w:tc>
          <w:tcPr>
            <w:tcW w:type="dxa" w:w="3213"/>
          </w:tcPr>
          <w:p>
            <w:pPr>
              <w:spacing w:after="20"/>
              <w:jc w:val="right"/>
            </w:pPr>
            <w:r>
              <w:rPr>
                <w:color w:val="1C3A36"/>
                <w:sz w:val="16"/>
              </w:rPr>
              <w:t>The study carries two full cases instead of one, weighted equally, and does not average them</w:t>
            </w:r>
          </w:p>
        </w:tc>
      </w:tr>
      <w:tr>
        <w:tc>
          <w:tcPr>
            <w:tcW w:type="dxa" w:w="1953"/>
          </w:tcPr>
          <w:p>
            <w:pPr>
              <w:spacing w:after="20"/>
            </w:pPr>
            <w:r>
              <w:rPr>
                <w:color w:val="1C3A36"/>
                <w:sz w:val="16"/>
              </w:rPr>
              <w:t>A separately disclosed margin for the unconventional business</w:t>
            </w:r>
          </w:p>
        </w:tc>
        <w:tc>
          <w:tcPr>
            <w:tcW w:type="dxa" w:w="1953"/>
          </w:tcPr>
          <w:p>
            <w:pPr>
              <w:spacing w:after="20"/>
              <w:jc w:val="right"/>
            </w:pPr>
            <w:r>
              <w:rPr>
                <w:color w:val="1C3A36"/>
                <w:sz w:val="16"/>
              </w:rPr>
              <w:t>All filings and management commentary</w:t>
            </w:r>
          </w:p>
        </w:tc>
        <w:tc>
          <w:tcPr>
            <w:tcW w:type="dxa" w:w="2961"/>
          </w:tcPr>
          <w:p>
            <w:pPr>
              <w:spacing w:after="20"/>
              <w:jc w:val="right"/>
            </w:pPr>
            <w:r>
              <w:rPr>
                <w:color w:val="1C3A36"/>
                <w:sz w:val="16"/>
              </w:rPr>
              <w:t>Not disclosed. Only a conventional margin and a group margin are published</w:t>
            </w:r>
          </w:p>
        </w:tc>
        <w:tc>
          <w:tcPr>
            <w:tcW w:type="dxa" w:w="3213"/>
          </w:tcPr>
          <w:p>
            <w:pPr>
              <w:spacing w:after="20"/>
              <w:jc w:val="right"/>
            </w:pPr>
            <w:r>
              <w:rPr>
                <w:color w:val="1C3A36"/>
                <w:sz w:val="16"/>
              </w:rPr>
              <w:t>The unconventional margin is inferred from the difference between the two, by two independent methods that are shown and averaged in the workbook</w:t>
            </w:r>
          </w:p>
        </w:tc>
      </w:tr>
      <w:tr>
        <w:tc>
          <w:tcPr>
            <w:tcW w:type="dxa" w:w="1953"/>
          </w:tcPr>
          <w:p>
            <w:pPr>
              <w:spacing w:after="20"/>
            </w:pPr>
            <w:r>
              <w:rPr>
                <w:color w:val="1C3A36"/>
                <w:sz w:val="16"/>
              </w:rPr>
              <w:t>Segment-level results for the acquired regional businesses</w:t>
            </w:r>
          </w:p>
        </w:tc>
        <w:tc>
          <w:tcPr>
            <w:tcW w:type="dxa" w:w="1953"/>
          </w:tcPr>
          <w:p>
            <w:pPr>
              <w:spacing w:after="20"/>
              <w:jc w:val="right"/>
            </w:pPr>
            <w:r>
              <w:rPr>
                <w:color w:val="1C3A36"/>
                <w:sz w:val="16"/>
              </w:rPr>
              <w:t>First-quarter and first-half 2026 filings</w:t>
            </w:r>
          </w:p>
        </w:tc>
        <w:tc>
          <w:tcPr>
            <w:tcW w:type="dxa" w:w="2961"/>
          </w:tcPr>
          <w:p>
            <w:pPr>
              <w:spacing w:after="20"/>
              <w:jc w:val="right"/>
            </w:pPr>
            <w:r>
              <w:rPr>
                <w:color w:val="1C3A36"/>
                <w:sz w:val="16"/>
              </w:rPr>
              <w:t>Not disclosed separately. The regional rigs are consolidated into the Onshore segment</w:t>
            </w:r>
          </w:p>
        </w:tc>
        <w:tc>
          <w:tcPr>
            <w:tcW w:type="dxa" w:w="3213"/>
          </w:tcPr>
          <w:p>
            <w:pPr>
              <w:spacing w:after="20"/>
              <w:jc w:val="right"/>
            </w:pPr>
            <w:r>
              <w:rPr>
                <w:color w:val="1C3A36"/>
                <w:sz w:val="16"/>
              </w:rPr>
              <w:t>Revenue per regional rig is derived by subtraction and flagged as the least well-supported unit rate in the model</w:t>
            </w:r>
          </w:p>
        </w:tc>
      </w:tr>
      <w:tr>
        <w:tc>
          <w:tcPr>
            <w:tcW w:type="dxa" w:w="1953"/>
          </w:tcPr>
          <w:p>
            <w:pPr>
              <w:spacing w:after="20"/>
            </w:pPr>
            <w:r>
              <w:rPr>
                <w:color w:val="1C3A36"/>
                <w:sz w:val="16"/>
              </w:rPr>
              <w:t>The exchange disclosure portal</w:t>
            </w:r>
          </w:p>
        </w:tc>
        <w:tc>
          <w:tcPr>
            <w:tcW w:type="dxa" w:w="1953"/>
          </w:tcPr>
          <w:p>
            <w:pPr>
              <w:spacing w:after="20"/>
              <w:jc w:val="right"/>
            </w:pPr>
            <w:r>
              <w:rPr>
                <w:color w:val="1C3A36"/>
                <w:sz w:val="16"/>
              </w:rPr>
              <w:t>adx.ae</w:t>
            </w:r>
          </w:p>
        </w:tc>
        <w:tc>
          <w:tcPr>
            <w:tcW w:type="dxa" w:w="2961"/>
          </w:tcPr>
          <w:p>
            <w:pPr>
              <w:spacing w:after="20"/>
              <w:jc w:val="right"/>
            </w:pPr>
            <w:r>
              <w:rPr>
                <w:color w:val="1C3A36"/>
                <w:sz w:val="16"/>
              </w:rPr>
              <w:t>Returned an access error from this environment on 9 August 2026</w:t>
            </w:r>
          </w:p>
        </w:tc>
        <w:tc>
          <w:tcPr>
            <w:tcW w:type="dxa" w:w="3213"/>
          </w:tcPr>
          <w:p>
            <w:pPr>
              <w:spacing w:after="20"/>
              <w:jc w:val="right"/>
            </w:pPr>
            <w:r>
              <w:rPr>
                <w:color w:val="1C3A36"/>
                <w:sz w:val="16"/>
              </w:rPr>
              <w:t>Not required. Every filing was obtained directly from the company, which is the primary source in any case</w:t>
            </w:r>
          </w:p>
        </w:tc>
      </w:tr>
      <w:tr>
        <w:tc>
          <w:tcPr>
            <w:tcW w:type="dxa" w:w="1953"/>
          </w:tcPr>
          <w:p>
            <w:pPr>
              <w:spacing w:after="20"/>
            </w:pPr>
            <w:r>
              <w:rPr>
                <w:color w:val="1C3A36"/>
                <w:sz w:val="16"/>
              </w:rPr>
              <w:t>A dirham-denominated government bond curve</w:t>
            </w:r>
          </w:p>
        </w:tc>
        <w:tc>
          <w:tcPr>
            <w:tcW w:type="dxa" w:w="1953"/>
          </w:tcPr>
          <w:p>
            <w:pPr>
              <w:spacing w:after="20"/>
              <w:jc w:val="right"/>
            </w:pPr>
            <w:r>
              <w:rPr>
                <w:color w:val="1C3A36"/>
                <w:sz w:val="16"/>
              </w:rPr>
              <w:t>The central bank of the United Arab Emirates and general market data sources</w:t>
            </w:r>
          </w:p>
        </w:tc>
        <w:tc>
          <w:tcPr>
            <w:tcW w:type="dxa" w:w="2961"/>
          </w:tcPr>
          <w:p>
            <w:pPr>
              <w:spacing w:after="20"/>
              <w:jc w:val="right"/>
            </w:pPr>
            <w:r>
              <w:rPr>
                <w:color w:val="1C3A36"/>
                <w:sz w:val="16"/>
              </w:rPr>
              <w:t>The central bank site returned an access error and the market data source refused the connection</w:t>
            </w:r>
          </w:p>
        </w:tc>
        <w:tc>
          <w:tcPr>
            <w:tcW w:type="dxa" w:w="3213"/>
          </w:tcPr>
          <w:p>
            <w:pPr>
              <w:spacing w:after="20"/>
              <w:jc w:val="right"/>
            </w:pPr>
            <w:r>
              <w:rPr>
                <w:color w:val="1C3A36"/>
                <w:sz w:val="16"/>
              </w:rPr>
              <w:t>Not required for the valuation, which is built in US dollars because the cash flows are. A dirham-basis cross-check would need this curve and is therefore not published rather than being estimated</w:t>
            </w:r>
          </w:p>
        </w:tc>
      </w:tr>
      <w:tr>
        <w:tc>
          <w:tcPr>
            <w:tcW w:type="dxa" w:w="1953"/>
          </w:tcPr>
          <w:p>
            <w:pPr>
              <w:spacing w:after="20"/>
            </w:pPr>
            <w:r>
              <w:rPr>
                <w:color w:val="1C3A36"/>
                <w:sz w:val="16"/>
              </w:rPr>
              <w:t>An index series running to the valuation anchor</w:t>
            </w:r>
          </w:p>
        </w:tc>
        <w:tc>
          <w:tcPr>
            <w:tcW w:type="dxa" w:w="1953"/>
          </w:tcPr>
          <w:p>
            <w:pPr>
              <w:spacing w:after="20"/>
              <w:jc w:val="right"/>
            </w:pPr>
            <w:r>
              <w:rPr>
                <w:color w:val="1C3A36"/>
                <w:sz w:val="16"/>
              </w:rPr>
              <w:t>The supplied index history for the exchange</w:t>
            </w:r>
          </w:p>
        </w:tc>
        <w:tc>
          <w:tcPr>
            <w:tcW w:type="dxa" w:w="2961"/>
          </w:tcPr>
          <w:p>
            <w:pPr>
              <w:spacing w:after="20"/>
              <w:jc w:val="right"/>
            </w:pPr>
            <w:r>
              <w:rPr>
                <w:color w:val="1C3A36"/>
                <w:sz w:val="16"/>
              </w:rPr>
              <w:t>Obtained, but it ends 2026-07-24 against a price anchor of 2026-08-07 — a 14-day gap</w:t>
            </w:r>
          </w:p>
        </w:tc>
        <w:tc>
          <w:tcPr>
            <w:tcW w:type="dxa" w:w="3213"/>
          </w:tcPr>
          <w:p>
            <w:pPr>
              <w:spacing w:after="20"/>
              <w:jc w:val="right"/>
            </w:pPr>
            <w:r>
              <w:rPr>
                <w:color w:val="1C3A36"/>
                <w:sz w:val="16"/>
              </w:rPr>
              <w:t>Used as it stands. The regression's overlap simply ends at the index's last full week, costing two of roughly 250 weekly observations, which does not move the estimate. The gap is stated in the study and the index should be refreshed alongside the price series</w:t>
            </w:r>
          </w:p>
        </w:tc>
      </w:tr>
      <w:tr>
        <w:tc>
          <w:tcPr>
            <w:tcW w:type="dxa" w:w="1953"/>
          </w:tcPr>
          <w:p>
            <w:pPr>
              <w:spacing w:after="20"/>
            </w:pPr>
            <w:r>
              <w:rPr>
                <w:color w:val="1C3A36"/>
                <w:sz w:val="16"/>
              </w:rPr>
              <w:t>Peer rig counts, to compute enterprise value per rig</w:t>
            </w:r>
          </w:p>
        </w:tc>
        <w:tc>
          <w:tcPr>
            <w:tcW w:type="dxa" w:w="1953"/>
          </w:tcPr>
          <w:p>
            <w:pPr>
              <w:spacing w:after="20"/>
              <w:jc w:val="right"/>
            </w:pPr>
            <w:r>
              <w:rPr>
                <w:color w:val="1C3A36"/>
                <w:sz w:val="16"/>
              </w:rPr>
              <w:t>Peer disclosures</w:t>
            </w:r>
          </w:p>
        </w:tc>
        <w:tc>
          <w:tcPr>
            <w:tcW w:type="dxa" w:w="2961"/>
          </w:tcPr>
          <w:p>
            <w:pPr>
              <w:spacing w:after="20"/>
              <w:jc w:val="right"/>
            </w:pPr>
            <w:r>
              <w:rPr>
                <w:color w:val="1C3A36"/>
                <w:sz w:val="16"/>
              </w:rPr>
              <w:t>Not gathered. Collecting rig counts on a consistent definition across thirteen peers was beyond what the peer cross-check needed</w:t>
            </w:r>
          </w:p>
        </w:tc>
        <w:tc>
          <w:tcPr>
            <w:tcW w:type="dxa" w:w="3213"/>
          </w:tcPr>
          <w:p>
            <w:pPr>
              <w:spacing w:after="20"/>
              <w:jc w:val="right"/>
            </w:pPr>
            <w:r>
              <w:rPr>
                <w:color w:val="1C3A36"/>
                <w:sz w:val="16"/>
              </w:rPr>
              <w:t>The relative lens uses enterprise value to EBITDA, which is computable consistently from each peer's own reported figures</w:t>
            </w:r>
          </w:p>
        </w:tc>
      </w:tr>
    </w:tbl>
    <w:p>
      <w:pPr>
        <w:spacing w:after="40"/>
      </w:pPr>
    </w:p>
    <w:p>
      <w:pPr>
        <w:spacing w:after="120" w:before="280"/>
      </w:pPr>
      <w:r>
        <w:rPr>
          <w:b/>
          <w:i w:val="0"/>
          <w:color w:val="1C3A36"/>
          <w:sz w:val="30"/>
        </w:rPr>
        <w:t>5. Third-party data, and where it disagrees</w:t>
      </w:r>
    </w:p>
    <w:p>
      <w:pPr>
        <w:spacing w:after="120" w:before="0"/>
      </w:pPr>
      <w:r>
        <w:rPr>
          <w:b w:val="0"/>
          <w:i w:val="0"/>
          <w:color w:val="1C3A36"/>
          <w:sz w:val="21"/>
        </w:rPr>
        <w:t>Third-party data appears in exactly one place in this study: the peer comparison. Peer prices are market observations at the close on 7 August 2026; peer revenue, EBITDA, debt, cash and share counts are each company's own reported figures as redistributed by a market data service. That is a cross-check use — the relative lens applies a peer MULTIPLE to ADNOC Drilling's OWN audited and guided EBITDA, so no peer figure enters this company's income statement, balance sheet or 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4464"/>
        <w:gridCol w:w="2592"/>
      </w:tblGrid>
      <w:tr>
        <w:tc>
          <w:tcPr>
            <w:tcW w:type="dxa" w:w="3024"/>
            <w:shd w:val="clear" w:color="auto" w:fill="EAF0EE"/>
          </w:tcPr>
          <w:p>
            <w:pPr>
              <w:spacing w:after="20"/>
            </w:pPr>
            <w:r>
              <w:rPr>
                <w:b/>
                <w:color w:val="1C3A36"/>
                <w:sz w:val="17"/>
              </w:rPr>
              <w:t>Where third-party data is used</w:t>
            </w:r>
          </w:p>
        </w:tc>
        <w:tc>
          <w:tcPr>
            <w:tcW w:type="dxa" w:w="4464"/>
            <w:shd w:val="clear" w:color="auto" w:fill="EAF0EE"/>
          </w:tcPr>
          <w:p>
            <w:pPr>
              <w:spacing w:after="20"/>
            </w:pPr>
            <w:r>
              <w:rPr>
                <w:b/>
                <w:color w:val="1C3A36"/>
                <w:sz w:val="17"/>
              </w:rPr>
              <w:t>What it is</w:t>
            </w:r>
          </w:p>
        </w:tc>
        <w:tc>
          <w:tcPr>
            <w:tcW w:type="dxa" w:w="2592"/>
            <w:shd w:val="clear" w:color="auto" w:fill="EAF0EE"/>
          </w:tcPr>
          <w:p>
            <w:pPr>
              <w:spacing w:after="20"/>
            </w:pPr>
            <w:r>
              <w:rPr>
                <w:b/>
                <w:color w:val="1C3A36"/>
                <w:sz w:val="17"/>
              </w:rPr>
              <w:t>What it is not used for</w:t>
            </w:r>
          </w:p>
        </w:tc>
      </w:tr>
      <w:tr>
        <w:tc>
          <w:tcPr>
            <w:tcW w:type="dxa" w:w="3024"/>
          </w:tcPr>
          <w:p>
            <w:pPr>
              <w:spacing w:after="20"/>
            </w:pPr>
            <w:r>
              <w:rPr>
                <w:color w:val="1C3A36"/>
                <w:sz w:val="17"/>
              </w:rPr>
              <w:t>Peer enterprise values and EBITDA</w:t>
            </w:r>
          </w:p>
        </w:tc>
        <w:tc>
          <w:tcPr>
            <w:tcW w:type="dxa" w:w="4464"/>
          </w:tcPr>
          <w:p>
            <w:pPr>
              <w:spacing w:after="20"/>
              <w:jc w:val="right"/>
            </w:pPr>
            <w:r>
              <w:rPr>
                <w:color w:val="1C3A36"/>
                <w:sz w:val="17"/>
              </w:rPr>
              <w:t>Thirteen listed drillers and oilfield-service companies, at their own latest reported periods</w:t>
            </w:r>
          </w:p>
        </w:tc>
        <w:tc>
          <w:tcPr>
            <w:tcW w:type="dxa" w:w="2592"/>
          </w:tcPr>
          <w:p>
            <w:pPr>
              <w:spacing w:after="20"/>
              <w:jc w:val="right"/>
            </w:pPr>
            <w:r>
              <w:rPr>
                <w:color w:val="1C3A36"/>
                <w:sz w:val="17"/>
              </w:rPr>
              <w:t>Any ADNOC Drilling figure</w:t>
            </w:r>
          </w:p>
        </w:tc>
      </w:tr>
      <w:tr>
        <w:tc>
          <w:tcPr>
            <w:tcW w:type="dxa" w:w="3024"/>
          </w:tcPr>
          <w:p>
            <w:pPr>
              <w:spacing w:after="20"/>
            </w:pPr>
            <w:r>
              <w:rPr>
                <w:color w:val="1C3A36"/>
                <w:sz w:val="17"/>
              </w:rPr>
              <w:t>Market interest rates</w:t>
            </w:r>
          </w:p>
        </w:tc>
        <w:tc>
          <w:tcPr>
            <w:tcW w:type="dxa" w:w="4464"/>
          </w:tcPr>
          <w:p>
            <w:pPr>
              <w:spacing w:after="20"/>
              <w:jc w:val="right"/>
            </w:pPr>
            <w:r>
              <w:rPr>
                <w:color w:val="1C3A36"/>
                <w:sz w:val="17"/>
              </w:rPr>
              <w:t>US Treasury yields and the overnight financing rate, from the Federal Reserve H.15 release</w:t>
            </w:r>
          </w:p>
        </w:tc>
        <w:tc>
          <w:tcPr>
            <w:tcW w:type="dxa" w:w="2592"/>
          </w:tcPr>
          <w:p>
            <w:pPr>
              <w:spacing w:after="20"/>
              <w:jc w:val="right"/>
            </w:pPr>
            <w:r>
              <w:rPr>
                <w:color w:val="1C3A36"/>
                <w:sz w:val="17"/>
              </w:rPr>
              <w:t>Anything company-specific</w:t>
            </w:r>
          </w:p>
        </w:tc>
      </w:tr>
      <w:tr>
        <w:tc>
          <w:tcPr>
            <w:tcW w:type="dxa" w:w="3024"/>
          </w:tcPr>
          <w:p>
            <w:pPr>
              <w:spacing w:after="20"/>
            </w:pPr>
            <w:r>
              <w:rPr>
                <w:color w:val="1C3A36"/>
                <w:sz w:val="17"/>
              </w:rPr>
              <w:t>Equity risk premium and sovereign spreads</w:t>
            </w:r>
          </w:p>
        </w:tc>
        <w:tc>
          <w:tcPr>
            <w:tcW w:type="dxa" w:w="4464"/>
          </w:tcPr>
          <w:p>
            <w:pPr>
              <w:spacing w:after="20"/>
              <w:jc w:val="right"/>
            </w:pPr>
            <w:r>
              <w:rPr>
                <w:color w:val="1C3A36"/>
                <w:sz w:val="17"/>
              </w:rPr>
              <w:t>Damodaran country default spreads and risk premiums, file dated 5 January 2026, Abu Dhabi row</w:t>
            </w:r>
          </w:p>
        </w:tc>
        <w:tc>
          <w:tcPr>
            <w:tcW w:type="dxa" w:w="2592"/>
          </w:tcPr>
          <w:p>
            <w:pPr>
              <w:spacing w:after="20"/>
              <w:jc w:val="right"/>
            </w:pPr>
            <w:r>
              <w:rPr>
                <w:color w:val="1C3A36"/>
                <w:sz w:val="17"/>
              </w:rPr>
              <w:t>Anything company-specific</w:t>
            </w:r>
          </w:p>
        </w:tc>
      </w:tr>
      <w:tr>
        <w:tc>
          <w:tcPr>
            <w:tcW w:type="dxa" w:w="3024"/>
          </w:tcPr>
          <w:p>
            <w:pPr>
              <w:spacing w:after="20"/>
            </w:pPr>
            <w:r>
              <w:rPr>
                <w:color w:val="1C3A36"/>
                <w:sz w:val="17"/>
              </w:rPr>
              <w:t>Commodity and price indices</w:t>
            </w:r>
          </w:p>
        </w:tc>
        <w:tc>
          <w:tcPr>
            <w:tcW w:type="dxa" w:w="4464"/>
          </w:tcPr>
          <w:p>
            <w:pPr>
              <w:spacing w:after="20"/>
              <w:jc w:val="right"/>
            </w:pPr>
            <w:r>
              <w:rPr>
                <w:color w:val="1C3A36"/>
                <w:sz w:val="17"/>
              </w:rPr>
              <w:t>Brent, US producer price index for drilling oil and gas wells, and United Arab Emirates consumer price inflation, all via the Federal Reserve Bank of St. Louis</w:t>
            </w:r>
          </w:p>
        </w:tc>
        <w:tc>
          <w:tcPr>
            <w:tcW w:type="dxa" w:w="2592"/>
          </w:tcPr>
          <w:p>
            <w:pPr>
              <w:spacing w:after="20"/>
              <w:jc w:val="right"/>
            </w:pPr>
            <w:r>
              <w:rPr>
                <w:color w:val="1C3A36"/>
                <w:sz w:val="17"/>
              </w:rPr>
              <w:t>Any company revenue or cost figure directly — they set escalation rates only</w:t>
            </w:r>
          </w:p>
        </w:tc>
      </w:tr>
    </w:tbl>
    <w:p>
      <w:pPr>
        <w:spacing w:after="40"/>
      </w:pPr>
    </w:p>
    <w:p>
      <w:pPr>
        <w:spacing w:after="80" w:before="200"/>
      </w:pPr>
      <w:r>
        <w:rPr>
          <w:b/>
          <w:i w:val="0"/>
          <w:color w:val="1C3A36"/>
          <w:sz w:val="24"/>
        </w:rPr>
        <w:t>Discrepancies noted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36"/>
        <w:gridCol w:w="2352"/>
        <w:gridCol w:w="2296"/>
        <w:gridCol w:w="3696"/>
      </w:tblGrid>
      <w:tr>
        <w:tc>
          <w:tcPr>
            <w:tcW w:type="dxa" w:w="1736"/>
            <w:shd w:val="clear" w:color="auto" w:fill="EAF0EE"/>
          </w:tcPr>
          <w:p>
            <w:pPr>
              <w:spacing w:after="20"/>
            </w:pPr>
            <w:r>
              <w:rPr>
                <w:b/>
                <w:color w:val="1C3A36"/>
                <w:sz w:val="16"/>
              </w:rPr>
              <w:t>Figure</w:t>
            </w:r>
          </w:p>
        </w:tc>
        <w:tc>
          <w:tcPr>
            <w:tcW w:type="dxa" w:w="2352"/>
            <w:shd w:val="clear" w:color="auto" w:fill="EAF0EE"/>
          </w:tcPr>
          <w:p>
            <w:pPr>
              <w:spacing w:after="20"/>
            </w:pPr>
            <w:r>
              <w:rPr>
                <w:b/>
                <w:color w:val="1C3A36"/>
                <w:sz w:val="16"/>
              </w:rPr>
              <w:t>Primary source</w:t>
            </w:r>
          </w:p>
        </w:tc>
        <w:tc>
          <w:tcPr>
            <w:tcW w:type="dxa" w:w="2296"/>
            <w:shd w:val="clear" w:color="auto" w:fill="EAF0EE"/>
          </w:tcPr>
          <w:p>
            <w:pPr>
              <w:spacing w:after="20"/>
            </w:pPr>
            <w:r>
              <w:rPr>
                <w:b/>
                <w:color w:val="1C3A36"/>
                <w:sz w:val="16"/>
              </w:rPr>
              <w:t>Elsewhere</w:t>
            </w:r>
          </w:p>
        </w:tc>
        <w:tc>
          <w:tcPr>
            <w:tcW w:type="dxa" w:w="3696"/>
            <w:shd w:val="clear" w:color="auto" w:fill="EAF0EE"/>
          </w:tcPr>
          <w:p>
            <w:pPr>
              <w:spacing w:after="20"/>
            </w:pPr>
            <w:r>
              <w:rPr>
                <w:b/>
                <w:color w:val="1C3A36"/>
                <w:sz w:val="16"/>
              </w:rPr>
              <w:t>Resolution</w:t>
            </w:r>
          </w:p>
        </w:tc>
      </w:tr>
      <w:tr>
        <w:tc>
          <w:tcPr>
            <w:tcW w:type="dxa" w:w="1736"/>
          </w:tcPr>
          <w:p>
            <w:pPr>
              <w:spacing w:after="20"/>
            </w:pPr>
            <w:r>
              <w:rPr>
                <w:color w:val="1C3A36"/>
                <w:sz w:val="16"/>
              </w:rPr>
              <w:t>Current trade and other payables at 31 December 2025</w:t>
            </w:r>
          </w:p>
        </w:tc>
        <w:tc>
          <w:tcPr>
            <w:tcW w:type="dxa" w:w="2352"/>
          </w:tcPr>
          <w:p>
            <w:pPr>
              <w:spacing w:after="20"/>
              <w:jc w:val="right"/>
            </w:pPr>
            <w:r>
              <w:rPr>
                <w:color w:val="1C3A36"/>
                <w:sz w:val="16"/>
              </w:rPr>
              <w:t>USD 1,039.4 million on the face of the balance sheet</w:t>
            </w:r>
          </w:p>
        </w:tc>
        <w:tc>
          <w:tcPr>
            <w:tcW w:type="dxa" w:w="2296"/>
          </w:tcPr>
          <w:p>
            <w:pPr>
              <w:spacing w:after="20"/>
              <w:jc w:val="right"/>
            </w:pPr>
            <w:r>
              <w:rPr>
                <w:color w:val="1C3A36"/>
                <w:sz w:val="16"/>
              </w:rPr>
              <w:t>USD 1,030.8 million in the financial-instruments maturity table</w:t>
            </w:r>
          </w:p>
        </w:tc>
        <w:tc>
          <w:tcPr>
            <w:tcW w:type="dxa" w:w="3696"/>
          </w:tcPr>
          <w:p>
            <w:pPr>
              <w:spacing w:after="20"/>
              <w:jc w:val="right"/>
            </w:pPr>
            <w:r>
              <w:rPr>
                <w:color w:val="1C3A36"/>
                <w:sz w:val="16"/>
              </w:rPr>
              <w:t>Both are correct and neither is an error: the maturity table covers financial liabilities only and excludes non-financial items such as contract liabilities. The balance-sheet figure is used</w:t>
            </w:r>
          </w:p>
        </w:tc>
      </w:tr>
      <w:tr>
        <w:tc>
          <w:tcPr>
            <w:tcW w:type="dxa" w:w="1736"/>
          </w:tcPr>
          <w:p>
            <w:pPr>
              <w:spacing w:after="20"/>
            </w:pPr>
            <w:r>
              <w:rPr>
                <w:color w:val="1C3A36"/>
                <w:sz w:val="16"/>
              </w:rPr>
              <w:t>Total rig count at the end of 2025</w:t>
            </w:r>
          </w:p>
        </w:tc>
        <w:tc>
          <w:tcPr>
            <w:tcW w:type="dxa" w:w="2352"/>
          </w:tcPr>
          <w:p>
            <w:pPr>
              <w:spacing w:after="20"/>
              <w:jc w:val="right"/>
            </w:pPr>
            <w:r>
              <w:rPr>
                <w:color w:val="1C3A36"/>
                <w:sz w:val="16"/>
              </w:rPr>
              <w:t>140 rigs on the reported basis</w:t>
            </w:r>
          </w:p>
        </w:tc>
        <w:tc>
          <w:tcPr>
            <w:tcW w:type="dxa" w:w="2296"/>
          </w:tcPr>
          <w:p>
            <w:pPr>
              <w:spacing w:after="20"/>
              <w:jc w:val="right"/>
            </w:pPr>
            <w:r>
              <w:rPr>
                <w:color w:val="1C3A36"/>
                <w:sz w:val="16"/>
              </w:rPr>
              <w:t>169 rigs on the pro-forma basis in the same document</w:t>
            </w:r>
          </w:p>
        </w:tc>
        <w:tc>
          <w:tcPr>
            <w:tcW w:type="dxa" w:w="3696"/>
          </w:tcPr>
          <w:p>
            <w:pPr>
              <w:spacing w:after="20"/>
              <w:jc w:val="right"/>
            </w:pPr>
            <w:r>
              <w:rPr>
                <w:color w:val="1C3A36"/>
                <w:sz w:val="16"/>
              </w:rPr>
              <w:t>The pro-forma count includes 29 regional rigs from two transactions that had not closed. The reported 140 is used for 2025 and the regional rigs enter from 2026, when they were actually consolidated</w:t>
            </w:r>
          </w:p>
        </w:tc>
      </w:tr>
      <w:tr>
        <w:tc>
          <w:tcPr>
            <w:tcW w:type="dxa" w:w="1736"/>
          </w:tcPr>
          <w:p>
            <w:pPr>
              <w:spacing w:after="20"/>
            </w:pPr>
            <w:r>
              <w:rPr>
                <w:color w:val="1C3A36"/>
                <w:sz w:val="16"/>
              </w:rPr>
              <w:t>Capital expenditure for 2025</w:t>
            </w:r>
          </w:p>
        </w:tc>
        <w:tc>
          <w:tcPr>
            <w:tcW w:type="dxa" w:w="2352"/>
          </w:tcPr>
          <w:p>
            <w:pPr>
              <w:spacing w:after="20"/>
              <w:jc w:val="right"/>
            </w:pPr>
            <w:r>
              <w:rPr>
                <w:color w:val="1C3A36"/>
                <w:sz w:val="16"/>
              </w:rPr>
              <w:t>USD 805.2 million of cash purchases of property and equipment in the cash-flow statement</w:t>
            </w:r>
          </w:p>
        </w:tc>
        <w:tc>
          <w:tcPr>
            <w:tcW w:type="dxa" w:w="2296"/>
          </w:tcPr>
          <w:p>
            <w:pPr>
              <w:spacing w:after="20"/>
              <w:jc w:val="right"/>
            </w:pPr>
            <w:r>
              <w:rPr>
                <w:color w:val="1C3A36"/>
                <w:sz w:val="16"/>
              </w:rPr>
              <w:t>USD 772 million described as capital expenditure in the management commentary</w:t>
            </w:r>
          </w:p>
        </w:tc>
        <w:tc>
          <w:tcPr>
            <w:tcW w:type="dxa" w:w="3696"/>
          </w:tcPr>
          <w:p>
            <w:pPr>
              <w:spacing w:after="20"/>
              <w:jc w:val="right"/>
            </w:pPr>
            <w:r>
              <w:rPr>
                <w:color w:val="1C3A36"/>
                <w:sz w:val="16"/>
              </w:rPr>
              <w:t>The two are defined differently — the commentary figure includes prepaid delivery payments and excludes accruals. The cash-flow statement figure is used, plus intangibles, because it is the audited one</w:t>
            </w:r>
          </w:p>
        </w:tc>
      </w:tr>
    </w:tbl>
    <w:p>
      <w:pPr>
        <w:spacing w:after="40"/>
      </w:pPr>
    </w:p>
    <w:p>
      <w:pPr>
        <w:spacing w:after="120" w:before="280"/>
      </w:pPr>
      <w:r>
        <w:rPr>
          <w:b/>
          <w:i w:val="0"/>
          <w:color w:val="1C3A36"/>
          <w:sz w:val="30"/>
        </w:rPr>
        <w:t>6. Software and method</w:t>
      </w:r>
    </w:p>
    <w:p>
      <w:pPr>
        <w:spacing w:after="120" w:before="0"/>
      </w:pPr>
      <w:r>
        <w:rPr>
          <w:b w:val="0"/>
          <w:i w:val="0"/>
          <w:color w:val="1C3A36"/>
          <w:sz w:val="21"/>
        </w:rPr>
        <w:t>The model, the figures and both delivered documents are generated from one committed numbers file, so no figure can differ between the study, the workbook and this bibliography. The delivered workbook is verified by an independent recalculation that evaluates every formula and requires each one to reproduce the model, and by a driver test that perturbs every input in place and requires the headline to move in the direction asserted before the test was run. The results of both are reported in the study's quality-control 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