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44"/>
        </w:rPr>
        <w:t>ADNOC Drilling Company P.J.S.C.</w:t>
      </w:r>
    </w:p>
    <w:p>
      <w:pPr>
        <w:spacing w:after="200" w:before="0"/>
      </w:pPr>
      <w:r>
        <w:rPr>
          <w:b w:val="0"/>
          <w:i w:val="0"/>
          <w:color w:val="6E7B77"/>
          <w:sz w:val="22"/>
        </w:rPr>
        <w:t>Abu Dhabi Securities Exchange · ADNOCDRILL · reports in US dollars, trades in dirhams</w:t>
      </w:r>
    </w:p>
    <w:p>
      <w:pPr>
        <w:spacing w:after="240" w:before="0"/>
      </w:pPr>
      <w:r>
        <w:rPr>
          <w:b/>
          <w:i w:val="0"/>
          <w:color w:val="896F36"/>
          <w:sz w:val="24"/>
        </w:rPr>
        <w:t>Valuation study — 9 August 2026</w:t>
      </w:r>
    </w:p>
    <w:p>
      <w:pPr>
        <w:spacing w:after="120" w:before="280"/>
      </w:pPr>
      <w:r>
        <w:rPr>
          <w:b/>
          <w:i w:val="0"/>
          <w:color w:val="1C3A36"/>
          <w:sz w:val="30"/>
        </w:rPr>
        <w:t>READ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ADNOC Drilling built from the company's own audited and reviewed financial statements. It produces a fair-value RANGE and a distribution of possible prices. It contains no rating and no price target, and it is not investment advice.</w:t>
            </w:r>
          </w:p>
          <w:p>
            <w:pPr>
              <w:spacing w:after="100"/>
            </w:pPr>
            <w:r>
              <w:rPr>
                <w:b/>
                <w:color w:val="1C3A36"/>
                <w:sz w:val="19"/>
              </w:rPr>
              <w:t xml:space="preserve">Where the history comes from. </w:t>
            </w:r>
            <w:r>
              <w:rPr>
                <w:color w:val="1C3A36"/>
                <w:sz w:val="19"/>
              </w:rPr>
              <w:t>The three years of income statement, balance sheet and cash flow are read from the signed consolidated financial statements for 2023, 2024 and 2025 and the reviewed interim statements for the first quarter and first half of 2026, each downloaded from the company's own investor-relations site. Operating units — rig counts, wells drilled, integrated-services rig counts and unconventional revenue — come from the company's own quarterly management commentary, the only published source that carries them. No data vendor, broker note or press report is a source for any figure about ADNOC Drilling itself.</w:t>
            </w:r>
          </w:p>
          <w:p>
            <w:pPr>
              <w:spacing w:after="100"/>
            </w:pPr>
            <w:r>
              <w:rPr>
                <w:b/>
                <w:color w:val="1C3A36"/>
                <w:sz w:val="19"/>
              </w:rPr>
              <w:t xml:space="preserve">Two currencies. </w:t>
            </w:r>
            <w:r>
              <w:rPr>
                <w:color w:val="1C3A36"/>
                <w:sz w:val="19"/>
              </w:rPr>
              <w:t>The company's functional and presentation currency is the US dollar; its shares trade in dirhams. The valuation runs in dollars and converts to dirhams at the peg of 3.6725 dirhams to the dollar.</w:t>
            </w:r>
          </w:p>
          <w:p>
            <w:pPr>
              <w:spacing w:after="100"/>
            </w:pPr>
            <w:r>
              <w:rPr>
                <w:b/>
                <w:color w:val="1C3A36"/>
                <w:sz w:val="19"/>
              </w:rPr>
              <w:t xml:space="preserve">One judgement, computed both ways. </w:t>
            </w:r>
            <w:r>
              <w:rPr>
                <w:color w:val="1C3A36"/>
                <w:sz w:val="19"/>
              </w:rPr>
              <w:t>The most consequential question in this study — what happens to drilling demand once Abu Dhabi's production-capacity target is met — has two defensible answers. Both are computed in full and published side by side, and both appear in the summary table as separate lines. They are NOT collapsed into a single cash-flow answer before the reader sees them. They do, however, both enter the weighted central figure, at a quarter of the weight each — so that figure is a blend of the two, and a reader who holds a view on which future arrives should read the case that matches it rather than the blend.</w:t>
            </w:r>
          </w:p>
        </w:tc>
      </w:tr>
    </w:tbl>
    <w:p>
      <w:pPr>
        <w:spacing w:after="40"/>
      </w:pPr>
    </w:p>
    <w:p>
      <w:pPr>
        <w:spacing w:after="120" w:before="280"/>
      </w:pPr>
      <w:r>
        <w:rPr>
          <w:b/>
          <w:i w:val="0"/>
          <w:color w:val="1C3A36"/>
          <w:sz w:val="30"/>
        </w:rPr>
        <w:t>Headline</w:t>
      </w:r>
    </w:p>
    <w:p>
      <w:pPr>
        <w:spacing w:after="120" w:before="0"/>
      </w:pPr>
      <w:r>
        <w:rPr>
          <w:b w:val="0"/>
          <w:i w:val="0"/>
          <w:color w:val="1C3A36"/>
          <w:sz w:val="21"/>
        </w:rPr>
        <w:t>ADNOC Drilling trades at AED 5.80. Five lenses put fair value between AED 3.47 and AED 6.22, with a weighted central of AED 4.92 — 15.1% below the market. The market price sits above four of the five lenses and below one. The company is priced for the continuation of a programme that its own customer has not yet extended beyond 2027, and for a cost of capital at the defensive end of what its own trading record supports.</w:t>
      </w:r>
    </w:p>
    <w:p>
      <w:pPr>
        <w:spacing w:after="60" w:before="0"/>
      </w:pPr>
      <w:r>
        <w:rPr>
          <w:b/>
          <w:i w:val="0"/>
          <w:color w:val="1C3A36"/>
          <w:sz w:val="21"/>
        </w:rPr>
        <w:t>Three things carry the analysis.</w:t>
      </w:r>
    </w:p>
    <w:p>
      <w:pPr>
        <w:pStyle w:val="ListBullet"/>
        <w:spacing w:after="60"/>
      </w:pPr>
      <w:r>
        <w:rPr>
          <w:b/>
          <w:color w:val="1C3A36"/>
          <w:sz w:val="21"/>
        </w:rPr>
        <w:t xml:space="preserve">It is a very good business. </w:t>
      </w:r>
      <w:r>
        <w:rPr>
          <w:color w:val="1C3A36"/>
          <w:sz w:val="21"/>
        </w:rPr>
        <w:t>The business is an exceptional operator on almost any measure. Revenue compounded from USD 3.06bn in 2023 to USD 4.90bn in 2025, EBITDA margins have run between 44.8% and 49.9% across the three audited years, and the return on capital employed was 24.4% in 2025 and broadly unchanged in the first half of 2026. Very few listed drillers anywhere earn that on that scale.</w:t>
      </w:r>
    </w:p>
    <w:p>
      <w:pPr>
        <w:pStyle w:val="ListBullet"/>
        <w:spacing w:after="60"/>
      </w:pPr>
      <w:r>
        <w:rPr>
          <w:b/>
          <w:color w:val="1C3A36"/>
          <w:sz w:val="21"/>
        </w:rPr>
        <w:t xml:space="preserve">It has one customer. </w:t>
      </w:r>
      <w:r>
        <w:rPr>
          <w:color w:val="1C3A36"/>
          <w:sz w:val="21"/>
        </w:rPr>
        <w:t>Every rig works for one customer group. Revenue is billed to ADNOC Onshore, ADNOC Offshore and their affiliates; the controlling shareholder is the same group. That is why the contracted book is so stable, why the receivable is so large — days sales outstanding stood at 113 days at the end of 2025 — and why the terminal question is the only question that matters.</w:t>
      </w:r>
    </w:p>
    <w:p>
      <w:pPr>
        <w:pStyle w:val="ListBullet"/>
        <w:spacing w:after="60"/>
      </w:pPr>
      <w:r>
        <w:rPr>
          <w:b/>
          <w:color w:val="1C3A36"/>
          <w:sz w:val="21"/>
        </w:rPr>
        <w:t xml:space="preserve">The growth rate has already turned. </w:t>
      </w:r>
      <w:r>
        <w:rPr>
          <w:color w:val="1C3A36"/>
          <w:sz w:val="21"/>
        </w:rPr>
        <w:t>First-half 2026 revenue grew 4% against 22% for full-year 2025. The company has reaffirmed roughly USD 5 billion of revenue for 2026 and has explicitly declined to guide 2027 until rig and services phasing is fixed. The market is paying 12.6 times its own last-twelve-month EBITDA against a segment-weighted peer median of 8.7 times struck the same way. That gap is the whole argument.</w:t>
      </w:r>
    </w:p>
    <w:p>
      <w:pPr>
        <w:spacing w:after="40"/>
        <w:jc w:val="center"/>
      </w:pPr>
      <w:r>
        <w:drawing>
          <wp:inline xmlns:a="http://schemas.openxmlformats.org/drawingml/2006/main" xmlns:pic="http://schemas.openxmlformats.org/drawingml/2006/picture">
            <wp:extent cx="6309360" cy="2961536"/>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961536"/>
                    </a:xfrm>
                    <a:prstGeom prst="rect"/>
                  </pic:spPr>
                </pic:pic>
              </a:graphicData>
            </a:graphic>
          </wp:inline>
        </w:drawing>
      </w:r>
    </w:p>
    <w:p>
      <w:pPr>
        <w:spacing w:after="200" w:before="0"/>
      </w:pPr>
      <w:r>
        <w:rPr>
          <w:b w:val="0"/>
          <w:i/>
          <w:color w:val="6E7B77"/>
          <w:sz w:val="17"/>
        </w:rPr>
        <w:t>Fair value by lens. Each bar is the same lens re-run on a stated stress — the discounted-cash-flow bands move the cost of capital 50 basis points either way, the relative band is the peer set's own interquartile range, the book band moves the cost of equity 50 basis points, the normalised band moves the margin two points.</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24"/>
        <w:gridCol w:w="1037"/>
        <w:gridCol w:w="1037"/>
        <w:gridCol w:w="1037"/>
        <w:gridCol w:w="1642"/>
      </w:tblGrid>
      <w:tr>
        <w:tc>
          <w:tcPr>
            <w:tcW w:type="dxa" w:w="3672"/>
            <w:shd w:val="clear" w:color="auto" w:fill="EAF0EE"/>
          </w:tcPr>
          <w:p>
            <w:pPr>
              <w:spacing w:after="20"/>
            </w:pPr>
            <w:r>
              <w:rPr>
                <w:b/>
                <w:color w:val="1C3A36"/>
                <w:sz w:val="18"/>
              </w:rPr>
              <w:t>Lens</w:t>
            </w:r>
          </w:p>
        </w:tc>
        <w:tc>
          <w:tcPr>
            <w:tcW w:type="dxa" w:w="1224"/>
            <w:shd w:val="clear" w:color="auto" w:fill="EAF0EE"/>
          </w:tcPr>
          <w:p>
            <w:pPr>
              <w:spacing w:after="20"/>
            </w:pPr>
            <w:r>
              <w:rPr>
                <w:b/>
                <w:color w:val="1C3A36"/>
                <w:sz w:val="18"/>
              </w:rPr>
              <w:t>AED/share</w:t>
            </w:r>
          </w:p>
        </w:tc>
        <w:tc>
          <w:tcPr>
            <w:tcW w:type="dxa" w:w="1037"/>
            <w:shd w:val="clear" w:color="auto" w:fill="EAF0EE"/>
          </w:tcPr>
          <w:p>
            <w:pPr>
              <w:spacing w:after="20"/>
            </w:pPr>
            <w:r>
              <w:rPr>
                <w:b/>
                <w:color w:val="1C3A36"/>
                <w:sz w:val="18"/>
              </w:rPr>
              <w:t>Weight</w:t>
            </w:r>
          </w:p>
        </w:tc>
        <w:tc>
          <w:tcPr>
            <w:tcW w:type="dxa" w:w="1037"/>
            <w:shd w:val="clear" w:color="auto" w:fill="EAF0EE"/>
          </w:tcPr>
          <w:p>
            <w:pPr>
              <w:spacing w:after="20"/>
            </w:pPr>
            <w:r>
              <w:rPr>
                <w:b/>
                <w:color w:val="1C3A36"/>
                <w:sz w:val="18"/>
              </w:rPr>
              <w:t>Bear</w:t>
            </w:r>
          </w:p>
        </w:tc>
        <w:tc>
          <w:tcPr>
            <w:tcW w:type="dxa" w:w="1037"/>
            <w:shd w:val="clear" w:color="auto" w:fill="EAF0EE"/>
          </w:tcPr>
          <w:p>
            <w:pPr>
              <w:spacing w:after="20"/>
            </w:pPr>
            <w:r>
              <w:rPr>
                <w:b/>
                <w:color w:val="1C3A36"/>
                <w:sz w:val="18"/>
              </w:rPr>
              <w:t>Bull</w:t>
            </w:r>
          </w:p>
        </w:tc>
        <w:tc>
          <w:tcPr>
            <w:tcW w:type="dxa" w:w="1642"/>
            <w:shd w:val="clear" w:color="auto" w:fill="EAF0EE"/>
          </w:tcPr>
          <w:p>
            <w:pPr>
              <w:spacing w:after="20"/>
            </w:pPr>
            <w:r>
              <w:rPr>
                <w:b/>
                <w:color w:val="1C3A36"/>
                <w:sz w:val="18"/>
              </w:rPr>
              <w:t>Terminal value share</w:t>
            </w:r>
          </w:p>
        </w:tc>
      </w:tr>
      <w:tr>
        <w:tc>
          <w:tcPr>
            <w:tcW w:type="dxa" w:w="3672"/>
          </w:tcPr>
          <w:p>
            <w:pPr>
              <w:spacing w:after="20"/>
            </w:pPr>
            <w:r>
              <w:rPr>
                <w:color w:val="1C3A36"/>
                <w:sz w:val="18"/>
              </w:rPr>
              <w:t>Discounted cash flow — continued expansion</w:t>
            </w:r>
          </w:p>
        </w:tc>
        <w:tc>
          <w:tcPr>
            <w:tcW w:type="dxa" w:w="1224"/>
          </w:tcPr>
          <w:p>
            <w:pPr>
              <w:spacing w:after="20"/>
              <w:jc w:val="right"/>
            </w:pPr>
            <w:r>
              <w:rPr>
                <w:color w:val="1C3A36"/>
                <w:sz w:val="18"/>
              </w:rPr>
              <w:t>6.22</w:t>
            </w:r>
          </w:p>
        </w:tc>
        <w:tc>
          <w:tcPr>
            <w:tcW w:type="dxa" w:w="1037"/>
          </w:tcPr>
          <w:p>
            <w:pPr>
              <w:spacing w:after="20"/>
              <w:jc w:val="right"/>
            </w:pPr>
            <w:r>
              <w:rPr>
                <w:color w:val="1C3A36"/>
                <w:sz w:val="18"/>
              </w:rPr>
              <w:t>25%</w:t>
            </w:r>
          </w:p>
        </w:tc>
        <w:tc>
          <w:tcPr>
            <w:tcW w:type="dxa" w:w="1037"/>
          </w:tcPr>
          <w:p>
            <w:pPr>
              <w:spacing w:after="20"/>
              <w:jc w:val="right"/>
            </w:pPr>
            <w:r>
              <w:rPr>
                <w:color w:val="1C3A36"/>
                <w:sz w:val="18"/>
              </w:rPr>
              <w:t>5.67</w:t>
            </w:r>
          </w:p>
        </w:tc>
        <w:tc>
          <w:tcPr>
            <w:tcW w:type="dxa" w:w="1037"/>
          </w:tcPr>
          <w:p>
            <w:pPr>
              <w:spacing w:after="20"/>
              <w:jc w:val="right"/>
            </w:pPr>
            <w:r>
              <w:rPr>
                <w:color w:val="1C3A36"/>
                <w:sz w:val="18"/>
              </w:rPr>
              <w:t>6.87</w:t>
            </w:r>
          </w:p>
        </w:tc>
        <w:tc>
          <w:tcPr>
            <w:tcW w:type="dxa" w:w="1642"/>
          </w:tcPr>
          <w:p>
            <w:pPr>
              <w:spacing w:after="20"/>
              <w:jc w:val="right"/>
            </w:pPr>
            <w:r>
              <w:rPr>
                <w:color w:val="1C3A36"/>
                <w:sz w:val="18"/>
              </w:rPr>
              <w:t>76.0%</w:t>
            </w:r>
          </w:p>
        </w:tc>
      </w:tr>
      <w:tr>
        <w:tc>
          <w:tcPr>
            <w:tcW w:type="dxa" w:w="3672"/>
          </w:tcPr>
          <w:p>
            <w:pPr>
              <w:spacing w:after="20"/>
            </w:pPr>
            <w:r>
              <w:rPr>
                <w:color w:val="1C3A36"/>
                <w:sz w:val="18"/>
              </w:rPr>
              <w:t>Discounted cash flow — capacity plateau</w:t>
            </w:r>
          </w:p>
        </w:tc>
        <w:tc>
          <w:tcPr>
            <w:tcW w:type="dxa" w:w="1224"/>
          </w:tcPr>
          <w:p>
            <w:pPr>
              <w:spacing w:after="20"/>
              <w:jc w:val="right"/>
            </w:pPr>
            <w:r>
              <w:rPr>
                <w:color w:val="1C3A36"/>
                <w:sz w:val="18"/>
              </w:rPr>
              <w:t>5.40</w:t>
            </w:r>
          </w:p>
        </w:tc>
        <w:tc>
          <w:tcPr>
            <w:tcW w:type="dxa" w:w="1037"/>
          </w:tcPr>
          <w:p>
            <w:pPr>
              <w:spacing w:after="20"/>
              <w:jc w:val="right"/>
            </w:pPr>
            <w:r>
              <w:rPr>
                <w:color w:val="1C3A36"/>
                <w:sz w:val="18"/>
              </w:rPr>
              <w:t>25%</w:t>
            </w:r>
          </w:p>
        </w:tc>
        <w:tc>
          <w:tcPr>
            <w:tcW w:type="dxa" w:w="1037"/>
          </w:tcPr>
          <w:p>
            <w:pPr>
              <w:spacing w:after="20"/>
              <w:jc w:val="right"/>
            </w:pPr>
            <w:r>
              <w:rPr>
                <w:color w:val="1C3A36"/>
                <w:sz w:val="18"/>
              </w:rPr>
              <w:t>4.99</w:t>
            </w:r>
          </w:p>
        </w:tc>
        <w:tc>
          <w:tcPr>
            <w:tcW w:type="dxa" w:w="1037"/>
          </w:tcPr>
          <w:p>
            <w:pPr>
              <w:spacing w:after="20"/>
              <w:jc w:val="right"/>
            </w:pPr>
            <w:r>
              <w:rPr>
                <w:color w:val="1C3A36"/>
                <w:sz w:val="18"/>
              </w:rPr>
              <w:t>5.88</w:t>
            </w:r>
          </w:p>
        </w:tc>
        <w:tc>
          <w:tcPr>
            <w:tcW w:type="dxa" w:w="1642"/>
          </w:tcPr>
          <w:p>
            <w:pPr>
              <w:spacing w:after="20"/>
              <w:jc w:val="right"/>
            </w:pPr>
            <w:r>
              <w:rPr>
                <w:color w:val="1C3A36"/>
                <w:sz w:val="18"/>
              </w:rPr>
              <w:t>72.3%</w:t>
            </w:r>
          </w:p>
        </w:tc>
      </w:tr>
      <w:tr>
        <w:tc>
          <w:tcPr>
            <w:tcW w:type="dxa" w:w="3672"/>
          </w:tcPr>
          <w:p>
            <w:pPr>
              <w:spacing w:after="20"/>
            </w:pPr>
            <w:r>
              <w:rPr>
                <w:color w:val="1C3A36"/>
                <w:sz w:val="18"/>
              </w:rPr>
              <w:t>Relative multiples</w:t>
            </w:r>
          </w:p>
        </w:tc>
        <w:tc>
          <w:tcPr>
            <w:tcW w:type="dxa" w:w="1224"/>
          </w:tcPr>
          <w:p>
            <w:pPr>
              <w:spacing w:after="20"/>
              <w:jc w:val="right"/>
            </w:pPr>
            <w:r>
              <w:rPr>
                <w:color w:val="1C3A36"/>
                <w:sz w:val="18"/>
              </w:rPr>
              <w:t>3.95</w:t>
            </w:r>
          </w:p>
        </w:tc>
        <w:tc>
          <w:tcPr>
            <w:tcW w:type="dxa" w:w="1037"/>
          </w:tcPr>
          <w:p>
            <w:pPr>
              <w:spacing w:after="20"/>
              <w:jc w:val="right"/>
            </w:pPr>
            <w:r>
              <w:rPr>
                <w:color w:val="1C3A36"/>
                <w:sz w:val="18"/>
              </w:rPr>
              <w:t>20%</w:t>
            </w:r>
          </w:p>
        </w:tc>
        <w:tc>
          <w:tcPr>
            <w:tcW w:type="dxa" w:w="1037"/>
          </w:tcPr>
          <w:p>
            <w:pPr>
              <w:spacing w:after="20"/>
              <w:jc w:val="right"/>
            </w:pPr>
            <w:r>
              <w:rPr>
                <w:color w:val="1C3A36"/>
                <w:sz w:val="18"/>
              </w:rPr>
              <w:t>2.99</w:t>
            </w:r>
          </w:p>
        </w:tc>
        <w:tc>
          <w:tcPr>
            <w:tcW w:type="dxa" w:w="1037"/>
          </w:tcPr>
          <w:p>
            <w:pPr>
              <w:spacing w:after="20"/>
              <w:jc w:val="right"/>
            </w:pPr>
            <w:r>
              <w:rPr>
                <w:color w:val="1C3A36"/>
                <w:sz w:val="18"/>
              </w:rPr>
              <w:t>4.64</w:t>
            </w:r>
          </w:p>
        </w:tc>
        <w:tc>
          <w:tcPr>
            <w:tcW w:type="dxa" w:w="1642"/>
          </w:tcPr>
          <w:p>
            <w:pPr>
              <w:spacing w:after="20"/>
              <w:jc w:val="right"/>
            </w:pPr>
            <w:r>
              <w:rPr>
                <w:color w:val="1C3A36"/>
                <w:sz w:val="18"/>
              </w:rPr>
              <w:t>—</w:t>
            </w:r>
          </w:p>
        </w:tc>
      </w:tr>
      <w:tr>
        <w:tc>
          <w:tcPr>
            <w:tcW w:type="dxa" w:w="3672"/>
          </w:tcPr>
          <w:p>
            <w:pPr>
              <w:spacing w:after="20"/>
            </w:pPr>
            <w:r>
              <w:rPr>
                <w:color w:val="1C3A36"/>
                <w:sz w:val="18"/>
              </w:rPr>
              <w:t>Book value and sustainable return</w:t>
            </w:r>
          </w:p>
        </w:tc>
        <w:tc>
          <w:tcPr>
            <w:tcW w:type="dxa" w:w="1224"/>
          </w:tcPr>
          <w:p>
            <w:pPr>
              <w:spacing w:after="20"/>
              <w:jc w:val="right"/>
            </w:pPr>
            <w:r>
              <w:rPr>
                <w:color w:val="1C3A36"/>
                <w:sz w:val="18"/>
              </w:rPr>
              <w:t>4.73</w:t>
            </w:r>
          </w:p>
        </w:tc>
        <w:tc>
          <w:tcPr>
            <w:tcW w:type="dxa" w:w="1037"/>
          </w:tcPr>
          <w:p>
            <w:pPr>
              <w:spacing w:after="20"/>
              <w:jc w:val="right"/>
            </w:pPr>
            <w:r>
              <w:rPr>
                <w:color w:val="1C3A36"/>
                <w:sz w:val="18"/>
              </w:rPr>
              <w:t>15%</w:t>
            </w:r>
          </w:p>
        </w:tc>
        <w:tc>
          <w:tcPr>
            <w:tcW w:type="dxa" w:w="1037"/>
          </w:tcPr>
          <w:p>
            <w:pPr>
              <w:spacing w:after="20"/>
              <w:jc w:val="right"/>
            </w:pPr>
            <w:r>
              <w:rPr>
                <w:color w:val="1C3A36"/>
                <w:sz w:val="18"/>
              </w:rPr>
              <w:t>4.35</w:t>
            </w:r>
          </w:p>
        </w:tc>
        <w:tc>
          <w:tcPr>
            <w:tcW w:type="dxa" w:w="1037"/>
          </w:tcPr>
          <w:p>
            <w:pPr>
              <w:spacing w:after="20"/>
              <w:jc w:val="right"/>
            </w:pPr>
            <w:r>
              <w:rPr>
                <w:color w:val="1C3A36"/>
                <w:sz w:val="18"/>
              </w:rPr>
              <w:t>5.17</w:t>
            </w:r>
          </w:p>
        </w:tc>
        <w:tc>
          <w:tcPr>
            <w:tcW w:type="dxa" w:w="1642"/>
          </w:tcPr>
          <w:p>
            <w:pPr>
              <w:spacing w:after="20"/>
              <w:jc w:val="right"/>
            </w:pPr>
            <w:r>
              <w:rPr>
                <w:color w:val="1C3A36"/>
                <w:sz w:val="18"/>
              </w:rPr>
              <w:t>—</w:t>
            </w:r>
          </w:p>
        </w:tc>
      </w:tr>
      <w:tr>
        <w:tc>
          <w:tcPr>
            <w:tcW w:type="dxa" w:w="3672"/>
          </w:tcPr>
          <w:p>
            <w:pPr>
              <w:spacing w:after="20"/>
            </w:pPr>
            <w:r>
              <w:rPr>
                <w:color w:val="1C3A36"/>
                <w:sz w:val="18"/>
              </w:rPr>
              <w:t>Normalised earnings power</w:t>
            </w:r>
          </w:p>
        </w:tc>
        <w:tc>
          <w:tcPr>
            <w:tcW w:type="dxa" w:w="1224"/>
          </w:tcPr>
          <w:p>
            <w:pPr>
              <w:spacing w:after="20"/>
              <w:jc w:val="right"/>
            </w:pPr>
            <w:r>
              <w:rPr>
                <w:color w:val="1C3A36"/>
                <w:sz w:val="18"/>
              </w:rPr>
              <w:t>3.47</w:t>
            </w:r>
          </w:p>
        </w:tc>
        <w:tc>
          <w:tcPr>
            <w:tcW w:type="dxa" w:w="1037"/>
          </w:tcPr>
          <w:p>
            <w:pPr>
              <w:spacing w:after="20"/>
              <w:jc w:val="right"/>
            </w:pPr>
            <w:r>
              <w:rPr>
                <w:color w:val="1C3A36"/>
                <w:sz w:val="18"/>
              </w:rPr>
              <w:t>15%</w:t>
            </w:r>
          </w:p>
        </w:tc>
        <w:tc>
          <w:tcPr>
            <w:tcW w:type="dxa" w:w="1037"/>
          </w:tcPr>
          <w:p>
            <w:pPr>
              <w:spacing w:after="20"/>
              <w:jc w:val="right"/>
            </w:pPr>
            <w:r>
              <w:rPr>
                <w:color w:val="1C3A36"/>
                <w:sz w:val="18"/>
              </w:rPr>
              <w:t>3.23</w:t>
            </w:r>
          </w:p>
        </w:tc>
        <w:tc>
          <w:tcPr>
            <w:tcW w:type="dxa" w:w="1037"/>
          </w:tcPr>
          <w:p>
            <w:pPr>
              <w:spacing w:after="20"/>
              <w:jc w:val="right"/>
            </w:pPr>
            <w:r>
              <w:rPr>
                <w:color w:val="1C3A36"/>
                <w:sz w:val="18"/>
              </w:rPr>
              <w:t>3.70</w:t>
            </w:r>
          </w:p>
        </w:tc>
        <w:tc>
          <w:tcPr>
            <w:tcW w:type="dxa" w:w="1642"/>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224"/>
            <w:shd w:val="clear" w:color="auto" w:fill="F6F1E6"/>
          </w:tcPr>
          <w:p>
            <w:pPr>
              <w:spacing w:after="20"/>
              <w:jc w:val="right"/>
            </w:pPr>
            <w:r>
              <w:rPr>
                <w:b/>
                <w:color w:val="1C3A36"/>
                <w:sz w:val="18"/>
              </w:rPr>
              <w:t>4.92</w:t>
            </w:r>
          </w:p>
        </w:tc>
        <w:tc>
          <w:tcPr>
            <w:tcW w:type="dxa" w:w="1037"/>
            <w:shd w:val="clear" w:color="auto" w:fill="F6F1E6"/>
          </w:tcPr>
          <w:p>
            <w:pPr>
              <w:spacing w:after="20"/>
              <w:jc w:val="right"/>
            </w:pPr>
            <w:r>
              <w:rPr>
                <w:b/>
                <w:color w:val="1C3A36"/>
                <w:sz w:val="18"/>
              </w:rPr>
              <w:t>100%</w:t>
            </w:r>
          </w:p>
        </w:tc>
        <w:tc>
          <w:tcPr>
            <w:tcW w:type="dxa" w:w="1037"/>
            <w:shd w:val="clear" w:color="auto" w:fill="F6F1E6"/>
          </w:tcPr>
          <w:p>
            <w:pPr>
              <w:spacing w:after="20"/>
              <w:jc w:val="right"/>
            </w:pPr>
            <w:r>
              <w:rPr>
                <w:b/>
                <w:color w:val="1C3A36"/>
                <w:sz w:val="18"/>
              </w:rPr>
              <w:t>4.40</w:t>
            </w:r>
          </w:p>
        </w:tc>
        <w:tc>
          <w:tcPr>
            <w:tcW w:type="dxa" w:w="1037"/>
            <w:shd w:val="clear" w:color="auto" w:fill="F6F1E6"/>
          </w:tcPr>
          <w:p>
            <w:pPr>
              <w:spacing w:after="20"/>
              <w:jc w:val="right"/>
            </w:pPr>
            <w:r>
              <w:rPr>
                <w:b/>
                <w:color w:val="1C3A36"/>
                <w:sz w:val="18"/>
              </w:rPr>
              <w:t>5.45</w:t>
            </w:r>
          </w:p>
        </w:tc>
        <w:tc>
          <w:tcPr>
            <w:tcW w:type="dxa" w:w="1642"/>
            <w:shd w:val="clear" w:color="auto" w:fill="F6F1E6"/>
          </w:tcPr>
          <w:p>
            <w:pPr>
              <w:spacing w:after="20"/>
              <w:jc w:val="right"/>
            </w:pPr>
            <w:r>
              <w:rPr>
                <w:b/>
                <w:color w:val="1C3A36"/>
                <w:sz w:val="18"/>
              </w:rPr>
            </w:r>
          </w:p>
        </w:tc>
      </w:tr>
      <w:tr>
        <w:tc>
          <w:tcPr>
            <w:tcW w:type="dxa" w:w="3672"/>
          </w:tcPr>
          <w:p>
            <w:pPr>
              <w:spacing w:after="20"/>
            </w:pPr>
            <w:r>
              <w:rPr>
                <w:color w:val="1C3A36"/>
                <w:sz w:val="18"/>
              </w:rPr>
              <w:t>Market price, 7 August 2026</w:t>
            </w:r>
          </w:p>
        </w:tc>
        <w:tc>
          <w:tcPr>
            <w:tcW w:type="dxa" w:w="1224"/>
          </w:tcPr>
          <w:p>
            <w:pPr>
              <w:spacing w:after="20"/>
              <w:jc w:val="right"/>
            </w:pPr>
            <w:r>
              <w:rPr>
                <w:color w:val="1C3A36"/>
                <w:sz w:val="18"/>
              </w:rPr>
              <w:t>5.80</w:t>
            </w:r>
          </w:p>
        </w:tc>
        <w:tc>
          <w:tcPr>
            <w:tcW w:type="dxa" w:w="1037"/>
          </w:tcPr>
          <w:p>
            <w:pPr>
              <w:spacing w:after="20"/>
              <w:jc w:val="right"/>
            </w:pPr>
            <w:r>
              <w:rPr>
                <w:color w:val="1C3A36"/>
                <w:sz w:val="18"/>
              </w:rPr>
            </w:r>
          </w:p>
        </w:tc>
        <w:tc>
          <w:tcPr>
            <w:tcW w:type="dxa" w:w="1037"/>
          </w:tcPr>
          <w:p>
            <w:pPr>
              <w:spacing w:after="20"/>
              <w:jc w:val="right"/>
            </w:pPr>
            <w:r>
              <w:rPr>
                <w:color w:val="1C3A36"/>
                <w:sz w:val="18"/>
              </w:rPr>
            </w:r>
          </w:p>
        </w:tc>
        <w:tc>
          <w:tcPr>
            <w:tcW w:type="dxa" w:w="1037"/>
          </w:tcPr>
          <w:p>
            <w:pPr>
              <w:spacing w:after="20"/>
              <w:jc w:val="right"/>
            </w:pPr>
            <w:r>
              <w:rPr>
                <w:color w:val="1C3A36"/>
                <w:sz w:val="18"/>
              </w:rPr>
            </w:r>
          </w:p>
        </w:tc>
        <w:tc>
          <w:tcPr>
            <w:tcW w:type="dxa" w:w="1642"/>
          </w:tcPr>
          <w:p>
            <w:pPr>
              <w:spacing w:after="20"/>
              <w:jc w:val="right"/>
            </w:pPr>
            <w:r>
              <w:rPr>
                <w:color w:val="1C3A36"/>
                <w:sz w:val="18"/>
              </w:rPr>
            </w:r>
          </w:p>
        </w:tc>
      </w:tr>
      <w:tr>
        <w:tc>
          <w:tcPr>
            <w:tcW w:type="dxa" w:w="3672"/>
            <w:shd w:val="clear" w:color="auto" w:fill="F6F1E6"/>
          </w:tcPr>
          <w:p>
            <w:pPr>
              <w:spacing w:after="20"/>
            </w:pPr>
            <w:r>
              <w:rPr>
                <w:b/>
                <w:color w:val="1C3A36"/>
                <w:sz w:val="18"/>
              </w:rPr>
              <w:t>Central against the market price</w:t>
            </w:r>
          </w:p>
        </w:tc>
        <w:tc>
          <w:tcPr>
            <w:tcW w:type="dxa" w:w="1224"/>
            <w:shd w:val="clear" w:color="auto" w:fill="F6F1E6"/>
          </w:tcPr>
          <w:p>
            <w:pPr>
              <w:spacing w:after="20"/>
              <w:jc w:val="right"/>
            </w:pPr>
            <w:r>
              <w:rPr>
                <w:b/>
                <w:color w:val="1C3A36"/>
                <w:sz w:val="18"/>
              </w:rPr>
              <w:t>-15.1%</w:t>
            </w:r>
          </w:p>
        </w:tc>
        <w:tc>
          <w:tcPr>
            <w:tcW w:type="dxa" w:w="1037"/>
            <w:shd w:val="clear" w:color="auto" w:fill="F6F1E6"/>
          </w:tcPr>
          <w:p>
            <w:pPr>
              <w:spacing w:after="20"/>
              <w:jc w:val="right"/>
            </w:pPr>
            <w:r>
              <w:rPr>
                <w:b/>
                <w:color w:val="1C3A36"/>
                <w:sz w:val="18"/>
              </w:rPr>
            </w:r>
          </w:p>
        </w:tc>
        <w:tc>
          <w:tcPr>
            <w:tcW w:type="dxa" w:w="1037"/>
            <w:shd w:val="clear" w:color="auto" w:fill="F6F1E6"/>
          </w:tcPr>
          <w:p>
            <w:pPr>
              <w:spacing w:after="20"/>
              <w:jc w:val="right"/>
            </w:pPr>
            <w:r>
              <w:rPr>
                <w:b/>
                <w:color w:val="1C3A36"/>
                <w:sz w:val="18"/>
              </w:rPr>
            </w:r>
          </w:p>
        </w:tc>
        <w:tc>
          <w:tcPr>
            <w:tcW w:type="dxa" w:w="1037"/>
            <w:shd w:val="clear" w:color="auto" w:fill="F6F1E6"/>
          </w:tcPr>
          <w:p>
            <w:pPr>
              <w:spacing w:after="20"/>
              <w:jc w:val="right"/>
            </w:pPr>
            <w:r>
              <w:rPr>
                <w:b/>
                <w:color w:val="1C3A36"/>
                <w:sz w:val="18"/>
              </w:rPr>
            </w:r>
          </w:p>
        </w:tc>
        <w:tc>
          <w:tcPr>
            <w:tcW w:type="dxa" w:w="1642"/>
            <w:shd w:val="clear" w:color="auto" w:fill="F6F1E6"/>
          </w:tcPr>
          <w:p>
            <w:pPr>
              <w:spacing w:after="20"/>
              <w:jc w:val="right"/>
            </w:pPr>
            <w:r>
              <w:rPr>
                <w:b/>
                <w:color w:val="1C3A36"/>
                <w:sz w:val="18"/>
              </w:rPr>
            </w:r>
          </w:p>
        </w:tc>
      </w:tr>
    </w:tbl>
    <w:p>
      <w:pPr>
        <w:spacing w:after="40"/>
      </w:pPr>
    </w:p>
    <w:p>
      <w:pPr>
        <w:spacing w:after="200" w:before="0"/>
      </w:pPr>
      <w:r>
        <w:rPr>
          <w:b w:val="0"/>
          <w:i/>
          <w:color w:val="6E7B77"/>
          <w:sz w:val="17"/>
        </w:rPr>
        <w:t>The terminal-value share is shown beside each discounted-cash-flow lens because it is the honest measure of how much of that answer rests on a period beyond the forecast. Both cases carry more than seven-tenths of their value there.</w:t>
      </w:r>
    </w:p>
    <w:p>
      <w:pPr>
        <w:spacing w:after="120" w:before="0"/>
      </w:pPr>
      <w:r>
        <w:rPr>
          <w:b w:val="0"/>
          <w:i w:val="0"/>
          <w:color w:val="1C3A36"/>
          <w:sz w:val="21"/>
        </w:rPr>
        <w:t>Why the two discounted-cash-flow cases carry equal weight and half the total: they are the same model on two different answers to one question, and the study does not claim to know which is right. They are published as separate lines above and are never collapsed into one cash-flow number. They do both feed the weighted central, at a quarter of the weight each, so that single figure of AED 4.92 is a blend — which is precisely why the two cases are shown beside it, at AED 6.22 and AED 5.40. A reader who holds a view on which future arrives should read the case, not the blend.</w:t>
      </w:r>
    </w:p>
    <w:p>
      <w:pPr>
        <w:spacing w:after="120" w:before="280"/>
      </w:pPr>
      <w:r>
        <w:rPr>
          <w:b/>
          <w:i w:val="0"/>
          <w:color w:val="1C3A36"/>
          <w:sz w:val="30"/>
        </w:rPr>
        <w:t>Company overview</w:t>
      </w:r>
    </w:p>
    <w:p>
      <w:pPr>
        <w:spacing w:after="120" w:before="0"/>
      </w:pPr>
      <w:r>
        <w:rPr>
          <w:b w:val="0"/>
          <w:i w:val="0"/>
          <w:color w:val="1C3A36"/>
          <w:sz w:val="21"/>
        </w:rPr>
        <w:t>ADNOC Drilling Company P.J.S.C. was incorporated in 1972 by a resolution of the Council of Ministers of the Government of Abu Dhabi and listed on the Abu Dhabi Securities Exchange in October 2021. It provides start-to-finish drilling and construction services across conventional and unconventional reservoirs and hires out onshore and offshore rigs. Its parent is Abu Dhabi National Oil Company, which is wholly owned by the Government of Abu Dhabi; during 2025 the shareholding was transferred to XRG P.J.S.C., an international energy investment company itself wholly owned by ADNOC, with no change in ultimate control.</w:t>
      </w:r>
    </w:p>
    <w:p>
      <w:pPr>
        <w:spacing w:after="60" w:before="0"/>
      </w:pPr>
      <w:r>
        <w:rPr>
          <w:b w:val="0"/>
          <w:i w:val="0"/>
          <w:color w:val="1C3A36"/>
          <w:sz w:val="21"/>
        </w:rPr>
        <w:t>The group reports three segments and states in its own accounts that there were no inter-segment sales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469"/>
        <w:gridCol w:w="893"/>
        <w:gridCol w:w="1469"/>
        <w:gridCol w:w="1123"/>
        <w:gridCol w:w="3182"/>
      </w:tblGrid>
      <w:tr>
        <w:tc>
          <w:tcPr>
            <w:tcW w:type="dxa" w:w="1512"/>
            <w:shd w:val="clear" w:color="auto" w:fill="EAF0EE"/>
          </w:tcPr>
          <w:p>
            <w:pPr>
              <w:spacing w:after="20"/>
            </w:pPr>
            <w:r>
              <w:rPr>
                <w:b/>
                <w:color w:val="1C3A36"/>
                <w:sz w:val="18"/>
              </w:rPr>
              <w:t>Segment</w:t>
            </w:r>
          </w:p>
        </w:tc>
        <w:tc>
          <w:tcPr>
            <w:tcW w:type="dxa" w:w="1469"/>
            <w:shd w:val="clear" w:color="auto" w:fill="EAF0EE"/>
          </w:tcPr>
          <w:p>
            <w:pPr>
              <w:spacing w:after="20"/>
            </w:pPr>
            <w:r>
              <w:rPr>
                <w:b/>
                <w:color w:val="1C3A36"/>
                <w:sz w:val="18"/>
              </w:rPr>
              <w:t>FY2025 revenue (USD mn)</w:t>
            </w:r>
          </w:p>
        </w:tc>
        <w:tc>
          <w:tcPr>
            <w:tcW w:type="dxa" w:w="893"/>
            <w:shd w:val="clear" w:color="auto" w:fill="EAF0EE"/>
          </w:tcPr>
          <w:p>
            <w:pPr>
              <w:spacing w:after="20"/>
            </w:pPr>
            <w:r>
              <w:rPr>
                <w:b/>
                <w:color w:val="1C3A36"/>
                <w:sz w:val="18"/>
              </w:rPr>
              <w:t>Share</w:t>
            </w:r>
          </w:p>
        </w:tc>
        <w:tc>
          <w:tcPr>
            <w:tcW w:type="dxa" w:w="1469"/>
            <w:shd w:val="clear" w:color="auto" w:fill="EAF0EE"/>
          </w:tcPr>
          <w:p>
            <w:pPr>
              <w:spacing w:after="20"/>
            </w:pPr>
            <w:r>
              <w:rPr>
                <w:b/>
                <w:color w:val="1C3A36"/>
                <w:sz w:val="18"/>
              </w:rPr>
              <w:t>FY2025 EBITDA (USD mn)</w:t>
            </w:r>
          </w:p>
        </w:tc>
        <w:tc>
          <w:tcPr>
            <w:tcW w:type="dxa" w:w="1123"/>
            <w:shd w:val="clear" w:color="auto" w:fill="EAF0EE"/>
          </w:tcPr>
          <w:p>
            <w:pPr>
              <w:spacing w:after="20"/>
            </w:pPr>
            <w:r>
              <w:rPr>
                <w:b/>
                <w:color w:val="1C3A36"/>
                <w:sz w:val="18"/>
              </w:rPr>
              <w:t>EBITDA margin</w:t>
            </w:r>
          </w:p>
        </w:tc>
        <w:tc>
          <w:tcPr>
            <w:tcW w:type="dxa" w:w="3182"/>
            <w:shd w:val="clear" w:color="auto" w:fill="EAF0EE"/>
          </w:tcPr>
          <w:p>
            <w:pPr>
              <w:spacing w:after="20"/>
            </w:pPr>
            <w:r>
              <w:rPr>
                <w:b/>
                <w:color w:val="1C3A36"/>
                <w:sz w:val="18"/>
              </w:rPr>
              <w:t>What it is</w:t>
            </w:r>
          </w:p>
        </w:tc>
      </w:tr>
      <w:tr>
        <w:tc>
          <w:tcPr>
            <w:tcW w:type="dxa" w:w="1512"/>
          </w:tcPr>
          <w:p>
            <w:pPr>
              <w:spacing w:after="20"/>
            </w:pPr>
            <w:r>
              <w:rPr>
                <w:color w:val="1C3A36"/>
                <w:sz w:val="18"/>
              </w:rPr>
              <w:t>Onshore</w:t>
            </w:r>
          </w:p>
        </w:tc>
        <w:tc>
          <w:tcPr>
            <w:tcW w:type="dxa" w:w="1469"/>
          </w:tcPr>
          <w:p>
            <w:pPr>
              <w:spacing w:after="20"/>
              <w:jc w:val="right"/>
            </w:pPr>
            <w:r>
              <w:rPr>
                <w:color w:val="1C3A36"/>
                <w:sz w:val="18"/>
              </w:rPr>
              <w:t>2,037</w:t>
            </w:r>
          </w:p>
        </w:tc>
        <w:tc>
          <w:tcPr>
            <w:tcW w:type="dxa" w:w="893"/>
          </w:tcPr>
          <w:p>
            <w:pPr>
              <w:spacing w:after="20"/>
              <w:jc w:val="right"/>
            </w:pPr>
            <w:r>
              <w:rPr>
                <w:color w:val="1C3A36"/>
                <w:sz w:val="18"/>
              </w:rPr>
              <w:t>41.5%</w:t>
            </w:r>
          </w:p>
        </w:tc>
        <w:tc>
          <w:tcPr>
            <w:tcW w:type="dxa" w:w="1469"/>
          </w:tcPr>
          <w:p>
            <w:pPr>
              <w:spacing w:after="20"/>
              <w:jc w:val="right"/>
            </w:pPr>
            <w:r>
              <w:rPr>
                <w:color w:val="1C3A36"/>
                <w:sz w:val="18"/>
              </w:rPr>
              <w:t>994</w:t>
            </w:r>
          </w:p>
        </w:tc>
        <w:tc>
          <w:tcPr>
            <w:tcW w:type="dxa" w:w="1123"/>
          </w:tcPr>
          <w:p>
            <w:pPr>
              <w:spacing w:after="20"/>
              <w:jc w:val="right"/>
            </w:pPr>
            <w:r>
              <w:rPr>
                <w:color w:val="1C3A36"/>
                <w:sz w:val="18"/>
              </w:rPr>
              <w:t>48.8%</w:t>
            </w:r>
          </w:p>
        </w:tc>
        <w:tc>
          <w:tcPr>
            <w:tcW w:type="dxa" w:w="3182"/>
          </w:tcPr>
          <w:p>
            <w:pPr>
              <w:spacing w:after="20"/>
              <w:jc w:val="right"/>
            </w:pPr>
            <w:r>
              <w:rPr>
                <w:color w:val="1C3A36"/>
                <w:sz w:val="18"/>
              </w:rPr>
              <w:t>Land rigs, water wells and workover rigs, deployed mainly across ADNOC Onshore concessions</w:t>
            </w:r>
          </w:p>
        </w:tc>
      </w:tr>
      <w:tr>
        <w:tc>
          <w:tcPr>
            <w:tcW w:type="dxa" w:w="1512"/>
          </w:tcPr>
          <w:p>
            <w:pPr>
              <w:spacing w:after="20"/>
            </w:pPr>
            <w:r>
              <w:rPr>
                <w:color w:val="1C3A36"/>
                <w:sz w:val="18"/>
              </w:rPr>
              <w:t>Offshore</w:t>
            </w:r>
          </w:p>
        </w:tc>
        <w:tc>
          <w:tcPr>
            <w:tcW w:type="dxa" w:w="1469"/>
          </w:tcPr>
          <w:p>
            <w:pPr>
              <w:spacing w:after="20"/>
              <w:jc w:val="right"/>
            </w:pPr>
            <w:r>
              <w:rPr>
                <w:color w:val="1C3A36"/>
                <w:sz w:val="18"/>
              </w:rPr>
              <w:t>1,404</w:t>
            </w:r>
          </w:p>
        </w:tc>
        <w:tc>
          <w:tcPr>
            <w:tcW w:type="dxa" w:w="893"/>
          </w:tcPr>
          <w:p>
            <w:pPr>
              <w:spacing w:after="20"/>
              <w:jc w:val="right"/>
            </w:pPr>
            <w:r>
              <w:rPr>
                <w:color w:val="1C3A36"/>
                <w:sz w:val="18"/>
              </w:rPr>
              <w:t>28.6%</w:t>
            </w:r>
          </w:p>
        </w:tc>
        <w:tc>
          <w:tcPr>
            <w:tcW w:type="dxa" w:w="1469"/>
          </w:tcPr>
          <w:p>
            <w:pPr>
              <w:spacing w:after="20"/>
              <w:jc w:val="right"/>
            </w:pPr>
            <w:r>
              <w:rPr>
                <w:color w:val="1C3A36"/>
                <w:sz w:val="18"/>
              </w:rPr>
              <w:t>953</w:t>
            </w:r>
          </w:p>
        </w:tc>
        <w:tc>
          <w:tcPr>
            <w:tcW w:type="dxa" w:w="1123"/>
          </w:tcPr>
          <w:p>
            <w:pPr>
              <w:spacing w:after="20"/>
              <w:jc w:val="right"/>
            </w:pPr>
            <w:r>
              <w:rPr>
                <w:color w:val="1C3A36"/>
                <w:sz w:val="18"/>
              </w:rPr>
              <w:t>67.8%</w:t>
            </w:r>
          </w:p>
        </w:tc>
        <w:tc>
          <w:tcPr>
            <w:tcW w:type="dxa" w:w="3182"/>
          </w:tcPr>
          <w:p>
            <w:pPr>
              <w:spacing w:after="20"/>
              <w:jc w:val="right"/>
            </w:pPr>
            <w:r>
              <w:rPr>
                <w:color w:val="1C3A36"/>
                <w:sz w:val="18"/>
              </w:rPr>
              <w:t>Owned jack-ups and island rigs meeting ADNOC Offshore drilling needs; the jack-up and island segments were merged into one from the first quarter of 2025</w:t>
            </w:r>
          </w:p>
        </w:tc>
      </w:tr>
      <w:tr>
        <w:tc>
          <w:tcPr>
            <w:tcW w:type="dxa" w:w="1512"/>
          </w:tcPr>
          <w:p>
            <w:pPr>
              <w:spacing w:after="20"/>
            </w:pPr>
            <w:r>
              <w:rPr>
                <w:color w:val="1C3A36"/>
                <w:sz w:val="18"/>
              </w:rPr>
              <w:t>Oilfield Services</w:t>
            </w:r>
          </w:p>
        </w:tc>
        <w:tc>
          <w:tcPr>
            <w:tcW w:type="dxa" w:w="1469"/>
          </w:tcPr>
          <w:p>
            <w:pPr>
              <w:spacing w:after="20"/>
              <w:jc w:val="right"/>
            </w:pPr>
            <w:r>
              <w:rPr>
                <w:color w:val="1C3A36"/>
                <w:sz w:val="18"/>
              </w:rPr>
              <w:t>1,462</w:t>
            </w:r>
          </w:p>
        </w:tc>
        <w:tc>
          <w:tcPr>
            <w:tcW w:type="dxa" w:w="893"/>
          </w:tcPr>
          <w:p>
            <w:pPr>
              <w:spacing w:after="20"/>
              <w:jc w:val="right"/>
            </w:pPr>
            <w:r>
              <w:rPr>
                <w:color w:val="1C3A36"/>
                <w:sz w:val="18"/>
              </w:rPr>
              <w:t>29.8%</w:t>
            </w:r>
          </w:p>
        </w:tc>
        <w:tc>
          <w:tcPr>
            <w:tcW w:type="dxa" w:w="1469"/>
          </w:tcPr>
          <w:p>
            <w:pPr>
              <w:spacing w:after="20"/>
              <w:jc w:val="right"/>
            </w:pPr>
            <w:r>
              <w:rPr>
                <w:color w:val="1C3A36"/>
                <w:sz w:val="18"/>
              </w:rPr>
              <w:t>251</w:t>
            </w:r>
          </w:p>
        </w:tc>
        <w:tc>
          <w:tcPr>
            <w:tcW w:type="dxa" w:w="1123"/>
          </w:tcPr>
          <w:p>
            <w:pPr>
              <w:spacing w:after="20"/>
              <w:jc w:val="right"/>
            </w:pPr>
            <w:r>
              <w:rPr>
                <w:color w:val="1C3A36"/>
                <w:sz w:val="18"/>
              </w:rPr>
              <w:t>17.2%</w:t>
            </w:r>
          </w:p>
        </w:tc>
        <w:tc>
          <w:tcPr>
            <w:tcW w:type="dxa" w:w="3182"/>
          </w:tcPr>
          <w:p>
            <w:pPr>
              <w:spacing w:after="20"/>
              <w:jc w:val="right"/>
            </w:pPr>
            <w:r>
              <w:rPr>
                <w:color w:val="1C3A36"/>
                <w:sz w:val="18"/>
              </w:rPr>
              <w:t>Integrated and discrete well services, built out of the partnership with Baker Hughes formed in late 2018</w:t>
            </w:r>
          </w:p>
        </w:tc>
      </w:tr>
      <w:tr>
        <w:tc>
          <w:tcPr>
            <w:tcW w:type="dxa" w:w="1512"/>
            <w:shd w:val="clear" w:color="auto" w:fill="F6F1E6"/>
          </w:tcPr>
          <w:p>
            <w:pPr>
              <w:spacing w:after="20"/>
            </w:pPr>
            <w:r>
              <w:rPr>
                <w:b/>
                <w:color w:val="1C3A36"/>
                <w:sz w:val="18"/>
              </w:rPr>
              <w:t>Group</w:t>
            </w:r>
          </w:p>
        </w:tc>
        <w:tc>
          <w:tcPr>
            <w:tcW w:type="dxa" w:w="1469"/>
            <w:shd w:val="clear" w:color="auto" w:fill="F6F1E6"/>
          </w:tcPr>
          <w:p>
            <w:pPr>
              <w:spacing w:after="20"/>
              <w:jc w:val="right"/>
            </w:pPr>
            <w:r>
              <w:rPr>
                <w:b/>
                <w:color w:val="1C3A36"/>
                <w:sz w:val="18"/>
              </w:rPr>
              <w:t>4,903</w:t>
            </w:r>
          </w:p>
        </w:tc>
        <w:tc>
          <w:tcPr>
            <w:tcW w:type="dxa" w:w="893"/>
            <w:shd w:val="clear" w:color="auto" w:fill="F6F1E6"/>
          </w:tcPr>
          <w:p>
            <w:pPr>
              <w:spacing w:after="20"/>
              <w:jc w:val="right"/>
            </w:pPr>
            <w:r>
              <w:rPr>
                <w:b/>
                <w:color w:val="1C3A36"/>
                <w:sz w:val="18"/>
              </w:rPr>
              <w:t>100.0%</w:t>
            </w:r>
          </w:p>
        </w:tc>
        <w:tc>
          <w:tcPr>
            <w:tcW w:type="dxa" w:w="1469"/>
            <w:shd w:val="clear" w:color="auto" w:fill="F6F1E6"/>
          </w:tcPr>
          <w:p>
            <w:pPr>
              <w:spacing w:after="20"/>
              <w:jc w:val="right"/>
            </w:pPr>
            <w:r>
              <w:rPr>
                <w:b/>
                <w:color w:val="1C3A36"/>
                <w:sz w:val="18"/>
              </w:rPr>
              <w:t>2,198</w:t>
            </w:r>
          </w:p>
        </w:tc>
        <w:tc>
          <w:tcPr>
            <w:tcW w:type="dxa" w:w="1123"/>
            <w:shd w:val="clear" w:color="auto" w:fill="F6F1E6"/>
          </w:tcPr>
          <w:p>
            <w:pPr>
              <w:spacing w:after="20"/>
              <w:jc w:val="right"/>
            </w:pPr>
            <w:r>
              <w:rPr>
                <w:b/>
                <w:color w:val="1C3A36"/>
                <w:sz w:val="18"/>
              </w:rPr>
              <w:t>44.8%</w:t>
            </w:r>
          </w:p>
        </w:tc>
        <w:tc>
          <w:tcPr>
            <w:tcW w:type="dxa" w:w="3182"/>
            <w:shd w:val="clear" w:color="auto" w:fill="F6F1E6"/>
          </w:tcPr>
          <w:p>
            <w:pPr>
              <w:spacing w:after="20"/>
              <w:jc w:val="right"/>
            </w:pPr>
            <w:r>
              <w:rPr>
                <w:b/>
                <w:color w:val="1C3A36"/>
                <w:sz w:val="18"/>
              </w:rPr>
            </w:r>
          </w:p>
        </w:tc>
      </w:tr>
    </w:tbl>
    <w:p>
      <w:pPr>
        <w:spacing w:after="40"/>
      </w:pPr>
    </w:p>
    <w:p>
      <w:pPr>
        <w:spacing w:after="120" w:before="0"/>
      </w:pPr>
      <w:r>
        <w:rPr>
          <w:b w:val="0"/>
          <w:i w:val="0"/>
          <w:color w:val="1C3A36"/>
          <w:sz w:val="21"/>
        </w:rPr>
        <w:t>The balance sheet is what an asset-heavy driller's should look like. Property and equipment of USD 5.48bn is two-thirds of USD 8.10bn of total assets. There is no lending book, no investment property and no development inventory. The only equity-accounted holdings are two service joint ventures — Enersol and Turnwell — carried at USD 437 million and contributing USD 29 million of profit. That balance-sheet shape, together with the revenue mix above, is the evidence for treating this as an operating company and valuing it on the cash its fleet generates rather than on a sum of holdings or a book of loans.</w:t>
      </w:r>
    </w:p>
    <w:p>
      <w:pPr>
        <w:spacing w:after="60" w:before="0"/>
      </w:pPr>
      <w:r>
        <w:rPr>
          <w:b/>
          <w:i w:val="0"/>
          <w:color w:val="1C3A36"/>
          <w:sz w:val="21"/>
        </w:rPr>
        <w:t>The fleet, in the company's own numbers: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512"/>
        <w:gridCol w:w="1512"/>
        <w:gridCol w:w="1512"/>
        <w:gridCol w:w="1872"/>
      </w:tblGrid>
      <w:tr>
        <w:tc>
          <w:tcPr>
            <w:tcW w:type="dxa" w:w="3528"/>
            <w:shd w:val="clear" w:color="auto" w:fill="EAF0EE"/>
          </w:tcPr>
          <w:p>
            <w:pPr>
              <w:spacing w:after="20"/>
            </w:pPr>
            <w:r>
              <w:rPr>
                <w:b/>
                <w:color w:val="1C3A36"/>
                <w:sz w:val="18"/>
              </w:rPr>
            </w:r>
          </w:p>
        </w:tc>
        <w:tc>
          <w:tcPr>
            <w:tcW w:type="dxa" w:w="1512"/>
            <w:shd w:val="clear" w:color="auto" w:fill="EAF0EE"/>
          </w:tcPr>
          <w:p>
            <w:pPr>
              <w:spacing w:after="20"/>
            </w:pPr>
            <w:r>
              <w:rPr>
                <w:b/>
                <w:color w:val="1C3A36"/>
                <w:sz w:val="18"/>
              </w:rPr>
              <w:t>FY2023</w:t>
            </w:r>
          </w:p>
        </w:tc>
        <w:tc>
          <w:tcPr>
            <w:tcW w:type="dxa" w:w="1512"/>
            <w:shd w:val="clear" w:color="auto" w:fill="EAF0EE"/>
          </w:tcPr>
          <w:p>
            <w:pPr>
              <w:spacing w:after="20"/>
            </w:pPr>
            <w:r>
              <w:rPr>
                <w:b/>
                <w:color w:val="1C3A36"/>
                <w:sz w:val="18"/>
              </w:rPr>
              <w:t>FY2024</w:t>
            </w:r>
          </w:p>
        </w:tc>
        <w:tc>
          <w:tcPr>
            <w:tcW w:type="dxa" w:w="1512"/>
            <w:shd w:val="clear" w:color="auto" w:fill="EAF0EE"/>
          </w:tcPr>
          <w:p>
            <w:pPr>
              <w:spacing w:after="20"/>
            </w:pPr>
            <w:r>
              <w:rPr>
                <w:b/>
                <w:color w:val="1C3A36"/>
                <w:sz w:val="18"/>
              </w:rPr>
              <w:t>FY2025</w:t>
            </w:r>
          </w:p>
        </w:tc>
        <w:tc>
          <w:tcPr>
            <w:tcW w:type="dxa" w:w="1872"/>
            <w:shd w:val="clear" w:color="auto" w:fill="EAF0EE"/>
          </w:tcPr>
          <w:p>
            <w:pPr>
              <w:spacing w:after="20"/>
            </w:pPr>
            <w:r>
              <w:rPr>
                <w:b/>
                <w:color w:val="1C3A36"/>
                <w:sz w:val="18"/>
              </w:rPr>
              <w:t>30 June 2026</w:t>
            </w:r>
          </w:p>
        </w:tc>
      </w:tr>
      <w:tr>
        <w:tc>
          <w:tcPr>
            <w:tcW w:type="dxa" w:w="3528"/>
          </w:tcPr>
          <w:p>
            <w:pPr>
              <w:spacing w:after="20"/>
            </w:pPr>
            <w:r>
              <w:rPr>
                <w:color w:val="1C3A36"/>
                <w:sz w:val="18"/>
              </w:rPr>
              <w:t>Abu Dhabi onshore rigs</w:t>
            </w:r>
          </w:p>
        </w:tc>
        <w:tc>
          <w:tcPr>
            <w:tcW w:type="dxa" w:w="1512"/>
          </w:tcPr>
          <w:p>
            <w:pPr>
              <w:spacing w:after="20"/>
              <w:jc w:val="right"/>
            </w:pPr>
            <w:r>
              <w:rPr>
                <w:color w:val="1C3A36"/>
                <w:sz w:val="18"/>
              </w:rPr>
              <w:t>84</w:t>
            </w:r>
          </w:p>
        </w:tc>
        <w:tc>
          <w:tcPr>
            <w:tcW w:type="dxa" w:w="1512"/>
          </w:tcPr>
          <w:p>
            <w:pPr>
              <w:spacing w:after="20"/>
              <w:jc w:val="right"/>
            </w:pPr>
            <w:r>
              <w:rPr>
                <w:color w:val="1C3A36"/>
                <w:sz w:val="18"/>
              </w:rPr>
              <w:t>95</w:t>
            </w:r>
          </w:p>
        </w:tc>
        <w:tc>
          <w:tcPr>
            <w:tcW w:type="dxa" w:w="1512"/>
          </w:tcPr>
          <w:p>
            <w:pPr>
              <w:spacing w:after="20"/>
              <w:jc w:val="right"/>
            </w:pPr>
            <w:r>
              <w:rPr>
                <w:color w:val="1C3A36"/>
                <w:sz w:val="18"/>
              </w:rPr>
              <w:t>92</w:t>
            </w:r>
          </w:p>
        </w:tc>
        <w:tc>
          <w:tcPr>
            <w:tcW w:type="dxa" w:w="1872"/>
          </w:tcPr>
          <w:p>
            <w:pPr>
              <w:spacing w:after="20"/>
              <w:jc w:val="right"/>
            </w:pPr>
            <w:r>
              <w:rPr>
                <w:color w:val="1C3A36"/>
                <w:sz w:val="18"/>
              </w:rPr>
              <w:t>92</w:t>
            </w:r>
          </w:p>
        </w:tc>
      </w:tr>
      <w:tr>
        <w:tc>
          <w:tcPr>
            <w:tcW w:type="dxa" w:w="3528"/>
          </w:tcPr>
          <w:p>
            <w:pPr>
              <w:spacing w:after="20"/>
            </w:pPr>
            <w:r>
              <w:rPr>
                <w:color w:val="1C3A36"/>
                <w:sz w:val="18"/>
              </w:rPr>
              <w:t>Jack-up rigs</w:t>
            </w:r>
          </w:p>
        </w:tc>
        <w:tc>
          <w:tcPr>
            <w:tcW w:type="dxa" w:w="1512"/>
          </w:tcPr>
          <w:p>
            <w:pPr>
              <w:spacing w:after="20"/>
              <w:jc w:val="right"/>
            </w:pPr>
            <w:r>
              <w:rPr>
                <w:color w:val="1C3A36"/>
                <w:sz w:val="18"/>
              </w:rPr>
              <w:t>35</w:t>
            </w:r>
          </w:p>
        </w:tc>
        <w:tc>
          <w:tcPr>
            <w:tcW w:type="dxa" w:w="1512"/>
          </w:tcPr>
          <w:p>
            <w:pPr>
              <w:spacing w:after="20"/>
              <w:jc w:val="right"/>
            </w:pPr>
            <w:r>
              <w:rPr>
                <w:color w:val="1C3A36"/>
                <w:sz w:val="18"/>
              </w:rPr>
              <w:t>37</w:t>
            </w:r>
          </w:p>
        </w:tc>
        <w:tc>
          <w:tcPr>
            <w:tcW w:type="dxa" w:w="1512"/>
          </w:tcPr>
          <w:p>
            <w:pPr>
              <w:spacing w:after="20"/>
              <w:jc w:val="right"/>
            </w:pPr>
            <w:r>
              <w:rPr>
                <w:color w:val="1C3A36"/>
                <w:sz w:val="18"/>
              </w:rPr>
              <w:t>36</w:t>
            </w:r>
          </w:p>
        </w:tc>
        <w:tc>
          <w:tcPr>
            <w:tcW w:type="dxa" w:w="1872"/>
          </w:tcPr>
          <w:p>
            <w:pPr>
              <w:spacing w:after="20"/>
              <w:jc w:val="right"/>
            </w:pPr>
            <w:r>
              <w:rPr>
                <w:color w:val="1C3A36"/>
                <w:sz w:val="18"/>
              </w:rPr>
              <w:t>36</w:t>
            </w:r>
          </w:p>
        </w:tc>
      </w:tr>
      <w:tr>
        <w:tc>
          <w:tcPr>
            <w:tcW w:type="dxa" w:w="3528"/>
          </w:tcPr>
          <w:p>
            <w:pPr>
              <w:spacing w:after="20"/>
            </w:pPr>
            <w:r>
              <w:rPr>
                <w:color w:val="1C3A36"/>
                <w:sz w:val="18"/>
              </w:rPr>
              <w:t>Island rigs</w:t>
            </w:r>
          </w:p>
        </w:tc>
        <w:tc>
          <w:tcPr>
            <w:tcW w:type="dxa" w:w="1512"/>
          </w:tcPr>
          <w:p>
            <w:pPr>
              <w:spacing w:after="20"/>
              <w:jc w:val="right"/>
            </w:pPr>
            <w:r>
              <w:rPr>
                <w:color w:val="1C3A36"/>
                <w:sz w:val="18"/>
              </w:rPr>
              <w:t>10</w:t>
            </w:r>
          </w:p>
        </w:tc>
        <w:tc>
          <w:tcPr>
            <w:tcW w:type="dxa" w:w="1512"/>
          </w:tcPr>
          <w:p>
            <w:pPr>
              <w:spacing w:after="20"/>
              <w:jc w:val="right"/>
            </w:pPr>
            <w:r>
              <w:rPr>
                <w:color w:val="1C3A36"/>
                <w:sz w:val="18"/>
              </w:rPr>
              <w:t>10</w:t>
            </w:r>
          </w:p>
        </w:tc>
        <w:tc>
          <w:tcPr>
            <w:tcW w:type="dxa" w:w="1512"/>
          </w:tcPr>
          <w:p>
            <w:pPr>
              <w:spacing w:after="20"/>
              <w:jc w:val="right"/>
            </w:pPr>
            <w:r>
              <w:rPr>
                <w:color w:val="1C3A36"/>
                <w:sz w:val="18"/>
              </w:rPr>
              <w:t>12</w:t>
            </w:r>
          </w:p>
        </w:tc>
        <w:tc>
          <w:tcPr>
            <w:tcW w:type="dxa" w:w="1872"/>
          </w:tcPr>
          <w:p>
            <w:pPr>
              <w:spacing w:after="20"/>
              <w:jc w:val="right"/>
            </w:pPr>
            <w:r>
              <w:rPr>
                <w:color w:val="1C3A36"/>
                <w:sz w:val="18"/>
              </w:rPr>
              <w:t>13</w:t>
            </w:r>
          </w:p>
        </w:tc>
      </w:tr>
      <w:tr>
        <w:tc>
          <w:tcPr>
            <w:tcW w:type="dxa" w:w="3528"/>
          </w:tcPr>
          <w:p>
            <w:pPr>
              <w:spacing w:after="20"/>
            </w:pPr>
            <w:r>
              <w:rPr>
                <w:color w:val="1C3A36"/>
                <w:sz w:val="18"/>
              </w:rPr>
              <w:t>Regional rigs outside the UAE</w:t>
            </w:r>
          </w:p>
        </w:tc>
        <w:tc>
          <w:tcPr>
            <w:tcW w:type="dxa" w:w="1512"/>
          </w:tcPr>
          <w:p>
            <w:pPr>
              <w:spacing w:after="20"/>
              <w:jc w:val="right"/>
            </w:pPr>
            <w:r>
              <w:rPr>
                <w:color w:val="1C3A36"/>
                <w:sz w:val="18"/>
              </w:rPr>
              <w:t>—</w:t>
            </w:r>
          </w:p>
        </w:tc>
        <w:tc>
          <w:tcPr>
            <w:tcW w:type="dxa" w:w="1512"/>
          </w:tcPr>
          <w:p>
            <w:pPr>
              <w:spacing w:after="20"/>
              <w:jc w:val="right"/>
            </w:pPr>
            <w:r>
              <w:rPr>
                <w:color w:val="1C3A36"/>
                <w:sz w:val="18"/>
              </w:rPr>
              <w:t>—</w:t>
            </w:r>
          </w:p>
        </w:tc>
        <w:tc>
          <w:tcPr>
            <w:tcW w:type="dxa" w:w="1512"/>
          </w:tcPr>
          <w:p>
            <w:pPr>
              <w:spacing w:after="20"/>
              <w:jc w:val="right"/>
            </w:pPr>
            <w:r>
              <w:rPr>
                <w:color w:val="1C3A36"/>
                <w:sz w:val="18"/>
              </w:rPr>
              <w:t>—</w:t>
            </w:r>
          </w:p>
        </w:tc>
        <w:tc>
          <w:tcPr>
            <w:tcW w:type="dxa" w:w="1872"/>
          </w:tcPr>
          <w:p>
            <w:pPr>
              <w:spacing w:after="20"/>
              <w:jc w:val="right"/>
            </w:pPr>
            <w:r>
              <w:rPr>
                <w:color w:val="1C3A36"/>
                <w:sz w:val="18"/>
              </w:rPr>
              <w:t>30</w:t>
            </w:r>
          </w:p>
        </w:tc>
      </w:tr>
      <w:tr>
        <w:tc>
          <w:tcPr>
            <w:tcW w:type="dxa" w:w="3528"/>
            <w:shd w:val="clear" w:color="auto" w:fill="F6F1E6"/>
          </w:tcPr>
          <w:p>
            <w:pPr>
              <w:spacing w:after="20"/>
            </w:pPr>
            <w:r>
              <w:rPr>
                <w:b/>
                <w:color w:val="1C3A36"/>
                <w:sz w:val="18"/>
              </w:rPr>
              <w:t>Total rigs</w:t>
            </w:r>
          </w:p>
        </w:tc>
        <w:tc>
          <w:tcPr>
            <w:tcW w:type="dxa" w:w="1512"/>
            <w:shd w:val="clear" w:color="auto" w:fill="F6F1E6"/>
          </w:tcPr>
          <w:p>
            <w:pPr>
              <w:spacing w:after="20"/>
              <w:jc w:val="right"/>
            </w:pPr>
            <w:r>
              <w:rPr>
                <w:b/>
                <w:color w:val="1C3A36"/>
                <w:sz w:val="18"/>
              </w:rPr>
              <w:t>129</w:t>
            </w:r>
          </w:p>
        </w:tc>
        <w:tc>
          <w:tcPr>
            <w:tcW w:type="dxa" w:w="1512"/>
            <w:shd w:val="clear" w:color="auto" w:fill="F6F1E6"/>
          </w:tcPr>
          <w:p>
            <w:pPr>
              <w:spacing w:after="20"/>
              <w:jc w:val="right"/>
            </w:pPr>
            <w:r>
              <w:rPr>
                <w:b/>
                <w:color w:val="1C3A36"/>
                <w:sz w:val="18"/>
              </w:rPr>
              <w:t>142</w:t>
            </w:r>
          </w:p>
        </w:tc>
        <w:tc>
          <w:tcPr>
            <w:tcW w:type="dxa" w:w="1512"/>
            <w:shd w:val="clear" w:color="auto" w:fill="F6F1E6"/>
          </w:tcPr>
          <w:p>
            <w:pPr>
              <w:spacing w:after="20"/>
              <w:jc w:val="right"/>
            </w:pPr>
            <w:r>
              <w:rPr>
                <w:b/>
                <w:color w:val="1C3A36"/>
                <w:sz w:val="18"/>
              </w:rPr>
              <w:t>140</w:t>
            </w:r>
          </w:p>
        </w:tc>
        <w:tc>
          <w:tcPr>
            <w:tcW w:type="dxa" w:w="1872"/>
            <w:shd w:val="clear" w:color="auto" w:fill="F6F1E6"/>
          </w:tcPr>
          <w:p>
            <w:pPr>
              <w:spacing w:after="20"/>
              <w:jc w:val="right"/>
            </w:pPr>
            <w:r>
              <w:rPr>
                <w:b/>
                <w:color w:val="1C3A36"/>
                <w:sz w:val="18"/>
              </w:rPr>
              <w:t>171</w:t>
            </w:r>
          </w:p>
        </w:tc>
      </w:tr>
      <w:tr>
        <w:tc>
          <w:tcPr>
            <w:tcW w:type="dxa" w:w="3528"/>
          </w:tcPr>
          <w:p>
            <w:pPr>
              <w:spacing w:after="20"/>
            </w:pPr>
            <w:r>
              <w:rPr>
                <w:color w:val="1C3A36"/>
                <w:sz w:val="18"/>
              </w:rPr>
              <w:t>Integrated-services rigs</w:t>
            </w:r>
          </w:p>
        </w:tc>
        <w:tc>
          <w:tcPr>
            <w:tcW w:type="dxa" w:w="1512"/>
          </w:tcPr>
          <w:p>
            <w:pPr>
              <w:spacing w:after="20"/>
              <w:jc w:val="right"/>
            </w:pPr>
            <w:r>
              <w:rPr>
                <w:color w:val="1C3A36"/>
                <w:sz w:val="18"/>
              </w:rPr>
              <w:t>48</w:t>
            </w:r>
          </w:p>
        </w:tc>
        <w:tc>
          <w:tcPr>
            <w:tcW w:type="dxa" w:w="1512"/>
          </w:tcPr>
          <w:p>
            <w:pPr>
              <w:spacing w:after="20"/>
              <w:jc w:val="right"/>
            </w:pPr>
            <w:r>
              <w:rPr>
                <w:color w:val="1C3A36"/>
                <w:sz w:val="18"/>
              </w:rPr>
              <w:t>57</w:t>
            </w:r>
          </w:p>
        </w:tc>
        <w:tc>
          <w:tcPr>
            <w:tcW w:type="dxa" w:w="1512"/>
          </w:tcPr>
          <w:p>
            <w:pPr>
              <w:spacing w:after="20"/>
              <w:jc w:val="right"/>
            </w:pPr>
            <w:r>
              <w:rPr>
                <w:color w:val="1C3A36"/>
                <w:sz w:val="18"/>
              </w:rPr>
              <w:t>60</w:t>
            </w:r>
          </w:p>
        </w:tc>
        <w:tc>
          <w:tcPr>
            <w:tcW w:type="dxa" w:w="1872"/>
          </w:tcPr>
          <w:p>
            <w:pPr>
              <w:spacing w:after="20"/>
              <w:jc w:val="right"/>
            </w:pPr>
            <w:r>
              <w:rPr>
                <w:color w:val="1C3A36"/>
                <w:sz w:val="18"/>
              </w:rPr>
              <w:t>61</w:t>
            </w:r>
          </w:p>
        </w:tc>
      </w:tr>
      <w:tr>
        <w:tc>
          <w:tcPr>
            <w:tcW w:type="dxa" w:w="3528"/>
          </w:tcPr>
          <w:p>
            <w:pPr>
              <w:spacing w:after="20"/>
            </w:pPr>
            <w:r>
              <w:rPr>
                <w:color w:val="1C3A36"/>
                <w:sz w:val="18"/>
              </w:rPr>
              <w:t>Wells drilled</w:t>
            </w:r>
          </w:p>
        </w:tc>
        <w:tc>
          <w:tcPr>
            <w:tcW w:type="dxa" w:w="1512"/>
          </w:tcPr>
          <w:p>
            <w:pPr>
              <w:spacing w:after="20"/>
              <w:jc w:val="right"/>
            </w:pPr>
            <w:r>
              <w:rPr>
                <w:color w:val="1C3A36"/>
                <w:sz w:val="18"/>
              </w:rPr>
              <w:t>613</w:t>
            </w:r>
          </w:p>
        </w:tc>
        <w:tc>
          <w:tcPr>
            <w:tcW w:type="dxa" w:w="1512"/>
          </w:tcPr>
          <w:p>
            <w:pPr>
              <w:spacing w:after="20"/>
              <w:jc w:val="right"/>
            </w:pPr>
            <w:r>
              <w:rPr>
                <w:color w:val="1C3A36"/>
                <w:sz w:val="18"/>
              </w:rPr>
              <w:t>676</w:t>
            </w:r>
          </w:p>
        </w:tc>
        <w:tc>
          <w:tcPr>
            <w:tcW w:type="dxa" w:w="1512"/>
          </w:tcPr>
          <w:p>
            <w:pPr>
              <w:spacing w:after="20"/>
              <w:jc w:val="right"/>
            </w:pPr>
            <w:r>
              <w:rPr>
                <w:color w:val="1C3A36"/>
                <w:sz w:val="18"/>
              </w:rPr>
              <w:t>836</w:t>
            </w:r>
          </w:p>
        </w:tc>
        <w:tc>
          <w:tcPr>
            <w:tcW w:type="dxa" w:w="1872"/>
          </w:tcPr>
          <w:p>
            <w:pPr>
              <w:spacing w:after="20"/>
              <w:jc w:val="right"/>
            </w:pPr>
            <w:r>
              <w:rPr>
                <w:color w:val="1C3A36"/>
                <w:sz w:val="18"/>
              </w:rPr>
              <w:t>—</w:t>
            </w:r>
          </w:p>
        </w:tc>
      </w:tr>
    </w:tbl>
    <w:p>
      <w:pPr>
        <w:spacing w:after="40"/>
      </w:pPr>
    </w:p>
    <w:p>
      <w:pPr>
        <w:spacing w:after="200" w:before="0"/>
      </w:pPr>
      <w:r>
        <w:rPr>
          <w:b w:val="0"/>
          <w:i/>
          <w:color w:val="6E7B77"/>
          <w:sz w:val="17"/>
        </w:rPr>
        <w:t>The 2025 total of 140 excludes 29 regional rigs the company reported on a pro-forma basis at the year end; 8 of those closed in January 2026 through the joint venture with SLB and the remainder through the acquisition of a stake in MBPS, which is why they appear in the June 2026 column.</w:t>
      </w:r>
    </w:p>
    <w:p>
      <w:r>
        <w:br w:type="page"/>
      </w:r>
    </w:p>
    <w:p>
      <w:pPr>
        <w:spacing w:after="120" w:before="280"/>
      </w:pPr>
      <w:r>
        <w:rPr>
          <w:b/>
          <w:i w:val="0"/>
          <w:color w:val="1C3A36"/>
          <w:sz w:val="30"/>
        </w:rPr>
        <w:t>1. Fundamental valuation</w:t>
      </w:r>
    </w:p>
    <w:p>
      <w:pPr>
        <w:spacing w:after="80" w:before="200"/>
      </w:pPr>
      <w:r>
        <w:rPr>
          <w:b/>
          <w:i w:val="0"/>
          <w:color w:val="1C3A36"/>
          <w:sz w:val="24"/>
        </w:rPr>
        <w:t>1.1 Cash-flow model</w:t>
      </w:r>
    </w:p>
    <w:p>
      <w:pPr>
        <w:spacing w:after="80" w:before="0"/>
      </w:pPr>
      <w:r>
        <w:rPr>
          <w:b w:val="0"/>
          <w:i w:val="0"/>
          <w:color w:val="1C3A36"/>
          <w:sz w:val="21"/>
        </w:rPr>
        <w:t>The primary lens is a discounted free cash flow to the firm over five explicit years, with a terminal value built on the return the business earns on the capital it reinvests. The waterfall below is the continued-expansion case in full; every line is a formula in the delivered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67"/>
        <w:gridCol w:w="1267"/>
        <w:gridCol w:w="1267"/>
        <w:gridCol w:w="1267"/>
        <w:gridCol w:w="1267"/>
      </w:tblGrid>
      <w:tr>
        <w:tc>
          <w:tcPr>
            <w:tcW w:type="dxa" w:w="3744"/>
            <w:shd w:val="clear" w:color="auto" w:fill="EAF0EE"/>
          </w:tcPr>
          <w:p>
            <w:pPr>
              <w:spacing w:after="20"/>
            </w:pPr>
            <w:r>
              <w:rPr>
                <w:b/>
                <w:color w:val="1C3A36"/>
                <w:sz w:val="18"/>
              </w:rPr>
              <w:t>USD million</w:t>
            </w:r>
          </w:p>
        </w:tc>
        <w:tc>
          <w:tcPr>
            <w:tcW w:type="dxa" w:w="1267"/>
            <w:shd w:val="clear" w:color="auto" w:fill="EAF0EE"/>
          </w:tcPr>
          <w:p>
            <w:pPr>
              <w:spacing w:after="20"/>
            </w:pPr>
            <w:r>
              <w:rPr>
                <w:b/>
                <w:color w:val="1C3A36"/>
                <w:sz w:val="18"/>
              </w:rPr>
              <w:t>FY2026E</w:t>
            </w:r>
          </w:p>
        </w:tc>
        <w:tc>
          <w:tcPr>
            <w:tcW w:type="dxa" w:w="1267"/>
            <w:shd w:val="clear" w:color="auto" w:fill="EAF0EE"/>
          </w:tcPr>
          <w:p>
            <w:pPr>
              <w:spacing w:after="20"/>
            </w:pPr>
            <w:r>
              <w:rPr>
                <w:b/>
                <w:color w:val="1C3A36"/>
                <w:sz w:val="18"/>
              </w:rPr>
              <w:t>FY2027E</w:t>
            </w:r>
          </w:p>
        </w:tc>
        <w:tc>
          <w:tcPr>
            <w:tcW w:type="dxa" w:w="1267"/>
            <w:shd w:val="clear" w:color="auto" w:fill="EAF0EE"/>
          </w:tcPr>
          <w:p>
            <w:pPr>
              <w:spacing w:after="20"/>
            </w:pPr>
            <w:r>
              <w:rPr>
                <w:b/>
                <w:color w:val="1C3A36"/>
                <w:sz w:val="18"/>
              </w:rPr>
              <w:t>FY2028E</w:t>
            </w:r>
          </w:p>
        </w:tc>
        <w:tc>
          <w:tcPr>
            <w:tcW w:type="dxa" w:w="1267"/>
            <w:shd w:val="clear" w:color="auto" w:fill="EAF0EE"/>
          </w:tcPr>
          <w:p>
            <w:pPr>
              <w:spacing w:after="20"/>
            </w:pPr>
            <w:r>
              <w:rPr>
                <w:b/>
                <w:color w:val="1C3A36"/>
                <w:sz w:val="18"/>
              </w:rPr>
              <w:t>FY2029E</w:t>
            </w:r>
          </w:p>
        </w:tc>
        <w:tc>
          <w:tcPr>
            <w:tcW w:type="dxa" w:w="1267"/>
            <w:shd w:val="clear" w:color="auto" w:fill="EAF0EE"/>
          </w:tcPr>
          <w:p>
            <w:pPr>
              <w:spacing w:after="20"/>
            </w:pPr>
            <w:r>
              <w:rPr>
                <w:b/>
                <w:color w:val="1C3A36"/>
                <w:sz w:val="18"/>
              </w:rPr>
              <w:t>FY2030E</w:t>
            </w:r>
          </w:p>
        </w:tc>
      </w:tr>
      <w:tr>
        <w:tc>
          <w:tcPr>
            <w:tcW w:type="dxa" w:w="3744"/>
          </w:tcPr>
          <w:p>
            <w:pPr>
              <w:spacing w:after="20"/>
            </w:pPr>
            <w:r>
              <w:rPr>
                <w:color w:val="1C3A36"/>
                <w:sz w:val="18"/>
              </w:rPr>
              <w:t>Revenue</w:t>
            </w:r>
          </w:p>
        </w:tc>
        <w:tc>
          <w:tcPr>
            <w:tcW w:type="dxa" w:w="1267"/>
          </w:tcPr>
          <w:p>
            <w:pPr>
              <w:spacing w:after="20"/>
              <w:jc w:val="right"/>
            </w:pPr>
            <w:r>
              <w:rPr>
                <w:color w:val="1C3A36"/>
                <w:sz w:val="18"/>
              </w:rPr>
              <w:t>5,000</w:t>
            </w:r>
          </w:p>
        </w:tc>
        <w:tc>
          <w:tcPr>
            <w:tcW w:type="dxa" w:w="1267"/>
          </w:tcPr>
          <w:p>
            <w:pPr>
              <w:spacing w:after="20"/>
              <w:jc w:val="right"/>
            </w:pPr>
            <w:r>
              <w:rPr>
                <w:color w:val="1C3A36"/>
                <w:sz w:val="18"/>
              </w:rPr>
              <w:t>5,207</w:t>
            </w:r>
          </w:p>
        </w:tc>
        <w:tc>
          <w:tcPr>
            <w:tcW w:type="dxa" w:w="1267"/>
          </w:tcPr>
          <w:p>
            <w:pPr>
              <w:spacing w:after="20"/>
              <w:jc w:val="right"/>
            </w:pPr>
            <w:r>
              <w:rPr>
                <w:color w:val="1C3A36"/>
                <w:sz w:val="18"/>
              </w:rPr>
              <w:t>5,497</w:t>
            </w:r>
          </w:p>
        </w:tc>
        <w:tc>
          <w:tcPr>
            <w:tcW w:type="dxa" w:w="1267"/>
          </w:tcPr>
          <w:p>
            <w:pPr>
              <w:spacing w:after="20"/>
              <w:jc w:val="right"/>
            </w:pPr>
            <w:r>
              <w:rPr>
                <w:color w:val="1C3A36"/>
                <w:sz w:val="18"/>
              </w:rPr>
              <w:t>5,774</w:t>
            </w:r>
          </w:p>
        </w:tc>
        <w:tc>
          <w:tcPr>
            <w:tcW w:type="dxa" w:w="1267"/>
          </w:tcPr>
          <w:p>
            <w:pPr>
              <w:spacing w:after="20"/>
              <w:jc w:val="right"/>
            </w:pPr>
            <w:r>
              <w:rPr>
                <w:color w:val="1C3A36"/>
                <w:sz w:val="18"/>
              </w:rPr>
              <w:t>5,962</w:t>
            </w:r>
          </w:p>
        </w:tc>
      </w:tr>
      <w:tr>
        <w:tc>
          <w:tcPr>
            <w:tcW w:type="dxa" w:w="3744"/>
            <w:shd w:val="clear" w:color="auto" w:fill="F6F1E6"/>
          </w:tcPr>
          <w:p>
            <w:pPr>
              <w:spacing w:after="20"/>
            </w:pPr>
            <w:r>
              <w:rPr>
                <w:b/>
                <w:color w:val="1C3A36"/>
                <w:sz w:val="18"/>
              </w:rPr>
              <w:t>EBITDA</w:t>
            </w:r>
          </w:p>
        </w:tc>
        <w:tc>
          <w:tcPr>
            <w:tcW w:type="dxa" w:w="1267"/>
            <w:shd w:val="clear" w:color="auto" w:fill="F6F1E6"/>
          </w:tcPr>
          <w:p>
            <w:pPr>
              <w:spacing w:after="20"/>
              <w:jc w:val="right"/>
            </w:pPr>
            <w:r>
              <w:rPr>
                <w:b/>
                <w:color w:val="1C3A36"/>
                <w:sz w:val="18"/>
              </w:rPr>
              <w:t>2,158</w:t>
            </w:r>
          </w:p>
        </w:tc>
        <w:tc>
          <w:tcPr>
            <w:tcW w:type="dxa" w:w="1267"/>
            <w:shd w:val="clear" w:color="auto" w:fill="F6F1E6"/>
          </w:tcPr>
          <w:p>
            <w:pPr>
              <w:spacing w:after="20"/>
              <w:jc w:val="right"/>
            </w:pPr>
            <w:r>
              <w:rPr>
                <w:b/>
                <w:color w:val="1C3A36"/>
                <w:sz w:val="18"/>
              </w:rPr>
              <w:t>2,330</w:t>
            </w:r>
          </w:p>
        </w:tc>
        <w:tc>
          <w:tcPr>
            <w:tcW w:type="dxa" w:w="1267"/>
            <w:shd w:val="clear" w:color="auto" w:fill="F6F1E6"/>
          </w:tcPr>
          <w:p>
            <w:pPr>
              <w:spacing w:after="20"/>
              <w:jc w:val="right"/>
            </w:pPr>
            <w:r>
              <w:rPr>
                <w:b/>
                <w:color w:val="1C3A36"/>
                <w:sz w:val="18"/>
              </w:rPr>
              <w:t>2,509</w:t>
            </w:r>
          </w:p>
        </w:tc>
        <w:tc>
          <w:tcPr>
            <w:tcW w:type="dxa" w:w="1267"/>
            <w:shd w:val="clear" w:color="auto" w:fill="F6F1E6"/>
          </w:tcPr>
          <w:p>
            <w:pPr>
              <w:spacing w:after="20"/>
              <w:jc w:val="right"/>
            </w:pPr>
            <w:r>
              <w:rPr>
                <w:b/>
                <w:color w:val="1C3A36"/>
                <w:sz w:val="18"/>
              </w:rPr>
              <w:t>2,641</w:t>
            </w:r>
          </w:p>
        </w:tc>
        <w:tc>
          <w:tcPr>
            <w:tcW w:type="dxa" w:w="1267"/>
            <w:shd w:val="clear" w:color="auto" w:fill="F6F1E6"/>
          </w:tcPr>
          <w:p>
            <w:pPr>
              <w:spacing w:after="20"/>
              <w:jc w:val="right"/>
            </w:pPr>
            <w:r>
              <w:rPr>
                <w:b/>
                <w:color w:val="1C3A36"/>
                <w:sz w:val="18"/>
              </w:rPr>
              <w:t>2,709</w:t>
            </w:r>
          </w:p>
        </w:tc>
      </w:tr>
      <w:tr>
        <w:tc>
          <w:tcPr>
            <w:tcW w:type="dxa" w:w="3744"/>
          </w:tcPr>
          <w:p>
            <w:pPr>
              <w:spacing w:after="20"/>
            </w:pPr>
            <w:r>
              <w:rPr>
                <w:color w:val="1C3A36"/>
                <w:sz w:val="18"/>
              </w:rPr>
              <w:t>EBITDA margin</w:t>
            </w:r>
          </w:p>
        </w:tc>
        <w:tc>
          <w:tcPr>
            <w:tcW w:type="dxa" w:w="1267"/>
          </w:tcPr>
          <w:p>
            <w:pPr>
              <w:spacing w:after="20"/>
              <w:jc w:val="right"/>
            </w:pPr>
            <w:r>
              <w:rPr>
                <w:color w:val="1C3A36"/>
                <w:sz w:val="18"/>
              </w:rPr>
              <w:t>43.2%</w:t>
            </w:r>
          </w:p>
        </w:tc>
        <w:tc>
          <w:tcPr>
            <w:tcW w:type="dxa" w:w="1267"/>
          </w:tcPr>
          <w:p>
            <w:pPr>
              <w:spacing w:after="20"/>
              <w:jc w:val="right"/>
            </w:pPr>
            <w:r>
              <w:rPr>
                <w:color w:val="1C3A36"/>
                <w:sz w:val="18"/>
              </w:rPr>
              <w:t>44.7%</w:t>
            </w:r>
          </w:p>
        </w:tc>
        <w:tc>
          <w:tcPr>
            <w:tcW w:type="dxa" w:w="1267"/>
          </w:tcPr>
          <w:p>
            <w:pPr>
              <w:spacing w:after="20"/>
              <w:jc w:val="right"/>
            </w:pPr>
            <w:r>
              <w:rPr>
                <w:color w:val="1C3A36"/>
                <w:sz w:val="18"/>
              </w:rPr>
              <w:t>45.6%</w:t>
            </w:r>
          </w:p>
        </w:tc>
        <w:tc>
          <w:tcPr>
            <w:tcW w:type="dxa" w:w="1267"/>
          </w:tcPr>
          <w:p>
            <w:pPr>
              <w:spacing w:after="20"/>
              <w:jc w:val="right"/>
            </w:pPr>
            <w:r>
              <w:rPr>
                <w:color w:val="1C3A36"/>
                <w:sz w:val="18"/>
              </w:rPr>
              <w:t>45.7%</w:t>
            </w:r>
          </w:p>
        </w:tc>
        <w:tc>
          <w:tcPr>
            <w:tcW w:type="dxa" w:w="1267"/>
          </w:tcPr>
          <w:p>
            <w:pPr>
              <w:spacing w:after="20"/>
              <w:jc w:val="right"/>
            </w:pPr>
            <w:r>
              <w:rPr>
                <w:color w:val="1C3A36"/>
                <w:sz w:val="18"/>
              </w:rPr>
              <w:t>45.4%</w:t>
            </w:r>
          </w:p>
        </w:tc>
      </w:tr>
      <w:tr>
        <w:tc>
          <w:tcPr>
            <w:tcW w:type="dxa" w:w="3744"/>
          </w:tcPr>
          <w:p>
            <w:pPr>
              <w:spacing w:after="20"/>
            </w:pPr>
            <w:r>
              <w:rPr>
                <w:color w:val="1C3A36"/>
                <w:sz w:val="18"/>
              </w:rPr>
              <w:t>less depreciation and amortisation</w:t>
            </w:r>
          </w:p>
        </w:tc>
        <w:tc>
          <w:tcPr>
            <w:tcW w:type="dxa" w:w="1267"/>
          </w:tcPr>
          <w:p>
            <w:pPr>
              <w:spacing w:after="20"/>
              <w:jc w:val="right"/>
            </w:pPr>
            <w:r>
              <w:rPr>
                <w:color w:val="1C3A36"/>
                <w:sz w:val="18"/>
              </w:rPr>
              <w:t>(556)</w:t>
            </w:r>
          </w:p>
        </w:tc>
        <w:tc>
          <w:tcPr>
            <w:tcW w:type="dxa" w:w="1267"/>
          </w:tcPr>
          <w:p>
            <w:pPr>
              <w:spacing w:after="20"/>
              <w:jc w:val="right"/>
            </w:pPr>
            <w:r>
              <w:rPr>
                <w:color w:val="1C3A36"/>
                <w:sz w:val="18"/>
              </w:rPr>
              <w:t>(570)</w:t>
            </w:r>
          </w:p>
        </w:tc>
        <w:tc>
          <w:tcPr>
            <w:tcW w:type="dxa" w:w="1267"/>
          </w:tcPr>
          <w:p>
            <w:pPr>
              <w:spacing w:after="20"/>
              <w:jc w:val="right"/>
            </w:pPr>
            <w:r>
              <w:rPr>
                <w:color w:val="1C3A36"/>
                <w:sz w:val="18"/>
              </w:rPr>
              <w:t>(573)</w:t>
            </w:r>
          </w:p>
        </w:tc>
        <w:tc>
          <w:tcPr>
            <w:tcW w:type="dxa" w:w="1267"/>
          </w:tcPr>
          <w:p>
            <w:pPr>
              <w:spacing w:after="20"/>
              <w:jc w:val="right"/>
            </w:pPr>
            <w:r>
              <w:rPr>
                <w:color w:val="1C3A36"/>
                <w:sz w:val="18"/>
              </w:rPr>
              <w:t>(568)</w:t>
            </w:r>
          </w:p>
        </w:tc>
        <w:tc>
          <w:tcPr>
            <w:tcW w:type="dxa" w:w="1267"/>
          </w:tcPr>
          <w:p>
            <w:pPr>
              <w:spacing w:after="20"/>
              <w:jc w:val="right"/>
            </w:pPr>
            <w:r>
              <w:rPr>
                <w:color w:val="1C3A36"/>
                <w:sz w:val="18"/>
              </w:rPr>
              <w:t>(554)</w:t>
            </w:r>
          </w:p>
        </w:tc>
      </w:tr>
      <w:tr>
        <w:tc>
          <w:tcPr>
            <w:tcW w:type="dxa" w:w="3744"/>
            <w:shd w:val="clear" w:color="auto" w:fill="F6F1E6"/>
          </w:tcPr>
          <w:p>
            <w:pPr>
              <w:spacing w:after="20"/>
            </w:pPr>
            <w:r>
              <w:rPr>
                <w:b/>
                <w:color w:val="1C3A36"/>
                <w:sz w:val="18"/>
              </w:rPr>
              <w:t>EBIT</w:t>
            </w:r>
          </w:p>
        </w:tc>
        <w:tc>
          <w:tcPr>
            <w:tcW w:type="dxa" w:w="1267"/>
            <w:shd w:val="clear" w:color="auto" w:fill="F6F1E6"/>
          </w:tcPr>
          <w:p>
            <w:pPr>
              <w:spacing w:after="20"/>
              <w:jc w:val="right"/>
            </w:pPr>
            <w:r>
              <w:rPr>
                <w:b/>
                <w:color w:val="1C3A36"/>
                <w:sz w:val="18"/>
              </w:rPr>
              <w:t>1,601</w:t>
            </w:r>
          </w:p>
        </w:tc>
        <w:tc>
          <w:tcPr>
            <w:tcW w:type="dxa" w:w="1267"/>
            <w:shd w:val="clear" w:color="auto" w:fill="F6F1E6"/>
          </w:tcPr>
          <w:p>
            <w:pPr>
              <w:spacing w:after="20"/>
              <w:jc w:val="right"/>
            </w:pPr>
            <w:r>
              <w:rPr>
                <w:b/>
                <w:color w:val="1C3A36"/>
                <w:sz w:val="18"/>
              </w:rPr>
              <w:t>1,760</w:t>
            </w:r>
          </w:p>
        </w:tc>
        <w:tc>
          <w:tcPr>
            <w:tcW w:type="dxa" w:w="1267"/>
            <w:shd w:val="clear" w:color="auto" w:fill="F6F1E6"/>
          </w:tcPr>
          <w:p>
            <w:pPr>
              <w:spacing w:after="20"/>
              <w:jc w:val="right"/>
            </w:pPr>
            <w:r>
              <w:rPr>
                <w:b/>
                <w:color w:val="1C3A36"/>
                <w:sz w:val="18"/>
              </w:rPr>
              <w:t>1,936</w:t>
            </w:r>
          </w:p>
        </w:tc>
        <w:tc>
          <w:tcPr>
            <w:tcW w:type="dxa" w:w="1267"/>
            <w:shd w:val="clear" w:color="auto" w:fill="F6F1E6"/>
          </w:tcPr>
          <w:p>
            <w:pPr>
              <w:spacing w:after="20"/>
              <w:jc w:val="right"/>
            </w:pPr>
            <w:r>
              <w:rPr>
                <w:b/>
                <w:color w:val="1C3A36"/>
                <w:sz w:val="18"/>
              </w:rPr>
              <w:t>2,074</w:t>
            </w:r>
          </w:p>
        </w:tc>
        <w:tc>
          <w:tcPr>
            <w:tcW w:type="dxa" w:w="1267"/>
            <w:shd w:val="clear" w:color="auto" w:fill="F6F1E6"/>
          </w:tcPr>
          <w:p>
            <w:pPr>
              <w:spacing w:after="20"/>
              <w:jc w:val="right"/>
            </w:pPr>
            <w:r>
              <w:rPr>
                <w:b/>
                <w:color w:val="1C3A36"/>
                <w:sz w:val="18"/>
              </w:rPr>
              <w:t>2,156</w:t>
            </w:r>
          </w:p>
        </w:tc>
      </w:tr>
      <w:tr>
        <w:tc>
          <w:tcPr>
            <w:tcW w:type="dxa" w:w="3744"/>
          </w:tcPr>
          <w:p>
            <w:pPr>
              <w:spacing w:after="20"/>
            </w:pPr>
            <w:r>
              <w:rPr>
                <w:color w:val="1C3A36"/>
                <w:sz w:val="18"/>
              </w:rPr>
              <w:t>Tax rate</w:t>
            </w:r>
          </w:p>
        </w:tc>
        <w:tc>
          <w:tcPr>
            <w:tcW w:type="dxa" w:w="1267"/>
          </w:tcPr>
          <w:p>
            <w:pPr>
              <w:spacing w:after="20"/>
              <w:jc w:val="right"/>
            </w:pPr>
            <w:r>
              <w:rPr>
                <w:color w:val="1C3A36"/>
                <w:sz w:val="18"/>
              </w:rPr>
              <w:t>9%</w:t>
            </w:r>
          </w:p>
        </w:tc>
        <w:tc>
          <w:tcPr>
            <w:tcW w:type="dxa" w:w="1267"/>
          </w:tcPr>
          <w:p>
            <w:pPr>
              <w:spacing w:after="20"/>
              <w:jc w:val="right"/>
            </w:pPr>
            <w:r>
              <w:rPr>
                <w:color w:val="1C3A36"/>
                <w:sz w:val="18"/>
              </w:rPr>
              <w:t>9%</w:t>
            </w:r>
          </w:p>
        </w:tc>
        <w:tc>
          <w:tcPr>
            <w:tcW w:type="dxa" w:w="1267"/>
          </w:tcPr>
          <w:p>
            <w:pPr>
              <w:spacing w:after="20"/>
              <w:jc w:val="right"/>
            </w:pPr>
            <w:r>
              <w:rPr>
                <w:color w:val="1C3A36"/>
                <w:sz w:val="18"/>
              </w:rPr>
              <w:t>9%</w:t>
            </w:r>
          </w:p>
        </w:tc>
        <w:tc>
          <w:tcPr>
            <w:tcW w:type="dxa" w:w="1267"/>
          </w:tcPr>
          <w:p>
            <w:pPr>
              <w:spacing w:after="20"/>
              <w:jc w:val="right"/>
            </w:pPr>
            <w:r>
              <w:rPr>
                <w:color w:val="1C3A36"/>
                <w:sz w:val="18"/>
              </w:rPr>
              <w:t>9%</w:t>
            </w:r>
          </w:p>
        </w:tc>
        <w:tc>
          <w:tcPr>
            <w:tcW w:type="dxa" w:w="1267"/>
          </w:tcPr>
          <w:p>
            <w:pPr>
              <w:spacing w:after="20"/>
              <w:jc w:val="right"/>
            </w:pPr>
            <w:r>
              <w:rPr>
                <w:color w:val="1C3A36"/>
                <w:sz w:val="18"/>
              </w:rPr>
              <w:t>9%</w:t>
            </w:r>
          </w:p>
        </w:tc>
      </w:tr>
      <w:tr>
        <w:tc>
          <w:tcPr>
            <w:tcW w:type="dxa" w:w="3744"/>
            <w:shd w:val="clear" w:color="auto" w:fill="F6F1E6"/>
          </w:tcPr>
          <w:p>
            <w:pPr>
              <w:spacing w:after="20"/>
            </w:pPr>
            <w:r>
              <w:rPr>
                <w:b/>
                <w:color w:val="1C3A36"/>
                <w:sz w:val="18"/>
              </w:rPr>
              <w:t>NOPAT = EBIT x (1 - tax rate)</w:t>
            </w:r>
          </w:p>
        </w:tc>
        <w:tc>
          <w:tcPr>
            <w:tcW w:type="dxa" w:w="1267"/>
            <w:shd w:val="clear" w:color="auto" w:fill="F6F1E6"/>
          </w:tcPr>
          <w:p>
            <w:pPr>
              <w:spacing w:after="20"/>
              <w:jc w:val="right"/>
            </w:pPr>
            <w:r>
              <w:rPr>
                <w:b/>
                <w:color w:val="1C3A36"/>
                <w:sz w:val="18"/>
              </w:rPr>
              <w:t>1,457</w:t>
            </w:r>
          </w:p>
        </w:tc>
        <w:tc>
          <w:tcPr>
            <w:tcW w:type="dxa" w:w="1267"/>
            <w:shd w:val="clear" w:color="auto" w:fill="F6F1E6"/>
          </w:tcPr>
          <w:p>
            <w:pPr>
              <w:spacing w:after="20"/>
              <w:jc w:val="right"/>
            </w:pPr>
            <w:r>
              <w:rPr>
                <w:b/>
                <w:color w:val="1C3A36"/>
                <w:sz w:val="18"/>
              </w:rPr>
              <w:t>1,602</w:t>
            </w:r>
          </w:p>
        </w:tc>
        <w:tc>
          <w:tcPr>
            <w:tcW w:type="dxa" w:w="1267"/>
            <w:shd w:val="clear" w:color="auto" w:fill="F6F1E6"/>
          </w:tcPr>
          <w:p>
            <w:pPr>
              <w:spacing w:after="20"/>
              <w:jc w:val="right"/>
            </w:pPr>
            <w:r>
              <w:rPr>
                <w:b/>
                <w:color w:val="1C3A36"/>
                <w:sz w:val="18"/>
              </w:rPr>
              <w:t>1,762</w:t>
            </w:r>
          </w:p>
        </w:tc>
        <w:tc>
          <w:tcPr>
            <w:tcW w:type="dxa" w:w="1267"/>
            <w:shd w:val="clear" w:color="auto" w:fill="F6F1E6"/>
          </w:tcPr>
          <w:p>
            <w:pPr>
              <w:spacing w:after="20"/>
              <w:jc w:val="right"/>
            </w:pPr>
            <w:r>
              <w:rPr>
                <w:b/>
                <w:color w:val="1C3A36"/>
                <w:sz w:val="18"/>
              </w:rPr>
              <w:t>1,887</w:t>
            </w:r>
          </w:p>
        </w:tc>
        <w:tc>
          <w:tcPr>
            <w:tcW w:type="dxa" w:w="1267"/>
            <w:shd w:val="clear" w:color="auto" w:fill="F6F1E6"/>
          </w:tcPr>
          <w:p>
            <w:pPr>
              <w:spacing w:after="20"/>
              <w:jc w:val="right"/>
            </w:pPr>
            <w:r>
              <w:rPr>
                <w:b/>
                <w:color w:val="1C3A36"/>
                <w:sz w:val="18"/>
              </w:rPr>
              <w:t>1,962</w:t>
            </w:r>
          </w:p>
        </w:tc>
      </w:tr>
      <w:tr>
        <w:tc>
          <w:tcPr>
            <w:tcW w:type="dxa" w:w="3744"/>
          </w:tcPr>
          <w:p>
            <w:pPr>
              <w:spacing w:after="20"/>
            </w:pPr>
            <w:r>
              <w:rPr>
                <w:color w:val="1C3A36"/>
                <w:sz w:val="18"/>
              </w:rPr>
              <w:t>add back depreciation and amortisation</w:t>
            </w:r>
          </w:p>
        </w:tc>
        <w:tc>
          <w:tcPr>
            <w:tcW w:type="dxa" w:w="1267"/>
          </w:tcPr>
          <w:p>
            <w:pPr>
              <w:spacing w:after="20"/>
              <w:jc w:val="right"/>
            </w:pPr>
            <w:r>
              <w:rPr>
                <w:color w:val="1C3A36"/>
                <w:sz w:val="18"/>
              </w:rPr>
              <w:t>556</w:t>
            </w:r>
          </w:p>
        </w:tc>
        <w:tc>
          <w:tcPr>
            <w:tcW w:type="dxa" w:w="1267"/>
          </w:tcPr>
          <w:p>
            <w:pPr>
              <w:spacing w:after="20"/>
              <w:jc w:val="right"/>
            </w:pPr>
            <w:r>
              <w:rPr>
                <w:color w:val="1C3A36"/>
                <w:sz w:val="18"/>
              </w:rPr>
              <w:t>570</w:t>
            </w:r>
          </w:p>
        </w:tc>
        <w:tc>
          <w:tcPr>
            <w:tcW w:type="dxa" w:w="1267"/>
          </w:tcPr>
          <w:p>
            <w:pPr>
              <w:spacing w:after="20"/>
              <w:jc w:val="right"/>
            </w:pPr>
            <w:r>
              <w:rPr>
                <w:color w:val="1C3A36"/>
                <w:sz w:val="18"/>
              </w:rPr>
              <w:t>573</w:t>
            </w:r>
          </w:p>
        </w:tc>
        <w:tc>
          <w:tcPr>
            <w:tcW w:type="dxa" w:w="1267"/>
          </w:tcPr>
          <w:p>
            <w:pPr>
              <w:spacing w:after="20"/>
              <w:jc w:val="right"/>
            </w:pPr>
            <w:r>
              <w:rPr>
                <w:color w:val="1C3A36"/>
                <w:sz w:val="18"/>
              </w:rPr>
              <w:t>568</w:t>
            </w:r>
          </w:p>
        </w:tc>
        <w:tc>
          <w:tcPr>
            <w:tcW w:type="dxa" w:w="1267"/>
          </w:tcPr>
          <w:p>
            <w:pPr>
              <w:spacing w:after="20"/>
              <w:jc w:val="right"/>
            </w:pPr>
            <w:r>
              <w:rPr>
                <w:color w:val="1C3A36"/>
                <w:sz w:val="18"/>
              </w:rPr>
              <w:t>554</w:t>
            </w:r>
          </w:p>
        </w:tc>
      </w:tr>
      <w:tr>
        <w:tc>
          <w:tcPr>
            <w:tcW w:type="dxa" w:w="3744"/>
          </w:tcPr>
          <w:p>
            <w:pPr>
              <w:spacing w:after="20"/>
            </w:pPr>
            <w:r>
              <w:rPr>
                <w:color w:val="1C3A36"/>
                <w:sz w:val="18"/>
              </w:rPr>
              <w:t>less capital expenditure</w:t>
            </w:r>
          </w:p>
        </w:tc>
        <w:tc>
          <w:tcPr>
            <w:tcW w:type="dxa" w:w="1267"/>
          </w:tcPr>
          <w:p>
            <w:pPr>
              <w:spacing w:after="20"/>
              <w:jc w:val="right"/>
            </w:pPr>
            <w:r>
              <w:rPr>
                <w:color w:val="1C3A36"/>
                <w:sz w:val="18"/>
              </w:rPr>
              <w:t>(700)</w:t>
            </w:r>
          </w:p>
        </w:tc>
        <w:tc>
          <w:tcPr>
            <w:tcW w:type="dxa" w:w="1267"/>
          </w:tcPr>
          <w:p>
            <w:pPr>
              <w:spacing w:after="20"/>
              <w:jc w:val="right"/>
            </w:pPr>
            <w:r>
              <w:rPr>
                <w:color w:val="1C3A36"/>
                <w:sz w:val="18"/>
              </w:rPr>
              <w:t>(600)</w:t>
            </w:r>
          </w:p>
        </w:tc>
        <w:tc>
          <w:tcPr>
            <w:tcW w:type="dxa" w:w="1267"/>
          </w:tcPr>
          <w:p>
            <w:pPr>
              <w:spacing w:after="20"/>
              <w:jc w:val="right"/>
            </w:pPr>
            <w:r>
              <w:rPr>
                <w:color w:val="1C3A36"/>
                <w:sz w:val="18"/>
              </w:rPr>
              <w:t>(520)</w:t>
            </w:r>
          </w:p>
        </w:tc>
        <w:tc>
          <w:tcPr>
            <w:tcW w:type="dxa" w:w="1267"/>
          </w:tcPr>
          <w:p>
            <w:pPr>
              <w:spacing w:after="20"/>
              <w:jc w:val="right"/>
            </w:pPr>
            <w:r>
              <w:rPr>
                <w:color w:val="1C3A36"/>
                <w:sz w:val="18"/>
              </w:rPr>
              <w:t>(420)</w:t>
            </w:r>
          </w:p>
        </w:tc>
        <w:tc>
          <w:tcPr>
            <w:tcW w:type="dxa" w:w="1267"/>
          </w:tcPr>
          <w:p>
            <w:pPr>
              <w:spacing w:after="20"/>
              <w:jc w:val="right"/>
            </w:pPr>
            <w:r>
              <w:rPr>
                <w:color w:val="1C3A36"/>
                <w:sz w:val="18"/>
              </w:rPr>
              <w:t>(380)</w:t>
            </w:r>
          </w:p>
        </w:tc>
      </w:tr>
      <w:tr>
        <w:tc>
          <w:tcPr>
            <w:tcW w:type="dxa" w:w="3744"/>
          </w:tcPr>
          <w:p>
            <w:pPr>
              <w:spacing w:after="20"/>
            </w:pPr>
            <w:r>
              <w:rPr>
                <w:color w:val="1C3A36"/>
                <w:sz w:val="18"/>
              </w:rPr>
              <w:t>less increase in working capital</w:t>
            </w:r>
          </w:p>
        </w:tc>
        <w:tc>
          <w:tcPr>
            <w:tcW w:type="dxa" w:w="1267"/>
          </w:tcPr>
          <w:p>
            <w:pPr>
              <w:spacing w:after="20"/>
              <w:jc w:val="right"/>
            </w:pPr>
            <w:r>
              <w:rPr>
                <w:color w:val="1C3A36"/>
                <w:sz w:val="18"/>
              </w:rPr>
              <w:t>(146)</w:t>
            </w:r>
          </w:p>
        </w:tc>
        <w:tc>
          <w:tcPr>
            <w:tcW w:type="dxa" w:w="1267"/>
          </w:tcPr>
          <w:p>
            <w:pPr>
              <w:spacing w:after="20"/>
              <w:jc w:val="right"/>
            </w:pPr>
            <w:r>
              <w:rPr>
                <w:color w:val="1C3A36"/>
                <w:sz w:val="18"/>
              </w:rPr>
              <w:t>(19)</w:t>
            </w:r>
          </w:p>
        </w:tc>
        <w:tc>
          <w:tcPr>
            <w:tcW w:type="dxa" w:w="1267"/>
          </w:tcPr>
          <w:p>
            <w:pPr>
              <w:spacing w:after="20"/>
              <w:jc w:val="right"/>
            </w:pPr>
            <w:r>
              <w:rPr>
                <w:color w:val="1C3A36"/>
                <w:sz w:val="18"/>
              </w:rPr>
              <w:t>(26)</w:t>
            </w:r>
          </w:p>
        </w:tc>
        <w:tc>
          <w:tcPr>
            <w:tcW w:type="dxa" w:w="1267"/>
          </w:tcPr>
          <w:p>
            <w:pPr>
              <w:spacing w:after="20"/>
              <w:jc w:val="right"/>
            </w:pPr>
            <w:r>
              <w:rPr>
                <w:color w:val="1C3A36"/>
                <w:sz w:val="18"/>
              </w:rPr>
              <w:t>(25)</w:t>
            </w:r>
          </w:p>
        </w:tc>
        <w:tc>
          <w:tcPr>
            <w:tcW w:type="dxa" w:w="1267"/>
          </w:tcPr>
          <w:p>
            <w:pPr>
              <w:spacing w:after="20"/>
              <w:jc w:val="right"/>
            </w:pPr>
            <w:r>
              <w:rPr>
                <w:color w:val="1C3A36"/>
                <w:sz w:val="18"/>
              </w:rPr>
              <w:t>(17)</w:t>
            </w:r>
          </w:p>
        </w:tc>
      </w:tr>
      <w:tr>
        <w:tc>
          <w:tcPr>
            <w:tcW w:type="dxa" w:w="3744"/>
            <w:shd w:val="clear" w:color="auto" w:fill="F6F1E6"/>
          </w:tcPr>
          <w:p>
            <w:pPr>
              <w:spacing w:after="20"/>
            </w:pPr>
            <w:r>
              <w:rPr>
                <w:b/>
                <w:color w:val="1C3A36"/>
                <w:sz w:val="18"/>
              </w:rPr>
              <w:t>Free cash flow to the firm</w:t>
            </w:r>
          </w:p>
        </w:tc>
        <w:tc>
          <w:tcPr>
            <w:tcW w:type="dxa" w:w="1267"/>
            <w:shd w:val="clear" w:color="auto" w:fill="F6F1E6"/>
          </w:tcPr>
          <w:p>
            <w:pPr>
              <w:spacing w:after="20"/>
              <w:jc w:val="right"/>
            </w:pPr>
            <w:r>
              <w:rPr>
                <w:b/>
                <w:color w:val="1C3A36"/>
                <w:sz w:val="18"/>
              </w:rPr>
              <w:t>1,167</w:t>
            </w:r>
          </w:p>
        </w:tc>
        <w:tc>
          <w:tcPr>
            <w:tcW w:type="dxa" w:w="1267"/>
            <w:shd w:val="clear" w:color="auto" w:fill="F6F1E6"/>
          </w:tcPr>
          <w:p>
            <w:pPr>
              <w:spacing w:after="20"/>
              <w:jc w:val="right"/>
            </w:pPr>
            <w:r>
              <w:rPr>
                <w:b/>
                <w:color w:val="1C3A36"/>
                <w:sz w:val="18"/>
              </w:rPr>
              <w:t>1,553</w:t>
            </w:r>
          </w:p>
        </w:tc>
        <w:tc>
          <w:tcPr>
            <w:tcW w:type="dxa" w:w="1267"/>
            <w:shd w:val="clear" w:color="auto" w:fill="F6F1E6"/>
          </w:tcPr>
          <w:p>
            <w:pPr>
              <w:spacing w:after="20"/>
              <w:jc w:val="right"/>
            </w:pPr>
            <w:r>
              <w:rPr>
                <w:b/>
                <w:color w:val="1C3A36"/>
                <w:sz w:val="18"/>
              </w:rPr>
              <w:t>1,789</w:t>
            </w:r>
          </w:p>
        </w:tc>
        <w:tc>
          <w:tcPr>
            <w:tcW w:type="dxa" w:w="1267"/>
            <w:shd w:val="clear" w:color="auto" w:fill="F6F1E6"/>
          </w:tcPr>
          <w:p>
            <w:pPr>
              <w:spacing w:after="20"/>
              <w:jc w:val="right"/>
            </w:pPr>
            <w:r>
              <w:rPr>
                <w:b/>
                <w:color w:val="1C3A36"/>
                <w:sz w:val="18"/>
              </w:rPr>
              <w:t>2,010</w:t>
            </w:r>
          </w:p>
        </w:tc>
        <w:tc>
          <w:tcPr>
            <w:tcW w:type="dxa" w:w="1267"/>
            <w:shd w:val="clear" w:color="auto" w:fill="F6F1E6"/>
          </w:tcPr>
          <w:p>
            <w:pPr>
              <w:spacing w:after="20"/>
              <w:jc w:val="right"/>
            </w:pPr>
            <w:r>
              <w:rPr>
                <w:b/>
                <w:color w:val="1C3A36"/>
                <w:sz w:val="18"/>
              </w:rPr>
              <w:t>2,118</w:t>
            </w:r>
          </w:p>
        </w:tc>
      </w:tr>
      <w:tr>
        <w:tc>
          <w:tcPr>
            <w:tcW w:type="dxa" w:w="3744"/>
          </w:tcPr>
          <w:p>
            <w:pPr>
              <w:spacing w:after="20"/>
            </w:pPr>
            <w:r>
              <w:rPr>
                <w:color w:val="1C3A36"/>
                <w:sz w:val="18"/>
              </w:rPr>
              <w:t>Discount factor</w:t>
            </w:r>
          </w:p>
        </w:tc>
        <w:tc>
          <w:tcPr>
            <w:tcW w:type="dxa" w:w="1267"/>
          </w:tcPr>
          <w:p>
            <w:pPr>
              <w:spacing w:after="20"/>
              <w:jc w:val="right"/>
            </w:pPr>
            <w:r>
              <w:rPr>
                <w:color w:val="1C3A36"/>
                <w:sz w:val="18"/>
              </w:rPr>
              <w:t>0.926</w:t>
            </w:r>
          </w:p>
        </w:tc>
        <w:tc>
          <w:tcPr>
            <w:tcW w:type="dxa" w:w="1267"/>
          </w:tcPr>
          <w:p>
            <w:pPr>
              <w:spacing w:after="20"/>
              <w:jc w:val="right"/>
            </w:pPr>
            <w:r>
              <w:rPr>
                <w:color w:val="1C3A36"/>
                <w:sz w:val="18"/>
              </w:rPr>
              <w:t>0.857</w:t>
            </w:r>
          </w:p>
        </w:tc>
        <w:tc>
          <w:tcPr>
            <w:tcW w:type="dxa" w:w="1267"/>
          </w:tcPr>
          <w:p>
            <w:pPr>
              <w:spacing w:after="20"/>
              <w:jc w:val="right"/>
            </w:pPr>
            <w:r>
              <w:rPr>
                <w:color w:val="1C3A36"/>
                <w:sz w:val="18"/>
              </w:rPr>
              <w:t>0.794</w:t>
            </w:r>
          </w:p>
        </w:tc>
        <w:tc>
          <w:tcPr>
            <w:tcW w:type="dxa" w:w="1267"/>
          </w:tcPr>
          <w:p>
            <w:pPr>
              <w:spacing w:after="20"/>
              <w:jc w:val="right"/>
            </w:pPr>
            <w:r>
              <w:rPr>
                <w:color w:val="1C3A36"/>
                <w:sz w:val="18"/>
              </w:rPr>
              <w:t>0.735</w:t>
            </w:r>
          </w:p>
        </w:tc>
        <w:tc>
          <w:tcPr>
            <w:tcW w:type="dxa" w:w="1267"/>
          </w:tcPr>
          <w:p>
            <w:pPr>
              <w:spacing w:after="20"/>
              <w:jc w:val="right"/>
            </w:pPr>
            <w:r>
              <w:rPr>
                <w:color w:val="1C3A36"/>
                <w:sz w:val="18"/>
              </w:rPr>
              <w:t>0.681</w:t>
            </w:r>
          </w:p>
        </w:tc>
      </w:tr>
      <w:tr>
        <w:tc>
          <w:tcPr>
            <w:tcW w:type="dxa" w:w="3744"/>
            <w:shd w:val="clear" w:color="auto" w:fill="F6F1E6"/>
          </w:tcPr>
          <w:p>
            <w:pPr>
              <w:spacing w:after="20"/>
            </w:pPr>
            <w:r>
              <w:rPr>
                <w:b/>
                <w:color w:val="1C3A36"/>
                <w:sz w:val="18"/>
              </w:rPr>
              <w:t>Present value of free cash flow to the firm</w:t>
            </w:r>
          </w:p>
        </w:tc>
        <w:tc>
          <w:tcPr>
            <w:tcW w:type="dxa" w:w="1267"/>
            <w:shd w:val="clear" w:color="auto" w:fill="F6F1E6"/>
          </w:tcPr>
          <w:p>
            <w:pPr>
              <w:spacing w:after="20"/>
              <w:jc w:val="right"/>
            </w:pPr>
            <w:r>
              <w:rPr>
                <w:b/>
                <w:color w:val="1C3A36"/>
                <w:sz w:val="18"/>
              </w:rPr>
              <w:t>1,081</w:t>
            </w:r>
          </w:p>
        </w:tc>
        <w:tc>
          <w:tcPr>
            <w:tcW w:type="dxa" w:w="1267"/>
            <w:shd w:val="clear" w:color="auto" w:fill="F6F1E6"/>
          </w:tcPr>
          <w:p>
            <w:pPr>
              <w:spacing w:after="20"/>
              <w:jc w:val="right"/>
            </w:pPr>
            <w:r>
              <w:rPr>
                <w:b/>
                <w:color w:val="1C3A36"/>
                <w:sz w:val="18"/>
              </w:rPr>
              <w:t>1,331</w:t>
            </w:r>
          </w:p>
        </w:tc>
        <w:tc>
          <w:tcPr>
            <w:tcW w:type="dxa" w:w="1267"/>
            <w:shd w:val="clear" w:color="auto" w:fill="F6F1E6"/>
          </w:tcPr>
          <w:p>
            <w:pPr>
              <w:spacing w:after="20"/>
              <w:jc w:val="right"/>
            </w:pPr>
            <w:r>
              <w:rPr>
                <w:b/>
                <w:color w:val="1C3A36"/>
                <w:sz w:val="18"/>
              </w:rPr>
              <w:t>1,420</w:t>
            </w:r>
          </w:p>
        </w:tc>
        <w:tc>
          <w:tcPr>
            <w:tcW w:type="dxa" w:w="1267"/>
            <w:shd w:val="clear" w:color="auto" w:fill="F6F1E6"/>
          </w:tcPr>
          <w:p>
            <w:pPr>
              <w:spacing w:after="20"/>
              <w:jc w:val="right"/>
            </w:pPr>
            <w:r>
              <w:rPr>
                <w:b/>
                <w:color w:val="1C3A36"/>
                <w:sz w:val="18"/>
              </w:rPr>
              <w:t>1,477</w:t>
            </w:r>
          </w:p>
        </w:tc>
        <w:tc>
          <w:tcPr>
            <w:tcW w:type="dxa" w:w="1267"/>
            <w:shd w:val="clear" w:color="auto" w:fill="F6F1E6"/>
          </w:tcPr>
          <w:p>
            <w:pPr>
              <w:spacing w:after="20"/>
              <w:jc w:val="right"/>
            </w:pPr>
            <w:r>
              <w:rPr>
                <w:b/>
                <w:color w:val="1C3A36"/>
                <w:sz w:val="18"/>
              </w:rPr>
              <w:t>1,442</w:t>
            </w:r>
          </w:p>
        </w:tc>
      </w:tr>
    </w:tbl>
    <w:p>
      <w:pPr>
        <w:spacing w:after="40"/>
      </w:pPr>
    </w:p>
    <w:p>
      <w:pPr>
        <w:spacing w:after="80" w:before="0"/>
      </w:pPr>
      <w:r>
        <w:rPr>
          <w:b w:val="0"/>
          <w:i w:val="0"/>
          <w:color w:val="1C3A36"/>
          <w:sz w:val="21"/>
        </w:rPr>
        <w:t>The bridge from enterprise value to equity, struck on the capital structure at 30 June 2026 rather than a year-old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00"/>
        <w:gridCol w:w="1692"/>
        <w:gridCol w:w="1692"/>
        <w:gridCol w:w="2896"/>
      </w:tblGrid>
      <w:tr>
        <w:tc>
          <w:tcPr>
            <w:tcW w:type="dxa" w:w="3800"/>
            <w:shd w:val="clear" w:color="auto" w:fill="EAF0EE"/>
          </w:tcPr>
          <w:p>
            <w:pPr>
              <w:spacing w:after="20"/>
            </w:pPr>
            <w:r>
              <w:rPr>
                <w:b/>
                <w:color w:val="1C3A36"/>
                <w:sz w:val="16"/>
              </w:rPr>
              <w:t>USD million</w:t>
            </w:r>
          </w:p>
        </w:tc>
        <w:tc>
          <w:tcPr>
            <w:tcW w:type="dxa" w:w="1692"/>
            <w:shd w:val="clear" w:color="auto" w:fill="EAF0EE"/>
          </w:tcPr>
          <w:p>
            <w:pPr>
              <w:spacing w:after="20"/>
            </w:pPr>
            <w:r>
              <w:rPr>
                <w:b/>
                <w:color w:val="1C3A36"/>
                <w:sz w:val="16"/>
              </w:rPr>
              <w:t>Continued expansion</w:t>
            </w:r>
          </w:p>
        </w:tc>
        <w:tc>
          <w:tcPr>
            <w:tcW w:type="dxa" w:w="1692"/>
            <w:shd w:val="clear" w:color="auto" w:fill="EAF0EE"/>
          </w:tcPr>
          <w:p>
            <w:pPr>
              <w:spacing w:after="20"/>
            </w:pPr>
            <w:r>
              <w:rPr>
                <w:b/>
                <w:color w:val="1C3A36"/>
                <w:sz w:val="16"/>
              </w:rPr>
              <w:t>Capacity plateau</w:t>
            </w:r>
          </w:p>
        </w:tc>
        <w:tc>
          <w:tcPr>
            <w:tcW w:type="dxa" w:w="2896"/>
            <w:shd w:val="clear" w:color="auto" w:fill="EAF0EE"/>
          </w:tcPr>
          <w:p>
            <w:pPr>
              <w:spacing w:after="20"/>
            </w:pPr>
            <w:r>
              <w:rPr>
                <w:b/>
                <w:color w:val="1C3A36"/>
                <w:sz w:val="16"/>
              </w:rPr>
              <w:t>Note</w:t>
            </w:r>
          </w:p>
        </w:tc>
      </w:tr>
      <w:tr>
        <w:tc>
          <w:tcPr>
            <w:tcW w:type="dxa" w:w="3800"/>
          </w:tcPr>
          <w:p>
            <w:pPr>
              <w:spacing w:after="20"/>
            </w:pPr>
            <w:r>
              <w:rPr>
                <w:color w:val="1C3A36"/>
                <w:sz w:val="16"/>
              </w:rPr>
              <w:t>Present value of the explicit five years</w:t>
            </w:r>
          </w:p>
        </w:tc>
        <w:tc>
          <w:tcPr>
            <w:tcW w:type="dxa" w:w="1692"/>
          </w:tcPr>
          <w:p>
            <w:pPr>
              <w:spacing w:after="20"/>
              <w:jc w:val="right"/>
            </w:pPr>
            <w:r>
              <w:rPr>
                <w:color w:val="1C3A36"/>
                <w:sz w:val="16"/>
              </w:rPr>
              <w:t>6,751</w:t>
            </w:r>
          </w:p>
        </w:tc>
        <w:tc>
          <w:tcPr>
            <w:tcW w:type="dxa" w:w="1692"/>
          </w:tcPr>
          <w:p>
            <w:pPr>
              <w:spacing w:after="20"/>
              <w:jc w:val="right"/>
            </w:pPr>
            <w:r>
              <w:rPr>
                <w:color w:val="1C3A36"/>
                <w:sz w:val="16"/>
              </w:rPr>
              <w:t>6,862</w:t>
            </w:r>
          </w:p>
        </w:tc>
        <w:tc>
          <w:tcPr>
            <w:tcW w:type="dxa" w:w="2896"/>
          </w:tcPr>
          <w:p>
            <w:pPr>
              <w:spacing w:after="20"/>
              <w:jc w:val="right"/>
            </w:pPr>
            <w:r>
              <w:rPr>
                <w:color w:val="1C3A36"/>
                <w:sz w:val="16"/>
              </w:rPr>
            </w:r>
          </w:p>
        </w:tc>
      </w:tr>
      <w:tr>
        <w:tc>
          <w:tcPr>
            <w:tcW w:type="dxa" w:w="3800"/>
          </w:tcPr>
          <w:p>
            <w:pPr>
              <w:spacing w:after="20"/>
            </w:pPr>
            <w:r>
              <w:rPr>
                <w:color w:val="1C3A36"/>
                <w:sz w:val="16"/>
              </w:rPr>
              <w:t>Present value of the terminal value</w:t>
            </w:r>
          </w:p>
        </w:tc>
        <w:tc>
          <w:tcPr>
            <w:tcW w:type="dxa" w:w="1692"/>
          </w:tcPr>
          <w:p>
            <w:pPr>
              <w:spacing w:after="20"/>
              <w:jc w:val="right"/>
            </w:pPr>
            <w:r>
              <w:rPr>
                <w:color w:val="1C3A36"/>
                <w:sz w:val="16"/>
              </w:rPr>
              <w:t>21,417</w:t>
            </w:r>
          </w:p>
        </w:tc>
        <w:tc>
          <w:tcPr>
            <w:tcW w:type="dxa" w:w="1692"/>
          </w:tcPr>
          <w:p>
            <w:pPr>
              <w:spacing w:after="20"/>
              <w:jc w:val="right"/>
            </w:pPr>
            <w:r>
              <w:rPr>
                <w:color w:val="1C3A36"/>
                <w:sz w:val="16"/>
              </w:rPr>
              <w:t>17,925</w:t>
            </w:r>
          </w:p>
        </w:tc>
        <w:tc>
          <w:tcPr>
            <w:tcW w:type="dxa" w:w="2896"/>
          </w:tcPr>
          <w:p>
            <w:pPr>
              <w:spacing w:after="20"/>
              <w:jc w:val="right"/>
            </w:pPr>
            <w:r>
              <w:rPr>
                <w:color w:val="1C3A36"/>
                <w:sz w:val="16"/>
              </w:rPr>
            </w:r>
          </w:p>
        </w:tc>
      </w:tr>
      <w:tr>
        <w:tc>
          <w:tcPr>
            <w:tcW w:type="dxa" w:w="3800"/>
            <w:shd w:val="clear" w:color="auto" w:fill="F6F1E6"/>
          </w:tcPr>
          <w:p>
            <w:pPr>
              <w:spacing w:after="20"/>
            </w:pPr>
            <w:r>
              <w:rPr>
                <w:b/>
                <w:color w:val="1C3A36"/>
                <w:sz w:val="16"/>
              </w:rPr>
              <w:t>Enterprise value</w:t>
            </w:r>
          </w:p>
        </w:tc>
        <w:tc>
          <w:tcPr>
            <w:tcW w:type="dxa" w:w="1692"/>
            <w:shd w:val="clear" w:color="auto" w:fill="F6F1E6"/>
          </w:tcPr>
          <w:p>
            <w:pPr>
              <w:spacing w:after="20"/>
              <w:jc w:val="right"/>
            </w:pPr>
            <w:r>
              <w:rPr>
                <w:b/>
                <w:color w:val="1C3A36"/>
                <w:sz w:val="16"/>
              </w:rPr>
              <w:t>28,607</w:t>
            </w:r>
          </w:p>
        </w:tc>
        <w:tc>
          <w:tcPr>
            <w:tcW w:type="dxa" w:w="1692"/>
            <w:shd w:val="clear" w:color="auto" w:fill="F6F1E6"/>
          </w:tcPr>
          <w:p>
            <w:pPr>
              <w:spacing w:after="20"/>
              <w:jc w:val="right"/>
            </w:pPr>
            <w:r>
              <w:rPr>
                <w:b/>
                <w:color w:val="1C3A36"/>
                <w:sz w:val="16"/>
              </w:rPr>
              <w:t>25,094</w:t>
            </w:r>
          </w:p>
        </w:tc>
        <w:tc>
          <w:tcPr>
            <w:tcW w:type="dxa" w:w="2896"/>
            <w:shd w:val="clear" w:color="auto" w:fill="F6F1E6"/>
          </w:tcPr>
          <w:p>
            <w:pPr>
              <w:spacing w:after="20"/>
              <w:jc w:val="right"/>
            </w:pPr>
            <w:r>
              <w:rPr>
                <w:b/>
                <w:color w:val="1C3A36"/>
                <w:sz w:val="16"/>
              </w:rPr>
            </w:r>
          </w:p>
        </w:tc>
      </w:tr>
      <w:tr>
        <w:tc>
          <w:tcPr>
            <w:tcW w:type="dxa" w:w="3800"/>
            <w:shd w:val="clear" w:color="auto" w:fill="F6F1E6"/>
          </w:tcPr>
          <w:p>
            <w:pPr>
              <w:spacing w:after="20"/>
            </w:pPr>
            <w:r>
              <w:rPr>
                <w:b/>
                <w:color w:val="1C3A36"/>
                <w:sz w:val="16"/>
              </w:rPr>
              <w:t>Terminal value as a share of enterprise value</w:t>
            </w:r>
          </w:p>
        </w:tc>
        <w:tc>
          <w:tcPr>
            <w:tcW w:type="dxa" w:w="1692"/>
            <w:shd w:val="clear" w:color="auto" w:fill="F6F1E6"/>
          </w:tcPr>
          <w:p>
            <w:pPr>
              <w:spacing w:after="20"/>
              <w:jc w:val="right"/>
            </w:pPr>
            <w:r>
              <w:rPr>
                <w:b/>
                <w:color w:val="1C3A36"/>
                <w:sz w:val="16"/>
              </w:rPr>
              <w:t>76.0%</w:t>
            </w:r>
          </w:p>
        </w:tc>
        <w:tc>
          <w:tcPr>
            <w:tcW w:type="dxa" w:w="1692"/>
            <w:shd w:val="clear" w:color="auto" w:fill="F6F1E6"/>
          </w:tcPr>
          <w:p>
            <w:pPr>
              <w:spacing w:after="20"/>
              <w:jc w:val="right"/>
            </w:pPr>
            <w:r>
              <w:rPr>
                <w:b/>
                <w:color w:val="1C3A36"/>
                <w:sz w:val="16"/>
              </w:rPr>
              <w:t>72.3%</w:t>
            </w:r>
          </w:p>
        </w:tc>
        <w:tc>
          <w:tcPr>
            <w:tcW w:type="dxa" w:w="2896"/>
            <w:shd w:val="clear" w:color="auto" w:fill="F6F1E6"/>
          </w:tcPr>
          <w:p>
            <w:pPr>
              <w:spacing w:after="20"/>
              <w:jc w:val="right"/>
            </w:pPr>
            <w:r>
              <w:rPr>
                <w:b/>
                <w:color w:val="1C3A36"/>
                <w:sz w:val="16"/>
              </w:rPr>
              <w:t>More than seven-tenths of the answer sits beyond 2030 in both cases</w:t>
            </w:r>
          </w:p>
        </w:tc>
      </w:tr>
      <w:tr>
        <w:tc>
          <w:tcPr>
            <w:tcW w:type="dxa" w:w="3800"/>
          </w:tcPr>
          <w:p>
            <w:pPr>
              <w:spacing w:after="20"/>
            </w:pPr>
            <w:r>
              <w:rPr>
                <w:color w:val="1C3A36"/>
                <w:sz w:val="16"/>
              </w:rPr>
              <w:t>carried forward half a year at the cost of capital</w:t>
            </w:r>
          </w:p>
        </w:tc>
        <w:tc>
          <w:tcPr>
            <w:tcW w:type="dxa" w:w="1692"/>
          </w:tcPr>
          <w:p>
            <w:pPr>
              <w:spacing w:after="20"/>
              <w:jc w:val="right"/>
            </w:pPr>
            <w:r>
              <w:rPr>
                <w:color w:val="1C3A36"/>
                <w:sz w:val="16"/>
              </w:rPr>
              <w:t>1,105</w:t>
            </w:r>
          </w:p>
        </w:tc>
        <w:tc>
          <w:tcPr>
            <w:tcW w:type="dxa" w:w="1692"/>
          </w:tcPr>
          <w:p>
            <w:pPr>
              <w:spacing w:after="20"/>
              <w:jc w:val="right"/>
            </w:pPr>
            <w:r>
              <w:rPr>
                <w:color w:val="1C3A36"/>
                <w:sz w:val="16"/>
              </w:rPr>
              <w:t>973</w:t>
            </w:r>
          </w:p>
        </w:tc>
        <w:tc>
          <w:tcPr>
            <w:tcW w:type="dxa" w:w="2896"/>
          </w:tcPr>
          <w:p>
            <w:pPr>
              <w:spacing w:after="20"/>
              <w:jc w:val="right"/>
            </w:pPr>
            <w:r>
              <w:rPr>
                <w:color w:val="1C3A36"/>
                <w:sz w:val="16"/>
              </w:rPr>
              <w:t>Discounting 2026 by a full year dates the figure above at 31 December 2025; the balance sheet beneath it is dated 30 June 2026. The gap is closed rather than ignored</w:t>
            </w:r>
          </w:p>
        </w:tc>
      </w:tr>
      <w:tr>
        <w:tc>
          <w:tcPr>
            <w:tcW w:type="dxa" w:w="3800"/>
          </w:tcPr>
          <w:p>
            <w:pPr>
              <w:spacing w:after="20"/>
            </w:pPr>
            <w:r>
              <w:rPr>
                <w:color w:val="1C3A36"/>
                <w:sz w:val="16"/>
              </w:rPr>
              <w:t>less the free cash flow actually generated over that half year</w:t>
            </w:r>
          </w:p>
        </w:tc>
        <w:tc>
          <w:tcPr>
            <w:tcW w:type="dxa" w:w="1692"/>
          </w:tcPr>
          <w:p>
            <w:pPr>
              <w:spacing w:after="20"/>
              <w:jc w:val="right"/>
            </w:pPr>
            <w:r>
              <w:rPr>
                <w:color w:val="1C3A36"/>
                <w:sz w:val="16"/>
              </w:rPr>
              <w:t>(666)</w:t>
            </w:r>
          </w:p>
        </w:tc>
        <w:tc>
          <w:tcPr>
            <w:tcW w:type="dxa" w:w="1692"/>
          </w:tcPr>
          <w:p>
            <w:pPr>
              <w:spacing w:after="20"/>
              <w:jc w:val="right"/>
            </w:pPr>
            <w:r>
              <w:rPr>
                <w:color w:val="1C3A36"/>
                <w:sz w:val="16"/>
              </w:rPr>
              <w:t>(666)</w:t>
            </w:r>
          </w:p>
        </w:tc>
        <w:tc>
          <w:tcPr>
            <w:tcW w:type="dxa" w:w="2896"/>
          </w:tcPr>
          <w:p>
            <w:pPr>
              <w:spacing w:after="20"/>
              <w:jc w:val="right"/>
            </w:pPr>
            <w:r>
              <w:rPr>
                <w:color w:val="1C3A36"/>
                <w:sz w:val="16"/>
              </w:rPr>
              <w:t>Reported, not forecast. Cash the enterprise has already handed out is no longer inside it</w:t>
            </w:r>
          </w:p>
        </w:tc>
      </w:tr>
      <w:tr>
        <w:tc>
          <w:tcPr>
            <w:tcW w:type="dxa" w:w="3800"/>
          </w:tcPr>
          <w:p>
            <w:pPr>
              <w:spacing w:after="20"/>
            </w:pPr>
            <w:r>
              <w:rPr>
                <w:color w:val="1C3A36"/>
                <w:sz w:val="16"/>
              </w:rPr>
              <w:t>Enterprise value at 30 June 2026</w:t>
            </w:r>
          </w:p>
        </w:tc>
        <w:tc>
          <w:tcPr>
            <w:tcW w:type="dxa" w:w="1692"/>
          </w:tcPr>
          <w:p>
            <w:pPr>
              <w:spacing w:after="20"/>
              <w:jc w:val="right"/>
            </w:pPr>
            <w:r>
              <w:rPr>
                <w:color w:val="1C3A36"/>
                <w:sz w:val="16"/>
              </w:rPr>
              <w:t>28,607</w:t>
            </w:r>
          </w:p>
        </w:tc>
        <w:tc>
          <w:tcPr>
            <w:tcW w:type="dxa" w:w="1692"/>
          </w:tcPr>
          <w:p>
            <w:pPr>
              <w:spacing w:after="20"/>
              <w:jc w:val="right"/>
            </w:pPr>
            <w:r>
              <w:rPr>
                <w:color w:val="1C3A36"/>
                <w:sz w:val="16"/>
              </w:rPr>
              <w:t>25,094</w:t>
            </w:r>
          </w:p>
        </w:tc>
        <w:tc>
          <w:tcPr>
            <w:tcW w:type="dxa" w:w="2896"/>
          </w:tcPr>
          <w:p>
            <w:pPr>
              <w:spacing w:after="20"/>
              <w:jc w:val="right"/>
            </w:pPr>
            <w:r>
              <w:rPr>
                <w:color w:val="1C3A36"/>
                <w:sz w:val="16"/>
              </w:rPr>
              <w:t>On the same date as every line below</w:t>
            </w:r>
          </w:p>
        </w:tc>
      </w:tr>
      <w:tr>
        <w:tc>
          <w:tcPr>
            <w:tcW w:type="dxa" w:w="3800"/>
          </w:tcPr>
          <w:p>
            <w:pPr>
              <w:spacing w:after="20"/>
            </w:pPr>
            <w:r>
              <w:rPr>
                <w:color w:val="1C3A36"/>
                <w:sz w:val="16"/>
              </w:rPr>
              <w:t>add investment in joint ventures</w:t>
            </w:r>
          </w:p>
        </w:tc>
        <w:tc>
          <w:tcPr>
            <w:tcW w:type="dxa" w:w="1692"/>
          </w:tcPr>
          <w:p>
            <w:pPr>
              <w:spacing w:after="20"/>
              <w:jc w:val="right"/>
            </w:pPr>
            <w:r>
              <w:rPr>
                <w:color w:val="1C3A36"/>
                <w:sz w:val="16"/>
              </w:rPr>
              <w:t>462</w:t>
            </w:r>
          </w:p>
        </w:tc>
        <w:tc>
          <w:tcPr>
            <w:tcW w:type="dxa" w:w="1692"/>
          </w:tcPr>
          <w:p>
            <w:pPr>
              <w:spacing w:after="20"/>
              <w:jc w:val="right"/>
            </w:pPr>
            <w:r>
              <w:rPr>
                <w:color w:val="1C3A36"/>
                <w:sz w:val="16"/>
              </w:rPr>
              <w:t>462</w:t>
            </w:r>
          </w:p>
        </w:tc>
        <w:tc>
          <w:tcPr>
            <w:tcW w:type="dxa" w:w="2896"/>
          </w:tcPr>
          <w:p>
            <w:pPr>
              <w:spacing w:after="20"/>
              <w:jc w:val="right"/>
            </w:pPr>
            <w:r>
              <w:rPr>
                <w:color w:val="1C3A36"/>
                <w:sz w:val="16"/>
              </w:rPr>
              <w:t>Enersol and Turnwell at carrying value; their earnings are outside the discounted cash flow, so the stake is added here</w:t>
            </w:r>
          </w:p>
        </w:tc>
      </w:tr>
      <w:tr>
        <w:tc>
          <w:tcPr>
            <w:tcW w:type="dxa" w:w="3800"/>
          </w:tcPr>
          <w:p>
            <w:pPr>
              <w:spacing w:after="20"/>
            </w:pPr>
            <w:r>
              <w:rPr>
                <w:color w:val="1C3A36"/>
                <w:sz w:val="16"/>
              </w:rPr>
              <w:t>add cash and cash equivalents</w:t>
            </w:r>
          </w:p>
        </w:tc>
        <w:tc>
          <w:tcPr>
            <w:tcW w:type="dxa" w:w="1692"/>
          </w:tcPr>
          <w:p>
            <w:pPr>
              <w:spacing w:after="20"/>
              <w:jc w:val="right"/>
            </w:pPr>
            <w:r>
              <w:rPr>
                <w:color w:val="1C3A36"/>
                <w:sz w:val="16"/>
              </w:rPr>
              <w:t>355</w:t>
            </w:r>
          </w:p>
        </w:tc>
        <w:tc>
          <w:tcPr>
            <w:tcW w:type="dxa" w:w="1692"/>
          </w:tcPr>
          <w:p>
            <w:pPr>
              <w:spacing w:after="20"/>
              <w:jc w:val="right"/>
            </w:pPr>
            <w:r>
              <w:rPr>
                <w:color w:val="1C3A36"/>
                <w:sz w:val="16"/>
              </w:rPr>
              <w:t>355</w:t>
            </w:r>
          </w:p>
        </w:tc>
        <w:tc>
          <w:tcPr>
            <w:tcW w:type="dxa" w:w="2896"/>
          </w:tcPr>
          <w:p>
            <w:pPr>
              <w:spacing w:after="20"/>
              <w:jc w:val="right"/>
            </w:pPr>
            <w:r>
              <w:rPr>
                <w:color w:val="1C3A36"/>
                <w:sz w:val="16"/>
              </w:rPr>
            </w:r>
          </w:p>
        </w:tc>
      </w:tr>
      <w:tr>
        <w:tc>
          <w:tcPr>
            <w:tcW w:type="dxa" w:w="3800"/>
          </w:tcPr>
          <w:p>
            <w:pPr>
              <w:spacing w:after="20"/>
            </w:pPr>
            <w:r>
              <w:rPr>
                <w:color w:val="1C3A36"/>
                <w:sz w:val="16"/>
              </w:rPr>
              <w:t>less borrowings</w:t>
            </w:r>
          </w:p>
        </w:tc>
        <w:tc>
          <w:tcPr>
            <w:tcW w:type="dxa" w:w="1692"/>
          </w:tcPr>
          <w:p>
            <w:pPr>
              <w:spacing w:after="20"/>
              <w:jc w:val="right"/>
            </w:pPr>
            <w:r>
              <w:rPr>
                <w:color w:val="1C3A36"/>
                <w:sz w:val="16"/>
              </w:rPr>
              <w:t>(2,469)</w:t>
            </w:r>
          </w:p>
        </w:tc>
        <w:tc>
          <w:tcPr>
            <w:tcW w:type="dxa" w:w="1692"/>
          </w:tcPr>
          <w:p>
            <w:pPr>
              <w:spacing w:after="20"/>
              <w:jc w:val="right"/>
            </w:pPr>
            <w:r>
              <w:rPr>
                <w:color w:val="1C3A36"/>
                <w:sz w:val="16"/>
              </w:rPr>
              <w:t>(2,469)</w:t>
            </w:r>
          </w:p>
        </w:tc>
        <w:tc>
          <w:tcPr>
            <w:tcW w:type="dxa" w:w="2896"/>
          </w:tcPr>
          <w:p>
            <w:pPr>
              <w:spacing w:after="20"/>
              <w:jc w:val="right"/>
            </w:pPr>
            <w:r>
              <w:rPr>
                <w:color w:val="1C3A36"/>
                <w:sz w:val="16"/>
              </w:rPr>
            </w:r>
          </w:p>
        </w:tc>
      </w:tr>
      <w:tr>
        <w:tc>
          <w:tcPr>
            <w:tcW w:type="dxa" w:w="3800"/>
          </w:tcPr>
          <w:p>
            <w:pPr>
              <w:spacing w:after="20"/>
            </w:pPr>
            <w:r>
              <w:rPr>
                <w:color w:val="1C3A36"/>
                <w:sz w:val="16"/>
              </w:rPr>
              <w:t>less lease liabilities</w:t>
            </w:r>
          </w:p>
        </w:tc>
        <w:tc>
          <w:tcPr>
            <w:tcW w:type="dxa" w:w="1692"/>
          </w:tcPr>
          <w:p>
            <w:pPr>
              <w:spacing w:after="20"/>
              <w:jc w:val="right"/>
            </w:pPr>
            <w:r>
              <w:rPr>
                <w:color w:val="1C3A36"/>
                <w:sz w:val="16"/>
              </w:rPr>
              <w:t>(45)</w:t>
            </w:r>
          </w:p>
        </w:tc>
        <w:tc>
          <w:tcPr>
            <w:tcW w:type="dxa" w:w="1692"/>
          </w:tcPr>
          <w:p>
            <w:pPr>
              <w:spacing w:after="20"/>
              <w:jc w:val="right"/>
            </w:pPr>
            <w:r>
              <w:rPr>
                <w:color w:val="1C3A36"/>
                <w:sz w:val="16"/>
              </w:rPr>
              <w:t>(45)</w:t>
            </w:r>
          </w:p>
        </w:tc>
        <w:tc>
          <w:tcPr>
            <w:tcW w:type="dxa" w:w="2896"/>
          </w:tcPr>
          <w:p>
            <w:pPr>
              <w:spacing w:after="20"/>
              <w:jc w:val="right"/>
            </w:pPr>
            <w:r>
              <w:rPr>
                <w:color w:val="1C3A36"/>
                <w:sz w:val="16"/>
              </w:rPr>
            </w:r>
          </w:p>
        </w:tc>
      </w:tr>
      <w:tr>
        <w:tc>
          <w:tcPr>
            <w:tcW w:type="dxa" w:w="3800"/>
          </w:tcPr>
          <w:p>
            <w:pPr>
              <w:spacing w:after="20"/>
            </w:pPr>
            <w:r>
              <w:rPr>
                <w:color w:val="1C3A36"/>
                <w:sz w:val="16"/>
              </w:rPr>
              <w:t>less the financial liability over the acquired minorities</w:t>
            </w:r>
          </w:p>
        </w:tc>
        <w:tc>
          <w:tcPr>
            <w:tcW w:type="dxa" w:w="1692"/>
          </w:tcPr>
          <w:p>
            <w:pPr>
              <w:spacing w:after="20"/>
              <w:jc w:val="right"/>
            </w:pPr>
            <w:r>
              <w:rPr>
                <w:color w:val="1C3A36"/>
                <w:sz w:val="16"/>
              </w:rPr>
              <w:t>(63)</w:t>
            </w:r>
          </w:p>
        </w:tc>
        <w:tc>
          <w:tcPr>
            <w:tcW w:type="dxa" w:w="1692"/>
          </w:tcPr>
          <w:p>
            <w:pPr>
              <w:spacing w:after="20"/>
              <w:jc w:val="right"/>
            </w:pPr>
            <w:r>
              <w:rPr>
                <w:color w:val="1C3A36"/>
                <w:sz w:val="16"/>
              </w:rPr>
              <w:t>(63)</w:t>
            </w:r>
          </w:p>
        </w:tc>
        <w:tc>
          <w:tcPr>
            <w:tcW w:type="dxa" w:w="2896"/>
          </w:tcPr>
          <w:p>
            <w:pPr>
              <w:spacing w:after="20"/>
              <w:jc w:val="right"/>
            </w:pPr>
            <w:r>
              <w:rPr>
                <w:color w:val="1C3A36"/>
                <w:sz w:val="16"/>
              </w:rPr>
              <w:t>The present value of the price at which the parent may be required to buy the 30% of the Sea and Land holding and the 20% of the MBPS holding it does not own. The minority interests reported at 30 June 2026 are NOT deducted as well: that is the same claim under a second name, and the company has already charged a matching reserve against owners equity for it</w:t>
            </w:r>
          </w:p>
        </w:tc>
      </w:tr>
      <w:tr>
        <w:tc>
          <w:tcPr>
            <w:tcW w:type="dxa" w:w="3800"/>
          </w:tcPr>
          <w:p>
            <w:pPr>
              <w:spacing w:after="20"/>
            </w:pPr>
            <w:r>
              <w:rPr>
                <w:color w:val="1C3A36"/>
                <w:sz w:val="16"/>
              </w:rPr>
              <w:t>Equity value at 30 June 2026</w:t>
            </w:r>
          </w:p>
        </w:tc>
        <w:tc>
          <w:tcPr>
            <w:tcW w:type="dxa" w:w="1692"/>
          </w:tcPr>
          <w:p>
            <w:pPr>
              <w:spacing w:after="20"/>
              <w:jc w:val="right"/>
            </w:pPr>
            <w:r>
              <w:rPr>
                <w:color w:val="1C3A36"/>
                <w:sz w:val="16"/>
              </w:rPr>
              <w:t>26,847</w:t>
            </w:r>
          </w:p>
        </w:tc>
        <w:tc>
          <w:tcPr>
            <w:tcW w:type="dxa" w:w="1692"/>
          </w:tcPr>
          <w:p>
            <w:pPr>
              <w:spacing w:after="20"/>
              <w:jc w:val="right"/>
            </w:pPr>
            <w:r>
              <w:rPr>
                <w:color w:val="1C3A36"/>
                <w:sz w:val="16"/>
              </w:rPr>
              <w:t>23,334</w:t>
            </w:r>
          </w:p>
        </w:tc>
        <w:tc>
          <w:tcPr>
            <w:tcW w:type="dxa" w:w="2896"/>
          </w:tcPr>
          <w:p>
            <w:pPr>
              <w:spacing w:after="20"/>
              <w:jc w:val="right"/>
            </w:pPr>
            <w:r>
              <w:rPr>
                <w:color w:val="1C3A36"/>
                <w:sz w:val="16"/>
              </w:rPr>
            </w:r>
          </w:p>
        </w:tc>
      </w:tr>
      <w:tr>
        <w:tc>
          <w:tcPr>
            <w:tcW w:type="dxa" w:w="3800"/>
          </w:tcPr>
          <w:p>
            <w:pPr>
              <w:spacing w:after="20"/>
            </w:pPr>
            <w:r>
              <w:rPr>
                <w:color w:val="1C3A36"/>
                <w:sz w:val="16"/>
              </w:rPr>
              <w:t>accreted 38 days to the price anchor at the cost of equity</w:t>
            </w:r>
          </w:p>
        </w:tc>
        <w:tc>
          <w:tcPr>
            <w:tcW w:type="dxa" w:w="1692"/>
          </w:tcPr>
          <w:p>
            <w:pPr>
              <w:spacing w:after="20"/>
              <w:jc w:val="right"/>
            </w:pPr>
            <w:r>
              <w:rPr>
                <w:color w:val="1C3A36"/>
                <w:sz w:val="16"/>
              </w:rPr>
              <w:t>225</w:t>
            </w:r>
          </w:p>
        </w:tc>
        <w:tc>
          <w:tcPr>
            <w:tcW w:type="dxa" w:w="1692"/>
          </w:tcPr>
          <w:p>
            <w:pPr>
              <w:spacing w:after="20"/>
              <w:jc w:val="right"/>
            </w:pPr>
            <w:r>
              <w:rPr>
                <w:color w:val="1C3A36"/>
                <w:sz w:val="16"/>
              </w:rPr>
              <w:t>195</w:t>
            </w:r>
          </w:p>
        </w:tc>
        <w:tc>
          <w:tcPr>
            <w:tcW w:type="dxa" w:w="2896"/>
          </w:tcPr>
          <w:p>
            <w:pPr>
              <w:spacing w:after="20"/>
              <w:jc w:val="right"/>
            </w:pPr>
            <w:r>
              <w:rPr>
                <w:color w:val="1C3A36"/>
                <w:sz w:val="16"/>
              </w:rPr>
              <w:t>The remaining days between the balance-sheet date and the share price this value is compared against</w:t>
            </w:r>
          </w:p>
        </w:tc>
      </w:tr>
      <w:tr>
        <w:tc>
          <w:tcPr>
            <w:tcW w:type="dxa" w:w="3800"/>
            <w:shd w:val="clear" w:color="auto" w:fill="F6F1E6"/>
          </w:tcPr>
          <w:p>
            <w:pPr>
              <w:spacing w:after="20"/>
            </w:pPr>
            <w:r>
              <w:rPr>
                <w:b/>
                <w:color w:val="1C3A36"/>
                <w:sz w:val="16"/>
              </w:rPr>
              <w:t>Equity value</w:t>
            </w:r>
          </w:p>
        </w:tc>
        <w:tc>
          <w:tcPr>
            <w:tcW w:type="dxa" w:w="1692"/>
            <w:shd w:val="clear" w:color="auto" w:fill="F6F1E6"/>
          </w:tcPr>
          <w:p>
            <w:pPr>
              <w:spacing w:after="20"/>
              <w:jc w:val="right"/>
            </w:pPr>
            <w:r>
              <w:rPr>
                <w:b/>
                <w:color w:val="1C3A36"/>
                <w:sz w:val="16"/>
              </w:rPr>
              <w:t>27,072</w:t>
            </w:r>
          </w:p>
        </w:tc>
        <w:tc>
          <w:tcPr>
            <w:tcW w:type="dxa" w:w="1692"/>
            <w:shd w:val="clear" w:color="auto" w:fill="F6F1E6"/>
          </w:tcPr>
          <w:p>
            <w:pPr>
              <w:spacing w:after="20"/>
              <w:jc w:val="right"/>
            </w:pPr>
            <w:r>
              <w:rPr>
                <w:b/>
                <w:color w:val="1C3A36"/>
                <w:sz w:val="16"/>
              </w:rPr>
              <w:t>23,530</w:t>
            </w:r>
          </w:p>
        </w:tc>
        <w:tc>
          <w:tcPr>
            <w:tcW w:type="dxa" w:w="2896"/>
            <w:shd w:val="clear" w:color="auto" w:fill="F6F1E6"/>
          </w:tcPr>
          <w:p>
            <w:pPr>
              <w:spacing w:after="20"/>
              <w:jc w:val="right"/>
            </w:pPr>
            <w:r>
              <w:rPr>
                <w:b/>
                <w:color w:val="1C3A36"/>
                <w:sz w:val="16"/>
              </w:rPr>
            </w:r>
          </w:p>
        </w:tc>
      </w:tr>
      <w:tr>
        <w:tc>
          <w:tcPr>
            <w:tcW w:type="dxa" w:w="3800"/>
          </w:tcPr>
          <w:p>
            <w:pPr>
              <w:spacing w:after="20"/>
            </w:pPr>
            <w:r>
              <w:rPr>
                <w:color w:val="1C3A36"/>
                <w:sz w:val="16"/>
              </w:rPr>
              <w:t>Shares outstanding (million)</w:t>
            </w:r>
          </w:p>
        </w:tc>
        <w:tc>
          <w:tcPr>
            <w:tcW w:type="dxa" w:w="1692"/>
          </w:tcPr>
          <w:p>
            <w:pPr>
              <w:spacing w:after="20"/>
              <w:jc w:val="right"/>
            </w:pPr>
            <w:r>
              <w:rPr>
                <w:color w:val="1C3A36"/>
                <w:sz w:val="16"/>
              </w:rPr>
              <w:t>15,993</w:t>
            </w:r>
          </w:p>
        </w:tc>
        <w:tc>
          <w:tcPr>
            <w:tcW w:type="dxa" w:w="1692"/>
          </w:tcPr>
          <w:p>
            <w:pPr>
              <w:spacing w:after="20"/>
              <w:jc w:val="right"/>
            </w:pPr>
            <w:r>
              <w:rPr>
                <w:color w:val="1C3A36"/>
                <w:sz w:val="16"/>
              </w:rPr>
              <w:t>15,993</w:t>
            </w:r>
          </w:p>
        </w:tc>
        <w:tc>
          <w:tcPr>
            <w:tcW w:type="dxa" w:w="2896"/>
          </w:tcPr>
          <w:p>
            <w:pPr>
              <w:spacing w:after="20"/>
              <w:jc w:val="right"/>
            </w:pPr>
            <w:r>
              <w:rPr>
                <w:color w:val="1C3A36"/>
                <w:sz w:val="16"/>
              </w:rPr>
              <w:t>Issued shares less the shares the appointed market maker holds</w:t>
            </w:r>
          </w:p>
        </w:tc>
      </w:tr>
      <w:tr>
        <w:tc>
          <w:tcPr>
            <w:tcW w:type="dxa" w:w="3800"/>
          </w:tcPr>
          <w:p>
            <w:pPr>
              <w:spacing w:after="20"/>
            </w:pPr>
            <w:r>
              <w:rPr>
                <w:color w:val="1C3A36"/>
                <w:sz w:val="16"/>
              </w:rPr>
              <w:t>Value per share (AED)</w:t>
            </w:r>
          </w:p>
        </w:tc>
        <w:tc>
          <w:tcPr>
            <w:tcW w:type="dxa" w:w="1692"/>
          </w:tcPr>
          <w:p>
            <w:pPr>
              <w:spacing w:after="20"/>
              <w:jc w:val="right"/>
            </w:pPr>
            <w:r>
              <w:rPr>
                <w:color w:val="1C3A36"/>
                <w:sz w:val="16"/>
              </w:rPr>
              <w:t>6.22</w:t>
            </w:r>
          </w:p>
        </w:tc>
        <w:tc>
          <w:tcPr>
            <w:tcW w:type="dxa" w:w="1692"/>
          </w:tcPr>
          <w:p>
            <w:pPr>
              <w:spacing w:after="20"/>
              <w:jc w:val="right"/>
            </w:pPr>
            <w:r>
              <w:rPr>
                <w:color w:val="1C3A36"/>
                <w:sz w:val="16"/>
              </w:rPr>
              <w:t>5.40</w:t>
            </w:r>
          </w:p>
        </w:tc>
        <w:tc>
          <w:tcPr>
            <w:tcW w:type="dxa" w:w="2896"/>
          </w:tcPr>
          <w:p>
            <w:pPr>
              <w:spacing w:after="20"/>
              <w:jc w:val="right"/>
            </w:pPr>
            <w:r>
              <w:rPr>
                <w:color w:val="1C3A36"/>
                <w:sz w:val="16"/>
              </w:rPr>
              <w:t>Converted at the peg</w:t>
            </w:r>
          </w:p>
        </w:tc>
      </w:tr>
    </w:tbl>
    <w:p>
      <w:pPr>
        <w:spacing w:after="40"/>
      </w:pPr>
    </w:p>
    <w:p>
      <w:pPr>
        <w:spacing w:after="80" w:before="200"/>
      </w:pPr>
      <w:r>
        <w:rPr>
          <w:b/>
          <w:i w:val="0"/>
          <w:color w:val="1C3A36"/>
          <w:sz w:val="24"/>
        </w:rPr>
        <w:t>1.2 Book value and sustainable return</w:t>
      </w:r>
    </w:p>
    <w:p>
      <w:pPr>
        <w:spacing w:after="120" w:before="0"/>
      </w:pPr>
      <w:r>
        <w:rPr>
          <w:b w:val="0"/>
          <w:i w:val="0"/>
          <w:color w:val="1C3A36"/>
          <w:sz w:val="21"/>
        </w:rPr>
        <w:t>A business earning a return on equity of 30.6% against a cost of equity of 8.33% and growing at 2.5% justifies a price-to-book of 4.82 times. Applied to book equity attributable to owners of USD 4.23bn — book value per share of AED 0.97 — that is AED 4.73 a share. The shares currently trade at 5.97 times book.</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EFF3F1"/>
          </w:tcPr>
          <w:p>
            <w:pPr>
              <w:spacing w:after="100"/>
            </w:pPr>
            <w:r>
              <w:rPr>
                <w:b/>
                <w:color w:val="1C3A36"/>
                <w:sz w:val="19"/>
              </w:rPr>
              <w:t xml:space="preserve">Read this lens with care. </w:t>
            </w:r>
            <w:r>
              <w:rPr>
                <w:color w:val="1C3A36"/>
                <w:sz w:val="19"/>
              </w:rPr>
              <w:t>The justified multiple is a ratio whose denominator is the cost of equity less the growth rate, which here is only 5.83%. A 50-basis-point move in the cost of equity moves the implied value from AED 4.35 to AED 5.17. The lens carries a 15% weight for that reason and no more.</w:t>
            </w:r>
          </w:p>
        </w:tc>
      </w:tr>
    </w:tbl>
    <w:p>
      <w:pPr>
        <w:spacing w:after="40"/>
      </w:pPr>
    </w:p>
    <w:p>
      <w:pPr>
        <w:spacing w:after="80" w:before="200"/>
      </w:pPr>
      <w:r>
        <w:rPr>
          <w:b/>
          <w:i w:val="0"/>
          <w:color w:val="1C3A36"/>
          <w:sz w:val="24"/>
        </w:rPr>
        <w:t>1.3 Relative multiples</w:t>
      </w:r>
    </w:p>
    <w:p>
      <w:pPr>
        <w:spacing w:after="80" w:before="0"/>
      </w:pPr>
      <w:r>
        <w:rPr>
          <w:b w:val="0"/>
          <w:i w:val="0"/>
          <w:color w:val="1C3A36"/>
          <w:sz w:val="21"/>
        </w:rPr>
        <w:t>The listed comparator universe splits into four groups that price differently, so each of this company's segments is read against the group that actually does that job, weighted by that segment's share of segment EBITDA.</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43"/>
        <w:gridCol w:w="1649"/>
        <w:gridCol w:w="1792"/>
        <w:gridCol w:w="1362"/>
        <w:gridCol w:w="1333"/>
      </w:tblGrid>
      <w:tr>
        <w:tc>
          <w:tcPr>
            <w:tcW w:type="dxa" w:w="3943"/>
            <w:shd w:val="clear" w:color="auto" w:fill="EAF0EE"/>
          </w:tcPr>
          <w:p>
            <w:pPr>
              <w:spacing w:after="20"/>
            </w:pPr>
            <w:r>
              <w:rPr>
                <w:b/>
                <w:color w:val="1C3A36"/>
                <w:sz w:val="18"/>
              </w:rPr>
              <w:t>Group</w:t>
            </w:r>
          </w:p>
        </w:tc>
        <w:tc>
          <w:tcPr>
            <w:tcW w:type="dxa" w:w="1649"/>
            <w:shd w:val="clear" w:color="auto" w:fill="EAF0EE"/>
          </w:tcPr>
          <w:p>
            <w:pPr>
              <w:spacing w:after="20"/>
            </w:pPr>
            <w:r>
              <w:rPr>
                <w:b/>
                <w:color w:val="1C3A36"/>
                <w:sz w:val="18"/>
              </w:rPr>
              <w:t>Median EV/EBITDA</w:t>
            </w:r>
          </w:p>
        </w:tc>
        <w:tc>
          <w:tcPr>
            <w:tcW w:type="dxa" w:w="1792"/>
            <w:shd w:val="clear" w:color="auto" w:fill="EAF0EE"/>
          </w:tcPr>
          <w:p>
            <w:pPr>
              <w:spacing w:after="20"/>
            </w:pPr>
            <w:r>
              <w:rPr>
                <w:b/>
                <w:color w:val="1C3A36"/>
                <w:sz w:val="18"/>
              </w:rPr>
              <w:t>Applied to</w:t>
            </w:r>
          </w:p>
        </w:tc>
        <w:tc>
          <w:tcPr>
            <w:tcW w:type="dxa" w:w="1362"/>
            <w:shd w:val="clear" w:color="auto" w:fill="EAF0EE"/>
          </w:tcPr>
          <w:p>
            <w:pPr>
              <w:spacing w:after="20"/>
            </w:pPr>
            <w:r>
              <w:rPr>
                <w:b/>
                <w:color w:val="1C3A36"/>
                <w:sz w:val="18"/>
              </w:rPr>
              <w:t>Segment weight</w:t>
            </w:r>
          </w:p>
        </w:tc>
        <w:tc>
          <w:tcPr>
            <w:tcW w:type="dxa" w:w="1333"/>
            <w:shd w:val="clear" w:color="auto" w:fill="EAF0EE"/>
          </w:tcPr>
          <w:p>
            <w:pPr>
              <w:spacing w:after="20"/>
            </w:pPr>
            <w:r>
              <w:rPr>
                <w:b/>
                <w:color w:val="1C3A36"/>
                <w:sz w:val="18"/>
              </w:rPr>
              <w:t>Contribution</w:t>
            </w:r>
          </w:p>
        </w:tc>
      </w:tr>
      <w:tr>
        <w:tc>
          <w:tcPr>
            <w:tcW w:type="dxa" w:w="3943"/>
          </w:tcPr>
          <w:p>
            <w:pPr>
              <w:spacing w:after="20"/>
            </w:pPr>
            <w:r>
              <w:rPr>
                <w:color w:val="1C3A36"/>
                <w:sz w:val="18"/>
              </w:rPr>
              <w:t>MENA national-oil-company drillers</w:t>
            </w:r>
          </w:p>
        </w:tc>
        <w:tc>
          <w:tcPr>
            <w:tcW w:type="dxa" w:w="1649"/>
          </w:tcPr>
          <w:p>
            <w:pPr>
              <w:spacing w:after="20"/>
              <w:jc w:val="right"/>
            </w:pPr>
            <w:r>
              <w:rPr>
                <w:color w:val="1C3A36"/>
                <w:sz w:val="18"/>
              </w:rPr>
              <w:t>9.49x</w:t>
            </w:r>
          </w:p>
        </w:tc>
        <w:tc>
          <w:tcPr>
            <w:tcW w:type="dxa" w:w="1792"/>
          </w:tcPr>
          <w:p>
            <w:pPr>
              <w:spacing w:after="20"/>
              <w:jc w:val="right"/>
            </w:pPr>
            <w:r>
              <w:rPr>
                <w:color w:val="1C3A36"/>
                <w:sz w:val="18"/>
              </w:rPr>
            </w:r>
          </w:p>
        </w:tc>
        <w:tc>
          <w:tcPr>
            <w:tcW w:type="dxa" w:w="1362"/>
          </w:tcPr>
          <w:p>
            <w:pPr>
              <w:spacing w:after="20"/>
              <w:jc w:val="right"/>
            </w:pPr>
            <w:r>
              <w:rPr>
                <w:color w:val="1C3A36"/>
                <w:sz w:val="18"/>
              </w:rPr>
            </w:r>
          </w:p>
        </w:tc>
        <w:tc>
          <w:tcPr>
            <w:tcW w:type="dxa" w:w="1333"/>
          </w:tcPr>
          <w:p>
            <w:pPr>
              <w:spacing w:after="20"/>
              <w:jc w:val="right"/>
            </w:pPr>
            <w:r>
              <w:rPr>
                <w:color w:val="1C3A36"/>
                <w:sz w:val="18"/>
              </w:rPr>
            </w:r>
          </w:p>
        </w:tc>
      </w:tr>
      <w:tr>
        <w:tc>
          <w:tcPr>
            <w:tcW w:type="dxa" w:w="3943"/>
          </w:tcPr>
          <w:p>
            <w:pPr>
              <w:spacing w:after="20"/>
            </w:pPr>
            <w:r>
              <w:rPr>
                <w:color w:val="1C3A36"/>
                <w:sz w:val="18"/>
              </w:rPr>
              <w:t>Global land drillers</w:t>
            </w:r>
          </w:p>
        </w:tc>
        <w:tc>
          <w:tcPr>
            <w:tcW w:type="dxa" w:w="1649"/>
          </w:tcPr>
          <w:p>
            <w:pPr>
              <w:spacing w:after="20"/>
              <w:jc w:val="right"/>
            </w:pPr>
            <w:r>
              <w:rPr>
                <w:color w:val="1C3A36"/>
                <w:sz w:val="18"/>
              </w:rPr>
              <w:t>6.15x</w:t>
            </w:r>
          </w:p>
        </w:tc>
        <w:tc>
          <w:tcPr>
            <w:tcW w:type="dxa" w:w="1792"/>
          </w:tcPr>
          <w:p>
            <w:pPr>
              <w:spacing w:after="20"/>
              <w:jc w:val="right"/>
            </w:pPr>
            <w:r>
              <w:rPr>
                <w:color w:val="1C3A36"/>
                <w:sz w:val="18"/>
              </w:rPr>
            </w:r>
          </w:p>
        </w:tc>
        <w:tc>
          <w:tcPr>
            <w:tcW w:type="dxa" w:w="1362"/>
          </w:tcPr>
          <w:p>
            <w:pPr>
              <w:spacing w:after="20"/>
              <w:jc w:val="right"/>
            </w:pPr>
            <w:r>
              <w:rPr>
                <w:color w:val="1C3A36"/>
                <w:sz w:val="18"/>
              </w:rPr>
            </w:r>
          </w:p>
        </w:tc>
        <w:tc>
          <w:tcPr>
            <w:tcW w:type="dxa" w:w="1333"/>
          </w:tcPr>
          <w:p>
            <w:pPr>
              <w:spacing w:after="20"/>
              <w:jc w:val="right"/>
            </w:pPr>
            <w:r>
              <w:rPr>
                <w:color w:val="1C3A36"/>
                <w:sz w:val="18"/>
              </w:rPr>
            </w:r>
          </w:p>
        </w:tc>
      </w:tr>
      <w:tr>
        <w:tc>
          <w:tcPr>
            <w:tcW w:type="dxa" w:w="3943"/>
          </w:tcPr>
          <w:p>
            <w:pPr>
              <w:spacing w:after="20"/>
            </w:pPr>
            <w:r>
              <w:rPr>
                <w:color w:val="1C3A36"/>
                <w:sz w:val="18"/>
              </w:rPr>
              <w:t>Global offshore drillers</w:t>
            </w:r>
          </w:p>
        </w:tc>
        <w:tc>
          <w:tcPr>
            <w:tcW w:type="dxa" w:w="1649"/>
          </w:tcPr>
          <w:p>
            <w:pPr>
              <w:spacing w:after="20"/>
              <w:jc w:val="right"/>
            </w:pPr>
            <w:r>
              <w:rPr>
                <w:color w:val="1C3A36"/>
                <w:sz w:val="18"/>
              </w:rPr>
              <w:t>8.55x</w:t>
            </w:r>
          </w:p>
        </w:tc>
        <w:tc>
          <w:tcPr>
            <w:tcW w:type="dxa" w:w="1792"/>
          </w:tcPr>
          <w:p>
            <w:pPr>
              <w:spacing w:after="20"/>
              <w:jc w:val="right"/>
            </w:pPr>
            <w:r>
              <w:rPr>
                <w:color w:val="1C3A36"/>
                <w:sz w:val="18"/>
              </w:rPr>
            </w:r>
          </w:p>
        </w:tc>
        <w:tc>
          <w:tcPr>
            <w:tcW w:type="dxa" w:w="1362"/>
          </w:tcPr>
          <w:p>
            <w:pPr>
              <w:spacing w:after="20"/>
              <w:jc w:val="right"/>
            </w:pPr>
            <w:r>
              <w:rPr>
                <w:color w:val="1C3A36"/>
                <w:sz w:val="18"/>
              </w:rPr>
            </w:r>
          </w:p>
        </w:tc>
        <w:tc>
          <w:tcPr>
            <w:tcW w:type="dxa" w:w="1333"/>
          </w:tcPr>
          <w:p>
            <w:pPr>
              <w:spacing w:after="20"/>
              <w:jc w:val="right"/>
            </w:pPr>
            <w:r>
              <w:rPr>
                <w:color w:val="1C3A36"/>
                <w:sz w:val="18"/>
              </w:rPr>
            </w:r>
          </w:p>
        </w:tc>
      </w:tr>
      <w:tr>
        <w:tc>
          <w:tcPr>
            <w:tcW w:type="dxa" w:w="3943"/>
          </w:tcPr>
          <w:p>
            <w:pPr>
              <w:spacing w:after="20"/>
            </w:pPr>
            <w:r>
              <w:rPr>
                <w:color w:val="1C3A36"/>
                <w:sz w:val="18"/>
              </w:rPr>
              <w:t>Diversified oilfield services</w:t>
            </w:r>
          </w:p>
        </w:tc>
        <w:tc>
          <w:tcPr>
            <w:tcW w:type="dxa" w:w="1649"/>
          </w:tcPr>
          <w:p>
            <w:pPr>
              <w:spacing w:after="20"/>
              <w:jc w:val="right"/>
            </w:pPr>
            <w:r>
              <w:rPr>
                <w:color w:val="1C3A36"/>
                <w:sz w:val="18"/>
              </w:rPr>
              <w:t>10.62x</w:t>
            </w:r>
          </w:p>
        </w:tc>
        <w:tc>
          <w:tcPr>
            <w:tcW w:type="dxa" w:w="1792"/>
          </w:tcPr>
          <w:p>
            <w:pPr>
              <w:spacing w:after="20"/>
              <w:jc w:val="right"/>
            </w:pPr>
            <w:r>
              <w:rPr>
                <w:color w:val="1C3A36"/>
                <w:sz w:val="18"/>
              </w:rPr>
            </w:r>
          </w:p>
        </w:tc>
        <w:tc>
          <w:tcPr>
            <w:tcW w:type="dxa" w:w="1362"/>
          </w:tcPr>
          <w:p>
            <w:pPr>
              <w:spacing w:after="20"/>
              <w:jc w:val="right"/>
            </w:pPr>
            <w:r>
              <w:rPr>
                <w:color w:val="1C3A36"/>
                <w:sz w:val="18"/>
              </w:rPr>
            </w:r>
          </w:p>
        </w:tc>
        <w:tc>
          <w:tcPr>
            <w:tcW w:type="dxa" w:w="1333"/>
          </w:tcPr>
          <w:p>
            <w:pPr>
              <w:spacing w:after="20"/>
              <w:jc w:val="right"/>
            </w:pPr>
            <w:r>
              <w:rPr>
                <w:color w:val="1C3A36"/>
                <w:sz w:val="18"/>
              </w:rPr>
            </w:r>
          </w:p>
        </w:tc>
      </w:tr>
      <w:tr>
        <w:tc>
          <w:tcPr>
            <w:tcW w:type="dxa" w:w="3943"/>
          </w:tcPr>
          <w:p>
            <w:pPr>
              <w:spacing w:after="20"/>
            </w:pPr>
            <w:r>
              <w:rPr>
                <w:color w:val="1C3A36"/>
                <w:sz w:val="18"/>
              </w:rPr>
              <w:t>Onshore multiple (average of the first two)</w:t>
            </w:r>
          </w:p>
        </w:tc>
        <w:tc>
          <w:tcPr>
            <w:tcW w:type="dxa" w:w="1649"/>
          </w:tcPr>
          <w:p>
            <w:pPr>
              <w:spacing w:after="20"/>
              <w:jc w:val="right"/>
            </w:pPr>
            <w:r>
              <w:rPr>
                <w:color w:val="1C3A36"/>
                <w:sz w:val="18"/>
              </w:rPr>
              <w:t>7.82x</w:t>
            </w:r>
          </w:p>
        </w:tc>
        <w:tc>
          <w:tcPr>
            <w:tcW w:type="dxa" w:w="1792"/>
          </w:tcPr>
          <w:p>
            <w:pPr>
              <w:spacing w:after="20"/>
              <w:jc w:val="right"/>
            </w:pPr>
            <w:r>
              <w:rPr>
                <w:color w:val="1C3A36"/>
                <w:sz w:val="18"/>
              </w:rPr>
              <w:t>Onshore</w:t>
            </w:r>
          </w:p>
        </w:tc>
        <w:tc>
          <w:tcPr>
            <w:tcW w:type="dxa" w:w="1362"/>
          </w:tcPr>
          <w:p>
            <w:pPr>
              <w:spacing w:after="20"/>
              <w:jc w:val="right"/>
            </w:pPr>
            <w:r>
              <w:rPr>
                <w:color w:val="1C3A36"/>
                <w:sz w:val="18"/>
              </w:rPr>
              <w:t>45.2%</w:t>
            </w:r>
          </w:p>
        </w:tc>
        <w:tc>
          <w:tcPr>
            <w:tcW w:type="dxa" w:w="1333"/>
          </w:tcPr>
          <w:p>
            <w:pPr>
              <w:spacing w:after="20"/>
              <w:jc w:val="right"/>
            </w:pPr>
            <w:r>
              <w:rPr>
                <w:color w:val="1C3A36"/>
                <w:sz w:val="18"/>
              </w:rPr>
              <w:t>3.54x</w:t>
            </w:r>
          </w:p>
        </w:tc>
      </w:tr>
      <w:tr>
        <w:tc>
          <w:tcPr>
            <w:tcW w:type="dxa" w:w="3943"/>
          </w:tcPr>
          <w:p>
            <w:pPr>
              <w:spacing w:after="20"/>
            </w:pPr>
            <w:r>
              <w:rPr>
                <w:color w:val="1C3A36"/>
                <w:sz w:val="18"/>
              </w:rPr>
              <w:t>Offshore multiple (average of the first and third)</w:t>
            </w:r>
          </w:p>
        </w:tc>
        <w:tc>
          <w:tcPr>
            <w:tcW w:type="dxa" w:w="1649"/>
          </w:tcPr>
          <w:p>
            <w:pPr>
              <w:spacing w:after="20"/>
              <w:jc w:val="right"/>
            </w:pPr>
            <w:r>
              <w:rPr>
                <w:color w:val="1C3A36"/>
                <w:sz w:val="18"/>
              </w:rPr>
              <w:t>9.02x</w:t>
            </w:r>
          </w:p>
        </w:tc>
        <w:tc>
          <w:tcPr>
            <w:tcW w:type="dxa" w:w="1792"/>
          </w:tcPr>
          <w:p>
            <w:pPr>
              <w:spacing w:after="20"/>
              <w:jc w:val="right"/>
            </w:pPr>
            <w:r>
              <w:rPr>
                <w:color w:val="1C3A36"/>
                <w:sz w:val="18"/>
              </w:rPr>
              <w:t>Offshore</w:t>
            </w:r>
          </w:p>
        </w:tc>
        <w:tc>
          <w:tcPr>
            <w:tcW w:type="dxa" w:w="1362"/>
          </w:tcPr>
          <w:p>
            <w:pPr>
              <w:spacing w:after="20"/>
              <w:jc w:val="right"/>
            </w:pPr>
            <w:r>
              <w:rPr>
                <w:color w:val="1C3A36"/>
                <w:sz w:val="18"/>
              </w:rPr>
              <w:t>43.3%</w:t>
            </w:r>
          </w:p>
        </w:tc>
        <w:tc>
          <w:tcPr>
            <w:tcW w:type="dxa" w:w="1333"/>
          </w:tcPr>
          <w:p>
            <w:pPr>
              <w:spacing w:after="20"/>
              <w:jc w:val="right"/>
            </w:pPr>
            <w:r>
              <w:rPr>
                <w:color w:val="1C3A36"/>
                <w:sz w:val="18"/>
              </w:rPr>
              <w:t>3.91x</w:t>
            </w:r>
          </w:p>
        </w:tc>
      </w:tr>
      <w:tr>
        <w:tc>
          <w:tcPr>
            <w:tcW w:type="dxa" w:w="3943"/>
          </w:tcPr>
          <w:p>
            <w:pPr>
              <w:spacing w:after="20"/>
            </w:pPr>
            <w:r>
              <w:rPr>
                <w:color w:val="1C3A36"/>
                <w:sz w:val="18"/>
              </w:rPr>
              <w:t>Oilfield-services multiple</w:t>
            </w:r>
          </w:p>
        </w:tc>
        <w:tc>
          <w:tcPr>
            <w:tcW w:type="dxa" w:w="1649"/>
          </w:tcPr>
          <w:p>
            <w:pPr>
              <w:spacing w:after="20"/>
              <w:jc w:val="right"/>
            </w:pPr>
            <w:r>
              <w:rPr>
                <w:color w:val="1C3A36"/>
                <w:sz w:val="18"/>
              </w:rPr>
              <w:t>10.62x</w:t>
            </w:r>
          </w:p>
        </w:tc>
        <w:tc>
          <w:tcPr>
            <w:tcW w:type="dxa" w:w="1792"/>
          </w:tcPr>
          <w:p>
            <w:pPr>
              <w:spacing w:after="20"/>
              <w:jc w:val="right"/>
            </w:pPr>
            <w:r>
              <w:rPr>
                <w:color w:val="1C3A36"/>
                <w:sz w:val="18"/>
              </w:rPr>
              <w:t>Oilfield Services</w:t>
            </w:r>
          </w:p>
        </w:tc>
        <w:tc>
          <w:tcPr>
            <w:tcW w:type="dxa" w:w="1362"/>
          </w:tcPr>
          <w:p>
            <w:pPr>
              <w:spacing w:after="20"/>
              <w:jc w:val="right"/>
            </w:pPr>
            <w:r>
              <w:rPr>
                <w:color w:val="1C3A36"/>
                <w:sz w:val="18"/>
              </w:rPr>
              <w:t>11.4%</w:t>
            </w:r>
          </w:p>
        </w:tc>
        <w:tc>
          <w:tcPr>
            <w:tcW w:type="dxa" w:w="1333"/>
          </w:tcPr>
          <w:p>
            <w:pPr>
              <w:spacing w:after="20"/>
              <w:jc w:val="right"/>
            </w:pPr>
            <w:r>
              <w:rPr>
                <w:color w:val="1C3A36"/>
                <w:sz w:val="18"/>
              </w:rPr>
              <w:t>1.21x</w:t>
            </w:r>
          </w:p>
        </w:tc>
      </w:tr>
      <w:tr>
        <w:tc>
          <w:tcPr>
            <w:tcW w:type="dxa" w:w="3943"/>
            <w:shd w:val="clear" w:color="auto" w:fill="F6F1E6"/>
          </w:tcPr>
          <w:p>
            <w:pPr>
              <w:spacing w:after="20"/>
            </w:pPr>
            <w:r>
              <w:rPr>
                <w:b/>
                <w:color w:val="1C3A36"/>
                <w:sz w:val="18"/>
              </w:rPr>
              <w:t>Segment-weighted multiple</w:t>
            </w:r>
          </w:p>
        </w:tc>
        <w:tc>
          <w:tcPr>
            <w:tcW w:type="dxa" w:w="1649"/>
            <w:shd w:val="clear" w:color="auto" w:fill="F6F1E6"/>
          </w:tcPr>
          <w:p>
            <w:pPr>
              <w:spacing w:after="20"/>
              <w:jc w:val="right"/>
            </w:pPr>
            <w:r>
              <w:rPr>
                <w:b/>
                <w:color w:val="1C3A36"/>
                <w:sz w:val="18"/>
              </w:rPr>
              <w:t>8.66x</w:t>
            </w:r>
          </w:p>
        </w:tc>
        <w:tc>
          <w:tcPr>
            <w:tcW w:type="dxa" w:w="1792"/>
            <w:shd w:val="clear" w:color="auto" w:fill="F6F1E6"/>
          </w:tcPr>
          <w:p>
            <w:pPr>
              <w:spacing w:after="20"/>
              <w:jc w:val="right"/>
            </w:pPr>
            <w:r>
              <w:rPr>
                <w:b/>
                <w:color w:val="1C3A36"/>
                <w:sz w:val="18"/>
              </w:rPr>
            </w:r>
          </w:p>
        </w:tc>
        <w:tc>
          <w:tcPr>
            <w:tcW w:type="dxa" w:w="1362"/>
            <w:shd w:val="clear" w:color="auto" w:fill="F6F1E6"/>
          </w:tcPr>
          <w:p>
            <w:pPr>
              <w:spacing w:after="20"/>
              <w:jc w:val="right"/>
            </w:pPr>
            <w:r>
              <w:rPr>
                <w:b/>
                <w:color w:val="1C3A36"/>
                <w:sz w:val="18"/>
              </w:rPr>
              <w:t>100.0%</w:t>
            </w:r>
          </w:p>
        </w:tc>
        <w:tc>
          <w:tcPr>
            <w:tcW w:type="dxa" w:w="1333"/>
            <w:shd w:val="clear" w:color="auto" w:fill="F6F1E6"/>
          </w:tcPr>
          <w:p>
            <w:pPr>
              <w:spacing w:after="20"/>
              <w:jc w:val="right"/>
            </w:pPr>
            <w:r>
              <w:rPr>
                <w:b/>
                <w:color w:val="1C3A36"/>
                <w:sz w:val="18"/>
              </w:rPr>
            </w:r>
          </w:p>
        </w:tc>
      </w:tr>
      <w:tr>
        <w:tc>
          <w:tcPr>
            <w:tcW w:type="dxa" w:w="3943"/>
            <w:shd w:val="clear" w:color="auto" w:fill="F6F1E6"/>
          </w:tcPr>
          <w:p>
            <w:pPr>
              <w:spacing w:after="20"/>
            </w:pPr>
            <w:r>
              <w:rPr>
                <w:b/>
                <w:color w:val="1C3A36"/>
                <w:sz w:val="18"/>
              </w:rPr>
              <w:t>ADNOC Drilling's own multiple at AED 5.80</w:t>
            </w:r>
          </w:p>
        </w:tc>
        <w:tc>
          <w:tcPr>
            <w:tcW w:type="dxa" w:w="1649"/>
            <w:shd w:val="clear" w:color="auto" w:fill="F6F1E6"/>
          </w:tcPr>
          <w:p>
            <w:pPr>
              <w:spacing w:after="20"/>
              <w:jc w:val="right"/>
            </w:pPr>
            <w:r>
              <w:rPr>
                <w:b/>
                <w:color w:val="1C3A36"/>
                <w:sz w:val="18"/>
              </w:rPr>
              <w:t>12.62x</w:t>
            </w:r>
          </w:p>
        </w:tc>
        <w:tc>
          <w:tcPr>
            <w:tcW w:type="dxa" w:w="1792"/>
            <w:shd w:val="clear" w:color="auto" w:fill="F6F1E6"/>
          </w:tcPr>
          <w:p>
            <w:pPr>
              <w:spacing w:after="20"/>
              <w:jc w:val="right"/>
            </w:pPr>
            <w:r>
              <w:rPr>
                <w:b/>
                <w:color w:val="1C3A36"/>
                <w:sz w:val="18"/>
              </w:rPr>
            </w:r>
          </w:p>
        </w:tc>
        <w:tc>
          <w:tcPr>
            <w:tcW w:type="dxa" w:w="1362"/>
            <w:shd w:val="clear" w:color="auto" w:fill="F6F1E6"/>
          </w:tcPr>
          <w:p>
            <w:pPr>
              <w:spacing w:after="20"/>
              <w:jc w:val="right"/>
            </w:pPr>
            <w:r>
              <w:rPr>
                <w:b/>
                <w:color w:val="1C3A36"/>
                <w:sz w:val="18"/>
              </w:rPr>
            </w:r>
          </w:p>
        </w:tc>
        <w:tc>
          <w:tcPr>
            <w:tcW w:type="dxa" w:w="1333"/>
            <w:shd w:val="clear" w:color="auto" w:fill="F6F1E6"/>
          </w:tcPr>
          <w:p>
            <w:pPr>
              <w:spacing w:after="20"/>
              <w:jc w:val="right"/>
            </w:pPr>
            <w:r>
              <w:rPr>
                <w:b/>
                <w:color w:val="1C3A36"/>
                <w:sz w:val="18"/>
              </w:rPr>
            </w:r>
          </w:p>
        </w:tc>
      </w:tr>
    </w:tbl>
    <w:p>
      <w:pPr>
        <w:spacing w:after="40"/>
      </w:pPr>
    </w:p>
    <w:p>
      <w:pPr>
        <w:spacing w:after="80" w:before="0"/>
      </w:pPr>
      <w:r>
        <w:rPr>
          <w:b w:val="0"/>
          <w:i w:val="0"/>
          <w:color w:val="1C3A36"/>
          <w:sz w:val="21"/>
        </w:rPr>
        <w:t>The multiple and the earnings it is applied to are put on the same footing, on two counts that both cut the same way. Every multiple in the table above is an enterprise value struck today over that company's LAST TWELVE MONTHS of EBITDA, so this company's earnings are measured the same way — audited 2025 plus the first half of 2026 less the first half of 2025, or USD 2.20bn — rather than on the guided 2026 figure of USD 2.25bn, which would credit this company with a year of growth no peer in the denominator is credited with. And the share of joint-venture results inside that number, USD 31 million, is taken out, because the carrying value of those joint ventures is added back on the bridge — capitalising the earnings and adding back the asset that produces them would count them twice.</w:t>
      </w:r>
    </w:p>
    <w:p>
      <w:pPr>
        <w:spacing w:after="120" w:before="0"/>
      </w:pPr>
      <w:r>
        <w:rPr>
          <w:b w:val="0"/>
          <w:i w:val="0"/>
          <w:color w:val="1C3A36"/>
          <w:sz w:val="21"/>
        </w:rPr>
        <w:t>Applying 8.66 times to USD 2.17bn on that basis gives an enterprise value of USD 18.82bn and, through the same bridge, AED 3.95 a share. This is the lens that sits furthest below the market price, and the reason is a single observable fact: the shares are valued at 12.6 times the same trailing EBITDA when the closest regional comparators — two drillers serving national oil companies on multi-year contracts — trade at 9.5 times and the global land drillers at 6.2 times. A premium is defensible; the size of it is the question.</w:t>
      </w:r>
    </w:p>
    <w:p>
      <w:pPr>
        <w:spacing w:after="80" w:before="200"/>
      </w:pPr>
      <w:r>
        <w:rPr>
          <w:b/>
          <w:i w:val="0"/>
          <w:color w:val="1C3A36"/>
          <w:sz w:val="24"/>
        </w:rPr>
        <w:t>1.4 Normalised earnings power</w:t>
      </w:r>
    </w:p>
    <w:p>
      <w:pPr>
        <w:spacing w:after="80" w:before="0"/>
      </w:pPr>
      <w:r>
        <w:rPr>
          <w:b w:val="0"/>
          <w:i w:val="0"/>
          <w:color w:val="1C3A36"/>
          <w:sz w:val="21"/>
        </w:rPr>
        <w:t>This lens asks what the fleet the company had ALREADY TAKEN DELIVERY OF at 30 June 2026 earns at the margin management itself guides to, with no growth credited at all, and capitalises it in perpetuity. It is the floor of the set, and three things about it are worth stating before the table, because an earlier edition of this study got all three wrong in the same direction.</w:t>
      </w:r>
    </w:p>
    <w:p>
      <w:pPr>
        <w:pStyle w:val="ListBullet"/>
        <w:spacing w:after="60"/>
      </w:pPr>
      <w:r>
        <w:rPr>
          <w:b/>
          <w:color w:val="1C3A36"/>
          <w:sz w:val="21"/>
        </w:rPr>
        <w:t xml:space="preserve">No growth in the denominator. </w:t>
      </w:r>
      <w:r>
        <w:rPr>
          <w:color w:val="1C3A36"/>
          <w:sz w:val="21"/>
        </w:rPr>
        <w:t>It is capitalised at the cost of capital itself, with nothing subtracted from the denominator for growth. A denominator of cost-of-capital-less-growth IS a growth credit; there is no other reason for a growth rate to appear in it, and a lens that says it credits none may not have one.</w:t>
      </w:r>
    </w:p>
    <w:p>
      <w:pPr>
        <w:pStyle w:val="ListBullet"/>
        <w:spacing w:after="60"/>
      </w:pPr>
      <w:r>
        <w:rPr>
          <w:b/>
          <w:color w:val="1C3A36"/>
          <w:sz w:val="21"/>
        </w:rPr>
        <w:t xml:space="preserve">Delivered, not targeted. </w:t>
      </w:r>
      <w:r>
        <w:rPr>
          <w:color w:val="1C3A36"/>
          <w:sz w:val="21"/>
        </w:rPr>
        <w:t>The counts below are the ones the company reported at 30 June 2026 — including 13 island rigs and 61 integrated-services rigs — not the 70 integrated rigs the company TARGETS for the end of 2026. A target is growth.</w:t>
      </w:r>
    </w:p>
    <w:p>
      <w:pPr>
        <w:pStyle w:val="ListBullet"/>
        <w:spacing w:after="60"/>
      </w:pPr>
      <w:r>
        <w:rPr>
          <w:b/>
          <w:color w:val="1C3A36"/>
          <w:sz w:val="21"/>
        </w:rPr>
        <w:t xml:space="preserve">The depreciation this fleet carries. </w:t>
      </w:r>
      <w:r>
        <w:rPr>
          <w:color w:val="1C3A36"/>
          <w:sz w:val="21"/>
        </w:rPr>
        <w:t>The charge is the first-half 2026 depreciation annualised, which is what the fleet being priced actually carries. The 2030 charge this study forecasts, USD 554 million, belongs to a larger fleet and is not available to this lens; the maintenance capital expenditure of USD 250 million is a spending floor, not a depreciation charge.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46"/>
        <w:gridCol w:w="1215"/>
        <w:gridCol w:w="2502"/>
        <w:gridCol w:w="2216"/>
      </w:tblGrid>
      <w:tr>
        <w:tc>
          <w:tcPr>
            <w:tcW w:type="dxa" w:w="4146"/>
            <w:shd w:val="clear" w:color="auto" w:fill="EAF0EE"/>
          </w:tcPr>
          <w:p>
            <w:pPr>
              <w:spacing w:after="20"/>
            </w:pPr>
            <w:r>
              <w:rPr>
                <w:b/>
                <w:color w:val="1C3A36"/>
                <w:sz w:val="18"/>
              </w:rPr>
            </w:r>
          </w:p>
        </w:tc>
        <w:tc>
          <w:tcPr>
            <w:tcW w:type="dxa" w:w="1215"/>
            <w:shd w:val="clear" w:color="auto" w:fill="EAF0EE"/>
          </w:tcPr>
          <w:p>
            <w:pPr>
              <w:spacing w:after="20"/>
            </w:pPr>
            <w:r>
              <w:rPr>
                <w:b/>
                <w:color w:val="1C3A36"/>
                <w:sz w:val="18"/>
              </w:rPr>
              <w:t>Units</w:t>
            </w:r>
          </w:p>
        </w:tc>
        <w:tc>
          <w:tcPr>
            <w:tcW w:type="dxa" w:w="2502"/>
            <w:shd w:val="clear" w:color="auto" w:fill="EAF0EE"/>
          </w:tcPr>
          <w:p>
            <w:pPr>
              <w:spacing w:after="20"/>
            </w:pPr>
            <w:r>
              <w:rPr>
                <w:b/>
                <w:color w:val="1C3A36"/>
                <w:sz w:val="18"/>
              </w:rPr>
              <w:t>Revenue per rig-year (USD mn)</w:t>
            </w:r>
          </w:p>
        </w:tc>
        <w:tc>
          <w:tcPr>
            <w:tcW w:type="dxa" w:w="2216"/>
            <w:shd w:val="clear" w:color="auto" w:fill="EAF0EE"/>
          </w:tcPr>
          <w:p>
            <w:pPr>
              <w:spacing w:after="20"/>
            </w:pPr>
            <w:r>
              <w:rPr>
                <w:b/>
                <w:color w:val="1C3A36"/>
                <w:sz w:val="18"/>
              </w:rPr>
              <w:t>Revenue (USD mn)</w:t>
            </w:r>
          </w:p>
        </w:tc>
      </w:tr>
      <w:tr>
        <w:tc>
          <w:tcPr>
            <w:tcW w:type="dxa" w:w="4146"/>
          </w:tcPr>
          <w:p>
            <w:pPr>
              <w:spacing w:after="20"/>
            </w:pPr>
            <w:r>
              <w:rPr>
                <w:color w:val="1C3A36"/>
                <w:sz w:val="18"/>
              </w:rPr>
              <w:t>Abu Dhabi onshore rigs</w:t>
            </w:r>
          </w:p>
        </w:tc>
        <w:tc>
          <w:tcPr>
            <w:tcW w:type="dxa" w:w="1215"/>
          </w:tcPr>
          <w:p>
            <w:pPr>
              <w:spacing w:after="20"/>
              <w:jc w:val="right"/>
            </w:pPr>
            <w:r>
              <w:rPr>
                <w:color w:val="1C3A36"/>
                <w:sz w:val="18"/>
              </w:rPr>
              <w:t>92</w:t>
            </w:r>
          </w:p>
        </w:tc>
        <w:tc>
          <w:tcPr>
            <w:tcW w:type="dxa" w:w="2502"/>
          </w:tcPr>
          <w:p>
            <w:pPr>
              <w:spacing w:after="20"/>
              <w:jc w:val="right"/>
            </w:pPr>
            <w:r>
              <w:rPr>
                <w:color w:val="1C3A36"/>
                <w:sz w:val="18"/>
              </w:rPr>
              <w:t>20.1</w:t>
            </w:r>
          </w:p>
        </w:tc>
        <w:tc>
          <w:tcPr>
            <w:tcW w:type="dxa" w:w="2216"/>
          </w:tcPr>
          <w:p>
            <w:pPr>
              <w:spacing w:after="20"/>
              <w:jc w:val="right"/>
            </w:pPr>
            <w:r>
              <w:rPr>
                <w:color w:val="1C3A36"/>
                <w:sz w:val="18"/>
              </w:rPr>
              <w:t>1,849</w:t>
            </w:r>
          </w:p>
        </w:tc>
      </w:tr>
      <w:tr>
        <w:tc>
          <w:tcPr>
            <w:tcW w:type="dxa" w:w="4146"/>
          </w:tcPr>
          <w:p>
            <w:pPr>
              <w:spacing w:after="20"/>
            </w:pPr>
            <w:r>
              <w:rPr>
                <w:color w:val="1C3A36"/>
                <w:sz w:val="18"/>
              </w:rPr>
              <w:t>Regional onshore rigs</w:t>
            </w:r>
          </w:p>
        </w:tc>
        <w:tc>
          <w:tcPr>
            <w:tcW w:type="dxa" w:w="1215"/>
          </w:tcPr>
          <w:p>
            <w:pPr>
              <w:spacing w:after="20"/>
              <w:jc w:val="right"/>
            </w:pPr>
            <w:r>
              <w:rPr>
                <w:color w:val="1C3A36"/>
                <w:sz w:val="18"/>
              </w:rPr>
              <w:t>30</w:t>
            </w:r>
          </w:p>
        </w:tc>
        <w:tc>
          <w:tcPr>
            <w:tcW w:type="dxa" w:w="2502"/>
          </w:tcPr>
          <w:p>
            <w:pPr>
              <w:spacing w:after="20"/>
              <w:jc w:val="right"/>
            </w:pPr>
            <w:r>
              <w:rPr>
                <w:color w:val="1C3A36"/>
                <w:sz w:val="18"/>
              </w:rPr>
              <w:t>8.0</w:t>
            </w:r>
          </w:p>
        </w:tc>
        <w:tc>
          <w:tcPr>
            <w:tcW w:type="dxa" w:w="2216"/>
          </w:tcPr>
          <w:p>
            <w:pPr>
              <w:spacing w:after="20"/>
              <w:jc w:val="right"/>
            </w:pPr>
            <w:r>
              <w:rPr>
                <w:color w:val="1C3A36"/>
                <w:sz w:val="18"/>
              </w:rPr>
              <w:t>240</w:t>
            </w:r>
          </w:p>
        </w:tc>
      </w:tr>
      <w:tr>
        <w:tc>
          <w:tcPr>
            <w:tcW w:type="dxa" w:w="4146"/>
          </w:tcPr>
          <w:p>
            <w:pPr>
              <w:spacing w:after="20"/>
            </w:pPr>
            <w:r>
              <w:rPr>
                <w:color w:val="1C3A36"/>
                <w:sz w:val="18"/>
              </w:rPr>
              <w:t>Jack-up rigs</w:t>
            </w:r>
          </w:p>
        </w:tc>
        <w:tc>
          <w:tcPr>
            <w:tcW w:type="dxa" w:w="1215"/>
          </w:tcPr>
          <w:p>
            <w:pPr>
              <w:spacing w:after="20"/>
              <w:jc w:val="right"/>
            </w:pPr>
            <w:r>
              <w:rPr>
                <w:color w:val="1C3A36"/>
                <w:sz w:val="18"/>
              </w:rPr>
              <w:t>36</w:t>
            </w:r>
          </w:p>
        </w:tc>
        <w:tc>
          <w:tcPr>
            <w:tcW w:type="dxa" w:w="2502"/>
          </w:tcPr>
          <w:p>
            <w:pPr>
              <w:spacing w:after="20"/>
              <w:jc w:val="right"/>
            </w:pPr>
            <w:r>
              <w:rPr>
                <w:color w:val="1C3A36"/>
                <w:sz w:val="18"/>
              </w:rPr>
              <w:t>30.5</w:t>
            </w:r>
          </w:p>
        </w:tc>
        <w:tc>
          <w:tcPr>
            <w:tcW w:type="dxa" w:w="2216"/>
          </w:tcPr>
          <w:p>
            <w:pPr>
              <w:spacing w:after="20"/>
              <w:jc w:val="right"/>
            </w:pPr>
            <w:r>
              <w:rPr>
                <w:color w:val="1C3A36"/>
                <w:sz w:val="18"/>
              </w:rPr>
              <w:t>1,099</w:t>
            </w:r>
          </w:p>
        </w:tc>
      </w:tr>
      <w:tr>
        <w:tc>
          <w:tcPr>
            <w:tcW w:type="dxa" w:w="4146"/>
          </w:tcPr>
          <w:p>
            <w:pPr>
              <w:spacing w:after="20"/>
            </w:pPr>
            <w:r>
              <w:rPr>
                <w:color w:val="1C3A36"/>
                <w:sz w:val="18"/>
              </w:rPr>
              <w:t>Island rigs</w:t>
            </w:r>
          </w:p>
        </w:tc>
        <w:tc>
          <w:tcPr>
            <w:tcW w:type="dxa" w:w="1215"/>
          </w:tcPr>
          <w:p>
            <w:pPr>
              <w:spacing w:after="20"/>
              <w:jc w:val="right"/>
            </w:pPr>
            <w:r>
              <w:rPr>
                <w:color w:val="1C3A36"/>
                <w:sz w:val="18"/>
              </w:rPr>
              <w:t>13</w:t>
            </w:r>
          </w:p>
        </w:tc>
        <w:tc>
          <w:tcPr>
            <w:tcW w:type="dxa" w:w="2502"/>
          </w:tcPr>
          <w:p>
            <w:pPr>
              <w:spacing w:after="20"/>
              <w:jc w:val="right"/>
            </w:pPr>
            <w:r>
              <w:rPr>
                <w:color w:val="1C3A36"/>
                <w:sz w:val="18"/>
              </w:rPr>
              <w:t>26.3</w:t>
            </w:r>
          </w:p>
        </w:tc>
        <w:tc>
          <w:tcPr>
            <w:tcW w:type="dxa" w:w="2216"/>
          </w:tcPr>
          <w:p>
            <w:pPr>
              <w:spacing w:after="20"/>
              <w:jc w:val="right"/>
            </w:pPr>
            <w:r>
              <w:rPr>
                <w:color w:val="1C3A36"/>
                <w:sz w:val="18"/>
              </w:rPr>
              <w:t>342</w:t>
            </w:r>
          </w:p>
        </w:tc>
      </w:tr>
      <w:tr>
        <w:tc>
          <w:tcPr>
            <w:tcW w:type="dxa" w:w="4146"/>
          </w:tcPr>
          <w:p>
            <w:pPr>
              <w:spacing w:after="20"/>
            </w:pPr>
            <w:r>
              <w:rPr>
                <w:color w:val="1C3A36"/>
                <w:sz w:val="18"/>
              </w:rPr>
              <w:t>Rigs served by oilfield services</w:t>
            </w:r>
          </w:p>
        </w:tc>
        <w:tc>
          <w:tcPr>
            <w:tcW w:type="dxa" w:w="1215"/>
          </w:tcPr>
          <w:p>
            <w:pPr>
              <w:spacing w:after="20"/>
              <w:jc w:val="right"/>
            </w:pPr>
            <w:r>
              <w:rPr>
                <w:color w:val="1C3A36"/>
                <w:sz w:val="18"/>
              </w:rPr>
              <w:t>114</w:t>
            </w:r>
          </w:p>
        </w:tc>
        <w:tc>
          <w:tcPr>
            <w:tcW w:type="dxa" w:w="2502"/>
          </w:tcPr>
          <w:p>
            <w:pPr>
              <w:spacing w:after="20"/>
              <w:jc w:val="right"/>
            </w:pPr>
            <w:r>
              <w:rPr>
                <w:color w:val="1C3A36"/>
                <w:sz w:val="18"/>
              </w:rPr>
              <w:t>7.9</w:t>
            </w:r>
          </w:p>
        </w:tc>
        <w:tc>
          <w:tcPr>
            <w:tcW w:type="dxa" w:w="2216"/>
          </w:tcPr>
          <w:p>
            <w:pPr>
              <w:spacing w:after="20"/>
              <w:jc w:val="right"/>
            </w:pPr>
            <w:r>
              <w:rPr>
                <w:color w:val="1C3A36"/>
                <w:sz w:val="18"/>
              </w:rPr>
              <w:t>897</w:t>
            </w:r>
          </w:p>
        </w:tc>
      </w:tr>
      <w:tr>
        <w:tc>
          <w:tcPr>
            <w:tcW w:type="dxa" w:w="4146"/>
            <w:shd w:val="clear" w:color="auto" w:fill="F6F1E6"/>
          </w:tcPr>
          <w:p>
            <w:pPr>
              <w:spacing w:after="20"/>
            </w:pPr>
            <w:r>
              <w:rPr>
                <w:b/>
                <w:color w:val="1C3A36"/>
                <w:sz w:val="18"/>
              </w:rPr>
              <w:t>Normalised revenue</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4,427</w:t>
            </w:r>
          </w:p>
        </w:tc>
      </w:tr>
      <w:tr>
        <w:tc>
          <w:tcPr>
            <w:tcW w:type="dxa" w:w="4146"/>
            <w:shd w:val="clear" w:color="auto" w:fill="F6F1E6"/>
          </w:tcPr>
          <w:p>
            <w:pPr>
              <w:spacing w:after="20"/>
            </w:pPr>
            <w:r>
              <w:rPr>
                <w:b/>
                <w:color w:val="1C3A36"/>
                <w:sz w:val="18"/>
              </w:rPr>
              <w:t>Normalised EBITDA at the guided margin of 45.0%</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1,992</w:t>
            </w:r>
          </w:p>
        </w:tc>
      </w:tr>
      <w:tr>
        <w:tc>
          <w:tcPr>
            <w:tcW w:type="dxa" w:w="4146"/>
          </w:tcPr>
          <w:p>
            <w:pPr>
              <w:spacing w:after="20"/>
            </w:pPr>
            <w:r>
              <w:rPr>
                <w:color w:val="1C3A36"/>
                <w:sz w:val="18"/>
              </w:rPr>
              <w:t>less normalised depreciation and amortisation</w:t>
            </w:r>
          </w:p>
        </w:tc>
        <w:tc>
          <w:tcPr>
            <w:tcW w:type="dxa" w:w="1215"/>
          </w:tcPr>
          <w:p>
            <w:pPr>
              <w:spacing w:after="20"/>
              <w:jc w:val="right"/>
            </w:pPr>
            <w:r>
              <w:rPr>
                <w:color w:val="1C3A36"/>
                <w:sz w:val="18"/>
              </w:rPr>
            </w:r>
          </w:p>
        </w:tc>
        <w:tc>
          <w:tcPr>
            <w:tcW w:type="dxa" w:w="2502"/>
          </w:tcPr>
          <w:p>
            <w:pPr>
              <w:spacing w:after="20"/>
              <w:jc w:val="right"/>
            </w:pPr>
            <w:r>
              <w:rPr>
                <w:color w:val="1C3A36"/>
                <w:sz w:val="18"/>
              </w:rPr>
            </w:r>
          </w:p>
        </w:tc>
        <w:tc>
          <w:tcPr>
            <w:tcW w:type="dxa" w:w="2216"/>
          </w:tcPr>
          <w:p>
            <w:pPr>
              <w:spacing w:after="20"/>
              <w:jc w:val="right"/>
            </w:pPr>
            <w:r>
              <w:rPr>
                <w:color w:val="1C3A36"/>
                <w:sz w:val="18"/>
              </w:rPr>
              <w:t>(521)</w:t>
            </w:r>
          </w:p>
        </w:tc>
      </w:tr>
      <w:tr>
        <w:tc>
          <w:tcPr>
            <w:tcW w:type="dxa" w:w="4146"/>
            <w:shd w:val="clear" w:color="auto" w:fill="F6F1E6"/>
          </w:tcPr>
          <w:p>
            <w:pPr>
              <w:spacing w:after="20"/>
            </w:pPr>
            <w:r>
              <w:rPr>
                <w:b/>
                <w:color w:val="1C3A36"/>
                <w:sz w:val="18"/>
              </w:rPr>
              <w:t>Normalised EBIT</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1,471</w:t>
            </w:r>
          </w:p>
        </w:tc>
      </w:tr>
      <w:tr>
        <w:tc>
          <w:tcPr>
            <w:tcW w:type="dxa" w:w="4146"/>
            <w:shd w:val="clear" w:color="auto" w:fill="F6F1E6"/>
          </w:tcPr>
          <w:p>
            <w:pPr>
              <w:spacing w:after="20"/>
            </w:pPr>
            <w:r>
              <w:rPr>
                <w:b/>
                <w:color w:val="1C3A36"/>
                <w:sz w:val="18"/>
              </w:rPr>
              <w:t>Normalised NOPAT after tax at 9%</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1,339</w:t>
            </w:r>
          </w:p>
        </w:tc>
      </w:tr>
      <w:tr>
        <w:tc>
          <w:tcPr>
            <w:tcW w:type="dxa" w:w="4146"/>
            <w:shd w:val="clear" w:color="auto" w:fill="F6F1E6"/>
          </w:tcPr>
          <w:p>
            <w:pPr>
              <w:spacing w:after="20"/>
            </w:pPr>
            <w:r>
              <w:rPr>
                <w:b/>
                <w:color w:val="1C3A36"/>
                <w:sz w:val="18"/>
              </w:rPr>
              <w:t>Capitalised at the cost of capital of 8.00%, with no growth deducted from it</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16,729</w:t>
            </w:r>
          </w:p>
        </w:tc>
      </w:tr>
      <w:tr>
        <w:tc>
          <w:tcPr>
            <w:tcW w:type="dxa" w:w="4146"/>
            <w:shd w:val="clear" w:color="auto" w:fill="F6F1E6"/>
          </w:tcPr>
          <w:p>
            <w:pPr>
              <w:spacing w:after="20"/>
            </w:pPr>
            <w:r>
              <w:rPr>
                <w:b/>
                <w:color w:val="1C3A36"/>
                <w:sz w:val="18"/>
              </w:rPr>
              <w:t>Value per share (AED)</w:t>
            </w:r>
          </w:p>
        </w:tc>
        <w:tc>
          <w:tcPr>
            <w:tcW w:type="dxa" w:w="1215"/>
            <w:shd w:val="clear" w:color="auto" w:fill="F6F1E6"/>
          </w:tcPr>
          <w:p>
            <w:pPr>
              <w:spacing w:after="20"/>
              <w:jc w:val="right"/>
            </w:pPr>
            <w:r>
              <w:rPr>
                <w:b/>
                <w:color w:val="1C3A36"/>
                <w:sz w:val="18"/>
              </w:rPr>
            </w:r>
          </w:p>
        </w:tc>
        <w:tc>
          <w:tcPr>
            <w:tcW w:type="dxa" w:w="2502"/>
            <w:shd w:val="clear" w:color="auto" w:fill="F6F1E6"/>
          </w:tcPr>
          <w:p>
            <w:pPr>
              <w:spacing w:after="20"/>
              <w:jc w:val="right"/>
            </w:pPr>
            <w:r>
              <w:rPr>
                <w:b/>
                <w:color w:val="1C3A36"/>
                <w:sz w:val="18"/>
              </w:rPr>
            </w:r>
          </w:p>
        </w:tc>
        <w:tc>
          <w:tcPr>
            <w:tcW w:type="dxa" w:w="2216"/>
            <w:shd w:val="clear" w:color="auto" w:fill="F6F1E6"/>
          </w:tcPr>
          <w:p>
            <w:pPr>
              <w:spacing w:after="20"/>
              <w:jc w:val="right"/>
            </w:pPr>
            <w:r>
              <w:rPr>
                <w:b/>
                <w:color w:val="1C3A36"/>
                <w:sz w:val="18"/>
              </w:rPr>
              <w:t>3.47</w:t>
            </w:r>
          </w:p>
        </w:tc>
      </w:tr>
    </w:tbl>
    <w:p>
      <w:pPr>
        <w:spacing w:after="40"/>
      </w:pPr>
    </w:p>
    <w:p>
      <w:pPr>
        <w:spacing w:after="80" w:before="200"/>
      </w:pPr>
      <w:r>
        <w:rPr>
          <w:b/>
          <w:i w:val="0"/>
          <w:color w:val="1C3A36"/>
          <w:sz w:val="24"/>
        </w:rPr>
        <w:t>1.5 Synthesis — four lenses, one field</w:t>
      </w:r>
    </w:p>
    <w:p>
      <w:pPr>
        <w:spacing w:after="80" w:before="0"/>
      </w:pPr>
      <w:r>
        <w:rPr>
          <w:b w:val="0"/>
          <w:i w:val="0"/>
          <w:color w:val="1C3A36"/>
          <w:sz w:val="21"/>
        </w:rPr>
        <w:t>Four methods, five readings: the cash-flow method is run on two different futures and each is reported as its own line, which is why the heading says four and the table below says five.</w:t>
      </w:r>
    </w:p>
    <w:p>
      <w:pPr>
        <w:spacing w:after="120" w:before="0"/>
      </w:pPr>
      <w:r>
        <w:rPr>
          <w:b w:val="0"/>
          <w:i w:val="0"/>
          <w:color w:val="1C3A36"/>
          <w:sz w:val="21"/>
        </w:rPr>
        <w:t>The five readings span AED 3.47 to AED 6.22, and the width is informative rather than embarrassing: the multiple lens sits well below the rest because it reads the company as one of a class of drillers, while the cash-flow and franchise lenses read it as a business earning an exceptional return on a modest asset base. What has changed since the cost of capital was rebuilt on the published index is where the market price sits relative to that field. At a cost of capital of 8.00% the market price of AED 5.80 sits above four of the five lenses and below one, and above the weighted central. The conclusion rests heavily on one input — so the beta table in section 1.8 and the beta row of the sensitivity in section 1.9 should be read before it is.</w:t>
      </w:r>
    </w:p>
    <w:p>
      <w:pPr>
        <w:spacing w:after="80" w:before="200"/>
      </w:pPr>
      <w:r>
        <w:rPr>
          <w:b/>
          <w:i w:val="0"/>
          <w:color w:val="1C3A36"/>
          <w:sz w:val="24"/>
        </w:rPr>
        <w:t>1.6 Drivers</w:t>
      </w:r>
    </w:p>
    <w:p>
      <w:pPr>
        <w:spacing w:after="80" w:before="0"/>
      </w:pPr>
      <w:r>
        <w:rPr>
          <w:b w:val="0"/>
          <w:i w:val="0"/>
          <w:color w:val="1C3A36"/>
          <w:sz w:val="21"/>
        </w:rPr>
        <w:t>Revenue is built from the bottom up: rigs in service times revenue per rig-year, by class, with margins falling out as an OUTPUT of a cost stack rather than being assumed. The rates below are derived from the company's own disclosed segment revenue and its own disclosed rig counts — they are arithmetic, not estimates.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728"/>
        <w:gridCol w:w="1728"/>
        <w:gridCol w:w="1728"/>
      </w:tblGrid>
      <w:tr>
        <w:tc>
          <w:tcPr>
            <w:tcW w:type="dxa" w:w="4752"/>
            <w:shd w:val="clear" w:color="auto" w:fill="EAF0EE"/>
          </w:tcPr>
          <w:p>
            <w:pPr>
              <w:spacing w:after="20"/>
            </w:pPr>
            <w:r>
              <w:rPr>
                <w:b/>
                <w:color w:val="1C3A36"/>
                <w:sz w:val="18"/>
              </w:rPr>
              <w:t>Revenue per rig-year (USD million)</w:t>
            </w:r>
          </w:p>
        </w:tc>
        <w:tc>
          <w:tcPr>
            <w:tcW w:type="dxa" w:w="1728"/>
            <w:shd w:val="clear" w:color="auto" w:fill="EAF0EE"/>
          </w:tcPr>
          <w:p>
            <w:pPr>
              <w:spacing w:after="20"/>
            </w:pPr>
            <w:r>
              <w:rPr>
                <w:b/>
                <w:color w:val="1C3A36"/>
                <w:sz w:val="18"/>
              </w:rPr>
              <w:t>FY2023</w:t>
            </w:r>
          </w:p>
        </w:tc>
        <w:tc>
          <w:tcPr>
            <w:tcW w:type="dxa" w:w="1728"/>
            <w:shd w:val="clear" w:color="auto" w:fill="EAF0EE"/>
          </w:tcPr>
          <w:p>
            <w:pPr>
              <w:spacing w:after="20"/>
            </w:pPr>
            <w:r>
              <w:rPr>
                <w:b/>
                <w:color w:val="1C3A36"/>
                <w:sz w:val="18"/>
              </w:rPr>
              <w:t>FY2024</w:t>
            </w:r>
          </w:p>
        </w:tc>
        <w:tc>
          <w:tcPr>
            <w:tcW w:type="dxa" w:w="1728"/>
            <w:shd w:val="clear" w:color="auto" w:fill="EAF0EE"/>
          </w:tcPr>
          <w:p>
            <w:pPr>
              <w:spacing w:after="20"/>
            </w:pPr>
            <w:r>
              <w:rPr>
                <w:b/>
                <w:color w:val="1C3A36"/>
                <w:sz w:val="18"/>
              </w:rPr>
              <w:t>FY2025</w:t>
            </w:r>
          </w:p>
        </w:tc>
      </w:tr>
      <w:tr>
        <w:tc>
          <w:tcPr>
            <w:tcW w:type="dxa" w:w="4752"/>
          </w:tcPr>
          <w:p>
            <w:pPr>
              <w:spacing w:after="20"/>
            </w:pPr>
            <w:r>
              <w:rPr>
                <w:color w:val="1C3A36"/>
                <w:sz w:val="18"/>
              </w:rPr>
              <w:t>Abu Dhabi onshore, conventional</w:t>
            </w:r>
          </w:p>
        </w:tc>
        <w:tc>
          <w:tcPr>
            <w:tcW w:type="dxa" w:w="1728"/>
          </w:tcPr>
          <w:p>
            <w:pPr>
              <w:spacing w:after="20"/>
              <w:jc w:val="right"/>
            </w:pPr>
            <w:r>
              <w:rPr>
                <w:color w:val="1C3A36"/>
                <w:sz w:val="18"/>
              </w:rPr>
              <w:t>18.9</w:t>
            </w:r>
          </w:p>
        </w:tc>
        <w:tc>
          <w:tcPr>
            <w:tcW w:type="dxa" w:w="1728"/>
          </w:tcPr>
          <w:p>
            <w:pPr>
              <w:spacing w:after="20"/>
              <w:jc w:val="right"/>
            </w:pPr>
            <w:r>
              <w:rPr>
                <w:color w:val="1C3A36"/>
                <w:sz w:val="18"/>
              </w:rPr>
              <w:t>20.9</w:t>
            </w:r>
          </w:p>
        </w:tc>
        <w:tc>
          <w:tcPr>
            <w:tcW w:type="dxa" w:w="1728"/>
          </w:tcPr>
          <w:p>
            <w:pPr>
              <w:spacing w:after="20"/>
              <w:jc w:val="right"/>
            </w:pPr>
            <w:r>
              <w:rPr>
                <w:color w:val="1C3A36"/>
                <w:sz w:val="18"/>
              </w:rPr>
              <w:t>20.1</w:t>
            </w:r>
          </w:p>
        </w:tc>
      </w:tr>
      <w:tr>
        <w:tc>
          <w:tcPr>
            <w:tcW w:type="dxa" w:w="4752"/>
          </w:tcPr>
          <w:p>
            <w:pPr>
              <w:spacing w:after="20"/>
            </w:pPr>
            <w:r>
              <w:rPr>
                <w:color w:val="1C3A36"/>
                <w:sz w:val="18"/>
              </w:rPr>
              <w:t>Offshore, blended</w:t>
            </w:r>
          </w:p>
        </w:tc>
        <w:tc>
          <w:tcPr>
            <w:tcW w:type="dxa" w:w="1728"/>
          </w:tcPr>
          <w:p>
            <w:pPr>
              <w:spacing w:after="20"/>
              <w:jc w:val="right"/>
            </w:pPr>
            <w:r>
              <w:rPr>
                <w:color w:val="1C3A36"/>
                <w:sz w:val="18"/>
              </w:rPr>
              <w:t>23.5</w:t>
            </w:r>
          </w:p>
        </w:tc>
        <w:tc>
          <w:tcPr>
            <w:tcW w:type="dxa" w:w="1728"/>
          </w:tcPr>
          <w:p>
            <w:pPr>
              <w:spacing w:after="20"/>
              <w:jc w:val="right"/>
            </w:pPr>
            <w:r>
              <w:rPr>
                <w:color w:val="1C3A36"/>
                <w:sz w:val="18"/>
              </w:rPr>
              <w:t>28.9</w:t>
            </w:r>
          </w:p>
        </w:tc>
        <w:tc>
          <w:tcPr>
            <w:tcW w:type="dxa" w:w="1728"/>
          </w:tcPr>
          <w:p>
            <w:pPr>
              <w:spacing w:after="20"/>
              <w:jc w:val="right"/>
            </w:pPr>
            <w:r>
              <w:rPr>
                <w:color w:val="1C3A36"/>
                <w:sz w:val="18"/>
              </w:rPr>
              <w:t>29.6</w:t>
            </w:r>
          </w:p>
        </w:tc>
      </w:tr>
      <w:tr>
        <w:tc>
          <w:tcPr>
            <w:tcW w:type="dxa" w:w="4752"/>
          </w:tcPr>
          <w:p>
            <w:pPr>
              <w:spacing w:after="20"/>
            </w:pPr>
            <w:r>
              <w:rPr>
                <w:color w:val="1C3A36"/>
                <w:sz w:val="18"/>
              </w:rPr>
              <w:t>Integrated services, conventional</w:t>
            </w:r>
          </w:p>
        </w:tc>
        <w:tc>
          <w:tcPr>
            <w:tcW w:type="dxa" w:w="1728"/>
          </w:tcPr>
          <w:p>
            <w:pPr>
              <w:spacing w:after="20"/>
              <w:jc w:val="right"/>
            </w:pPr>
            <w:r>
              <w:rPr>
                <w:color w:val="1C3A36"/>
                <w:sz w:val="18"/>
              </w:rPr>
              <w:t>12.6</w:t>
            </w:r>
          </w:p>
        </w:tc>
        <w:tc>
          <w:tcPr>
            <w:tcW w:type="dxa" w:w="1728"/>
          </w:tcPr>
          <w:p>
            <w:pPr>
              <w:spacing w:after="20"/>
              <w:jc w:val="right"/>
            </w:pPr>
            <w:r>
              <w:rPr>
                <w:color w:val="1C3A36"/>
                <w:sz w:val="18"/>
              </w:rPr>
              <w:t>13.7</w:t>
            </w:r>
          </w:p>
        </w:tc>
        <w:tc>
          <w:tcPr>
            <w:tcW w:type="dxa" w:w="1728"/>
          </w:tcPr>
          <w:p>
            <w:pPr>
              <w:spacing w:after="20"/>
              <w:jc w:val="right"/>
            </w:pPr>
            <w:r>
              <w:rPr>
                <w:color w:val="1C3A36"/>
                <w:sz w:val="18"/>
              </w:rPr>
              <w:t>15.9</w:t>
            </w:r>
          </w:p>
        </w:tc>
      </w:tr>
      <w:tr>
        <w:tc>
          <w:tcPr>
            <w:tcW w:type="dxa" w:w="4752"/>
          </w:tcPr>
          <w:p>
            <w:pPr>
              <w:spacing w:after="20"/>
            </w:pPr>
            <w:r>
              <w:rPr>
                <w:color w:val="1C3A36"/>
                <w:sz w:val="18"/>
              </w:rPr>
              <w:t>Wells drilled per drilling rig</w:t>
            </w:r>
          </w:p>
        </w:tc>
        <w:tc>
          <w:tcPr>
            <w:tcW w:type="dxa" w:w="1728"/>
          </w:tcPr>
          <w:p>
            <w:pPr>
              <w:spacing w:after="20"/>
              <w:jc w:val="right"/>
            </w:pPr>
            <w:r>
              <w:rPr>
                <w:color w:val="1C3A36"/>
                <w:sz w:val="18"/>
              </w:rPr>
              <w:t>5.0</w:t>
            </w:r>
          </w:p>
        </w:tc>
        <w:tc>
          <w:tcPr>
            <w:tcW w:type="dxa" w:w="1728"/>
          </w:tcPr>
          <w:p>
            <w:pPr>
              <w:spacing w:after="20"/>
              <w:jc w:val="right"/>
            </w:pPr>
            <w:r>
              <w:rPr>
                <w:color w:val="1C3A36"/>
                <w:sz w:val="18"/>
              </w:rPr>
              <w:t>5.0</w:t>
            </w:r>
          </w:p>
        </w:tc>
        <w:tc>
          <w:tcPr>
            <w:tcW w:type="dxa" w:w="1728"/>
          </w:tcPr>
          <w:p>
            <w:pPr>
              <w:spacing w:after="20"/>
              <w:jc w:val="right"/>
            </w:pPr>
            <w:r>
              <w:rPr>
                <w:color w:val="1C3A36"/>
                <w:sz w:val="18"/>
              </w:rPr>
              <w:t>5.9</w:t>
            </w:r>
          </w:p>
        </w:tc>
      </w:tr>
    </w:tbl>
    <w:p>
      <w:pPr>
        <w:spacing w:after="40"/>
      </w:pPr>
    </w:p>
    <w:p>
      <w:pPr>
        <w:spacing w:after="80" w:before="0"/>
      </w:pPr>
      <w:r>
        <w:rPr>
          <w:b w:val="0"/>
          <w:i w:val="0"/>
          <w:color w:val="1C3A36"/>
          <w:sz w:val="21"/>
        </w:rPr>
        <w:t>The onshore rate rose from 2023 to 2024 and then fell back in 2025; it is not a trend, so the forecast escalates it at 1.5%, the domestic inflation rate, rather than extrapolating the 2024 step. The offshore rate rose steadily as jack-ups and island rigs came into service.</w:t>
      </w:r>
    </w:p>
    <w:p>
      <w:pPr>
        <w:spacing w:after="60" w:before="0"/>
      </w:pPr>
      <w:r>
        <w:rPr>
          <w:b/>
          <w:i w:val="0"/>
          <w:color w:val="1C3A36"/>
          <w:sz w:val="21"/>
        </w:rPr>
        <w:t>Oilfield services needs two volume drivers, not one.</w:t>
      </w:r>
    </w:p>
    <w:p>
      <w:pPr>
        <w:spacing w:after="80" w:before="0"/>
      </w:pPr>
      <w:r>
        <w:rPr>
          <w:b w:val="0"/>
          <w:i w:val="0"/>
          <w:color w:val="1C3A36"/>
          <w:sz w:val="21"/>
        </w:rPr>
        <w:t>The company discloses TWO rig populations that this segment serves, and they are different populations. One is the integrated-drilling-services fleet, which it reports at 57 rigs at the end of 2024 and 60 at the end of 2025. The other is the rigs given at least one discrete service, reported separately at 48 and 58 over the same two year ends. An earlier edition of this study built the segment on the first population alone. That is not a simplification, it is a build the company's own numbers refute: solve for one constant revenue rate on each population across the two disclosed years and the integrated rate comes out at MINUS USD 6.8 million a rig. A negative price is not a rounding problem; it says the one-driver model cannot be made to fit.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616"/>
        <w:gridCol w:w="2016"/>
        <w:gridCol w:w="2016"/>
      </w:tblGrid>
      <w:tr>
        <w:tc>
          <w:tcPr>
            <w:tcW w:type="dxa" w:w="5616"/>
            <w:shd w:val="clear" w:color="auto" w:fill="EAF0EE"/>
          </w:tcPr>
          <w:p>
            <w:pPr>
              <w:spacing w:after="20"/>
            </w:pPr>
            <w:r>
              <w:rPr>
                <w:b/>
                <w:color w:val="1C3A36"/>
                <w:sz w:val="18"/>
              </w:rPr>
              <w:t>Oilfield services</w:t>
            </w:r>
          </w:p>
        </w:tc>
        <w:tc>
          <w:tcPr>
            <w:tcW w:type="dxa" w:w="2016"/>
            <w:shd w:val="clear" w:color="auto" w:fill="EAF0EE"/>
          </w:tcPr>
          <w:p>
            <w:pPr>
              <w:spacing w:after="20"/>
            </w:pPr>
            <w:r>
              <w:rPr>
                <w:b/>
                <w:color w:val="1C3A36"/>
                <w:sz w:val="18"/>
              </w:rPr>
              <w:t>FY2024</w:t>
            </w:r>
          </w:p>
        </w:tc>
        <w:tc>
          <w:tcPr>
            <w:tcW w:type="dxa" w:w="2016"/>
            <w:shd w:val="clear" w:color="auto" w:fill="EAF0EE"/>
          </w:tcPr>
          <w:p>
            <w:pPr>
              <w:spacing w:after="20"/>
            </w:pPr>
            <w:r>
              <w:rPr>
                <w:b/>
                <w:color w:val="1C3A36"/>
                <w:sz w:val="18"/>
              </w:rPr>
              <w:t>FY2025</w:t>
            </w:r>
          </w:p>
        </w:tc>
      </w:tr>
      <w:tr>
        <w:tc>
          <w:tcPr>
            <w:tcW w:type="dxa" w:w="5616"/>
          </w:tcPr>
          <w:p>
            <w:pPr>
              <w:spacing w:after="20"/>
            </w:pPr>
            <w:r>
              <w:rPr>
                <w:color w:val="1C3A36"/>
                <w:sz w:val="18"/>
              </w:rPr>
              <w:t>Integrated-services rigs at year end</w:t>
            </w:r>
          </w:p>
        </w:tc>
        <w:tc>
          <w:tcPr>
            <w:tcW w:type="dxa" w:w="2016"/>
          </w:tcPr>
          <w:p>
            <w:pPr>
              <w:spacing w:after="20"/>
              <w:jc w:val="right"/>
            </w:pPr>
            <w:r>
              <w:rPr>
                <w:color w:val="1C3A36"/>
                <w:sz w:val="18"/>
              </w:rPr>
              <w:t>57</w:t>
            </w:r>
          </w:p>
        </w:tc>
        <w:tc>
          <w:tcPr>
            <w:tcW w:type="dxa" w:w="2016"/>
          </w:tcPr>
          <w:p>
            <w:pPr>
              <w:spacing w:after="20"/>
              <w:jc w:val="right"/>
            </w:pPr>
            <w:r>
              <w:rPr>
                <w:color w:val="1C3A36"/>
                <w:sz w:val="18"/>
              </w:rPr>
              <w:t>60</w:t>
            </w:r>
          </w:p>
        </w:tc>
      </w:tr>
      <w:tr>
        <w:tc>
          <w:tcPr>
            <w:tcW w:type="dxa" w:w="5616"/>
          </w:tcPr>
          <w:p>
            <w:pPr>
              <w:spacing w:after="20"/>
            </w:pPr>
            <w:r>
              <w:rPr>
                <w:color w:val="1C3A36"/>
                <w:sz w:val="18"/>
              </w:rPr>
              <w:t>Rigs given at least one discrete service</w:t>
            </w:r>
          </w:p>
        </w:tc>
        <w:tc>
          <w:tcPr>
            <w:tcW w:type="dxa" w:w="2016"/>
          </w:tcPr>
          <w:p>
            <w:pPr>
              <w:spacing w:after="20"/>
              <w:jc w:val="right"/>
            </w:pPr>
            <w:r>
              <w:rPr>
                <w:color w:val="1C3A36"/>
                <w:sz w:val="18"/>
              </w:rPr>
              <w:t>48</w:t>
            </w:r>
          </w:p>
        </w:tc>
        <w:tc>
          <w:tcPr>
            <w:tcW w:type="dxa" w:w="2016"/>
          </w:tcPr>
          <w:p>
            <w:pPr>
              <w:spacing w:after="20"/>
              <w:jc w:val="right"/>
            </w:pPr>
            <w:r>
              <w:rPr>
                <w:color w:val="1C3A36"/>
                <w:sz w:val="18"/>
              </w:rPr>
              <w:t>58</w:t>
            </w:r>
          </w:p>
        </w:tc>
      </w:tr>
      <w:tr>
        <w:tc>
          <w:tcPr>
            <w:tcW w:type="dxa" w:w="5616"/>
            <w:shd w:val="clear" w:color="auto" w:fill="F6F1E6"/>
          </w:tcPr>
          <w:p>
            <w:pPr>
              <w:spacing w:after="20"/>
            </w:pPr>
            <w:r>
              <w:rPr>
                <w:b/>
                <w:color w:val="1C3A36"/>
                <w:sz w:val="18"/>
              </w:rPr>
              <w:t>Rigs served, total</w:t>
            </w:r>
          </w:p>
        </w:tc>
        <w:tc>
          <w:tcPr>
            <w:tcW w:type="dxa" w:w="2016"/>
            <w:shd w:val="clear" w:color="auto" w:fill="F6F1E6"/>
          </w:tcPr>
          <w:p>
            <w:pPr>
              <w:spacing w:after="20"/>
              <w:jc w:val="right"/>
            </w:pPr>
            <w:r>
              <w:rPr>
                <w:b/>
                <w:color w:val="1C3A36"/>
                <w:sz w:val="18"/>
              </w:rPr>
              <w:t>105</w:t>
            </w:r>
          </w:p>
        </w:tc>
        <w:tc>
          <w:tcPr>
            <w:tcW w:type="dxa" w:w="2016"/>
            <w:shd w:val="clear" w:color="auto" w:fill="F6F1E6"/>
          </w:tcPr>
          <w:p>
            <w:pPr>
              <w:spacing w:after="20"/>
              <w:jc w:val="right"/>
            </w:pPr>
            <w:r>
              <w:rPr>
                <w:b/>
                <w:color w:val="1C3A36"/>
                <w:sz w:val="18"/>
              </w:rPr>
              <w:t>118</w:t>
            </w:r>
          </w:p>
        </w:tc>
      </w:tr>
      <w:tr>
        <w:tc>
          <w:tcPr>
            <w:tcW w:type="dxa" w:w="5616"/>
          </w:tcPr>
          <w:p>
            <w:pPr>
              <w:spacing w:after="20"/>
            </w:pPr>
            <w:r>
              <w:rPr>
                <w:color w:val="1C3A36"/>
                <w:sz w:val="18"/>
              </w:rPr>
              <w:t>Segment revenue excluding the unconventional programme (USD mn)</w:t>
            </w:r>
          </w:p>
        </w:tc>
        <w:tc>
          <w:tcPr>
            <w:tcW w:type="dxa" w:w="2016"/>
          </w:tcPr>
          <w:p>
            <w:pPr>
              <w:spacing w:after="20"/>
              <w:jc w:val="right"/>
            </w:pPr>
            <w:r>
              <w:rPr>
                <w:color w:val="1C3A36"/>
                <w:sz w:val="18"/>
              </w:rPr>
              <w:t>718</w:t>
            </w:r>
          </w:p>
        </w:tc>
        <w:tc>
          <w:tcPr>
            <w:tcW w:type="dxa" w:w="2016"/>
          </w:tcPr>
          <w:p>
            <w:pPr>
              <w:spacing w:after="20"/>
              <w:jc w:val="right"/>
            </w:pPr>
            <w:r>
              <w:rPr>
                <w:color w:val="1C3A36"/>
                <w:sz w:val="18"/>
              </w:rPr>
              <w:t>928</w:t>
            </w:r>
          </w:p>
        </w:tc>
      </w:tr>
      <w:tr>
        <w:tc>
          <w:tcPr>
            <w:tcW w:type="dxa" w:w="5616"/>
          </w:tcPr>
          <w:p>
            <w:pPr>
              <w:spacing w:after="20"/>
            </w:pPr>
            <w:r>
              <w:rPr>
                <w:color w:val="1C3A36"/>
                <w:sz w:val="18"/>
              </w:rPr>
              <w:t>Revenue per rig served (USD mn)</w:t>
            </w:r>
          </w:p>
        </w:tc>
        <w:tc>
          <w:tcPr>
            <w:tcW w:type="dxa" w:w="2016"/>
          </w:tcPr>
          <w:p>
            <w:pPr>
              <w:spacing w:after="20"/>
              <w:jc w:val="right"/>
            </w:pPr>
            <w:r>
              <w:rPr>
                <w:color w:val="1C3A36"/>
                <w:sz w:val="18"/>
              </w:rPr>
              <w:t>6.84</w:t>
            </w:r>
          </w:p>
        </w:tc>
        <w:tc>
          <w:tcPr>
            <w:tcW w:type="dxa" w:w="2016"/>
          </w:tcPr>
          <w:p>
            <w:pPr>
              <w:spacing w:after="20"/>
              <w:jc w:val="right"/>
            </w:pPr>
            <w:r>
              <w:rPr>
                <w:color w:val="1C3A36"/>
                <w:sz w:val="18"/>
              </w:rPr>
              <w:t>7.86</w:t>
            </w:r>
          </w:p>
        </w:tc>
      </w:tr>
      <w:tr>
        <w:tc>
          <w:tcPr>
            <w:tcW w:type="dxa" w:w="5616"/>
            <w:shd w:val="clear" w:color="auto" w:fill="F6F1E6"/>
          </w:tcPr>
          <w:p>
            <w:pPr>
              <w:spacing w:after="20"/>
            </w:pPr>
            <w:r>
              <w:rPr>
                <w:b/>
                <w:color w:val="1C3A36"/>
                <w:sz w:val="18"/>
              </w:rPr>
              <w:t>Realised growth in revenue per rig served</w:t>
            </w:r>
          </w:p>
        </w:tc>
        <w:tc>
          <w:tcPr>
            <w:tcW w:type="dxa" w:w="2016"/>
            <w:shd w:val="clear" w:color="auto" w:fill="F6F1E6"/>
          </w:tcPr>
          <w:p>
            <w:pPr>
              <w:spacing w:after="20"/>
              <w:jc w:val="right"/>
            </w:pPr>
            <w:r>
              <w:rPr>
                <w:b/>
                <w:color w:val="1C3A36"/>
                <w:sz w:val="18"/>
              </w:rPr>
            </w:r>
          </w:p>
        </w:tc>
        <w:tc>
          <w:tcPr>
            <w:tcW w:type="dxa" w:w="2016"/>
            <w:shd w:val="clear" w:color="auto" w:fill="F6F1E6"/>
          </w:tcPr>
          <w:p>
            <w:pPr>
              <w:spacing w:after="20"/>
              <w:jc w:val="right"/>
            </w:pPr>
            <w:r>
              <w:rPr>
                <w:b/>
                <w:color w:val="1C3A36"/>
                <w:sz w:val="18"/>
              </w:rPr>
              <w:t>15.0%</w:t>
            </w:r>
          </w:p>
        </w:tc>
      </w:tr>
    </w:tbl>
    <w:p>
      <w:pPr>
        <w:spacing w:after="40"/>
      </w:pPr>
    </w:p>
    <w:p>
      <w:pPr>
        <w:spacing w:after="80" w:before="0"/>
      </w:pPr>
      <w:r>
        <w:rPr>
          <w:b w:val="0"/>
          <w:i w:val="0"/>
          <w:color w:val="1C3A36"/>
          <w:sz w:val="21"/>
        </w:rPr>
        <w:t>The forecast carries both populations and lets the revenue per rig served grow at the rate the company actually achieved between the two disclosed years, 15.0%, fading linearly to the contract escalator of 1.5% by the end of the window. It fades because a gain of that size in revenue per rig served is a mix and efficiency effect — more services sold onto the same rig — and mix effects do not compound indefinitely. This is the cleanest growth story in the business and the least contracted.</w:t>
      </w:r>
    </w:p>
    <w:p>
      <w:pPr>
        <w:spacing w:after="60" w:before="0"/>
      </w:pPr>
      <w:r>
        <w:rPr>
          <w:b/>
          <w:i w:val="0"/>
          <w:color w:val="1C3A36"/>
          <w:sz w:val="21"/>
        </w:rPr>
        <w:t>The two 2026 acquisitions are consolidated, on both sides of the balance sheet.</w:t>
      </w:r>
    </w:p>
    <w:p>
      <w:pPr>
        <w:spacing w:after="80" w:before="0"/>
      </w:pPr>
      <w:r>
        <w:rPr>
          <w:b w:val="0"/>
          <w:i w:val="0"/>
          <w:color w:val="1C3A36"/>
          <w:sz w:val="21"/>
        </w:rPr>
        <w:t>An earlier edition of this study consolidated the REVENUE of the two regional businesses acquired in the first half of 2026 while leaving their asset base, the borrowings assumed with them and the minority interests recognised out of the roll-forward entirely. They are now entered as the single transaction the acquisition note supports, line by line. Nothing in it is a plug: the entry closes to zero against owners equity, which is the test a business combination has to pass — buying a business cannot, by itself, make the parent's shareholders richer or poorer.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880"/>
      </w:tblGrid>
      <w:tr>
        <w:tc>
          <w:tcPr>
            <w:tcW w:type="dxa" w:w="6768"/>
            <w:shd w:val="clear" w:color="auto" w:fill="EAF0EE"/>
          </w:tcPr>
          <w:p>
            <w:pPr>
              <w:spacing w:after="20"/>
            </w:pPr>
            <w:r>
              <w:rPr>
                <w:b/>
                <w:color w:val="1C3A36"/>
                <w:sz w:val="18"/>
              </w:rPr>
              <w:t>The 2026 business combinations, as entered</w:t>
            </w:r>
          </w:p>
        </w:tc>
        <w:tc>
          <w:tcPr>
            <w:tcW w:type="dxa" w:w="2880"/>
            <w:shd w:val="clear" w:color="auto" w:fill="EAF0EE"/>
          </w:tcPr>
          <w:p>
            <w:pPr>
              <w:spacing w:after="20"/>
            </w:pPr>
            <w:r>
              <w:rPr>
                <w:b/>
                <w:color w:val="1C3A36"/>
                <w:sz w:val="18"/>
              </w:rPr>
              <w:t>USD mn</w:t>
            </w:r>
          </w:p>
        </w:tc>
      </w:tr>
      <w:tr>
        <w:tc>
          <w:tcPr>
            <w:tcW w:type="dxa" w:w="6768"/>
          </w:tcPr>
          <w:p>
            <w:pPr>
              <w:spacing w:after="20"/>
            </w:pPr>
            <w:r>
              <w:rPr>
                <w:color w:val="1C3A36"/>
                <w:sz w:val="18"/>
              </w:rPr>
              <w:t>Property, equipment, right-of-use assets and goodwill acquired</w:t>
            </w:r>
          </w:p>
        </w:tc>
        <w:tc>
          <w:tcPr>
            <w:tcW w:type="dxa" w:w="2880"/>
          </w:tcPr>
          <w:p>
            <w:pPr>
              <w:spacing w:after="20"/>
              <w:jc w:val="right"/>
            </w:pPr>
            <w:r>
              <w:rPr>
                <w:color w:val="1C3A36"/>
                <w:sz w:val="18"/>
              </w:rPr>
              <w:t>309</w:t>
            </w:r>
          </w:p>
        </w:tc>
      </w:tr>
      <w:tr>
        <w:tc>
          <w:tcPr>
            <w:tcW w:type="dxa" w:w="6768"/>
          </w:tcPr>
          <w:p>
            <w:pPr>
              <w:spacing w:after="20"/>
            </w:pPr>
            <w:r>
              <w:rPr>
                <w:color w:val="1C3A36"/>
                <w:sz w:val="18"/>
              </w:rPr>
              <w:t>Working capital acquired</w:t>
            </w:r>
          </w:p>
        </w:tc>
        <w:tc>
          <w:tcPr>
            <w:tcW w:type="dxa" w:w="2880"/>
          </w:tcPr>
          <w:p>
            <w:pPr>
              <w:spacing w:after="20"/>
              <w:jc w:val="right"/>
            </w:pPr>
            <w:r>
              <w:rPr>
                <w:color w:val="1C3A36"/>
                <w:sz w:val="18"/>
              </w:rPr>
              <w:t>41</w:t>
            </w:r>
          </w:p>
        </w:tc>
      </w:tr>
      <w:tr>
        <w:tc>
          <w:tcPr>
            <w:tcW w:type="dxa" w:w="6768"/>
          </w:tcPr>
          <w:p>
            <w:pPr>
              <w:spacing w:after="20"/>
            </w:pPr>
            <w:r>
              <w:rPr>
                <w:color w:val="1C3A36"/>
                <w:sz w:val="18"/>
              </w:rPr>
              <w:t>Cash acquired</w:t>
            </w:r>
          </w:p>
        </w:tc>
        <w:tc>
          <w:tcPr>
            <w:tcW w:type="dxa" w:w="2880"/>
          </w:tcPr>
          <w:p>
            <w:pPr>
              <w:spacing w:after="20"/>
              <w:jc w:val="right"/>
            </w:pPr>
            <w:r>
              <w:rPr>
                <w:color w:val="1C3A36"/>
                <w:sz w:val="18"/>
              </w:rPr>
              <w:t>43</w:t>
            </w:r>
          </w:p>
        </w:tc>
      </w:tr>
      <w:tr>
        <w:tc>
          <w:tcPr>
            <w:tcW w:type="dxa" w:w="6768"/>
          </w:tcPr>
          <w:p>
            <w:pPr>
              <w:spacing w:after="20"/>
            </w:pPr>
            <w:r>
              <w:rPr>
                <w:color w:val="1C3A36"/>
                <w:sz w:val="18"/>
              </w:rPr>
              <w:t>Borrowings and lease liabilities assumed</w:t>
            </w:r>
          </w:p>
        </w:tc>
        <w:tc>
          <w:tcPr>
            <w:tcW w:type="dxa" w:w="2880"/>
          </w:tcPr>
          <w:p>
            <w:pPr>
              <w:spacing w:after="20"/>
              <w:jc w:val="right"/>
            </w:pPr>
            <w:r>
              <w:rPr>
                <w:color w:val="1C3A36"/>
                <w:sz w:val="18"/>
              </w:rPr>
              <w:t>(180)</w:t>
            </w:r>
          </w:p>
        </w:tc>
      </w:tr>
      <w:tr>
        <w:tc>
          <w:tcPr>
            <w:tcW w:type="dxa" w:w="6768"/>
          </w:tcPr>
          <w:p>
            <w:pPr>
              <w:spacing w:after="20"/>
            </w:pPr>
            <w:r>
              <w:rPr>
                <w:color w:val="1C3A36"/>
                <w:sz w:val="18"/>
              </w:rPr>
              <w:t>Deferred tax, income tax and end-of-service benefits assumed</w:t>
            </w:r>
          </w:p>
        </w:tc>
        <w:tc>
          <w:tcPr>
            <w:tcW w:type="dxa" w:w="2880"/>
          </w:tcPr>
          <w:p>
            <w:pPr>
              <w:spacing w:after="20"/>
              <w:jc w:val="right"/>
            </w:pPr>
            <w:r>
              <w:rPr>
                <w:color w:val="1C3A36"/>
                <w:sz w:val="18"/>
              </w:rPr>
              <w:t>(15)</w:t>
            </w:r>
          </w:p>
        </w:tc>
      </w:tr>
      <w:tr>
        <w:tc>
          <w:tcPr>
            <w:tcW w:type="dxa" w:w="6768"/>
          </w:tcPr>
          <w:p>
            <w:pPr>
              <w:spacing w:after="20"/>
            </w:pPr>
            <w:r>
              <w:rPr>
                <w:color w:val="1C3A36"/>
                <w:sz w:val="18"/>
              </w:rPr>
              <w:t>Contingent consideration outstanding</w:t>
            </w:r>
          </w:p>
        </w:tc>
        <w:tc>
          <w:tcPr>
            <w:tcW w:type="dxa" w:w="2880"/>
          </w:tcPr>
          <w:p>
            <w:pPr>
              <w:spacing w:after="20"/>
              <w:jc w:val="right"/>
            </w:pPr>
            <w:r>
              <w:rPr>
                <w:color w:val="1C3A36"/>
                <w:sz w:val="18"/>
              </w:rPr>
              <w:t>(20)</w:t>
            </w:r>
          </w:p>
        </w:tc>
      </w:tr>
      <w:tr>
        <w:tc>
          <w:tcPr>
            <w:tcW w:type="dxa" w:w="6768"/>
          </w:tcPr>
          <w:p>
            <w:pPr>
              <w:spacing w:after="20"/>
            </w:pPr>
            <w:r>
              <w:rPr>
                <w:color w:val="1C3A36"/>
                <w:sz w:val="18"/>
              </w:rPr>
              <w:t>Minority interests recognised</w:t>
            </w:r>
          </w:p>
        </w:tc>
        <w:tc>
          <w:tcPr>
            <w:tcW w:type="dxa" w:w="2880"/>
          </w:tcPr>
          <w:p>
            <w:pPr>
              <w:spacing w:after="20"/>
              <w:jc w:val="right"/>
            </w:pPr>
            <w:r>
              <w:rPr>
                <w:color w:val="1C3A36"/>
                <w:sz w:val="18"/>
              </w:rPr>
              <w:t>(50)</w:t>
            </w:r>
          </w:p>
        </w:tc>
      </w:tr>
      <w:tr>
        <w:tc>
          <w:tcPr>
            <w:tcW w:type="dxa" w:w="6768"/>
          </w:tcPr>
          <w:p>
            <w:pPr>
              <w:spacing w:after="20"/>
            </w:pPr>
            <w:r>
              <w:rPr>
                <w:color w:val="1C3A36"/>
                <w:sz w:val="18"/>
              </w:rPr>
              <w:t>The 2025 advance, released against consideration</w:t>
            </w:r>
          </w:p>
        </w:tc>
        <w:tc>
          <w:tcPr>
            <w:tcW w:type="dxa" w:w="2880"/>
          </w:tcPr>
          <w:p>
            <w:pPr>
              <w:spacing w:after="20"/>
              <w:jc w:val="right"/>
            </w:pPr>
            <w:r>
              <w:rPr>
                <w:color w:val="1C3A36"/>
                <w:sz w:val="18"/>
              </w:rPr>
              <w:t>(91)</w:t>
            </w:r>
          </w:p>
        </w:tc>
      </w:tr>
      <w:tr>
        <w:tc>
          <w:tcPr>
            <w:tcW w:type="dxa" w:w="6768"/>
          </w:tcPr>
          <w:p>
            <w:pPr>
              <w:spacing w:after="20"/>
            </w:pPr>
            <w:r>
              <w:rPr>
                <w:color w:val="1C3A36"/>
                <w:sz w:val="18"/>
              </w:rPr>
              <w:t>Cash consideration paid in 2026, net of the amount received back</w:t>
            </w:r>
          </w:p>
        </w:tc>
        <w:tc>
          <w:tcPr>
            <w:tcW w:type="dxa" w:w="2880"/>
          </w:tcPr>
          <w:p>
            <w:pPr>
              <w:spacing w:after="20"/>
              <w:jc w:val="right"/>
            </w:pPr>
            <w:r>
              <w:rPr>
                <w:color w:val="1C3A36"/>
                <w:sz w:val="18"/>
              </w:rPr>
              <w:t>(38)</w:t>
            </w:r>
          </w:p>
        </w:tc>
      </w:tr>
      <w:tr>
        <w:tc>
          <w:tcPr>
            <w:tcW w:type="dxa" w:w="6768"/>
            <w:shd w:val="clear" w:color="auto" w:fill="F6F1E6"/>
          </w:tcPr>
          <w:p>
            <w:pPr>
              <w:spacing w:after="20"/>
            </w:pPr>
            <w:r>
              <w:rPr>
                <w:b/>
                <w:color w:val="1C3A36"/>
                <w:sz w:val="18"/>
              </w:rPr>
              <w:t>Net effect on equity attributable to owners</w:t>
            </w:r>
          </w:p>
        </w:tc>
        <w:tc>
          <w:tcPr>
            <w:tcW w:type="dxa" w:w="2880"/>
            <w:shd w:val="clear" w:color="auto" w:fill="F6F1E6"/>
          </w:tcPr>
          <w:p>
            <w:pPr>
              <w:spacing w:after="20"/>
              <w:jc w:val="right"/>
            </w:pPr>
            <w:r>
              <w:rPr>
                <w:b/>
                <w:color w:val="1C3A36"/>
                <w:sz w:val="18"/>
              </w:rPr>
              <w:t>0</w:t>
            </w:r>
          </w:p>
        </w:tc>
      </w:tr>
    </w:tbl>
    <w:p>
      <w:pPr>
        <w:spacing w:after="40"/>
      </w:pPr>
    </w:p>
    <w:p>
      <w:pPr>
        <w:spacing w:after="80" w:before="0"/>
      </w:pPr>
      <w:r>
        <w:rPr>
          <w:b w:val="0"/>
          <w:i w:val="0"/>
          <w:color w:val="1C3A36"/>
          <w:sz w:val="21"/>
        </w:rPr>
        <w:t>Two independent checks tie the entry to the face of the accounts: the goodwill it recognises equals the goodwill line on the 30 June 2026 balance sheet, which was nil six months earlier, and the minority interests it recognises equal the corresponding line in the statement of changes in equity.</w:t>
      </w:r>
    </w:p>
    <w:p>
      <w:pPr>
        <w:spacing w:after="60" w:before="0"/>
      </w:pPr>
      <w:r>
        <w:rPr>
          <w:b/>
          <w:i w:val="0"/>
          <w:color w:val="1C3A36"/>
          <w:sz w:val="21"/>
        </w:rPr>
        <w:t>Working capital is set on the only balance sheet that includes what was bought.</w:t>
      </w:r>
    </w:p>
    <w:p>
      <w:pPr>
        <w:spacing w:after="80" w:before="0"/>
      </w:pPr>
      <w:r>
        <w:rPr>
          <w:b w:val="0"/>
          <w:i w:val="0"/>
          <w:color w:val="1C3A36"/>
          <w:sz w:val="21"/>
        </w:rPr>
        <w:t>An earlier edition projected working capital at the average of the three audited years, 5.91% of revenue, and applied it to a revenue line that consolidates two businesses none of those three year ends contained. The ratio now comes off the 30 June 2026 balance sheet, the only one that consolidates them: working capital of USD 443 million on annualised first-half revenue, or 9.01%. Of that, USD 41 million came with the acquisitions, leaving 8.17% organic — so the acquisitions explain part of the increase and the business explains the rest.</w:t>
      </w:r>
    </w:p>
    <w:p>
      <w:pPr>
        <w:spacing w:after="120" w:before="0"/>
      </w:pPr>
      <w:r>
        <w:rPr>
          <w:b w:val="0"/>
          <w:i w:val="0"/>
          <w:color w:val="1C3A36"/>
          <w:sz w:val="21"/>
        </w:rPr>
        <w:t>The obvious objection is that a mid-year balance sheet flatters or punishes the ratio seasonally. The company's own cash-flow statement answers it, and answers it against this study: over the first half of 2025 working capital RELEASED USD 154 million of cash, so this company runs BELOW its year end at mid-year rather than above it. Over the first half of 2026 it ABSORBED USD 173 million. The build is real, it is not seasonal, and raising the ratio to meet it lowers this valuation rather than raising it.</w:t>
      </w:r>
    </w:p>
    <w:p>
      <w:pPr>
        <w:spacing w:after="60" w:before="0"/>
      </w:pPr>
      <w:r>
        <w:rPr>
          <w:b/>
          <w:i w:val="0"/>
          <w:color w:val="1C3A36"/>
          <w:sz w:val="21"/>
        </w:rPr>
        <w:t>What the unit build decides, and what the guidance decides.</w:t>
      </w:r>
    </w:p>
    <w:p>
      <w:pPr>
        <w:spacing w:after="80" w:before="0"/>
      </w:pPr>
      <w:r>
        <w:rPr>
          <w:b w:val="0"/>
          <w:i w:val="0"/>
          <w:color w:val="1C3A36"/>
          <w:sz w:val="21"/>
        </w:rPr>
        <w:t>The company guides all three segments for 2026, and this study reconciles the unit build to all three rather than to the group total. That reconciliation is a real correction and its size is published here rather than absorbed silently, because it says how much of the FY2026 figure is the bottom-up build and how much is the company's own guidance.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664"/>
        <w:gridCol w:w="2736"/>
        <w:gridCol w:w="1728"/>
      </w:tblGrid>
      <w:tr>
        <w:tc>
          <w:tcPr>
            <w:tcW w:type="dxa" w:w="2232"/>
            <w:shd w:val="clear" w:color="auto" w:fill="EAF0EE"/>
          </w:tcPr>
          <w:p>
            <w:pPr>
              <w:spacing w:after="20"/>
            </w:pPr>
            <w:r>
              <w:rPr>
                <w:b/>
                <w:color w:val="1C3A36"/>
                <w:sz w:val="17"/>
              </w:rPr>
              <w:t>FY2026, conventional revenue only</w:t>
            </w:r>
          </w:p>
        </w:tc>
        <w:tc>
          <w:tcPr>
            <w:tcW w:type="dxa" w:w="2664"/>
            <w:shd w:val="clear" w:color="auto" w:fill="EAF0EE"/>
          </w:tcPr>
          <w:p>
            <w:pPr>
              <w:spacing w:after="20"/>
            </w:pPr>
            <w:r>
              <w:rPr>
                <w:b/>
                <w:color w:val="1C3A36"/>
                <w:sz w:val="17"/>
              </w:rPr>
              <w:t>Unit build before reconciliation (USD mn)</w:t>
            </w:r>
          </w:p>
        </w:tc>
        <w:tc>
          <w:tcPr>
            <w:tcW w:type="dxa" w:w="2736"/>
            <w:shd w:val="clear" w:color="auto" w:fill="EAF0EE"/>
          </w:tcPr>
          <w:p>
            <w:pPr>
              <w:spacing w:after="20"/>
            </w:pPr>
            <w:r>
              <w:rPr>
                <w:b/>
                <w:color w:val="1C3A36"/>
                <w:sz w:val="17"/>
              </w:rPr>
              <w:t>Guided, less the contracted unconventional programme (USD mn)</w:t>
            </w:r>
          </w:p>
        </w:tc>
        <w:tc>
          <w:tcPr>
            <w:tcW w:type="dxa" w:w="1728"/>
            <w:shd w:val="clear" w:color="auto" w:fill="EAF0EE"/>
          </w:tcPr>
          <w:p>
            <w:pPr>
              <w:spacing w:after="20"/>
            </w:pPr>
            <w:r>
              <w:rPr>
                <w:b/>
                <w:color w:val="1C3A36"/>
                <w:sz w:val="17"/>
              </w:rPr>
              <w:t>Correction</w:t>
            </w:r>
          </w:p>
        </w:tc>
      </w:tr>
      <w:tr>
        <w:tc>
          <w:tcPr>
            <w:tcW w:type="dxa" w:w="2232"/>
          </w:tcPr>
          <w:p>
            <w:pPr>
              <w:spacing w:after="20"/>
            </w:pPr>
            <w:r>
              <w:rPr>
                <w:color w:val="1C3A36"/>
                <w:sz w:val="17"/>
              </w:rPr>
              <w:t>Onshore</w:t>
            </w:r>
          </w:p>
        </w:tc>
        <w:tc>
          <w:tcPr>
            <w:tcW w:type="dxa" w:w="2664"/>
          </w:tcPr>
          <w:p>
            <w:pPr>
              <w:spacing w:after="20"/>
              <w:jc w:val="right"/>
            </w:pPr>
            <w:r>
              <w:rPr>
                <w:color w:val="1C3A36"/>
                <w:sz w:val="17"/>
              </w:rPr>
              <w:t>2,120</w:t>
            </w:r>
          </w:p>
        </w:tc>
        <w:tc>
          <w:tcPr>
            <w:tcW w:type="dxa" w:w="2736"/>
          </w:tcPr>
          <w:p>
            <w:pPr>
              <w:spacing w:after="20"/>
              <w:jc w:val="right"/>
            </w:pPr>
            <w:r>
              <w:rPr>
                <w:color w:val="1C3A36"/>
                <w:sz w:val="17"/>
              </w:rPr>
              <w:t>1,909</w:t>
            </w:r>
          </w:p>
        </w:tc>
        <w:tc>
          <w:tcPr>
            <w:tcW w:type="dxa" w:w="1728"/>
          </w:tcPr>
          <w:p>
            <w:pPr>
              <w:spacing w:after="20"/>
              <w:jc w:val="right"/>
            </w:pPr>
            <w:r>
              <w:rPr>
                <w:color w:val="1C3A36"/>
                <w:sz w:val="17"/>
              </w:rPr>
              <w:t>-10.0%</w:t>
            </w:r>
          </w:p>
        </w:tc>
      </w:tr>
      <w:tr>
        <w:tc>
          <w:tcPr>
            <w:tcW w:type="dxa" w:w="2232"/>
          </w:tcPr>
          <w:p>
            <w:pPr>
              <w:spacing w:after="20"/>
            </w:pPr>
            <w:r>
              <w:rPr>
                <w:color w:val="1C3A36"/>
                <w:sz w:val="17"/>
              </w:rPr>
              <w:t>Offshore</w:t>
            </w:r>
          </w:p>
        </w:tc>
        <w:tc>
          <w:tcPr>
            <w:tcW w:type="dxa" w:w="2664"/>
          </w:tcPr>
          <w:p>
            <w:pPr>
              <w:spacing w:after="20"/>
              <w:jc w:val="right"/>
            </w:pPr>
            <w:r>
              <w:rPr>
                <w:color w:val="1C3A36"/>
                <w:sz w:val="17"/>
              </w:rPr>
              <w:t>1,463</w:t>
            </w:r>
          </w:p>
        </w:tc>
        <w:tc>
          <w:tcPr>
            <w:tcW w:type="dxa" w:w="2736"/>
          </w:tcPr>
          <w:p>
            <w:pPr>
              <w:spacing w:after="20"/>
              <w:jc w:val="right"/>
            </w:pPr>
            <w:r>
              <w:rPr>
                <w:color w:val="1C3A36"/>
                <w:sz w:val="17"/>
              </w:rPr>
              <w:t>1,500</w:t>
            </w:r>
          </w:p>
        </w:tc>
        <w:tc>
          <w:tcPr>
            <w:tcW w:type="dxa" w:w="1728"/>
          </w:tcPr>
          <w:p>
            <w:pPr>
              <w:spacing w:after="20"/>
              <w:jc w:val="right"/>
            </w:pPr>
            <w:r>
              <w:rPr>
                <w:color w:val="1C3A36"/>
                <w:sz w:val="17"/>
              </w:rPr>
              <w:t>+2.5%</w:t>
            </w:r>
          </w:p>
        </w:tc>
      </w:tr>
      <w:tr>
        <w:tc>
          <w:tcPr>
            <w:tcW w:type="dxa" w:w="2232"/>
          </w:tcPr>
          <w:p>
            <w:pPr>
              <w:spacing w:after="20"/>
            </w:pPr>
            <w:r>
              <w:rPr>
                <w:color w:val="1C3A36"/>
                <w:sz w:val="17"/>
              </w:rPr>
              <w:t>Oilfield Services</w:t>
            </w:r>
          </w:p>
        </w:tc>
        <w:tc>
          <w:tcPr>
            <w:tcW w:type="dxa" w:w="2664"/>
          </w:tcPr>
          <w:p>
            <w:pPr>
              <w:spacing w:after="20"/>
              <w:jc w:val="right"/>
            </w:pPr>
            <w:r>
              <w:rPr>
                <w:color w:val="1C3A36"/>
                <w:sz w:val="17"/>
              </w:rPr>
              <w:t>1,103</w:t>
            </w:r>
          </w:p>
        </w:tc>
        <w:tc>
          <w:tcPr>
            <w:tcW w:type="dxa" w:w="2736"/>
          </w:tcPr>
          <w:p>
            <w:pPr>
              <w:spacing w:after="20"/>
              <w:jc w:val="right"/>
            </w:pPr>
            <w:r>
              <w:rPr>
                <w:color w:val="1C3A36"/>
                <w:sz w:val="17"/>
              </w:rPr>
              <w:t>1,191</w:t>
            </w:r>
          </w:p>
        </w:tc>
        <w:tc>
          <w:tcPr>
            <w:tcW w:type="dxa" w:w="1728"/>
          </w:tcPr>
          <w:p>
            <w:pPr>
              <w:spacing w:after="20"/>
              <w:jc w:val="right"/>
            </w:pPr>
            <w:r>
              <w:rPr>
                <w:color w:val="1C3A36"/>
                <w:sz w:val="17"/>
              </w:rPr>
              <w:t>+8.0%</w:t>
            </w:r>
          </w:p>
        </w:tc>
      </w:tr>
      <w:tr>
        <w:tc>
          <w:tcPr>
            <w:tcW w:type="dxa" w:w="2232"/>
            <w:shd w:val="clear" w:color="auto" w:fill="F6F1E6"/>
          </w:tcPr>
          <w:p>
            <w:pPr>
              <w:spacing w:after="20"/>
            </w:pPr>
            <w:r>
              <w:rPr>
                <w:b/>
                <w:color w:val="1C3A36"/>
                <w:sz w:val="17"/>
              </w:rPr>
              <w:t>Group</w:t>
            </w:r>
          </w:p>
        </w:tc>
        <w:tc>
          <w:tcPr>
            <w:tcW w:type="dxa" w:w="2664"/>
            <w:shd w:val="clear" w:color="auto" w:fill="F6F1E6"/>
          </w:tcPr>
          <w:p>
            <w:pPr>
              <w:spacing w:after="20"/>
              <w:jc w:val="right"/>
            </w:pPr>
            <w:r>
              <w:rPr>
                <w:b/>
                <w:color w:val="1C3A36"/>
                <w:sz w:val="17"/>
              </w:rPr>
              <w:t>4,686</w:t>
            </w:r>
          </w:p>
        </w:tc>
        <w:tc>
          <w:tcPr>
            <w:tcW w:type="dxa" w:w="2736"/>
            <w:shd w:val="clear" w:color="auto" w:fill="F6F1E6"/>
          </w:tcPr>
          <w:p>
            <w:pPr>
              <w:spacing w:after="20"/>
              <w:jc w:val="right"/>
            </w:pPr>
            <w:r>
              <w:rPr>
                <w:b/>
                <w:color w:val="1C3A36"/>
                <w:sz w:val="17"/>
              </w:rPr>
              <w:t>4,600</w:t>
            </w:r>
          </w:p>
        </w:tc>
        <w:tc>
          <w:tcPr>
            <w:tcW w:type="dxa" w:w="1728"/>
            <w:shd w:val="clear" w:color="auto" w:fill="F6F1E6"/>
          </w:tcPr>
          <w:p>
            <w:pPr>
              <w:spacing w:after="20"/>
              <w:jc w:val="right"/>
            </w:pPr>
            <w:r>
              <w:rPr>
                <w:b/>
                <w:color w:val="1C3A36"/>
                <w:sz w:val="17"/>
              </w:rPr>
              <w:t>+1.9%</w:t>
            </w:r>
          </w:p>
        </w:tc>
      </w:tr>
    </w:tbl>
    <w:p>
      <w:pPr>
        <w:spacing w:after="40"/>
      </w:pPr>
    </w:p>
    <w:p>
      <w:pPr>
        <w:spacing w:after="80" w:before="0"/>
      </w:pPr>
      <w:r>
        <w:rPr>
          <w:b w:val="0"/>
          <w:i w:val="0"/>
          <w:color w:val="1C3A36"/>
          <w:sz w:val="21"/>
        </w:rPr>
        <w:t>The unconventional programme is contracted revenue on its own schedule and is not scaled by a unit-rate correction, so it is taken out of both columns above; the reconciliation is solved on the part of each segment the unit rates actually build.</w:t>
      </w:r>
    </w:p>
    <w:p>
      <w:pPr>
        <w:spacing w:after="80" w:before="0"/>
      </w:pPr>
      <w:r>
        <w:rPr>
          <w:b w:val="0"/>
          <w:i w:val="0"/>
          <w:color w:val="1C3A36"/>
          <w:sz w:val="21"/>
        </w:rPr>
        <w:t>The group total is close, and an earlier edition stopped there. The segments are not: the onshore build runs above the guidance and the oilfield-services build below it, and those two errors were cancelling. The correction is applied as a persistent level shift on each segment's unit rate rather than as a one-year plug, so it carries through every forecast year. The consequence for a reader is worth stating plainly: THE UNIT RATES SET THE GROWTH PATH, AND THE COMPANY'S GUIDANCE SETS THE FY2026 LEVEL. A change to any FY2025 unit rate moves 2027 onwards and leaves 2026 where the guidance put it.</w:t>
      </w:r>
    </w:p>
    <w:p>
      <w:pPr>
        <w:spacing w:after="80" w:before="0"/>
      </w:pPr>
      <w:r>
        <w:rPr>
          <w:b w:val="0"/>
          <w:i w:val="0"/>
          <w:color w:val="1C3A36"/>
          <w:sz w:val="21"/>
        </w:rPr>
        <w:t>The margin is NOT reconciled, and that is deliberate. The build produces an FY2026 EBITDA margin of 43.74% against guidance of 44.0% to 46.0% — below the guided range, by roughly USD 63 million of EBITDA. Scaling the cost stack to close that gap would move the weighted central figure by about six fils. It is not done, because the margin here is an OUTPUT of a cost stack built line by line from the company's own cost note, each line on its own volume driver and its own escalator. A margin that has been scaled to meet a guided margin is no longer evidence about anything. The gap is reported instead, and it is a reason to read the cost table below closely.</w:t>
      </w:r>
    </w:p>
    <w:p>
      <w:pPr>
        <w:spacing w:after="80" w:before="0"/>
      </w:pPr>
      <w:r>
        <w:rPr>
          <w:b w:val="0"/>
          <w:i w:val="0"/>
          <w:color w:val="1C3A36"/>
          <w:sz w:val="21"/>
        </w:rPr>
        <w:t>Costs are escalated one class at a time. A single blended inflation rate applied across physically different cost lines is the fastest way to manufacture a margin trend that is not there, so each line gets the escalator that belongs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2304"/>
        <w:gridCol w:w="1699"/>
        <w:gridCol w:w="2232"/>
        <w:gridCol w:w="1800"/>
      </w:tblGrid>
      <w:tr>
        <w:tc>
          <w:tcPr>
            <w:tcW w:type="dxa" w:w="2045"/>
            <w:shd w:val="clear" w:color="auto" w:fill="EAF0EE"/>
          </w:tcPr>
          <w:p>
            <w:pPr>
              <w:spacing w:after="20"/>
            </w:pPr>
            <w:r>
              <w:rPr>
                <w:b/>
                <w:color w:val="1C3A36"/>
                <w:sz w:val="18"/>
              </w:rPr>
              <w:t>Cost line</w:t>
            </w:r>
          </w:p>
        </w:tc>
        <w:tc>
          <w:tcPr>
            <w:tcW w:type="dxa" w:w="2304"/>
            <w:shd w:val="clear" w:color="auto" w:fill="EAF0EE"/>
          </w:tcPr>
          <w:p>
            <w:pPr>
              <w:spacing w:after="20"/>
            </w:pPr>
            <w:r>
              <w:rPr>
                <w:b/>
                <w:color w:val="1C3A36"/>
                <w:sz w:val="18"/>
              </w:rPr>
              <w:t>FY2025 conventional base (USD mn)</w:t>
            </w:r>
          </w:p>
        </w:tc>
        <w:tc>
          <w:tcPr>
            <w:tcW w:type="dxa" w:w="1699"/>
            <w:shd w:val="clear" w:color="auto" w:fill="EAF0EE"/>
          </w:tcPr>
          <w:p>
            <w:pPr>
              <w:spacing w:after="20"/>
            </w:pPr>
            <w:r>
              <w:rPr>
                <w:b/>
                <w:color w:val="1C3A36"/>
                <w:sz w:val="18"/>
              </w:rPr>
              <w:t>Volume driver</w:t>
            </w:r>
          </w:p>
        </w:tc>
        <w:tc>
          <w:tcPr>
            <w:tcW w:type="dxa" w:w="2232"/>
            <w:shd w:val="clear" w:color="auto" w:fill="EAF0EE"/>
          </w:tcPr>
          <w:p>
            <w:pPr>
              <w:spacing w:after="20"/>
            </w:pPr>
            <w:r>
              <w:rPr>
                <w:b/>
                <w:color w:val="1C3A36"/>
                <w:sz w:val="18"/>
              </w:rPr>
              <w:t>Escalator</w:t>
            </w:r>
          </w:p>
        </w:tc>
        <w:tc>
          <w:tcPr>
            <w:tcW w:type="dxa" w:w="1800"/>
            <w:shd w:val="clear" w:color="auto" w:fill="EAF0EE"/>
          </w:tcPr>
          <w:p>
            <w:pPr>
              <w:spacing w:after="20"/>
            </w:pPr>
            <w:r>
              <w:rPr>
                <w:b/>
                <w:color w:val="1C3A36"/>
                <w:sz w:val="18"/>
              </w:rPr>
              <w:t>Rate</w:t>
            </w:r>
          </w:p>
        </w:tc>
      </w:tr>
      <w:tr>
        <w:tc>
          <w:tcPr>
            <w:tcW w:type="dxa" w:w="2045"/>
          </w:tcPr>
          <w:p>
            <w:pPr>
              <w:spacing w:after="20"/>
            </w:pPr>
            <w:r>
              <w:rPr>
                <w:color w:val="1C3A36"/>
                <w:sz w:val="18"/>
              </w:rPr>
              <w:t>Repairs and maintenance</w:t>
            </w:r>
          </w:p>
        </w:tc>
        <w:tc>
          <w:tcPr>
            <w:tcW w:type="dxa" w:w="2304"/>
          </w:tcPr>
          <w:p>
            <w:pPr>
              <w:spacing w:after="20"/>
              <w:jc w:val="right"/>
            </w:pPr>
            <w:r>
              <w:rPr>
                <w:color w:val="1C3A36"/>
                <w:sz w:val="18"/>
              </w:rPr>
              <w:t>681</w:t>
            </w:r>
          </w:p>
        </w:tc>
        <w:tc>
          <w:tcPr>
            <w:tcW w:type="dxa" w:w="1699"/>
          </w:tcPr>
          <w:p>
            <w:pPr>
              <w:spacing w:after="20"/>
              <w:jc w:val="right"/>
            </w:pPr>
            <w:r>
              <w:rPr>
                <w:color w:val="1C3A36"/>
                <w:sz w:val="18"/>
              </w:rPr>
              <w:t>rig years</w:t>
            </w:r>
          </w:p>
        </w:tc>
        <w:tc>
          <w:tcPr>
            <w:tcW w:type="dxa" w:w="2232"/>
          </w:tcPr>
          <w:p>
            <w:pPr>
              <w:spacing w:after="20"/>
              <w:jc w:val="right"/>
            </w:pPr>
            <w:r>
              <w:rPr>
                <w:color w:val="1C3A36"/>
                <w:sz w:val="18"/>
              </w:rPr>
              <w:t>Oilfield-services cost index</w:t>
            </w:r>
          </w:p>
        </w:tc>
        <w:tc>
          <w:tcPr>
            <w:tcW w:type="dxa" w:w="1800"/>
          </w:tcPr>
          <w:p>
            <w:pPr>
              <w:spacing w:after="20"/>
              <w:jc w:val="right"/>
            </w:pPr>
            <w:r>
              <w:rPr>
                <w:color w:val="1C3A36"/>
                <w:sz w:val="18"/>
              </w:rPr>
              <w:t>1.5%</w:t>
            </w:r>
          </w:p>
        </w:tc>
      </w:tr>
      <w:tr>
        <w:tc>
          <w:tcPr>
            <w:tcW w:type="dxa" w:w="2045"/>
          </w:tcPr>
          <w:p>
            <w:pPr>
              <w:spacing w:after="20"/>
            </w:pPr>
            <w:r>
              <w:rPr>
                <w:color w:val="1C3A36"/>
                <w:sz w:val="18"/>
              </w:rPr>
              <w:t>Staff costs</w:t>
            </w:r>
          </w:p>
        </w:tc>
        <w:tc>
          <w:tcPr>
            <w:tcW w:type="dxa" w:w="2304"/>
          </w:tcPr>
          <w:p>
            <w:pPr>
              <w:spacing w:after="20"/>
              <w:jc w:val="right"/>
            </w:pPr>
            <w:r>
              <w:rPr>
                <w:color w:val="1C3A36"/>
                <w:sz w:val="18"/>
              </w:rPr>
              <w:t>604</w:t>
            </w:r>
          </w:p>
        </w:tc>
        <w:tc>
          <w:tcPr>
            <w:tcW w:type="dxa" w:w="1699"/>
          </w:tcPr>
          <w:p>
            <w:pPr>
              <w:spacing w:after="20"/>
              <w:jc w:val="right"/>
            </w:pPr>
            <w:r>
              <w:rPr>
                <w:color w:val="1C3A36"/>
                <w:sz w:val="18"/>
              </w:rPr>
              <w:t>rig years</w:t>
            </w:r>
          </w:p>
        </w:tc>
        <w:tc>
          <w:tcPr>
            <w:tcW w:type="dxa" w:w="2232"/>
          </w:tcPr>
          <w:p>
            <w:pPr>
              <w:spacing w:after="20"/>
              <w:jc w:val="right"/>
            </w:pPr>
            <w:r>
              <w:rPr>
                <w:color w:val="1C3A36"/>
                <w:sz w:val="18"/>
              </w:rPr>
              <w:t>Domestic wage inflation</w:t>
            </w:r>
          </w:p>
        </w:tc>
        <w:tc>
          <w:tcPr>
            <w:tcW w:type="dxa" w:w="1800"/>
          </w:tcPr>
          <w:p>
            <w:pPr>
              <w:spacing w:after="20"/>
              <w:jc w:val="right"/>
            </w:pPr>
            <w:r>
              <w:rPr>
                <w:color w:val="1C3A36"/>
                <w:sz w:val="18"/>
              </w:rPr>
              <w:t>2.0%</w:t>
            </w:r>
          </w:p>
        </w:tc>
      </w:tr>
      <w:tr>
        <w:tc>
          <w:tcPr>
            <w:tcW w:type="dxa" w:w="2045"/>
          </w:tcPr>
          <w:p>
            <w:pPr>
              <w:spacing w:after="20"/>
            </w:pPr>
            <w:r>
              <w:rPr>
                <w:color w:val="1C3A36"/>
                <w:sz w:val="18"/>
              </w:rPr>
              <w:t>Hire of equipment</w:t>
            </w:r>
          </w:p>
        </w:tc>
        <w:tc>
          <w:tcPr>
            <w:tcW w:type="dxa" w:w="2304"/>
          </w:tcPr>
          <w:p>
            <w:pPr>
              <w:spacing w:after="20"/>
              <w:jc w:val="right"/>
            </w:pPr>
            <w:r>
              <w:rPr>
                <w:color w:val="1C3A36"/>
                <w:sz w:val="18"/>
              </w:rPr>
              <w:t>228</w:t>
            </w:r>
          </w:p>
        </w:tc>
        <w:tc>
          <w:tcPr>
            <w:tcW w:type="dxa" w:w="1699"/>
          </w:tcPr>
          <w:p>
            <w:pPr>
              <w:spacing w:after="20"/>
              <w:jc w:val="right"/>
            </w:pPr>
            <w:r>
              <w:rPr>
                <w:color w:val="1C3A36"/>
                <w:sz w:val="18"/>
              </w:rPr>
              <w:t>conv revenue</w:t>
            </w:r>
          </w:p>
        </w:tc>
        <w:tc>
          <w:tcPr>
            <w:tcW w:type="dxa" w:w="2232"/>
          </w:tcPr>
          <w:p>
            <w:pPr>
              <w:spacing w:after="20"/>
              <w:jc w:val="right"/>
            </w:pPr>
            <w:r>
              <w:rPr>
                <w:color w:val="1C3A36"/>
                <w:sz w:val="18"/>
              </w:rPr>
              <w:t>Oilfield-services cost index</w:t>
            </w:r>
          </w:p>
        </w:tc>
        <w:tc>
          <w:tcPr>
            <w:tcW w:type="dxa" w:w="1800"/>
          </w:tcPr>
          <w:p>
            <w:pPr>
              <w:spacing w:after="20"/>
              <w:jc w:val="right"/>
            </w:pPr>
            <w:r>
              <w:rPr>
                <w:color w:val="1C3A36"/>
                <w:sz w:val="18"/>
              </w:rPr>
              <w:t>1.5%</w:t>
            </w:r>
          </w:p>
        </w:tc>
      </w:tr>
      <w:tr>
        <w:tc>
          <w:tcPr>
            <w:tcW w:type="dxa" w:w="2045"/>
          </w:tcPr>
          <w:p>
            <w:pPr>
              <w:spacing w:after="20"/>
            </w:pPr>
            <w:r>
              <w:rPr>
                <w:color w:val="1C3A36"/>
                <w:sz w:val="18"/>
              </w:rPr>
              <w:t>Chemicals</w:t>
            </w:r>
          </w:p>
        </w:tc>
        <w:tc>
          <w:tcPr>
            <w:tcW w:type="dxa" w:w="2304"/>
          </w:tcPr>
          <w:p>
            <w:pPr>
              <w:spacing w:after="20"/>
              <w:jc w:val="right"/>
            </w:pPr>
            <w:r>
              <w:rPr>
                <w:color w:val="1C3A36"/>
                <w:sz w:val="18"/>
              </w:rPr>
              <w:t>192</w:t>
            </w:r>
          </w:p>
        </w:tc>
        <w:tc>
          <w:tcPr>
            <w:tcW w:type="dxa" w:w="1699"/>
          </w:tcPr>
          <w:p>
            <w:pPr>
              <w:spacing w:after="20"/>
              <w:jc w:val="right"/>
            </w:pPr>
            <w:r>
              <w:rPr>
                <w:color w:val="1C3A36"/>
                <w:sz w:val="18"/>
              </w:rPr>
              <w:t>wells</w:t>
            </w:r>
          </w:p>
        </w:tc>
        <w:tc>
          <w:tcPr>
            <w:tcW w:type="dxa" w:w="2232"/>
          </w:tcPr>
          <w:p>
            <w:pPr>
              <w:spacing w:after="20"/>
              <w:jc w:val="right"/>
            </w:pPr>
            <w:r>
              <w:rPr>
                <w:color w:val="1C3A36"/>
                <w:sz w:val="18"/>
              </w:rPr>
              <w:t>Oilfield-services cost index</w:t>
            </w:r>
          </w:p>
        </w:tc>
        <w:tc>
          <w:tcPr>
            <w:tcW w:type="dxa" w:w="1800"/>
          </w:tcPr>
          <w:p>
            <w:pPr>
              <w:spacing w:after="20"/>
              <w:jc w:val="right"/>
            </w:pPr>
            <w:r>
              <w:rPr>
                <w:color w:val="1C3A36"/>
                <w:sz w:val="18"/>
              </w:rPr>
              <w:t>1.5%</w:t>
            </w:r>
          </w:p>
        </w:tc>
      </w:tr>
      <w:tr>
        <w:tc>
          <w:tcPr>
            <w:tcW w:type="dxa" w:w="2045"/>
          </w:tcPr>
          <w:p>
            <w:pPr>
              <w:spacing w:after="20"/>
            </w:pPr>
            <w:r>
              <w:rPr>
                <w:color w:val="1C3A36"/>
                <w:sz w:val="18"/>
              </w:rPr>
              <w:t>Fuel and lubricants</w:t>
            </w:r>
          </w:p>
        </w:tc>
        <w:tc>
          <w:tcPr>
            <w:tcW w:type="dxa" w:w="2304"/>
          </w:tcPr>
          <w:p>
            <w:pPr>
              <w:spacing w:after="20"/>
              <w:jc w:val="right"/>
            </w:pPr>
            <w:r>
              <w:rPr>
                <w:color w:val="1C3A36"/>
                <w:sz w:val="18"/>
              </w:rPr>
              <w:t>128</w:t>
            </w:r>
          </w:p>
        </w:tc>
        <w:tc>
          <w:tcPr>
            <w:tcW w:type="dxa" w:w="1699"/>
          </w:tcPr>
          <w:p>
            <w:pPr>
              <w:spacing w:after="20"/>
              <w:jc w:val="right"/>
            </w:pPr>
            <w:r>
              <w:rPr>
                <w:color w:val="1C3A36"/>
                <w:sz w:val="18"/>
              </w:rPr>
              <w:t>rig years</w:t>
            </w:r>
          </w:p>
        </w:tc>
        <w:tc>
          <w:tcPr>
            <w:tcW w:type="dxa" w:w="2232"/>
          </w:tcPr>
          <w:p>
            <w:pPr>
              <w:spacing w:after="20"/>
              <w:jc w:val="right"/>
            </w:pPr>
            <w:r>
              <w:rPr>
                <w:color w:val="1C3A36"/>
                <w:sz w:val="18"/>
              </w:rPr>
              <w:t>Own commodity path</w:t>
            </w:r>
          </w:p>
        </w:tc>
        <w:tc>
          <w:tcPr>
            <w:tcW w:type="dxa" w:w="1800"/>
          </w:tcPr>
          <w:p>
            <w:pPr>
              <w:spacing w:after="20"/>
              <w:jc w:val="right"/>
            </w:pPr>
            <w:r>
              <w:rPr>
                <w:color w:val="1C3A36"/>
                <w:sz w:val="18"/>
              </w:rPr>
              <w:t>0.0% flat nominal</w:t>
            </w:r>
          </w:p>
        </w:tc>
      </w:tr>
      <w:tr>
        <w:tc>
          <w:tcPr>
            <w:tcW w:type="dxa" w:w="2045"/>
          </w:tcPr>
          <w:p>
            <w:pPr>
              <w:spacing w:after="20"/>
            </w:pPr>
            <w:r>
              <w:rPr>
                <w:color w:val="1C3A36"/>
                <w:sz w:val="18"/>
              </w:rPr>
              <w:t>Major maintenance</w:t>
            </w:r>
          </w:p>
        </w:tc>
        <w:tc>
          <w:tcPr>
            <w:tcW w:type="dxa" w:w="2304"/>
          </w:tcPr>
          <w:p>
            <w:pPr>
              <w:spacing w:after="20"/>
              <w:jc w:val="right"/>
            </w:pPr>
            <w:r>
              <w:rPr>
                <w:color w:val="1C3A36"/>
                <w:sz w:val="18"/>
              </w:rPr>
              <w:t>40</w:t>
            </w:r>
          </w:p>
        </w:tc>
        <w:tc>
          <w:tcPr>
            <w:tcW w:type="dxa" w:w="1699"/>
          </w:tcPr>
          <w:p>
            <w:pPr>
              <w:spacing w:after="20"/>
              <w:jc w:val="right"/>
            </w:pPr>
            <w:r>
              <w:rPr>
                <w:color w:val="1C3A36"/>
                <w:sz w:val="18"/>
              </w:rPr>
              <w:t>offshore rig years</w:t>
            </w:r>
          </w:p>
        </w:tc>
        <w:tc>
          <w:tcPr>
            <w:tcW w:type="dxa" w:w="2232"/>
          </w:tcPr>
          <w:p>
            <w:pPr>
              <w:spacing w:after="20"/>
              <w:jc w:val="right"/>
            </w:pPr>
            <w:r>
              <w:rPr>
                <w:color w:val="1C3A36"/>
                <w:sz w:val="18"/>
              </w:rPr>
              <w:t>Oilfield-services cost index</w:t>
            </w:r>
          </w:p>
        </w:tc>
        <w:tc>
          <w:tcPr>
            <w:tcW w:type="dxa" w:w="1800"/>
          </w:tcPr>
          <w:p>
            <w:pPr>
              <w:spacing w:after="20"/>
              <w:jc w:val="right"/>
            </w:pPr>
            <w:r>
              <w:rPr>
                <w:color w:val="1C3A36"/>
                <w:sz w:val="18"/>
              </w:rPr>
              <w:t>1.5%</w:t>
            </w:r>
          </w:p>
        </w:tc>
      </w:tr>
      <w:tr>
        <w:tc>
          <w:tcPr>
            <w:tcW w:type="dxa" w:w="2045"/>
          </w:tcPr>
          <w:p>
            <w:pPr>
              <w:spacing w:after="20"/>
            </w:pPr>
            <w:r>
              <w:rPr>
                <w:color w:val="1C3A36"/>
                <w:sz w:val="18"/>
              </w:rPr>
              <w:t>Other direct cost</w:t>
            </w:r>
          </w:p>
        </w:tc>
        <w:tc>
          <w:tcPr>
            <w:tcW w:type="dxa" w:w="2304"/>
          </w:tcPr>
          <w:p>
            <w:pPr>
              <w:spacing w:after="20"/>
              <w:jc w:val="right"/>
            </w:pPr>
            <w:r>
              <w:rPr>
                <w:color w:val="1C3A36"/>
                <w:sz w:val="18"/>
              </w:rPr>
              <w:t>93</w:t>
            </w:r>
          </w:p>
        </w:tc>
        <w:tc>
          <w:tcPr>
            <w:tcW w:type="dxa" w:w="1699"/>
          </w:tcPr>
          <w:p>
            <w:pPr>
              <w:spacing w:after="20"/>
              <w:jc w:val="right"/>
            </w:pPr>
            <w:r>
              <w:rPr>
                <w:color w:val="1C3A36"/>
                <w:sz w:val="18"/>
              </w:rPr>
              <w:t>conv revenue</w:t>
            </w:r>
          </w:p>
        </w:tc>
        <w:tc>
          <w:tcPr>
            <w:tcW w:type="dxa" w:w="2232"/>
          </w:tcPr>
          <w:p>
            <w:pPr>
              <w:spacing w:after="20"/>
              <w:jc w:val="right"/>
            </w:pPr>
            <w:r>
              <w:rPr>
                <w:color w:val="1C3A36"/>
                <w:sz w:val="18"/>
              </w:rPr>
              <w:t>Domestic inflation</w:t>
            </w:r>
          </w:p>
        </w:tc>
        <w:tc>
          <w:tcPr>
            <w:tcW w:type="dxa" w:w="1800"/>
          </w:tcPr>
          <w:p>
            <w:pPr>
              <w:spacing w:after="20"/>
              <w:jc w:val="right"/>
            </w:pPr>
            <w:r>
              <w:rPr>
                <w:color w:val="1C3A36"/>
                <w:sz w:val="18"/>
              </w:rPr>
              <w:t>1.5%</w:t>
            </w:r>
          </w:p>
        </w:tc>
      </w:tr>
    </w:tbl>
    <w:p>
      <w:pPr>
        <w:spacing w:after="40"/>
      </w:pPr>
    </w:p>
    <w:p>
      <w:pPr>
        <w:spacing w:after="120" w:before="0"/>
      </w:pPr>
      <w:r>
        <w:rPr>
          <w:b w:val="0"/>
          <w:i w:val="0"/>
          <w:color w:val="1C3A36"/>
          <w:sz w:val="21"/>
        </w:rPr>
        <w:t>Fuel is the line that most often gets this wrong. It is a globally traded input, so it is escalated on its own commodity path and not on a domestic price index: Brent closed at USD 88.90 on 3 August 2026 against a three-year average of USD 79.48, roughly 12% above the mean, so a flat nominal path already embeds real mean reversion. It also matters less than it looks: the company's onshore contracts carry an explicit fuel-escalation pass-through, and its own first-half commentary attributes part of the onshore revenue increase to exactly that mechanism, so the line is close to margin-neutral in either direction.</w:t>
      </w:r>
    </w:p>
    <w:p>
      <w:pPr>
        <w:spacing w:after="80" w:before="200"/>
      </w:pPr>
      <w:r>
        <w:rPr>
          <w:b/>
          <w:i w:val="0"/>
          <w:color w:val="1C3A36"/>
          <w:sz w:val="24"/>
        </w:rPr>
        <w:t>1.7 The crux</w:t>
      </w:r>
    </w:p>
    <w:p>
      <w:pPr>
        <w:spacing w:after="120" w:before="0"/>
      </w:pPr>
      <w:r>
        <w:rPr>
          <w:b w:val="0"/>
          <w:i w:val="0"/>
          <w:color w:val="1C3A36"/>
          <w:sz w:val="21"/>
        </w:rPr>
        <w:t>One question dominates this valuation, and it is not a financial one. Abu Dhabi has a stated objective of five million barrels a day of production capacity by 2027. ADNOC Drilling exists to deliver it. The fleet has grown from 115 rigs at the end of 2022 to 171 at the middle of 2026, the company has six more island rigs on order for delivery between 2026 and 2028, and it has bought its way into Oman, Kuwait and Bahrain. What happens after the target is met?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3528"/>
        <w:gridCol w:w="3528"/>
      </w:tblGrid>
      <w:tr>
        <w:tc>
          <w:tcPr>
            <w:tcW w:type="dxa" w:w="3024"/>
            <w:shd w:val="clear" w:color="auto" w:fill="EAF0EE"/>
          </w:tcPr>
          <w:p>
            <w:pPr>
              <w:spacing w:after="20"/>
            </w:pPr>
            <w:r>
              <w:rPr>
                <w:b/>
                <w:color w:val="1C3A36"/>
                <w:sz w:val="18"/>
              </w:rPr>
            </w:r>
          </w:p>
        </w:tc>
        <w:tc>
          <w:tcPr>
            <w:tcW w:type="dxa" w:w="3528"/>
            <w:shd w:val="clear" w:color="auto" w:fill="EAF0EE"/>
          </w:tcPr>
          <w:p>
            <w:pPr>
              <w:spacing w:after="20"/>
            </w:pPr>
            <w:r>
              <w:rPr>
                <w:b/>
                <w:color w:val="1C3A36"/>
                <w:sz w:val="18"/>
              </w:rPr>
              <w:t>Continued expansion</w:t>
            </w:r>
          </w:p>
        </w:tc>
        <w:tc>
          <w:tcPr>
            <w:tcW w:type="dxa" w:w="3528"/>
            <w:shd w:val="clear" w:color="auto" w:fill="EAF0EE"/>
          </w:tcPr>
          <w:p>
            <w:pPr>
              <w:spacing w:after="20"/>
            </w:pPr>
            <w:r>
              <w:rPr>
                <w:b/>
                <w:color w:val="1C3A36"/>
                <w:sz w:val="18"/>
              </w:rPr>
              <w:t>Capacity plateau</w:t>
            </w:r>
          </w:p>
        </w:tc>
      </w:tr>
      <w:tr>
        <w:tc>
          <w:tcPr>
            <w:tcW w:type="dxa" w:w="3024"/>
          </w:tcPr>
          <w:p>
            <w:pPr>
              <w:spacing w:after="20"/>
            </w:pPr>
            <w:r>
              <w:rPr>
                <w:color w:val="1C3A36"/>
                <w:sz w:val="18"/>
              </w:rPr>
              <w:t>The premise</w:t>
            </w:r>
          </w:p>
        </w:tc>
        <w:tc>
          <w:tcPr>
            <w:tcW w:type="dxa" w:w="3528"/>
          </w:tcPr>
          <w:p>
            <w:pPr>
              <w:spacing w:after="20"/>
              <w:jc w:val="right"/>
            </w:pPr>
            <w:r>
              <w:rPr>
                <w:color w:val="1C3A36"/>
                <w:sz w:val="18"/>
              </w:rPr>
              <w:t>Regional expansion, integrated services and automation keep the fleet and the services book growing after 2027; unconventional Phase 1 is followed by more work</w:t>
            </w:r>
          </w:p>
        </w:tc>
        <w:tc>
          <w:tcPr>
            <w:tcW w:type="dxa" w:w="3528"/>
          </w:tcPr>
          <w:p>
            <w:pPr>
              <w:spacing w:after="20"/>
              <w:jc w:val="right"/>
            </w:pPr>
            <w:r>
              <w:rPr>
                <w:color w:val="1C3A36"/>
                <w:sz w:val="18"/>
              </w:rPr>
              <w:t>The domestic fleet stops growing once the capacity target is met; the ordered island rigs still arrive because they are paid for, but nothing follows them</w:t>
            </w:r>
          </w:p>
        </w:tc>
      </w:tr>
      <w:tr>
        <w:tc>
          <w:tcPr>
            <w:tcW w:type="dxa" w:w="3024"/>
          </w:tcPr>
          <w:p>
            <w:pPr>
              <w:spacing w:after="20"/>
            </w:pPr>
            <w:r>
              <w:rPr>
                <w:color w:val="1C3A36"/>
                <w:sz w:val="18"/>
              </w:rPr>
              <w:t>Abu Dhabi onshore rigs by 2030</w:t>
            </w:r>
          </w:p>
        </w:tc>
        <w:tc>
          <w:tcPr>
            <w:tcW w:type="dxa" w:w="3528"/>
          </w:tcPr>
          <w:p>
            <w:pPr>
              <w:spacing w:after="20"/>
              <w:jc w:val="right"/>
            </w:pPr>
            <w:r>
              <w:rPr>
                <w:color w:val="1C3A36"/>
                <w:sz w:val="18"/>
              </w:rPr>
              <w:t>100</w:t>
            </w:r>
          </w:p>
        </w:tc>
        <w:tc>
          <w:tcPr>
            <w:tcW w:type="dxa" w:w="3528"/>
          </w:tcPr>
          <w:p>
            <w:pPr>
              <w:spacing w:after="20"/>
              <w:jc w:val="right"/>
            </w:pPr>
            <w:r>
              <w:rPr>
                <w:color w:val="1C3A36"/>
                <w:sz w:val="18"/>
              </w:rPr>
              <w:t>92</w:t>
            </w:r>
          </w:p>
        </w:tc>
      </w:tr>
      <w:tr>
        <w:tc>
          <w:tcPr>
            <w:tcW w:type="dxa" w:w="3024"/>
          </w:tcPr>
          <w:p>
            <w:pPr>
              <w:spacing w:after="20"/>
            </w:pPr>
            <w:r>
              <w:rPr>
                <w:color w:val="1C3A36"/>
                <w:sz w:val="18"/>
              </w:rPr>
              <w:t>Regional rigs by 2030</w:t>
            </w:r>
          </w:p>
        </w:tc>
        <w:tc>
          <w:tcPr>
            <w:tcW w:type="dxa" w:w="3528"/>
          </w:tcPr>
          <w:p>
            <w:pPr>
              <w:spacing w:after="20"/>
              <w:jc w:val="right"/>
            </w:pPr>
            <w:r>
              <w:rPr>
                <w:color w:val="1C3A36"/>
                <w:sz w:val="18"/>
              </w:rPr>
              <w:t>38</w:t>
            </w:r>
          </w:p>
        </w:tc>
        <w:tc>
          <w:tcPr>
            <w:tcW w:type="dxa" w:w="3528"/>
          </w:tcPr>
          <w:p>
            <w:pPr>
              <w:spacing w:after="20"/>
              <w:jc w:val="right"/>
            </w:pPr>
            <w:r>
              <w:rPr>
                <w:color w:val="1C3A36"/>
                <w:sz w:val="18"/>
              </w:rPr>
              <w:t>30</w:t>
            </w:r>
          </w:p>
        </w:tc>
      </w:tr>
      <w:tr>
        <w:tc>
          <w:tcPr>
            <w:tcW w:type="dxa" w:w="3024"/>
          </w:tcPr>
          <w:p>
            <w:pPr>
              <w:spacing w:after="20"/>
            </w:pPr>
            <w:r>
              <w:rPr>
                <w:color w:val="1C3A36"/>
                <w:sz w:val="18"/>
              </w:rPr>
              <w:t>Integrated-services rigs by 2030</w:t>
            </w:r>
          </w:p>
        </w:tc>
        <w:tc>
          <w:tcPr>
            <w:tcW w:type="dxa" w:w="3528"/>
          </w:tcPr>
          <w:p>
            <w:pPr>
              <w:spacing w:after="20"/>
              <w:jc w:val="right"/>
            </w:pPr>
            <w:r>
              <w:rPr>
                <w:color w:val="1C3A36"/>
                <w:sz w:val="18"/>
              </w:rPr>
              <w:t>82</w:t>
            </w:r>
          </w:p>
        </w:tc>
        <w:tc>
          <w:tcPr>
            <w:tcW w:type="dxa" w:w="3528"/>
          </w:tcPr>
          <w:p>
            <w:pPr>
              <w:spacing w:after="20"/>
              <w:jc w:val="right"/>
            </w:pPr>
            <w:r>
              <w:rPr>
                <w:color w:val="1C3A36"/>
                <w:sz w:val="18"/>
              </w:rPr>
              <w:t>72</w:t>
            </w:r>
          </w:p>
        </w:tc>
      </w:tr>
      <w:tr>
        <w:tc>
          <w:tcPr>
            <w:tcW w:type="dxa" w:w="3024"/>
          </w:tcPr>
          <w:p>
            <w:pPr>
              <w:spacing w:after="20"/>
            </w:pPr>
            <w:r>
              <w:rPr>
                <w:color w:val="1C3A36"/>
                <w:sz w:val="18"/>
              </w:rPr>
              <w:t>Unconventional revenue in 2030 (USD mn)</w:t>
            </w:r>
          </w:p>
        </w:tc>
        <w:tc>
          <w:tcPr>
            <w:tcW w:type="dxa" w:w="3528"/>
          </w:tcPr>
          <w:p>
            <w:pPr>
              <w:spacing w:after="20"/>
              <w:jc w:val="right"/>
            </w:pPr>
            <w:r>
              <w:rPr>
                <w:color w:val="1C3A36"/>
                <w:sz w:val="18"/>
              </w:rPr>
              <w:t>200</w:t>
            </w:r>
          </w:p>
        </w:tc>
        <w:tc>
          <w:tcPr>
            <w:tcW w:type="dxa" w:w="3528"/>
          </w:tcPr>
          <w:p>
            <w:pPr>
              <w:spacing w:after="20"/>
              <w:jc w:val="right"/>
            </w:pPr>
            <w:r>
              <w:rPr>
                <w:color w:val="1C3A36"/>
                <w:sz w:val="18"/>
              </w:rPr>
              <w:t>0</w:t>
            </w:r>
          </w:p>
        </w:tc>
      </w:tr>
      <w:tr>
        <w:tc>
          <w:tcPr>
            <w:tcW w:type="dxa" w:w="3024"/>
          </w:tcPr>
          <w:p>
            <w:pPr>
              <w:spacing w:after="20"/>
            </w:pPr>
            <w:r>
              <w:rPr>
                <w:color w:val="1C3A36"/>
                <w:sz w:val="18"/>
              </w:rPr>
              <w:t>FY2030 revenue (USD mn)</w:t>
            </w:r>
          </w:p>
        </w:tc>
        <w:tc>
          <w:tcPr>
            <w:tcW w:type="dxa" w:w="3528"/>
          </w:tcPr>
          <w:p>
            <w:pPr>
              <w:spacing w:after="20"/>
              <w:jc w:val="right"/>
            </w:pPr>
            <w:r>
              <w:rPr>
                <w:color w:val="1C3A36"/>
                <w:sz w:val="18"/>
              </w:rPr>
              <w:t>5,962</w:t>
            </w:r>
          </w:p>
        </w:tc>
        <w:tc>
          <w:tcPr>
            <w:tcW w:type="dxa" w:w="3528"/>
          </w:tcPr>
          <w:p>
            <w:pPr>
              <w:spacing w:after="20"/>
              <w:jc w:val="right"/>
            </w:pPr>
            <w:r>
              <w:rPr>
                <w:color w:val="1C3A36"/>
                <w:sz w:val="18"/>
              </w:rPr>
              <w:t>5,371</w:t>
            </w:r>
          </w:p>
        </w:tc>
      </w:tr>
      <w:tr>
        <w:tc>
          <w:tcPr>
            <w:tcW w:type="dxa" w:w="3024"/>
          </w:tcPr>
          <w:p>
            <w:pPr>
              <w:spacing w:after="20"/>
            </w:pPr>
            <w:r>
              <w:rPr>
                <w:color w:val="1C3A36"/>
                <w:sz w:val="18"/>
              </w:rPr>
              <w:t>Terminal growth rate</w:t>
            </w:r>
          </w:p>
        </w:tc>
        <w:tc>
          <w:tcPr>
            <w:tcW w:type="dxa" w:w="3528"/>
          </w:tcPr>
          <w:p>
            <w:pPr>
              <w:spacing w:after="20"/>
              <w:jc w:val="right"/>
            </w:pPr>
            <w:r>
              <w:rPr>
                <w:color w:val="1C3A36"/>
                <w:sz w:val="18"/>
              </w:rPr>
              <w:t>2.5%</w:t>
            </w:r>
          </w:p>
        </w:tc>
        <w:tc>
          <w:tcPr>
            <w:tcW w:type="dxa" w:w="3528"/>
          </w:tcPr>
          <w:p>
            <w:pPr>
              <w:spacing w:after="20"/>
              <w:jc w:val="right"/>
            </w:pPr>
            <w:r>
              <w:rPr>
                <w:color w:val="1C3A36"/>
                <w:sz w:val="18"/>
              </w:rPr>
              <w:t>1.5%</w:t>
            </w:r>
          </w:p>
        </w:tc>
      </w:tr>
      <w:tr>
        <w:tc>
          <w:tcPr>
            <w:tcW w:type="dxa" w:w="3024"/>
          </w:tcPr>
          <w:p>
            <w:pPr>
              <w:spacing w:after="20"/>
            </w:pPr>
            <w:r>
              <w:rPr>
                <w:color w:val="1C3A36"/>
                <w:sz w:val="18"/>
              </w:rPr>
              <w:t>Enterprise value (USD mn)</w:t>
            </w:r>
          </w:p>
        </w:tc>
        <w:tc>
          <w:tcPr>
            <w:tcW w:type="dxa" w:w="3528"/>
          </w:tcPr>
          <w:p>
            <w:pPr>
              <w:spacing w:after="20"/>
              <w:jc w:val="right"/>
            </w:pPr>
            <w:r>
              <w:rPr>
                <w:color w:val="1C3A36"/>
                <w:sz w:val="18"/>
              </w:rPr>
              <w:t>28,607</w:t>
            </w:r>
          </w:p>
        </w:tc>
        <w:tc>
          <w:tcPr>
            <w:tcW w:type="dxa" w:w="3528"/>
          </w:tcPr>
          <w:p>
            <w:pPr>
              <w:spacing w:after="20"/>
              <w:jc w:val="right"/>
            </w:pPr>
            <w:r>
              <w:rPr>
                <w:color w:val="1C3A36"/>
                <w:sz w:val="18"/>
              </w:rPr>
              <w:t>25,094</w:t>
            </w:r>
          </w:p>
        </w:tc>
      </w:tr>
      <w:tr>
        <w:tc>
          <w:tcPr>
            <w:tcW w:type="dxa" w:w="3024"/>
            <w:shd w:val="clear" w:color="auto" w:fill="F6F1E6"/>
          </w:tcPr>
          <w:p>
            <w:pPr>
              <w:spacing w:after="20"/>
            </w:pPr>
            <w:r>
              <w:rPr>
                <w:b/>
                <w:color w:val="1C3A36"/>
                <w:sz w:val="18"/>
              </w:rPr>
              <w:t>Value per share (AED)</w:t>
            </w:r>
          </w:p>
        </w:tc>
        <w:tc>
          <w:tcPr>
            <w:tcW w:type="dxa" w:w="3528"/>
            <w:shd w:val="clear" w:color="auto" w:fill="F6F1E6"/>
          </w:tcPr>
          <w:p>
            <w:pPr>
              <w:spacing w:after="20"/>
              <w:jc w:val="right"/>
            </w:pPr>
            <w:r>
              <w:rPr>
                <w:b/>
                <w:color w:val="1C3A36"/>
                <w:sz w:val="18"/>
              </w:rPr>
              <w:t>6.22</w:t>
            </w:r>
          </w:p>
        </w:tc>
        <w:tc>
          <w:tcPr>
            <w:tcW w:type="dxa" w:w="3528"/>
            <w:shd w:val="clear" w:color="auto" w:fill="F6F1E6"/>
          </w:tcPr>
          <w:p>
            <w:pPr>
              <w:spacing w:after="20"/>
              <w:jc w:val="right"/>
            </w:pPr>
            <w:r>
              <w:rPr>
                <w:b/>
                <w:color w:val="1C3A36"/>
                <w:sz w:val="18"/>
              </w:rPr>
              <w:t>5.40</w:t>
            </w:r>
          </w:p>
        </w:tc>
      </w:tr>
    </w:tbl>
    <w:p>
      <w:pPr>
        <w:spacing w:after="40"/>
      </w:pPr>
    </w:p>
    <w:p>
      <w:pPr>
        <w:spacing w:after="120" w:before="0"/>
      </w:pPr>
      <w:r>
        <w:rPr>
          <w:b w:val="0"/>
          <w:i w:val="0"/>
          <w:color w:val="1C3A36"/>
          <w:sz w:val="21"/>
        </w:rPr>
        <w:t>The two cases are AED 0.81 apart — 14.0% of the current price. They are published side by side and are not averaged into one number. A reader who believes the programme continues should read the first column; a reader who thinks 2027 is the peak should read the second. The market price sits between them, closer to the first.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One finding materially narrows this. </w:t>
            </w:r>
            <w:r>
              <w:rPr>
                <w:color w:val="1C3A36"/>
                <w:sz w:val="19"/>
              </w:rPr>
              <w:t>The unconventional programme looks like the obvious thing to worry about — USD 692 million of 2025 revenue on a contract with roughly USD 0.86 billion left at the year end and no announced successor. It is not, because it barely earns anything. Applying the company's own disclosed conventional EBITDA margin of 51% to conventional revenue leaves about 7.3% of margin on the unconventional book; the year-on-year incremental bridge gives 5.8%. Both methods are shown in the workbook and averaged there to 6.6%. So the runoff of a USD 692 million revenue line removes roughly USD 45 million of EBITDA, not USD 350 million. The crux is the conventional fleet, not the shale contract.</w:t>
            </w:r>
          </w:p>
        </w:tc>
      </w:tr>
    </w:tbl>
    <w:p>
      <w:pPr>
        <w:spacing w:after="40"/>
      </w:pPr>
    </w:p>
    <w:p>
      <w:r>
        <w:br w:type="page"/>
      </w:r>
    </w:p>
    <w:p>
      <w:pPr>
        <w:spacing w:after="80" w:before="200"/>
      </w:pPr>
      <w:r>
        <w:rPr>
          <w:b/>
          <w:i w:val="0"/>
          <w:color w:val="1C3A36"/>
          <w:sz w:val="24"/>
        </w:rPr>
        <w:t>1.8 Macro and country — the cost of capital, built</w:t>
      </w:r>
    </w:p>
    <w:p>
      <w:pPr>
        <w:spacing w:after="80" w:before="0"/>
      </w:pPr>
      <w:r>
        <w:rPr>
          <w:b w:val="0"/>
          <w:i w:val="0"/>
          <w:color w:val="1C3A36"/>
          <w:sz w:val="21"/>
        </w:rPr>
        <w:t>The cash flows are in US dollars, so the discount rate is built in dollars. Country risk enters ONCE, through the Abu Dhabi country risk premium already inside the equity risk premium; the risk-free rate is therefore the US Treasury yield normalised by the United States' own default spread rather than a local yield that would carry sovereign risk a second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84"/>
        <w:gridCol w:w="1584"/>
        <w:gridCol w:w="3240"/>
      </w:tblGrid>
      <w:tr>
        <w:tc>
          <w:tcPr>
            <w:tcW w:type="dxa" w:w="3672"/>
            <w:shd w:val="clear" w:color="auto" w:fill="EAF0EE"/>
          </w:tcPr>
          <w:p>
            <w:pPr>
              <w:spacing w:after="20"/>
            </w:pPr>
            <w:r>
              <w:rPr>
                <w:b/>
                <w:color w:val="1C3A36"/>
                <w:sz w:val="18"/>
              </w:rPr>
            </w:r>
          </w:p>
        </w:tc>
        <w:tc>
          <w:tcPr>
            <w:tcW w:type="dxa" w:w="1584"/>
            <w:shd w:val="clear" w:color="auto" w:fill="EAF0EE"/>
          </w:tcPr>
          <w:p>
            <w:pPr>
              <w:spacing w:after="20"/>
            </w:pPr>
            <w:r>
              <w:rPr>
                <w:b/>
                <w:color w:val="1C3A36"/>
                <w:sz w:val="18"/>
              </w:rPr>
              <w:t>Rating basis</w:t>
            </w:r>
          </w:p>
        </w:tc>
        <w:tc>
          <w:tcPr>
            <w:tcW w:type="dxa" w:w="1584"/>
            <w:shd w:val="clear" w:color="auto" w:fill="EAF0EE"/>
          </w:tcPr>
          <w:p>
            <w:pPr>
              <w:spacing w:after="20"/>
            </w:pPr>
            <w:r>
              <w:rPr>
                <w:b/>
                <w:color w:val="1C3A36"/>
                <w:sz w:val="18"/>
              </w:rPr>
              <w:t>CDS basis</w:t>
            </w:r>
          </w:p>
        </w:tc>
        <w:tc>
          <w:tcPr>
            <w:tcW w:type="dxa" w:w="3240"/>
            <w:shd w:val="clear" w:color="auto" w:fill="EAF0EE"/>
          </w:tcPr>
          <w:p>
            <w:pPr>
              <w:spacing w:after="20"/>
            </w:pPr>
            <w:r>
              <w:rPr>
                <w:b/>
                <w:color w:val="1C3A36"/>
                <w:sz w:val="18"/>
              </w:rPr>
              <w:t>Source</w:t>
            </w:r>
          </w:p>
        </w:tc>
      </w:tr>
      <w:tr>
        <w:tc>
          <w:tcPr>
            <w:tcW w:type="dxa" w:w="3672"/>
          </w:tcPr>
          <w:p>
            <w:pPr>
              <w:spacing w:after="20"/>
            </w:pPr>
            <w:r>
              <w:rPr>
                <w:color w:val="1C3A36"/>
                <w:sz w:val="18"/>
              </w:rPr>
              <w:t>US 10-year Treasury yield, 6 August 2026</w:t>
            </w:r>
          </w:p>
        </w:tc>
        <w:tc>
          <w:tcPr>
            <w:tcW w:type="dxa" w:w="1584"/>
          </w:tcPr>
          <w:p>
            <w:pPr>
              <w:spacing w:after="20"/>
              <w:jc w:val="right"/>
            </w:pPr>
            <w:r>
              <w:rPr>
                <w:color w:val="1C3A36"/>
                <w:sz w:val="18"/>
              </w:rPr>
              <w:t>4.69%</w:t>
            </w:r>
          </w:p>
        </w:tc>
        <w:tc>
          <w:tcPr>
            <w:tcW w:type="dxa" w:w="1584"/>
          </w:tcPr>
          <w:p>
            <w:pPr>
              <w:spacing w:after="20"/>
              <w:jc w:val="right"/>
            </w:pPr>
            <w:r>
              <w:rPr>
                <w:color w:val="1C3A36"/>
                <w:sz w:val="18"/>
              </w:rPr>
              <w:t>4.69%</w:t>
            </w:r>
          </w:p>
        </w:tc>
        <w:tc>
          <w:tcPr>
            <w:tcW w:type="dxa" w:w="3240"/>
          </w:tcPr>
          <w:p>
            <w:pPr>
              <w:spacing w:after="20"/>
              <w:jc w:val="right"/>
            </w:pPr>
            <w:r>
              <w:rPr>
                <w:color w:val="1C3A36"/>
                <w:sz w:val="18"/>
              </w:rPr>
              <w:t>Federal Reserve H.15</w:t>
            </w:r>
          </w:p>
        </w:tc>
      </w:tr>
      <w:tr>
        <w:tc>
          <w:tcPr>
            <w:tcW w:type="dxa" w:w="3672"/>
          </w:tcPr>
          <w:p>
            <w:pPr>
              <w:spacing w:after="20"/>
            </w:pPr>
            <w:r>
              <w:rPr>
                <w:color w:val="1C3A36"/>
                <w:sz w:val="18"/>
              </w:rPr>
              <w:t>less the US adjusted default spread</w:t>
            </w:r>
          </w:p>
        </w:tc>
        <w:tc>
          <w:tcPr>
            <w:tcW w:type="dxa" w:w="1584"/>
          </w:tcPr>
          <w:p>
            <w:pPr>
              <w:spacing w:after="20"/>
              <w:jc w:val="right"/>
            </w:pPr>
            <w:r>
              <w:rPr>
                <w:color w:val="1C3A36"/>
                <w:sz w:val="18"/>
              </w:rPr>
              <w:t>(0.23%)</w:t>
            </w:r>
          </w:p>
        </w:tc>
        <w:tc>
          <w:tcPr>
            <w:tcW w:type="dxa" w:w="1584"/>
          </w:tcPr>
          <w:p>
            <w:pPr>
              <w:spacing w:after="20"/>
              <w:jc w:val="right"/>
            </w:pPr>
            <w:r>
              <w:rPr>
                <w:color w:val="1C3A36"/>
                <w:sz w:val="18"/>
              </w:rPr>
              <w:t>(0.23%)</w:t>
            </w:r>
          </w:p>
        </w:tc>
        <w:tc>
          <w:tcPr>
            <w:tcW w:type="dxa" w:w="3240"/>
          </w:tcPr>
          <w:p>
            <w:pPr>
              <w:spacing w:after="20"/>
              <w:jc w:val="right"/>
            </w:pPr>
            <w:r>
              <w:rPr>
                <w:color w:val="1C3A36"/>
                <w:sz w:val="18"/>
              </w:rPr>
              <w:t>Damodaran country file, 5 January 2026</w:t>
            </w:r>
          </w:p>
        </w:tc>
      </w:tr>
      <w:tr>
        <w:tc>
          <w:tcPr>
            <w:tcW w:type="dxa" w:w="3672"/>
            <w:shd w:val="clear" w:color="auto" w:fill="F6F1E6"/>
          </w:tcPr>
          <w:p>
            <w:pPr>
              <w:spacing w:after="20"/>
            </w:pPr>
            <w:r>
              <w:rPr>
                <w:b/>
                <w:color w:val="1C3A36"/>
                <w:sz w:val="18"/>
              </w:rPr>
              <w:t>Normalised risk-free rate</w:t>
            </w:r>
          </w:p>
        </w:tc>
        <w:tc>
          <w:tcPr>
            <w:tcW w:type="dxa" w:w="1584"/>
            <w:shd w:val="clear" w:color="auto" w:fill="F6F1E6"/>
          </w:tcPr>
          <w:p>
            <w:pPr>
              <w:spacing w:after="20"/>
              <w:jc w:val="right"/>
            </w:pPr>
            <w:r>
              <w:rPr>
                <w:b/>
                <w:color w:val="1C3A36"/>
                <w:sz w:val="18"/>
              </w:rPr>
              <w:t>4.46%</w:t>
            </w:r>
          </w:p>
        </w:tc>
        <w:tc>
          <w:tcPr>
            <w:tcW w:type="dxa" w:w="1584"/>
            <w:shd w:val="clear" w:color="auto" w:fill="F6F1E6"/>
          </w:tcPr>
          <w:p>
            <w:pPr>
              <w:spacing w:after="20"/>
              <w:jc w:val="right"/>
            </w:pPr>
            <w:r>
              <w:rPr>
                <w:b/>
                <w:color w:val="1C3A36"/>
                <w:sz w:val="18"/>
              </w:rPr>
              <w:t>4.46%</w:t>
            </w:r>
          </w:p>
        </w:tc>
        <w:tc>
          <w:tcPr>
            <w:tcW w:type="dxa" w:w="3240"/>
            <w:shd w:val="clear" w:color="auto" w:fill="F6F1E6"/>
          </w:tcPr>
          <w:p>
            <w:pPr>
              <w:spacing w:after="20"/>
              <w:jc w:val="right"/>
            </w:pPr>
            <w:r>
              <w:rPr>
                <w:b/>
                <w:color w:val="1C3A36"/>
                <w:sz w:val="18"/>
              </w:rPr>
            </w:r>
          </w:p>
        </w:tc>
      </w:tr>
      <w:tr>
        <w:tc>
          <w:tcPr>
            <w:tcW w:type="dxa" w:w="3672"/>
          </w:tcPr>
          <w:p>
            <w:pPr>
              <w:spacing w:after="20"/>
            </w:pPr>
            <w:r>
              <w:rPr>
                <w:color w:val="1C3A36"/>
                <w:sz w:val="18"/>
              </w:rPr>
              <w:t>Equity beta</w:t>
            </w:r>
          </w:p>
        </w:tc>
        <w:tc>
          <w:tcPr>
            <w:tcW w:type="dxa" w:w="1584"/>
          </w:tcPr>
          <w:p>
            <w:pPr>
              <w:spacing w:after="20"/>
              <w:jc w:val="right"/>
            </w:pPr>
            <w:r>
              <w:rPr>
                <w:color w:val="1C3A36"/>
                <w:sz w:val="18"/>
              </w:rPr>
              <w:t>0.795</w:t>
            </w:r>
          </w:p>
        </w:tc>
        <w:tc>
          <w:tcPr>
            <w:tcW w:type="dxa" w:w="1584"/>
          </w:tcPr>
          <w:p>
            <w:pPr>
              <w:spacing w:after="20"/>
              <w:jc w:val="right"/>
            </w:pPr>
            <w:r>
              <w:rPr>
                <w:color w:val="1C3A36"/>
                <w:sz w:val="18"/>
              </w:rPr>
              <w:t>0.795</w:t>
            </w:r>
          </w:p>
        </w:tc>
        <w:tc>
          <w:tcPr>
            <w:tcW w:type="dxa" w:w="3240"/>
          </w:tcPr>
          <w:p>
            <w:pPr>
              <w:spacing w:after="20"/>
              <w:jc w:val="right"/>
            </w:pPr>
            <w:r>
              <w:rPr>
                <w:color w:val="1C3A36"/>
                <w:sz w:val="18"/>
              </w:rPr>
              <w:t>Own-stock five-year weekly regression</w:t>
            </w:r>
          </w:p>
        </w:tc>
      </w:tr>
      <w:tr>
        <w:tc>
          <w:tcPr>
            <w:tcW w:type="dxa" w:w="3672"/>
          </w:tcPr>
          <w:p>
            <w:pPr>
              <w:spacing w:after="20"/>
            </w:pPr>
            <w:r>
              <w:rPr>
                <w:color w:val="1C3A36"/>
                <w:sz w:val="18"/>
              </w:rPr>
              <w:t>Equity risk premium (Abu Dhabi, rated Aa2)</w:t>
            </w:r>
          </w:p>
        </w:tc>
        <w:tc>
          <w:tcPr>
            <w:tcW w:type="dxa" w:w="1584"/>
          </w:tcPr>
          <w:p>
            <w:pPr>
              <w:spacing w:after="20"/>
              <w:jc w:val="right"/>
            </w:pPr>
            <w:r>
              <w:rPr>
                <w:color w:val="1C3A36"/>
                <w:sz w:val="18"/>
              </w:rPr>
              <w:t>4.87%</w:t>
            </w:r>
          </w:p>
        </w:tc>
        <w:tc>
          <w:tcPr>
            <w:tcW w:type="dxa" w:w="1584"/>
          </w:tcPr>
          <w:p>
            <w:pPr>
              <w:spacing w:after="20"/>
              <w:jc w:val="right"/>
            </w:pPr>
            <w:r>
              <w:rPr>
                <w:color w:val="1C3A36"/>
                <w:sz w:val="18"/>
              </w:rPr>
              <w:t>4.93%</w:t>
            </w:r>
          </w:p>
        </w:tc>
        <w:tc>
          <w:tcPr>
            <w:tcW w:type="dxa" w:w="3240"/>
          </w:tcPr>
          <w:p>
            <w:pPr>
              <w:spacing w:after="20"/>
              <w:jc w:val="right"/>
            </w:pPr>
            <w:r>
              <w:rPr>
                <w:color w:val="1C3A36"/>
                <w:sz w:val="18"/>
              </w:rPr>
              <w:t>Damodaran country file</w:t>
            </w:r>
          </w:p>
        </w:tc>
      </w:tr>
      <w:tr>
        <w:tc>
          <w:tcPr>
            <w:tcW w:type="dxa" w:w="3672"/>
            <w:shd w:val="clear" w:color="auto" w:fill="F6F1E6"/>
          </w:tcPr>
          <w:p>
            <w:pPr>
              <w:spacing w:after="20"/>
            </w:pPr>
            <w:r>
              <w:rPr>
                <w:b/>
                <w:color w:val="1C3A36"/>
                <w:sz w:val="18"/>
              </w:rPr>
              <w:t>Cost of equity</w:t>
            </w:r>
          </w:p>
        </w:tc>
        <w:tc>
          <w:tcPr>
            <w:tcW w:type="dxa" w:w="1584"/>
            <w:shd w:val="clear" w:color="auto" w:fill="F6F1E6"/>
          </w:tcPr>
          <w:p>
            <w:pPr>
              <w:spacing w:after="20"/>
              <w:jc w:val="right"/>
            </w:pPr>
            <w:r>
              <w:rPr>
                <w:b/>
                <w:color w:val="1C3A36"/>
                <w:sz w:val="18"/>
              </w:rPr>
              <w:t>8.33%</w:t>
            </w:r>
          </w:p>
        </w:tc>
        <w:tc>
          <w:tcPr>
            <w:tcW w:type="dxa" w:w="1584"/>
            <w:shd w:val="clear" w:color="auto" w:fill="F6F1E6"/>
          </w:tcPr>
          <w:p>
            <w:pPr>
              <w:spacing w:after="20"/>
              <w:jc w:val="right"/>
            </w:pPr>
            <w:r>
              <w:rPr>
                <w:b/>
                <w:color w:val="1C3A36"/>
                <w:sz w:val="18"/>
              </w:rPr>
              <w:t>8.38%</w:t>
            </w:r>
          </w:p>
        </w:tc>
        <w:tc>
          <w:tcPr>
            <w:tcW w:type="dxa" w:w="3240"/>
            <w:shd w:val="clear" w:color="auto" w:fill="F6F1E6"/>
          </w:tcPr>
          <w:p>
            <w:pPr>
              <w:spacing w:after="20"/>
              <w:jc w:val="right"/>
            </w:pPr>
            <w:r>
              <w:rPr>
                <w:b/>
                <w:color w:val="1C3A36"/>
                <w:sz w:val="18"/>
              </w:rPr>
            </w:r>
          </w:p>
        </w:tc>
      </w:tr>
      <w:tr>
        <w:tc>
          <w:tcPr>
            <w:tcW w:type="dxa" w:w="3672"/>
          </w:tcPr>
          <w:p>
            <w:pPr>
              <w:spacing w:after="20"/>
            </w:pPr>
            <w:r>
              <w:rPr>
                <w:color w:val="1C3A36"/>
                <w:sz w:val="18"/>
              </w:rPr>
              <w:t>Marginal cost of debt, pre-tax</w:t>
            </w:r>
          </w:p>
        </w:tc>
        <w:tc>
          <w:tcPr>
            <w:tcW w:type="dxa" w:w="1584"/>
          </w:tcPr>
          <w:p>
            <w:pPr>
              <w:spacing w:after="20"/>
              <w:jc w:val="right"/>
            </w:pPr>
            <w:r>
              <w:rPr>
                <w:color w:val="1C3A36"/>
                <w:sz w:val="18"/>
              </w:rPr>
              <w:t>5.15%</w:t>
            </w:r>
          </w:p>
        </w:tc>
        <w:tc>
          <w:tcPr>
            <w:tcW w:type="dxa" w:w="1584"/>
          </w:tcPr>
          <w:p>
            <w:pPr>
              <w:spacing w:after="20"/>
              <w:jc w:val="right"/>
            </w:pPr>
            <w:r>
              <w:rPr>
                <w:color w:val="1C3A36"/>
                <w:sz w:val="18"/>
              </w:rPr>
              <w:t>5.15%</w:t>
            </w:r>
          </w:p>
        </w:tc>
        <w:tc>
          <w:tcPr>
            <w:tcW w:type="dxa" w:w="3240"/>
          </w:tcPr>
          <w:p>
            <w:pPr>
              <w:spacing w:after="20"/>
              <w:jc w:val="right"/>
            </w:pPr>
            <w:r>
              <w:rPr>
                <w:color w:val="1C3A36"/>
                <w:sz w:val="18"/>
              </w:rPr>
            </w:r>
          </w:p>
        </w:tc>
      </w:tr>
      <w:tr>
        <w:tc>
          <w:tcPr>
            <w:tcW w:type="dxa" w:w="3672"/>
          </w:tcPr>
          <w:p>
            <w:pPr>
              <w:spacing w:after="20"/>
            </w:pPr>
            <w:r>
              <w:rPr>
                <w:color w:val="1C3A36"/>
                <w:sz w:val="18"/>
              </w:rPr>
              <w:t>Cost of debt after tax at 9%</w:t>
            </w:r>
          </w:p>
        </w:tc>
        <w:tc>
          <w:tcPr>
            <w:tcW w:type="dxa" w:w="1584"/>
          </w:tcPr>
          <w:p>
            <w:pPr>
              <w:spacing w:after="20"/>
              <w:jc w:val="right"/>
            </w:pPr>
            <w:r>
              <w:rPr>
                <w:color w:val="1C3A36"/>
                <w:sz w:val="18"/>
              </w:rPr>
              <w:t>4.69%</w:t>
            </w:r>
          </w:p>
        </w:tc>
        <w:tc>
          <w:tcPr>
            <w:tcW w:type="dxa" w:w="1584"/>
          </w:tcPr>
          <w:p>
            <w:pPr>
              <w:spacing w:after="20"/>
              <w:jc w:val="right"/>
            </w:pPr>
            <w:r>
              <w:rPr>
                <w:color w:val="1C3A36"/>
                <w:sz w:val="18"/>
              </w:rPr>
              <w:t>4.69%</w:t>
            </w:r>
          </w:p>
        </w:tc>
        <w:tc>
          <w:tcPr>
            <w:tcW w:type="dxa" w:w="3240"/>
          </w:tcPr>
          <w:p>
            <w:pPr>
              <w:spacing w:after="20"/>
              <w:jc w:val="right"/>
            </w:pPr>
            <w:r>
              <w:rPr>
                <w:color w:val="1C3A36"/>
                <w:sz w:val="18"/>
              </w:rPr>
            </w:r>
          </w:p>
        </w:tc>
      </w:tr>
      <w:tr>
        <w:tc>
          <w:tcPr>
            <w:tcW w:type="dxa" w:w="3672"/>
          </w:tcPr>
          <w:p>
            <w:pPr>
              <w:spacing w:after="20"/>
            </w:pPr>
            <w:r>
              <w:rPr>
                <w:color w:val="1C3A36"/>
                <w:sz w:val="18"/>
              </w:rPr>
              <w:t>Weight of equity</w:t>
            </w:r>
          </w:p>
        </w:tc>
        <w:tc>
          <w:tcPr>
            <w:tcW w:type="dxa" w:w="1584"/>
          </w:tcPr>
          <w:p>
            <w:pPr>
              <w:spacing w:after="20"/>
              <w:jc w:val="right"/>
            </w:pPr>
            <w:r>
              <w:rPr>
                <w:color w:val="1C3A36"/>
                <w:sz w:val="18"/>
              </w:rPr>
              <w:t>90.9%</w:t>
            </w:r>
          </w:p>
        </w:tc>
        <w:tc>
          <w:tcPr>
            <w:tcW w:type="dxa" w:w="1584"/>
          </w:tcPr>
          <w:p>
            <w:pPr>
              <w:spacing w:after="20"/>
              <w:jc w:val="right"/>
            </w:pPr>
            <w:r>
              <w:rPr>
                <w:color w:val="1C3A36"/>
                <w:sz w:val="18"/>
              </w:rPr>
              <w:t>90.9%</w:t>
            </w:r>
          </w:p>
        </w:tc>
        <w:tc>
          <w:tcPr>
            <w:tcW w:type="dxa" w:w="3240"/>
          </w:tcPr>
          <w:p>
            <w:pPr>
              <w:spacing w:after="20"/>
              <w:jc w:val="right"/>
            </w:pPr>
            <w:r>
              <w:rPr>
                <w:color w:val="1C3A36"/>
                <w:sz w:val="18"/>
              </w:rPr>
              <w:t>Market capitalisation over market capitalisation plus net debt</w:t>
            </w:r>
          </w:p>
        </w:tc>
      </w:tr>
      <w:tr>
        <w:tc>
          <w:tcPr>
            <w:tcW w:type="dxa" w:w="3672"/>
            <w:shd w:val="clear" w:color="auto" w:fill="F6F1E6"/>
          </w:tcPr>
          <w:p>
            <w:pPr>
              <w:spacing w:after="20"/>
            </w:pPr>
            <w:r>
              <w:rPr>
                <w:b/>
                <w:color w:val="1C3A36"/>
                <w:sz w:val="18"/>
              </w:rPr>
              <w:t>Weighted average cost of capital</w:t>
            </w:r>
          </w:p>
        </w:tc>
        <w:tc>
          <w:tcPr>
            <w:tcW w:type="dxa" w:w="1584"/>
            <w:shd w:val="clear" w:color="auto" w:fill="F6F1E6"/>
          </w:tcPr>
          <w:p>
            <w:pPr>
              <w:spacing w:after="20"/>
              <w:jc w:val="right"/>
            </w:pPr>
            <w:r>
              <w:rPr>
                <w:b/>
                <w:color w:val="1C3A36"/>
                <w:sz w:val="18"/>
              </w:rPr>
              <w:t>8.00%</w:t>
            </w:r>
          </w:p>
        </w:tc>
        <w:tc>
          <w:tcPr>
            <w:tcW w:type="dxa" w:w="1584"/>
            <w:shd w:val="clear" w:color="auto" w:fill="F6F1E6"/>
          </w:tcPr>
          <w:p>
            <w:pPr>
              <w:spacing w:after="20"/>
              <w:jc w:val="right"/>
            </w:pPr>
            <w:r>
              <w:rPr>
                <w:b/>
                <w:color w:val="1C3A36"/>
                <w:sz w:val="18"/>
              </w:rPr>
              <w:t>8.05%</w:t>
            </w:r>
          </w:p>
        </w:tc>
        <w:tc>
          <w:tcPr>
            <w:tcW w:type="dxa" w:w="3240"/>
            <w:shd w:val="clear" w:color="auto" w:fill="F6F1E6"/>
          </w:tcPr>
          <w:p>
            <w:pPr>
              <w:spacing w:after="20"/>
              <w:jc w:val="right"/>
            </w:pPr>
            <w:r>
              <w:rPr>
                <w:b/>
                <w:color w:val="1C3A36"/>
                <w:sz w:val="18"/>
              </w:rPr>
            </w:r>
          </w:p>
        </w:tc>
      </w:tr>
    </w:tbl>
    <w:p>
      <w:pPr>
        <w:spacing w:after="40"/>
      </w:pPr>
    </w:p>
    <w:p>
      <w:pPr>
        <w:spacing w:after="120" w:before="0"/>
      </w:pPr>
      <w:r>
        <w:rPr>
          <w:b w:val="0"/>
          <w:i w:val="0"/>
          <w:color w:val="1C3A36"/>
          <w:sz w:val="21"/>
        </w:rPr>
        <w:t>Both bases are published because both are defensible and they differ by only 4 basis points; the rating basis is used, and nothing in the conclusions turns on the choice.</w:t>
      </w:r>
    </w:p>
    <w:p>
      <w:pPr>
        <w:spacing w:after="60" w:before="160"/>
      </w:pPr>
      <w:r>
        <w:rPr>
          <w:b/>
          <w:i w:val="0"/>
          <w:color w:val="896F36"/>
          <w:sz w:val="22"/>
        </w:rPr>
        <w:t>Cost of debt: three methods, one test</w:t>
      </w:r>
    </w:p>
    <w:p>
      <w:pPr>
        <w:spacing w:after="80" w:before="0"/>
      </w:pPr>
      <w:r>
        <w:rPr>
          <w:b w:val="0"/>
          <w:i w:val="0"/>
          <w:color w:val="1C3A36"/>
          <w:sz w:val="21"/>
        </w:rPr>
        <w:t>The cost of debt is marginal and forward-looking, not an accounting average. Three candidates were computed and one test applied — a same-currency corporate cannot borrow below its own sovereign.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960"/>
        <w:gridCol w:w="1080"/>
        <w:gridCol w:w="2448"/>
      </w:tblGrid>
      <w:tr>
        <w:tc>
          <w:tcPr>
            <w:tcW w:type="dxa" w:w="2592"/>
            <w:shd w:val="clear" w:color="auto" w:fill="EAF0EE"/>
          </w:tcPr>
          <w:p>
            <w:pPr>
              <w:spacing w:after="20"/>
            </w:pPr>
            <w:r>
              <w:rPr>
                <w:b/>
                <w:color w:val="1C3A36"/>
                <w:sz w:val="18"/>
              </w:rPr>
              <w:t>Method</w:t>
            </w:r>
          </w:p>
        </w:tc>
        <w:tc>
          <w:tcPr>
            <w:tcW w:type="dxa" w:w="3960"/>
            <w:shd w:val="clear" w:color="auto" w:fill="EAF0EE"/>
          </w:tcPr>
          <w:p>
            <w:pPr>
              <w:spacing w:after="20"/>
            </w:pPr>
            <w:r>
              <w:rPr>
                <w:b/>
                <w:color w:val="1C3A36"/>
                <w:sz w:val="18"/>
              </w:rPr>
              <w:t>Construction</w:t>
            </w:r>
          </w:p>
        </w:tc>
        <w:tc>
          <w:tcPr>
            <w:tcW w:type="dxa" w:w="1080"/>
            <w:shd w:val="clear" w:color="auto" w:fill="EAF0EE"/>
          </w:tcPr>
          <w:p>
            <w:pPr>
              <w:spacing w:after="20"/>
            </w:pPr>
            <w:r>
              <w:rPr>
                <w:b/>
                <w:color w:val="1C3A36"/>
                <w:sz w:val="18"/>
              </w:rPr>
              <w:t>Rate</w:t>
            </w:r>
          </w:p>
        </w:tc>
        <w:tc>
          <w:tcPr>
            <w:tcW w:type="dxa" w:w="2448"/>
            <w:shd w:val="clear" w:color="auto" w:fill="EAF0EE"/>
          </w:tcPr>
          <w:p>
            <w:pPr>
              <w:spacing w:after="20"/>
            </w:pPr>
            <w:r>
              <w:rPr>
                <w:b/>
                <w:color w:val="1C3A36"/>
                <w:sz w:val="18"/>
              </w:rPr>
              <w:t>Clears the sovereign floor?</w:t>
            </w:r>
          </w:p>
        </w:tc>
      </w:tr>
      <w:tr>
        <w:tc>
          <w:tcPr>
            <w:tcW w:type="dxa" w:w="2592"/>
          </w:tcPr>
          <w:p>
            <w:pPr>
              <w:spacing w:after="20"/>
            </w:pPr>
            <w:r>
              <w:rPr>
                <w:color w:val="1C3A36"/>
                <w:sz w:val="18"/>
              </w:rPr>
              <w:t>Term-matched to the latest facility</w:t>
            </w:r>
          </w:p>
        </w:tc>
        <w:tc>
          <w:tcPr>
            <w:tcW w:type="dxa" w:w="3960"/>
          </w:tcPr>
          <w:p>
            <w:pPr>
              <w:spacing w:after="20"/>
              <w:jc w:val="right"/>
            </w:pPr>
            <w:r>
              <w:rPr>
                <w:color w:val="1C3A36"/>
                <w:sz w:val="18"/>
              </w:rPr>
              <w:t>US 5-year Treasury yield plus the 0.75% margin on the USD 2.0 billion facility signed 16 October 2025 with a five-year initial maturity</w:t>
            </w:r>
          </w:p>
        </w:tc>
        <w:tc>
          <w:tcPr>
            <w:tcW w:type="dxa" w:w="1080"/>
          </w:tcPr>
          <w:p>
            <w:pPr>
              <w:spacing w:after="20"/>
              <w:jc w:val="right"/>
            </w:pPr>
            <w:r>
              <w:rPr>
                <w:color w:val="1C3A36"/>
                <w:sz w:val="18"/>
              </w:rPr>
              <w:t>5.15%</w:t>
            </w:r>
          </w:p>
        </w:tc>
        <w:tc>
          <w:tcPr>
            <w:tcW w:type="dxa" w:w="2448"/>
          </w:tcPr>
          <w:p>
            <w:pPr>
              <w:spacing w:after="20"/>
              <w:jc w:val="right"/>
            </w:pPr>
            <w:r>
              <w:rPr>
                <w:color w:val="1C3A36"/>
                <w:sz w:val="18"/>
              </w:rPr>
              <w:t>Yes — adopted</w:t>
            </w:r>
          </w:p>
        </w:tc>
      </w:tr>
      <w:tr>
        <w:tc>
          <w:tcPr>
            <w:tcW w:type="dxa" w:w="2592"/>
          </w:tcPr>
          <w:p>
            <w:pPr>
              <w:spacing w:after="20"/>
            </w:pPr>
            <w:r>
              <w:rPr>
                <w:color w:val="1C3A36"/>
                <w:sz w:val="18"/>
              </w:rPr>
              <w:t>Spot floating all-in cost</w:t>
            </w:r>
          </w:p>
        </w:tc>
        <w:tc>
          <w:tcPr>
            <w:tcW w:type="dxa" w:w="3960"/>
          </w:tcPr>
          <w:p>
            <w:pPr>
              <w:spacing w:after="20"/>
              <w:jc w:val="right"/>
            </w:pPr>
            <w:r>
              <w:rPr>
                <w:color w:val="1C3A36"/>
                <w:sz w:val="18"/>
              </w:rPr>
              <w:t>Overnight financing rate plus the same margin</w:t>
            </w:r>
          </w:p>
        </w:tc>
        <w:tc>
          <w:tcPr>
            <w:tcW w:type="dxa" w:w="1080"/>
          </w:tcPr>
          <w:p>
            <w:pPr>
              <w:spacing w:after="20"/>
              <w:jc w:val="right"/>
            </w:pPr>
            <w:r>
              <w:rPr>
                <w:color w:val="1C3A36"/>
                <w:sz w:val="18"/>
              </w:rPr>
              <w:t>4.40%</w:t>
            </w:r>
          </w:p>
        </w:tc>
        <w:tc>
          <w:tcPr>
            <w:tcW w:type="dxa" w:w="2448"/>
          </w:tcPr>
          <w:p>
            <w:pPr>
              <w:spacing w:after="20"/>
              <w:jc w:val="right"/>
            </w:pPr>
            <w:r>
              <w:rPr>
                <w:color w:val="1C3A36"/>
                <w:sz w:val="18"/>
              </w:rPr>
              <w:t>No — it is a short rate, and it prices below the sovereign</w:t>
            </w:r>
          </w:p>
        </w:tc>
      </w:tr>
      <w:tr>
        <w:tc>
          <w:tcPr>
            <w:tcW w:type="dxa" w:w="2592"/>
          </w:tcPr>
          <w:p>
            <w:pPr>
              <w:spacing w:after="20"/>
            </w:pPr>
            <w:r>
              <w:rPr>
                <w:color w:val="1C3A36"/>
                <w:sz w:val="18"/>
              </w:rPr>
              <w:t>Trailing effective rate</w:t>
            </w:r>
          </w:p>
        </w:tc>
        <w:tc>
          <w:tcPr>
            <w:tcW w:type="dxa" w:w="3960"/>
          </w:tcPr>
          <w:p>
            <w:pPr>
              <w:spacing w:after="20"/>
              <w:jc w:val="right"/>
            </w:pPr>
            <w:r>
              <w:rPr>
                <w:color w:val="1C3A36"/>
                <w:sz w:val="18"/>
              </w:rPr>
              <w:t>FY2025 interest on loans over average gross debt</w:t>
            </w:r>
          </w:p>
        </w:tc>
        <w:tc>
          <w:tcPr>
            <w:tcW w:type="dxa" w:w="1080"/>
          </w:tcPr>
          <w:p>
            <w:pPr>
              <w:spacing w:after="20"/>
              <w:jc w:val="right"/>
            </w:pPr>
            <w:r>
              <w:rPr>
                <w:color w:val="1C3A36"/>
                <w:sz w:val="18"/>
              </w:rPr>
              <w:t>4.77%</w:t>
            </w:r>
          </w:p>
        </w:tc>
        <w:tc>
          <w:tcPr>
            <w:tcW w:type="dxa" w:w="2448"/>
          </w:tcPr>
          <w:p>
            <w:pPr>
              <w:spacing w:after="20"/>
              <w:jc w:val="right"/>
            </w:pPr>
            <w:r>
              <w:rPr>
                <w:color w:val="1C3A36"/>
                <w:sz w:val="18"/>
              </w:rPr>
              <w:t>No — and it is backward-looking in any case</w:t>
            </w:r>
          </w:p>
        </w:tc>
      </w:tr>
      <w:tr>
        <w:tc>
          <w:tcPr>
            <w:tcW w:type="dxa" w:w="2592"/>
            <w:shd w:val="clear" w:color="auto" w:fill="F6F1E6"/>
          </w:tcPr>
          <w:p>
            <w:pPr>
              <w:spacing w:after="20"/>
            </w:pPr>
            <w:r>
              <w:rPr>
                <w:b/>
                <w:color w:val="1C3A36"/>
                <w:sz w:val="18"/>
              </w:rPr>
              <w:t>Sovereign floor</w:t>
            </w:r>
          </w:p>
        </w:tc>
        <w:tc>
          <w:tcPr>
            <w:tcW w:type="dxa" w:w="3960"/>
            <w:shd w:val="clear" w:color="auto" w:fill="F6F1E6"/>
          </w:tcPr>
          <w:p>
            <w:pPr>
              <w:spacing w:after="20"/>
              <w:jc w:val="right"/>
            </w:pPr>
            <w:r>
              <w:rPr>
                <w:b/>
                <w:color w:val="1C3A36"/>
                <w:sz w:val="18"/>
              </w:rPr>
              <w:t>US 5-year Treasury yield plus the Abu Dhabi sovereign credit-default-swap spread</w:t>
            </w:r>
          </w:p>
        </w:tc>
        <w:tc>
          <w:tcPr>
            <w:tcW w:type="dxa" w:w="1080"/>
            <w:shd w:val="clear" w:color="auto" w:fill="F6F1E6"/>
          </w:tcPr>
          <w:p>
            <w:pPr>
              <w:spacing w:after="20"/>
              <w:jc w:val="right"/>
            </w:pPr>
            <w:r>
              <w:rPr>
                <w:b/>
                <w:color w:val="1C3A36"/>
                <w:sz w:val="18"/>
              </w:rPr>
              <w:t>4.86%</w:t>
            </w:r>
          </w:p>
        </w:tc>
        <w:tc>
          <w:tcPr>
            <w:tcW w:type="dxa" w:w="2448"/>
            <w:shd w:val="clear" w:color="auto" w:fill="F6F1E6"/>
          </w:tcPr>
          <w:p>
            <w:pPr>
              <w:spacing w:after="20"/>
              <w:jc w:val="right"/>
            </w:pPr>
            <w:r>
              <w:rPr>
                <w:b/>
                <w:color w:val="1C3A36"/>
                <w:sz w:val="18"/>
              </w:rPr>
            </w:r>
          </w:p>
        </w:tc>
      </w:tr>
    </w:tbl>
    <w:p>
      <w:pPr>
        <w:spacing w:after="40"/>
      </w:pPr>
    </w:p>
    <w:p>
      <w:pPr>
        <w:spacing w:after="60" w:before="160"/>
      </w:pPr>
      <w:r>
        <w:rPr>
          <w:b/>
          <w:i w:val="0"/>
          <w:color w:val="896F36"/>
          <w:sz w:val="22"/>
        </w:rPr>
        <w:t>Beta</w:t>
      </w:r>
    </w:p>
    <w:p>
      <w:pPr>
        <w:spacing w:after="80" w:before="0"/>
      </w:pPr>
      <w:r>
        <w:rPr>
          <w:b w:val="0"/>
          <w:i w:val="0"/>
          <w:color w:val="1C3A36"/>
          <w:sz w:val="21"/>
        </w:rPr>
        <w:t>The beta is the company's own, measured against the index it actually trades in: a five-year weekly regression of its returns against the FTSE ADX General Index, giving 0.795 on 247 weekly observations with an R-squared of 0.128, a standard error of 0.133 and a 90% interval of 0.58 to 1.01. Because the listing dates from October 2021 a full five-year window exists, so no peer beta is needed.</w:t>
      </w:r>
    </w:p>
    <w:p>
      <w:pPr>
        <w:spacing w:after="60" w:before="0"/>
      </w:pPr>
      <w:r>
        <w:rPr>
          <w:b w:val="0"/>
          <w:i w:val="0"/>
          <w:color w:val="1C3A36"/>
          <w:sz w:val="21"/>
        </w:rPr>
        <w:t>Five robustness runs are published rather than hidden, and they do not all agree: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248"/>
        <w:gridCol w:w="1152"/>
        <w:gridCol w:w="1440"/>
        <w:gridCol w:w="1080"/>
        <w:gridCol w:w="1584"/>
      </w:tblGrid>
      <w:tr>
        <w:tc>
          <w:tcPr>
            <w:tcW w:type="dxa" w:w="4248"/>
            <w:shd w:val="clear" w:color="auto" w:fill="EAF0EE"/>
          </w:tcPr>
          <w:p>
            <w:pPr>
              <w:spacing w:after="20"/>
            </w:pPr>
            <w:r>
              <w:rPr>
                <w:b/>
                <w:color w:val="1C3A36"/>
                <w:sz w:val="18"/>
              </w:rPr>
              <w:t>Regression</w:t>
            </w:r>
          </w:p>
        </w:tc>
        <w:tc>
          <w:tcPr>
            <w:tcW w:type="dxa" w:w="1152"/>
            <w:shd w:val="clear" w:color="auto" w:fill="EAF0EE"/>
          </w:tcPr>
          <w:p>
            <w:pPr>
              <w:spacing w:after="20"/>
            </w:pPr>
            <w:r>
              <w:rPr>
                <w:b/>
                <w:color w:val="1C3A36"/>
                <w:sz w:val="18"/>
              </w:rPr>
              <w:t>Beta</w:t>
            </w:r>
          </w:p>
        </w:tc>
        <w:tc>
          <w:tcPr>
            <w:tcW w:type="dxa" w:w="1440"/>
            <w:shd w:val="clear" w:color="auto" w:fill="EAF0EE"/>
          </w:tcPr>
          <w:p>
            <w:pPr>
              <w:spacing w:after="20"/>
            </w:pPr>
            <w:r>
              <w:rPr>
                <w:b/>
                <w:color w:val="1C3A36"/>
                <w:sz w:val="18"/>
              </w:rPr>
              <w:t>R-squared</w:t>
            </w:r>
          </w:p>
        </w:tc>
        <w:tc>
          <w:tcPr>
            <w:tcW w:type="dxa" w:w="1080"/>
            <w:shd w:val="clear" w:color="auto" w:fill="EAF0EE"/>
          </w:tcPr>
          <w:p>
            <w:pPr>
              <w:spacing w:after="20"/>
            </w:pPr>
            <w:r>
              <w:rPr>
                <w:b/>
                <w:color w:val="1C3A36"/>
                <w:sz w:val="18"/>
              </w:rPr>
              <w:t>Weeks</w:t>
            </w:r>
          </w:p>
        </w:tc>
        <w:tc>
          <w:tcPr>
            <w:tcW w:type="dxa" w:w="1584"/>
            <w:shd w:val="clear" w:color="auto" w:fill="EAF0EE"/>
          </w:tcPr>
          <w:p>
            <w:pPr>
              <w:spacing w:after="20"/>
            </w:pPr>
            <w:r>
              <w:rPr>
                <w:b/>
                <w:color w:val="1C3A36"/>
                <w:sz w:val="18"/>
              </w:rPr>
              <w:t>Standard error</w:t>
            </w:r>
          </w:p>
        </w:tc>
      </w:tr>
      <w:tr>
        <w:tc>
          <w:tcPr>
            <w:tcW w:type="dxa" w:w="4248"/>
          </w:tcPr>
          <w:p>
            <w:pPr>
              <w:spacing w:after="20"/>
            </w:pPr>
            <w:r>
              <w:rPr>
                <w:color w:val="1C3A36"/>
                <w:sz w:val="18"/>
              </w:rPr>
              <w:t>Five-year weekly against the index (adopted)</w:t>
            </w:r>
          </w:p>
        </w:tc>
        <w:tc>
          <w:tcPr>
            <w:tcW w:type="dxa" w:w="1152"/>
          </w:tcPr>
          <w:p>
            <w:pPr>
              <w:spacing w:after="20"/>
              <w:jc w:val="right"/>
            </w:pPr>
            <w:r>
              <w:rPr>
                <w:color w:val="1C3A36"/>
                <w:sz w:val="18"/>
              </w:rPr>
              <w:t>0.795</w:t>
            </w:r>
          </w:p>
        </w:tc>
        <w:tc>
          <w:tcPr>
            <w:tcW w:type="dxa" w:w="1440"/>
          </w:tcPr>
          <w:p>
            <w:pPr>
              <w:spacing w:after="20"/>
              <w:jc w:val="right"/>
            </w:pPr>
            <w:r>
              <w:rPr>
                <w:color w:val="1C3A36"/>
                <w:sz w:val="18"/>
              </w:rPr>
              <w:t>0.128</w:t>
            </w:r>
          </w:p>
        </w:tc>
        <w:tc>
          <w:tcPr>
            <w:tcW w:type="dxa" w:w="1080"/>
          </w:tcPr>
          <w:p>
            <w:pPr>
              <w:spacing w:after="20"/>
              <w:jc w:val="right"/>
            </w:pPr>
            <w:r>
              <w:rPr>
                <w:color w:val="1C3A36"/>
                <w:sz w:val="18"/>
              </w:rPr>
              <w:t>247</w:t>
            </w:r>
          </w:p>
        </w:tc>
        <w:tc>
          <w:tcPr>
            <w:tcW w:type="dxa" w:w="1584"/>
          </w:tcPr>
          <w:p>
            <w:pPr>
              <w:spacing w:after="20"/>
              <w:jc w:val="right"/>
            </w:pPr>
            <w:r>
              <w:rPr>
                <w:color w:val="1C3A36"/>
                <w:sz w:val="18"/>
              </w:rPr>
              <w:t>0.133</w:t>
            </w:r>
          </w:p>
        </w:tc>
      </w:tr>
      <w:tr>
        <w:tc>
          <w:tcPr>
            <w:tcW w:type="dxa" w:w="4248"/>
          </w:tcPr>
          <w:p>
            <w:pPr>
              <w:spacing w:after="20"/>
            </w:pPr>
            <w:r>
              <w:rPr>
                <w:color w:val="1C3A36"/>
                <w:sz w:val="18"/>
              </w:rPr>
              <w:t>Four-year weekly against the index</w:t>
            </w:r>
          </w:p>
        </w:tc>
        <w:tc>
          <w:tcPr>
            <w:tcW w:type="dxa" w:w="1152"/>
          </w:tcPr>
          <w:p>
            <w:pPr>
              <w:spacing w:after="20"/>
              <w:jc w:val="right"/>
            </w:pPr>
            <w:r>
              <w:rPr>
                <w:color w:val="1C3A36"/>
                <w:sz w:val="18"/>
              </w:rPr>
              <w:t>0.836</w:t>
            </w:r>
          </w:p>
        </w:tc>
        <w:tc>
          <w:tcPr>
            <w:tcW w:type="dxa" w:w="1440"/>
          </w:tcPr>
          <w:p>
            <w:pPr>
              <w:spacing w:after="20"/>
              <w:jc w:val="right"/>
            </w:pPr>
            <w:r>
              <w:rPr>
                <w:color w:val="1C3A36"/>
                <w:sz w:val="18"/>
              </w:rPr>
              <w:t>0.111</w:t>
            </w:r>
          </w:p>
        </w:tc>
        <w:tc>
          <w:tcPr>
            <w:tcW w:type="dxa" w:w="1080"/>
          </w:tcPr>
          <w:p>
            <w:pPr>
              <w:spacing w:after="20"/>
              <w:jc w:val="right"/>
            </w:pPr>
            <w:r>
              <w:rPr>
                <w:color w:val="1C3A36"/>
                <w:sz w:val="18"/>
              </w:rPr>
              <w:t>205</w:t>
            </w:r>
          </w:p>
        </w:tc>
        <w:tc>
          <w:tcPr>
            <w:tcW w:type="dxa" w:w="1584"/>
          </w:tcPr>
          <w:p>
            <w:pPr>
              <w:spacing w:after="20"/>
              <w:jc w:val="right"/>
            </w:pPr>
            <w:r>
              <w:rPr>
                <w:color w:val="1C3A36"/>
                <w:sz w:val="18"/>
              </w:rPr>
              <w:t>0.166</w:t>
            </w:r>
          </w:p>
        </w:tc>
      </w:tr>
      <w:tr>
        <w:tc>
          <w:tcPr>
            <w:tcW w:type="dxa" w:w="4248"/>
          </w:tcPr>
          <w:p>
            <w:pPr>
              <w:spacing w:after="20"/>
            </w:pPr>
            <w:r>
              <w:rPr>
                <w:color w:val="1C3A36"/>
                <w:sz w:val="18"/>
              </w:rPr>
              <w:t>Three-year weekly against the index</w:t>
            </w:r>
          </w:p>
        </w:tc>
        <w:tc>
          <w:tcPr>
            <w:tcW w:type="dxa" w:w="1152"/>
          </w:tcPr>
          <w:p>
            <w:pPr>
              <w:spacing w:after="20"/>
              <w:jc w:val="right"/>
            </w:pPr>
            <w:r>
              <w:rPr>
                <w:color w:val="1C3A36"/>
                <w:sz w:val="18"/>
              </w:rPr>
              <w:t>1.025</w:t>
            </w:r>
          </w:p>
        </w:tc>
        <w:tc>
          <w:tcPr>
            <w:tcW w:type="dxa" w:w="1440"/>
          </w:tcPr>
          <w:p>
            <w:pPr>
              <w:spacing w:after="20"/>
              <w:jc w:val="right"/>
            </w:pPr>
            <w:r>
              <w:rPr>
                <w:color w:val="1C3A36"/>
                <w:sz w:val="18"/>
              </w:rPr>
              <w:t>0.142</w:t>
            </w:r>
          </w:p>
        </w:tc>
        <w:tc>
          <w:tcPr>
            <w:tcW w:type="dxa" w:w="1080"/>
          </w:tcPr>
          <w:p>
            <w:pPr>
              <w:spacing w:after="20"/>
              <w:jc w:val="right"/>
            </w:pPr>
            <w:r>
              <w:rPr>
                <w:color w:val="1C3A36"/>
                <w:sz w:val="18"/>
              </w:rPr>
              <w:t>153</w:t>
            </w:r>
          </w:p>
        </w:tc>
        <w:tc>
          <w:tcPr>
            <w:tcW w:type="dxa" w:w="1584"/>
          </w:tcPr>
          <w:p>
            <w:pPr>
              <w:spacing w:after="20"/>
              <w:jc w:val="right"/>
            </w:pPr>
            <w:r>
              <w:rPr>
                <w:color w:val="1C3A36"/>
                <w:sz w:val="18"/>
              </w:rPr>
              <w:t>0.205</w:t>
            </w:r>
          </w:p>
        </w:tc>
      </w:tr>
      <w:tr>
        <w:tc>
          <w:tcPr>
            <w:tcW w:type="dxa" w:w="4248"/>
          </w:tcPr>
          <w:p>
            <w:pPr>
              <w:spacing w:after="20"/>
            </w:pPr>
            <w:r>
              <w:rPr>
                <w:color w:val="1C3A36"/>
                <w:sz w:val="18"/>
              </w:rPr>
              <w:t>Two-year weekly against the index</w:t>
            </w:r>
          </w:p>
        </w:tc>
        <w:tc>
          <w:tcPr>
            <w:tcW w:type="dxa" w:w="1152"/>
          </w:tcPr>
          <w:p>
            <w:pPr>
              <w:spacing w:after="20"/>
              <w:jc w:val="right"/>
            </w:pPr>
            <w:r>
              <w:rPr>
                <w:color w:val="1C3A36"/>
                <w:sz w:val="18"/>
              </w:rPr>
              <w:t>0.890</w:t>
            </w:r>
          </w:p>
        </w:tc>
        <w:tc>
          <w:tcPr>
            <w:tcW w:type="dxa" w:w="1440"/>
          </w:tcPr>
          <w:p>
            <w:pPr>
              <w:spacing w:after="20"/>
              <w:jc w:val="right"/>
            </w:pPr>
            <w:r>
              <w:rPr>
                <w:color w:val="1C3A36"/>
                <w:sz w:val="18"/>
              </w:rPr>
              <w:t>0.109</w:t>
            </w:r>
          </w:p>
        </w:tc>
        <w:tc>
          <w:tcPr>
            <w:tcW w:type="dxa" w:w="1080"/>
          </w:tcPr>
          <w:p>
            <w:pPr>
              <w:spacing w:after="20"/>
              <w:jc w:val="right"/>
            </w:pPr>
            <w:r>
              <w:rPr>
                <w:color w:val="1C3A36"/>
                <w:sz w:val="18"/>
              </w:rPr>
              <w:t>102</w:t>
            </w:r>
          </w:p>
        </w:tc>
        <w:tc>
          <w:tcPr>
            <w:tcW w:type="dxa" w:w="1584"/>
          </w:tcPr>
          <w:p>
            <w:pPr>
              <w:spacing w:after="20"/>
              <w:jc w:val="right"/>
            </w:pPr>
            <w:r>
              <w:rPr>
                <w:color w:val="1C3A36"/>
                <w:sz w:val="18"/>
              </w:rPr>
              <w:t>0.255</w:t>
            </w:r>
          </w:p>
        </w:tc>
      </w:tr>
      <w:tr>
        <w:tc>
          <w:tcPr>
            <w:tcW w:type="dxa" w:w="4248"/>
          </w:tcPr>
          <w:p>
            <w:pPr>
              <w:spacing w:after="20"/>
            </w:pPr>
            <w:r>
              <w:rPr>
                <w:color w:val="1C3A36"/>
                <w:sz w:val="18"/>
              </w:rPr>
              <w:t>Five-year monthly against the index</w:t>
            </w:r>
          </w:p>
        </w:tc>
        <w:tc>
          <w:tcPr>
            <w:tcW w:type="dxa" w:w="1152"/>
          </w:tcPr>
          <w:p>
            <w:pPr>
              <w:spacing w:after="20"/>
              <w:jc w:val="right"/>
            </w:pPr>
            <w:r>
              <w:rPr>
                <w:color w:val="1C3A36"/>
                <w:sz w:val="18"/>
              </w:rPr>
              <w:t>0.471</w:t>
            </w:r>
          </w:p>
        </w:tc>
        <w:tc>
          <w:tcPr>
            <w:tcW w:type="dxa" w:w="1440"/>
          </w:tcPr>
          <w:p>
            <w:pPr>
              <w:spacing w:after="20"/>
              <w:jc w:val="right"/>
            </w:pPr>
            <w:r>
              <w:rPr>
                <w:color w:val="1C3A36"/>
                <w:sz w:val="18"/>
              </w:rPr>
              <w:t>0.059</w:t>
            </w:r>
          </w:p>
        </w:tc>
        <w:tc>
          <w:tcPr>
            <w:tcW w:type="dxa" w:w="1080"/>
          </w:tcPr>
          <w:p>
            <w:pPr>
              <w:spacing w:after="20"/>
              <w:jc w:val="right"/>
            </w:pPr>
            <w:r>
              <w:rPr>
                <w:color w:val="1C3A36"/>
                <w:sz w:val="18"/>
              </w:rPr>
              <w:t>57</w:t>
            </w:r>
          </w:p>
        </w:tc>
        <w:tc>
          <w:tcPr>
            <w:tcW w:type="dxa" w:w="1584"/>
          </w:tcPr>
          <w:p>
            <w:pPr>
              <w:spacing w:after="20"/>
              <w:jc w:val="right"/>
            </w:pPr>
            <w:r>
              <w:rPr>
                <w:color w:val="1C3A36"/>
                <w:sz w:val="18"/>
              </w:rPr>
              <w:t>0.255</w:t>
            </w:r>
          </w:p>
        </w:tc>
      </w:tr>
      <w:tr>
        <w:tc>
          <w:tcPr>
            <w:tcW w:type="dxa" w:w="4248"/>
          </w:tcPr>
          <w:p>
            <w:pPr>
              <w:spacing w:after="20"/>
            </w:pPr>
            <w:r>
              <w:rPr>
                <w:color w:val="1C3A36"/>
                <w:sz w:val="18"/>
              </w:rPr>
              <w:t>Five-year weekly against an equal-weight composite of the market</w:t>
            </w:r>
          </w:p>
        </w:tc>
        <w:tc>
          <w:tcPr>
            <w:tcW w:type="dxa" w:w="1152"/>
          </w:tcPr>
          <w:p>
            <w:pPr>
              <w:spacing w:after="20"/>
              <w:jc w:val="right"/>
            </w:pPr>
            <w:r>
              <w:rPr>
                <w:color w:val="1C3A36"/>
                <w:sz w:val="18"/>
              </w:rPr>
              <w:t>0.664</w:t>
            </w:r>
          </w:p>
        </w:tc>
        <w:tc>
          <w:tcPr>
            <w:tcW w:type="dxa" w:w="1440"/>
          </w:tcPr>
          <w:p>
            <w:pPr>
              <w:spacing w:after="20"/>
              <w:jc w:val="right"/>
            </w:pPr>
            <w:r>
              <w:rPr>
                <w:color w:val="1C3A36"/>
                <w:sz w:val="18"/>
              </w:rPr>
              <w:t>0.160</w:t>
            </w:r>
          </w:p>
        </w:tc>
        <w:tc>
          <w:tcPr>
            <w:tcW w:type="dxa" w:w="1080"/>
          </w:tcPr>
          <w:p>
            <w:pPr>
              <w:spacing w:after="20"/>
              <w:jc w:val="right"/>
            </w:pPr>
            <w:r>
              <w:rPr>
                <w:color w:val="1C3A36"/>
                <w:sz w:val="18"/>
              </w:rPr>
              <w:t>249</w:t>
            </w:r>
          </w:p>
        </w:tc>
        <w:tc>
          <w:tcPr>
            <w:tcW w:type="dxa" w:w="1584"/>
          </w:tcPr>
          <w:p>
            <w:pPr>
              <w:spacing w:after="20"/>
              <w:jc w:val="right"/>
            </w:pPr>
            <w:r>
              <w:rPr>
                <w:color w:val="1C3A36"/>
                <w:sz w:val="18"/>
              </w:rPr>
              <w:t>0.097</w:t>
            </w:r>
          </w:p>
        </w:tc>
      </w:tr>
      <w:tr>
        <w:tc>
          <w:tcPr>
            <w:tcW w:type="dxa" w:w="4248"/>
          </w:tcPr>
          <w:p>
            <w:pPr>
              <w:spacing w:after="20"/>
            </w:pPr>
            <w:r>
              <w:rPr>
                <w:color w:val="1C3A36"/>
                <w:sz w:val="18"/>
              </w:rPr>
              <w:t>Five-year weekly against a turnover-weighted composite</w:t>
            </w:r>
          </w:p>
        </w:tc>
        <w:tc>
          <w:tcPr>
            <w:tcW w:type="dxa" w:w="1152"/>
          </w:tcPr>
          <w:p>
            <w:pPr>
              <w:spacing w:after="20"/>
              <w:jc w:val="right"/>
            </w:pPr>
            <w:r>
              <w:rPr>
                <w:color w:val="1C3A36"/>
                <w:sz w:val="18"/>
              </w:rPr>
              <w:t>0.500</w:t>
            </w:r>
          </w:p>
        </w:tc>
        <w:tc>
          <w:tcPr>
            <w:tcW w:type="dxa" w:w="1440"/>
          </w:tcPr>
          <w:p>
            <w:pPr>
              <w:spacing w:after="20"/>
              <w:jc w:val="right"/>
            </w:pPr>
            <w:r>
              <w:rPr>
                <w:color w:val="1C3A36"/>
                <w:sz w:val="18"/>
              </w:rPr>
              <w:t>0.117</w:t>
            </w:r>
          </w:p>
        </w:tc>
        <w:tc>
          <w:tcPr>
            <w:tcW w:type="dxa" w:w="1080"/>
          </w:tcPr>
          <w:p>
            <w:pPr>
              <w:spacing w:after="20"/>
              <w:jc w:val="right"/>
            </w:pPr>
            <w:r>
              <w:rPr>
                <w:color w:val="1C3A36"/>
                <w:sz w:val="18"/>
              </w:rPr>
              <w:t>249</w:t>
            </w:r>
          </w:p>
        </w:tc>
        <w:tc>
          <w:tcPr>
            <w:tcW w:type="dxa" w:w="1584"/>
          </w:tcPr>
          <w:p>
            <w:pPr>
              <w:spacing w:after="20"/>
              <w:jc w:val="right"/>
            </w:pPr>
            <w:r>
              <w:rPr>
                <w:color w:val="1C3A36"/>
                <w:sz w:val="18"/>
              </w:rPr>
              <w:t>0.087</w:t>
            </w:r>
          </w:p>
        </w:tc>
      </w:tr>
    </w:tbl>
    <w:p>
      <w:pPr>
        <w:spacing w:after="40"/>
      </w:pPr>
    </w:p>
    <w:p>
      <w:pPr>
        <w:spacing w:after="80" w:before="0"/>
      </w:pPr>
      <w:r>
        <w:rPr>
          <w:b w:val="0"/>
          <w:i w:val="0"/>
          <w:color w:val="1C3A36"/>
          <w:sz w:val="21"/>
        </w:rPr>
        <w:t>Three things in that table matter. First, the published index is the regressor, not a composite: an equal-weight average of the market's constituents under-weights the large-capitalisation names the index is concentrated in, and here that difference is worth +0.132 of beta — about 64 basis points on the cost of equity. The two series are far from interchangeable despite a weekly return correlation of 0.84.</w:t>
      </w:r>
    </w:p>
    <w:p>
      <w:pPr>
        <w:spacing w:after="80" w:before="0"/>
      </w:pPr>
      <w:r>
        <w:rPr>
          <w:b w:val="0"/>
          <w:i w:val="0"/>
          <w:color w:val="1C3A36"/>
          <w:sz w:val="21"/>
        </w:rPr>
        <w:t>Second, the estimate is not stable across windows. The three-year window gives 1.025 — above one — and the monthly regression gives 0.471. The five-year weekly run is adopted because it has the most observations and the tightest standard error, not because it is the middle of the range. A reader who prefers the three-year window should read the beta row of the sensitivity table in section 1.9 and take the answer there.</w:t>
      </w:r>
    </w:p>
    <w:p>
      <w:pPr>
        <w:spacing w:after="80" w:before="0"/>
      </w:pPr>
      <w:r>
        <w:rPr>
          <w:b w:val="0"/>
          <w:i w:val="0"/>
          <w:color w:val="1C3A36"/>
          <w:sz w:val="21"/>
        </w:rPr>
        <w:t>Third, one is no longer outside the confidence interval. The 90% interval reaches 1.01. A contracted revenue stream from a state counterparty ought to be defensive, and on the five-year weekly measure it is, but the evidence for that is weaker than a point estimate suggests. The sensitivity to beta is published in section 1.9 for exactly that reason, and it is the largest single sensitivity in this study.</w:t>
      </w:r>
    </w:p>
    <w:p>
      <w:pPr>
        <w:spacing w:after="120" w:before="0"/>
      </w:pPr>
      <w:r>
        <w:rPr>
          <w:b w:val="0"/>
          <w:i w:val="0"/>
          <w:color w:val="1C3A36"/>
          <w:sz w:val="21"/>
        </w:rPr>
        <w:t>One disclosure on timing: the index series runs to 2026-07-24 while the price series runs to 2026-08-07, so the regression's overlap ends 14 days before the valuation anchor. That costs two of roughly 250 weekly observations and does not move the estimate, but it is stated rather than passed over.</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5852160" cy="2817707"/>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852160" cy="2817707"/>
                    </a:xfrm>
                    <a:prstGeom prst="rect"/>
                  </pic:spPr>
                </pic:pic>
              </a:graphicData>
            </a:graphic>
          </wp:inline>
        </w:drawing>
      </w:r>
    </w:p>
    <w:p>
      <w:pPr>
        <w:spacing w:after="200" w:before="0"/>
      </w:pPr>
      <w:r>
        <w:rPr>
          <w:b w:val="0"/>
          <w:i/>
          <w:color w:val="6E7B77"/>
          <w:sz w:val="17"/>
        </w:rPr>
        <w:t>Discounted-cash-flow value per share against the cost of capital and the terminal growth rate, continued-expansion case. Bold cells lie within AED 0.20 of the market price.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088"/>
        <w:gridCol w:w="2520"/>
        <w:gridCol w:w="2952"/>
      </w:tblGrid>
      <w:tr>
        <w:tc>
          <w:tcPr>
            <w:tcW w:type="dxa" w:w="2520"/>
            <w:shd w:val="clear" w:color="auto" w:fill="EAF0EE"/>
          </w:tcPr>
          <w:p>
            <w:pPr>
              <w:spacing w:after="20"/>
            </w:pPr>
            <w:r>
              <w:rPr>
                <w:b/>
                <w:color w:val="1C3A36"/>
                <w:sz w:val="18"/>
              </w:rPr>
              <w:t>Driver</w:t>
            </w:r>
          </w:p>
        </w:tc>
        <w:tc>
          <w:tcPr>
            <w:tcW w:type="dxa" w:w="2088"/>
            <w:shd w:val="clear" w:color="auto" w:fill="EAF0EE"/>
          </w:tcPr>
          <w:p>
            <w:pPr>
              <w:spacing w:after="20"/>
            </w:pPr>
            <w:r>
              <w:rPr>
                <w:b/>
                <w:color w:val="1C3A36"/>
                <w:sz w:val="18"/>
              </w:rPr>
              <w:t>Move</w:t>
            </w:r>
          </w:p>
        </w:tc>
        <w:tc>
          <w:tcPr>
            <w:tcW w:type="dxa" w:w="2520"/>
            <w:shd w:val="clear" w:color="auto" w:fill="EAF0EE"/>
          </w:tcPr>
          <w:p>
            <w:pPr>
              <w:spacing w:after="20"/>
            </w:pPr>
            <w:r>
              <w:rPr>
                <w:b/>
                <w:color w:val="1C3A36"/>
                <w:sz w:val="18"/>
              </w:rPr>
              <w:t>Value per share (AED)</w:t>
            </w:r>
          </w:p>
        </w:tc>
        <w:tc>
          <w:tcPr>
            <w:tcW w:type="dxa" w:w="2952"/>
            <w:shd w:val="clear" w:color="auto" w:fill="EAF0EE"/>
          </w:tcPr>
          <w:p>
            <w:pPr>
              <w:spacing w:after="20"/>
            </w:pPr>
            <w:r>
              <w:rPr>
                <w:b/>
                <w:color w:val="1C3A36"/>
                <w:sz w:val="18"/>
              </w:rPr>
              <w:t>Change against the base</w:t>
            </w:r>
          </w:p>
        </w:tc>
      </w:tr>
      <w:tr>
        <w:tc>
          <w:tcPr>
            <w:tcW w:type="dxa" w:w="2520"/>
          </w:tcPr>
          <w:p>
            <w:pPr>
              <w:spacing w:after="20"/>
            </w:pPr>
            <w:r>
              <w:rPr>
                <w:color w:val="1C3A36"/>
                <w:sz w:val="18"/>
              </w:rPr>
              <w:t>Equity beta</w:t>
            </w:r>
          </w:p>
        </w:tc>
        <w:tc>
          <w:tcPr>
            <w:tcW w:type="dxa" w:w="2088"/>
          </w:tcPr>
          <w:p>
            <w:pPr>
              <w:spacing w:after="20"/>
              <w:jc w:val="right"/>
            </w:pPr>
            <w:r>
              <w:rPr>
                <w:color w:val="1C3A36"/>
                <w:sz w:val="18"/>
              </w:rPr>
              <w:t>0.500</w:t>
            </w:r>
          </w:p>
        </w:tc>
        <w:tc>
          <w:tcPr>
            <w:tcW w:type="dxa" w:w="2520"/>
          </w:tcPr>
          <w:p>
            <w:pPr>
              <w:spacing w:after="20"/>
              <w:jc w:val="right"/>
            </w:pPr>
            <w:r>
              <w:rPr>
                <w:color w:val="1C3A36"/>
                <w:sz w:val="18"/>
              </w:rPr>
              <w:t>8.26</w:t>
            </w:r>
          </w:p>
        </w:tc>
        <w:tc>
          <w:tcPr>
            <w:tcW w:type="dxa" w:w="2952"/>
          </w:tcPr>
          <w:p>
            <w:pPr>
              <w:spacing w:after="20"/>
              <w:jc w:val="right"/>
            </w:pPr>
            <w:r>
              <w:rPr>
                <w:color w:val="1C3A36"/>
                <w:sz w:val="18"/>
              </w:rPr>
              <w:t>32.8%</w:t>
            </w:r>
          </w:p>
        </w:tc>
      </w:tr>
      <w:tr>
        <w:tc>
          <w:tcPr>
            <w:tcW w:type="dxa" w:w="2520"/>
          </w:tcPr>
          <w:p>
            <w:pPr>
              <w:spacing w:after="20"/>
            </w:pPr>
            <w:r>
              <w:rPr>
                <w:color w:val="1C3A36"/>
                <w:sz w:val="18"/>
              </w:rPr>
              <w:t>Equity beta</w:t>
            </w:r>
          </w:p>
        </w:tc>
        <w:tc>
          <w:tcPr>
            <w:tcW w:type="dxa" w:w="2088"/>
          </w:tcPr>
          <w:p>
            <w:pPr>
              <w:spacing w:after="20"/>
              <w:jc w:val="right"/>
            </w:pPr>
            <w:r>
              <w:rPr>
                <w:color w:val="1C3A36"/>
                <w:sz w:val="18"/>
              </w:rPr>
              <w:t>0.664</w:t>
            </w:r>
          </w:p>
        </w:tc>
        <w:tc>
          <w:tcPr>
            <w:tcW w:type="dxa" w:w="2520"/>
          </w:tcPr>
          <w:p>
            <w:pPr>
              <w:spacing w:after="20"/>
              <w:jc w:val="right"/>
            </w:pPr>
            <w:r>
              <w:rPr>
                <w:color w:val="1C3A36"/>
                <w:sz w:val="18"/>
              </w:rPr>
              <w:t>6.99</w:t>
            </w:r>
          </w:p>
        </w:tc>
        <w:tc>
          <w:tcPr>
            <w:tcW w:type="dxa" w:w="2952"/>
          </w:tcPr>
          <w:p>
            <w:pPr>
              <w:spacing w:after="20"/>
              <w:jc w:val="right"/>
            </w:pPr>
            <w:r>
              <w:rPr>
                <w:color w:val="1C3A36"/>
                <w:sz w:val="18"/>
              </w:rPr>
              <w:t>12.4%</w:t>
            </w:r>
          </w:p>
        </w:tc>
      </w:tr>
      <w:tr>
        <w:tc>
          <w:tcPr>
            <w:tcW w:type="dxa" w:w="2520"/>
          </w:tcPr>
          <w:p>
            <w:pPr>
              <w:spacing w:after="20"/>
            </w:pPr>
            <w:r>
              <w:rPr>
                <w:color w:val="1C3A36"/>
                <w:sz w:val="18"/>
              </w:rPr>
              <w:t>Equity beta</w:t>
            </w:r>
          </w:p>
        </w:tc>
        <w:tc>
          <w:tcPr>
            <w:tcW w:type="dxa" w:w="2088"/>
          </w:tcPr>
          <w:p>
            <w:pPr>
              <w:spacing w:after="20"/>
              <w:jc w:val="right"/>
            </w:pPr>
            <w:r>
              <w:rPr>
                <w:color w:val="1C3A36"/>
                <w:sz w:val="18"/>
              </w:rPr>
              <w:t>0.795</w:t>
            </w:r>
          </w:p>
        </w:tc>
        <w:tc>
          <w:tcPr>
            <w:tcW w:type="dxa" w:w="2520"/>
          </w:tcPr>
          <w:p>
            <w:pPr>
              <w:spacing w:after="20"/>
              <w:jc w:val="right"/>
            </w:pPr>
            <w:r>
              <w:rPr>
                <w:color w:val="1C3A36"/>
                <w:sz w:val="18"/>
              </w:rPr>
              <w:t>6.22</w:t>
            </w:r>
          </w:p>
        </w:tc>
        <w:tc>
          <w:tcPr>
            <w:tcW w:type="dxa" w:w="2952"/>
          </w:tcPr>
          <w:p>
            <w:pPr>
              <w:spacing w:after="20"/>
              <w:jc w:val="right"/>
            </w:pPr>
            <w:r>
              <w:rPr>
                <w:color w:val="1C3A36"/>
                <w:sz w:val="18"/>
              </w:rPr>
              <w:t>base case</w:t>
            </w:r>
          </w:p>
        </w:tc>
      </w:tr>
      <w:tr>
        <w:tc>
          <w:tcPr>
            <w:tcW w:type="dxa" w:w="2520"/>
          </w:tcPr>
          <w:p>
            <w:pPr>
              <w:spacing w:after="20"/>
            </w:pPr>
            <w:r>
              <w:rPr>
                <w:color w:val="1C3A36"/>
                <w:sz w:val="18"/>
              </w:rPr>
              <w:t>Equity beta</w:t>
            </w:r>
          </w:p>
        </w:tc>
        <w:tc>
          <w:tcPr>
            <w:tcW w:type="dxa" w:w="2088"/>
          </w:tcPr>
          <w:p>
            <w:pPr>
              <w:spacing w:after="20"/>
              <w:jc w:val="right"/>
            </w:pPr>
            <w:r>
              <w:rPr>
                <w:color w:val="1C3A36"/>
                <w:sz w:val="18"/>
              </w:rPr>
              <w:t>0.900</w:t>
            </w:r>
          </w:p>
        </w:tc>
        <w:tc>
          <w:tcPr>
            <w:tcW w:type="dxa" w:w="2520"/>
          </w:tcPr>
          <w:p>
            <w:pPr>
              <w:spacing w:after="20"/>
              <w:jc w:val="right"/>
            </w:pPr>
            <w:r>
              <w:rPr>
                <w:color w:val="1C3A36"/>
                <w:sz w:val="18"/>
              </w:rPr>
              <w:t>5.71</w:t>
            </w:r>
          </w:p>
        </w:tc>
        <w:tc>
          <w:tcPr>
            <w:tcW w:type="dxa" w:w="2952"/>
          </w:tcPr>
          <w:p>
            <w:pPr>
              <w:spacing w:after="20"/>
              <w:jc w:val="right"/>
            </w:pPr>
            <w:r>
              <w:rPr>
                <w:color w:val="1C3A36"/>
                <w:sz w:val="18"/>
              </w:rPr>
              <w:t>-8.2%</w:t>
            </w:r>
          </w:p>
        </w:tc>
      </w:tr>
      <w:tr>
        <w:tc>
          <w:tcPr>
            <w:tcW w:type="dxa" w:w="2520"/>
          </w:tcPr>
          <w:p>
            <w:pPr>
              <w:spacing w:after="20"/>
            </w:pPr>
            <w:r>
              <w:rPr>
                <w:color w:val="1C3A36"/>
                <w:sz w:val="18"/>
              </w:rPr>
              <w:t>Equity beta</w:t>
            </w:r>
          </w:p>
        </w:tc>
        <w:tc>
          <w:tcPr>
            <w:tcW w:type="dxa" w:w="2088"/>
          </w:tcPr>
          <w:p>
            <w:pPr>
              <w:spacing w:after="20"/>
              <w:jc w:val="right"/>
            </w:pPr>
            <w:r>
              <w:rPr>
                <w:color w:val="1C3A36"/>
                <w:sz w:val="18"/>
              </w:rPr>
              <w:t>1.010</w:t>
            </w:r>
          </w:p>
        </w:tc>
        <w:tc>
          <w:tcPr>
            <w:tcW w:type="dxa" w:w="2520"/>
          </w:tcPr>
          <w:p>
            <w:pPr>
              <w:spacing w:after="20"/>
              <w:jc w:val="right"/>
            </w:pPr>
            <w:r>
              <w:rPr>
                <w:color w:val="1C3A36"/>
                <w:sz w:val="18"/>
              </w:rPr>
              <w:t>5.25</w:t>
            </w:r>
          </w:p>
        </w:tc>
        <w:tc>
          <w:tcPr>
            <w:tcW w:type="dxa" w:w="2952"/>
          </w:tcPr>
          <w:p>
            <w:pPr>
              <w:spacing w:after="20"/>
              <w:jc w:val="right"/>
            </w:pPr>
            <w:r>
              <w:rPr>
                <w:color w:val="1C3A36"/>
                <w:sz w:val="18"/>
              </w:rPr>
              <w:t>-15.6%</w:t>
            </w:r>
          </w:p>
        </w:tc>
      </w:tr>
      <w:tr>
        <w:tc>
          <w:tcPr>
            <w:tcW w:type="dxa" w:w="2520"/>
          </w:tcPr>
          <w:p>
            <w:pPr>
              <w:spacing w:after="20"/>
            </w:pPr>
            <w:r>
              <w:rPr>
                <w:color w:val="1C3A36"/>
                <w:sz w:val="18"/>
              </w:rPr>
              <w:t>EBITDA margin</w:t>
            </w:r>
          </w:p>
        </w:tc>
        <w:tc>
          <w:tcPr>
            <w:tcW w:type="dxa" w:w="2088"/>
          </w:tcPr>
          <w:p>
            <w:pPr>
              <w:spacing w:after="20"/>
              <w:jc w:val="right"/>
            </w:pPr>
            <w:r>
              <w:rPr>
                <w:color w:val="1C3A36"/>
                <w:sz w:val="18"/>
              </w:rPr>
              <w:t>-4 points</w:t>
            </w:r>
          </w:p>
        </w:tc>
        <w:tc>
          <w:tcPr>
            <w:tcW w:type="dxa" w:w="2520"/>
          </w:tcPr>
          <w:p>
            <w:pPr>
              <w:spacing w:after="20"/>
              <w:jc w:val="right"/>
            </w:pPr>
            <w:r>
              <w:rPr>
                <w:color w:val="1C3A36"/>
                <w:sz w:val="18"/>
              </w:rPr>
              <w:t>5.46</w:t>
            </w:r>
          </w:p>
        </w:tc>
        <w:tc>
          <w:tcPr>
            <w:tcW w:type="dxa" w:w="2952"/>
          </w:tcPr>
          <w:p>
            <w:pPr>
              <w:spacing w:after="20"/>
              <w:jc w:val="right"/>
            </w:pPr>
            <w:r>
              <w:rPr>
                <w:color w:val="1C3A36"/>
                <w:sz w:val="18"/>
              </w:rPr>
              <w:t>-12.2%</w:t>
            </w:r>
          </w:p>
        </w:tc>
      </w:tr>
      <w:tr>
        <w:tc>
          <w:tcPr>
            <w:tcW w:type="dxa" w:w="2520"/>
          </w:tcPr>
          <w:p>
            <w:pPr>
              <w:spacing w:after="20"/>
            </w:pPr>
            <w:r>
              <w:rPr>
                <w:color w:val="1C3A36"/>
                <w:sz w:val="18"/>
              </w:rPr>
              <w:t>EBITDA margin</w:t>
            </w:r>
          </w:p>
        </w:tc>
        <w:tc>
          <w:tcPr>
            <w:tcW w:type="dxa" w:w="2088"/>
          </w:tcPr>
          <w:p>
            <w:pPr>
              <w:spacing w:after="20"/>
              <w:jc w:val="right"/>
            </w:pPr>
            <w:r>
              <w:rPr>
                <w:color w:val="1C3A36"/>
                <w:sz w:val="18"/>
              </w:rPr>
              <w:t>-2 points</w:t>
            </w:r>
          </w:p>
        </w:tc>
        <w:tc>
          <w:tcPr>
            <w:tcW w:type="dxa" w:w="2520"/>
          </w:tcPr>
          <w:p>
            <w:pPr>
              <w:spacing w:after="20"/>
              <w:jc w:val="right"/>
            </w:pPr>
            <w:r>
              <w:rPr>
                <w:color w:val="1C3A36"/>
                <w:sz w:val="18"/>
              </w:rPr>
              <w:t>5.84</w:t>
            </w:r>
          </w:p>
        </w:tc>
        <w:tc>
          <w:tcPr>
            <w:tcW w:type="dxa" w:w="2952"/>
          </w:tcPr>
          <w:p>
            <w:pPr>
              <w:spacing w:after="20"/>
              <w:jc w:val="right"/>
            </w:pPr>
            <w:r>
              <w:rPr>
                <w:color w:val="1C3A36"/>
                <w:sz w:val="18"/>
              </w:rPr>
              <w:t>-6.1%</w:t>
            </w:r>
          </w:p>
        </w:tc>
      </w:tr>
      <w:tr>
        <w:tc>
          <w:tcPr>
            <w:tcW w:type="dxa" w:w="2520"/>
          </w:tcPr>
          <w:p>
            <w:pPr>
              <w:spacing w:after="20"/>
            </w:pPr>
            <w:r>
              <w:rPr>
                <w:color w:val="1C3A36"/>
                <w:sz w:val="18"/>
              </w:rPr>
              <w:t>EBITDA margin</w:t>
            </w:r>
          </w:p>
        </w:tc>
        <w:tc>
          <w:tcPr>
            <w:tcW w:type="dxa" w:w="2088"/>
          </w:tcPr>
          <w:p>
            <w:pPr>
              <w:spacing w:after="20"/>
              <w:jc w:val="right"/>
            </w:pPr>
            <w:r>
              <w:rPr>
                <w:color w:val="1C3A36"/>
                <w:sz w:val="18"/>
              </w:rPr>
              <w:t>+0 points</w:t>
            </w:r>
          </w:p>
        </w:tc>
        <w:tc>
          <w:tcPr>
            <w:tcW w:type="dxa" w:w="2520"/>
          </w:tcPr>
          <w:p>
            <w:pPr>
              <w:spacing w:after="20"/>
              <w:jc w:val="right"/>
            </w:pPr>
            <w:r>
              <w:rPr>
                <w:color w:val="1C3A36"/>
                <w:sz w:val="18"/>
              </w:rPr>
              <w:t>6.22</w:t>
            </w:r>
          </w:p>
        </w:tc>
        <w:tc>
          <w:tcPr>
            <w:tcW w:type="dxa" w:w="2952"/>
          </w:tcPr>
          <w:p>
            <w:pPr>
              <w:spacing w:after="20"/>
              <w:jc w:val="right"/>
            </w:pPr>
            <w:r>
              <w:rPr>
                <w:color w:val="1C3A36"/>
                <w:sz w:val="18"/>
              </w:rPr>
              <w:t>base case</w:t>
            </w:r>
          </w:p>
        </w:tc>
      </w:tr>
      <w:tr>
        <w:tc>
          <w:tcPr>
            <w:tcW w:type="dxa" w:w="2520"/>
          </w:tcPr>
          <w:p>
            <w:pPr>
              <w:spacing w:after="20"/>
            </w:pPr>
            <w:r>
              <w:rPr>
                <w:color w:val="1C3A36"/>
                <w:sz w:val="18"/>
              </w:rPr>
              <w:t>EBITDA margin</w:t>
            </w:r>
          </w:p>
        </w:tc>
        <w:tc>
          <w:tcPr>
            <w:tcW w:type="dxa" w:w="2088"/>
          </w:tcPr>
          <w:p>
            <w:pPr>
              <w:spacing w:after="20"/>
              <w:jc w:val="right"/>
            </w:pPr>
            <w:r>
              <w:rPr>
                <w:color w:val="1C3A36"/>
                <w:sz w:val="18"/>
              </w:rPr>
              <w:t>+2 points</w:t>
            </w:r>
          </w:p>
        </w:tc>
        <w:tc>
          <w:tcPr>
            <w:tcW w:type="dxa" w:w="2520"/>
          </w:tcPr>
          <w:p>
            <w:pPr>
              <w:spacing w:after="20"/>
              <w:jc w:val="right"/>
            </w:pPr>
            <w:r>
              <w:rPr>
                <w:color w:val="1C3A36"/>
                <w:sz w:val="18"/>
              </w:rPr>
              <w:t>6.60</w:t>
            </w:r>
          </w:p>
        </w:tc>
        <w:tc>
          <w:tcPr>
            <w:tcW w:type="dxa" w:w="2952"/>
          </w:tcPr>
          <w:p>
            <w:pPr>
              <w:spacing w:after="20"/>
              <w:jc w:val="right"/>
            </w:pPr>
            <w:r>
              <w:rPr>
                <w:color w:val="1C3A36"/>
                <w:sz w:val="18"/>
              </w:rPr>
              <w:t>6.1%</w:t>
            </w:r>
          </w:p>
        </w:tc>
      </w:tr>
      <w:tr>
        <w:tc>
          <w:tcPr>
            <w:tcW w:type="dxa" w:w="2520"/>
          </w:tcPr>
          <w:p>
            <w:pPr>
              <w:spacing w:after="20"/>
            </w:pPr>
            <w:r>
              <w:rPr>
                <w:color w:val="1C3A36"/>
                <w:sz w:val="18"/>
              </w:rPr>
              <w:t>EBITDA margin</w:t>
            </w:r>
          </w:p>
        </w:tc>
        <w:tc>
          <w:tcPr>
            <w:tcW w:type="dxa" w:w="2088"/>
          </w:tcPr>
          <w:p>
            <w:pPr>
              <w:spacing w:after="20"/>
              <w:jc w:val="right"/>
            </w:pPr>
            <w:r>
              <w:rPr>
                <w:color w:val="1C3A36"/>
                <w:sz w:val="18"/>
              </w:rPr>
              <w:t>+4 points</w:t>
            </w:r>
          </w:p>
        </w:tc>
        <w:tc>
          <w:tcPr>
            <w:tcW w:type="dxa" w:w="2520"/>
          </w:tcPr>
          <w:p>
            <w:pPr>
              <w:spacing w:after="20"/>
              <w:jc w:val="right"/>
            </w:pPr>
            <w:r>
              <w:rPr>
                <w:color w:val="1C3A36"/>
                <w:sz w:val="18"/>
              </w:rPr>
              <w:t>6.98</w:t>
            </w:r>
          </w:p>
        </w:tc>
        <w:tc>
          <w:tcPr>
            <w:tcW w:type="dxa" w:w="2952"/>
          </w:tcPr>
          <w:p>
            <w:pPr>
              <w:spacing w:after="20"/>
              <w:jc w:val="right"/>
            </w:pPr>
            <w:r>
              <w:rPr>
                <w:color w:val="1C3A36"/>
                <w:sz w:val="18"/>
              </w:rPr>
              <w:t>12.2%</w:t>
            </w:r>
          </w:p>
        </w:tc>
      </w:tr>
    </w:tbl>
    <w:p>
      <w:pPr>
        <w:spacing w:after="40"/>
      </w:pPr>
    </w:p>
    <w:p>
      <w:pPr>
        <w:spacing w:after="120" w:before="0"/>
      </w:pPr>
      <w:r>
        <w:rPr>
          <w:b w:val="0"/>
          <w:i w:val="0"/>
          <w:color w:val="1C3A36"/>
          <w:sz w:val="21"/>
        </w:rPr>
        <w:t>The single most powerful driver is the beta, and it is the one input in the whole model that is estimated from market data rather than read from a filing. Across the range the regressions in section 1.8 actually produced — from 0.50 on a turnover-weighted composite to 1.01 at the top of the adopted regression's own confidence interval — the continued-expansion case runs from AED 8.26 down to AED 5.25. That is a spread of AED 3.01, wider than the gap between the two terminal cases and wider than the gap between the central and the market price. It is stated here rather than buried in a footnote because it is the quickest way to overturn this study — in either direction.</w:t>
      </w:r>
    </w:p>
    <w:p>
      <w:r>
        <w:br w:type="page"/>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309360" cy="257524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6309360" cy="2575249"/>
                    </a:xfrm>
                    <a:prstGeom prst="rect"/>
                  </pic:spPr>
                </pic:pic>
              </a:graphicData>
            </a:graphic>
          </wp:inline>
        </w:drawing>
      </w:r>
    </w:p>
    <w:p>
      <w:pPr>
        <w:spacing w:after="200" w:before="0"/>
      </w:pPr>
      <w:r>
        <w:rPr>
          <w:b w:val="0"/>
          <w:i/>
          <w:color w:val="6E7B77"/>
          <w:sz w:val="17"/>
        </w:rPr>
        <w:t>Price against the 20-, 50- and 200-day moving averages, with the computed support and resistance ladder.</w:t>
      </w:r>
    </w:p>
    <w:p>
      <w:pPr>
        <w:spacing w:after="120" w:before="0"/>
      </w:pPr>
      <w:r>
        <w:rPr>
          <w:b w:val="0"/>
          <w:i w:val="0"/>
          <w:color w:val="1C3A36"/>
          <w:sz w:val="21"/>
        </w:rPr>
        <w:t>The price closed 5.94 above a rising 20-day (5.78), a falling 50-day (5.81) and a flat 200-day (5.51). Momentum is neutral: RSI(14) is ~57 and the daily ATR near 0.12 (~2.0%) points to a normal tape. MACD (12·26·9) is positive and rising (+0.06 / +0.02 / +0.04). Over the last year it has ranged 4.51–6.67; the last close sits 11% below that high and 32% above that low.</w:t>
      </w:r>
    </w:p>
    <w:p>
      <w:pPr>
        <w:spacing w:after="120" w:before="0"/>
      </w:pPr>
      <w:r>
        <w:rPr>
          <w:b w:val="0"/>
          <w:i w:val="0"/>
          <w:color w:val="1C3A36"/>
          <w:sz w:val="21"/>
        </w:rPr>
        <w:t>The trend reading is: trading above the whole moving-average stack, on a flat 200-day.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312"/>
        <w:gridCol w:w="3672"/>
      </w:tblGrid>
      <w:tr>
        <w:tc>
          <w:tcPr>
            <w:tcW w:type="dxa" w:w="2664"/>
            <w:shd w:val="clear" w:color="auto" w:fill="EAF0EE"/>
          </w:tcPr>
          <w:p>
            <w:pPr>
              <w:spacing w:after="20"/>
            </w:pPr>
            <w:r>
              <w:rPr>
                <w:b/>
                <w:color w:val="1C3A36"/>
                <w:sz w:val="18"/>
              </w:rPr>
            </w:r>
          </w:p>
        </w:tc>
        <w:tc>
          <w:tcPr>
            <w:tcW w:type="dxa" w:w="3312"/>
            <w:shd w:val="clear" w:color="auto" w:fill="EAF0EE"/>
          </w:tcPr>
          <w:p>
            <w:pPr>
              <w:spacing w:after="20"/>
            </w:pPr>
            <w:r>
              <w:rPr>
                <w:b/>
                <w:color w:val="1C3A36"/>
                <w:sz w:val="18"/>
              </w:rPr>
              <w:t>Level (AED)</w:t>
            </w:r>
          </w:p>
        </w:tc>
        <w:tc>
          <w:tcPr>
            <w:tcW w:type="dxa" w:w="3672"/>
            <w:shd w:val="clear" w:color="auto" w:fill="EAF0EE"/>
          </w:tcPr>
          <w:p>
            <w:pPr>
              <w:spacing w:after="20"/>
            </w:pPr>
            <w:r>
              <w:rPr>
                <w:b/>
                <w:color w:val="1C3A36"/>
                <w:sz w:val="18"/>
              </w:rPr>
              <w:t>Distance from the close</w:t>
            </w:r>
          </w:p>
        </w:tc>
      </w:tr>
      <w:tr>
        <w:tc>
          <w:tcPr>
            <w:tcW w:type="dxa" w:w="2664"/>
          </w:tcPr>
          <w:p>
            <w:pPr>
              <w:spacing w:after="20"/>
            </w:pPr>
            <w:r>
              <w:rPr>
                <w:color w:val="1C3A36"/>
                <w:sz w:val="18"/>
              </w:rPr>
              <w:t>Resistance 1</w:t>
            </w:r>
          </w:p>
        </w:tc>
        <w:tc>
          <w:tcPr>
            <w:tcW w:type="dxa" w:w="3312"/>
          </w:tcPr>
          <w:p>
            <w:pPr>
              <w:spacing w:after="20"/>
              <w:jc w:val="right"/>
            </w:pPr>
            <w:r>
              <w:rPr>
                <w:color w:val="1C3A36"/>
                <w:sz w:val="18"/>
              </w:rPr>
              <w:t>6.00</w:t>
            </w:r>
          </w:p>
        </w:tc>
        <w:tc>
          <w:tcPr>
            <w:tcW w:type="dxa" w:w="3672"/>
          </w:tcPr>
          <w:p>
            <w:pPr>
              <w:spacing w:after="20"/>
              <w:jc w:val="right"/>
            </w:pPr>
            <w:r>
              <w:rPr>
                <w:color w:val="1C3A36"/>
                <w:sz w:val="18"/>
              </w:rPr>
              <w:t>1.0%</w:t>
            </w:r>
          </w:p>
        </w:tc>
      </w:tr>
      <w:tr>
        <w:tc>
          <w:tcPr>
            <w:tcW w:type="dxa" w:w="2664"/>
          </w:tcPr>
          <w:p>
            <w:pPr>
              <w:spacing w:after="20"/>
            </w:pPr>
            <w:r>
              <w:rPr>
                <w:color w:val="1C3A36"/>
                <w:sz w:val="18"/>
              </w:rPr>
              <w:t>Resistance 2</w:t>
            </w:r>
          </w:p>
        </w:tc>
        <w:tc>
          <w:tcPr>
            <w:tcW w:type="dxa" w:w="3312"/>
          </w:tcPr>
          <w:p>
            <w:pPr>
              <w:spacing w:after="20"/>
              <w:jc w:val="right"/>
            </w:pPr>
            <w:r>
              <w:rPr>
                <w:color w:val="1C3A36"/>
                <w:sz w:val="18"/>
              </w:rPr>
              <w:t>6.31</w:t>
            </w:r>
          </w:p>
        </w:tc>
        <w:tc>
          <w:tcPr>
            <w:tcW w:type="dxa" w:w="3672"/>
          </w:tcPr>
          <w:p>
            <w:pPr>
              <w:spacing w:after="20"/>
              <w:jc w:val="right"/>
            </w:pPr>
            <w:r>
              <w:rPr>
                <w:color w:val="1C3A36"/>
                <w:sz w:val="18"/>
              </w:rPr>
              <w:t>6.2%</w:t>
            </w:r>
          </w:p>
        </w:tc>
      </w:tr>
      <w:tr>
        <w:tc>
          <w:tcPr>
            <w:tcW w:type="dxa" w:w="2664"/>
          </w:tcPr>
          <w:p>
            <w:pPr>
              <w:spacing w:after="20"/>
            </w:pPr>
            <w:r>
              <w:rPr>
                <w:color w:val="1C3A36"/>
                <w:sz w:val="18"/>
              </w:rPr>
              <w:t>Resistance 3</w:t>
            </w:r>
          </w:p>
        </w:tc>
        <w:tc>
          <w:tcPr>
            <w:tcW w:type="dxa" w:w="3312"/>
          </w:tcPr>
          <w:p>
            <w:pPr>
              <w:spacing w:after="20"/>
              <w:jc w:val="right"/>
            </w:pPr>
            <w:r>
              <w:rPr>
                <w:color w:val="1C3A36"/>
                <w:sz w:val="18"/>
              </w:rPr>
              <w:t>6.67</w:t>
            </w:r>
          </w:p>
        </w:tc>
        <w:tc>
          <w:tcPr>
            <w:tcW w:type="dxa" w:w="3672"/>
          </w:tcPr>
          <w:p>
            <w:pPr>
              <w:spacing w:after="20"/>
              <w:jc w:val="right"/>
            </w:pPr>
            <w:r>
              <w:rPr>
                <w:color w:val="1C3A36"/>
                <w:sz w:val="18"/>
              </w:rPr>
              <w:t>12.3%</w:t>
            </w:r>
          </w:p>
        </w:tc>
      </w:tr>
      <w:tr>
        <w:tc>
          <w:tcPr>
            <w:tcW w:type="dxa" w:w="2664"/>
          </w:tcPr>
          <w:p>
            <w:pPr>
              <w:spacing w:after="20"/>
            </w:pPr>
            <w:r>
              <w:rPr>
                <w:color w:val="1C3A36"/>
                <w:sz w:val="18"/>
              </w:rPr>
              <w:t>Support 1</w:t>
            </w:r>
          </w:p>
        </w:tc>
        <w:tc>
          <w:tcPr>
            <w:tcW w:type="dxa" w:w="3312"/>
          </w:tcPr>
          <w:p>
            <w:pPr>
              <w:spacing w:after="20"/>
              <w:jc w:val="right"/>
            </w:pPr>
            <w:r>
              <w:rPr>
                <w:color w:val="1C3A36"/>
                <w:sz w:val="18"/>
              </w:rPr>
              <w:t>5.86</w:t>
            </w:r>
          </w:p>
        </w:tc>
        <w:tc>
          <w:tcPr>
            <w:tcW w:type="dxa" w:w="3672"/>
          </w:tcPr>
          <w:p>
            <w:pPr>
              <w:spacing w:after="20"/>
              <w:jc w:val="right"/>
            </w:pPr>
            <w:r>
              <w:rPr>
                <w:color w:val="1C3A36"/>
                <w:sz w:val="18"/>
              </w:rPr>
              <w:t>-1.3%</w:t>
            </w:r>
          </w:p>
        </w:tc>
      </w:tr>
      <w:tr>
        <w:tc>
          <w:tcPr>
            <w:tcW w:type="dxa" w:w="2664"/>
          </w:tcPr>
          <w:p>
            <w:pPr>
              <w:spacing w:after="20"/>
            </w:pPr>
            <w:r>
              <w:rPr>
                <w:color w:val="1C3A36"/>
                <w:sz w:val="18"/>
              </w:rPr>
              <w:t>Support 2</w:t>
            </w:r>
          </w:p>
        </w:tc>
        <w:tc>
          <w:tcPr>
            <w:tcW w:type="dxa" w:w="3312"/>
          </w:tcPr>
          <w:p>
            <w:pPr>
              <w:spacing w:after="20"/>
              <w:jc w:val="right"/>
            </w:pPr>
            <w:r>
              <w:rPr>
                <w:color w:val="1C3A36"/>
                <w:sz w:val="18"/>
              </w:rPr>
              <w:t>5.48</w:t>
            </w:r>
          </w:p>
        </w:tc>
        <w:tc>
          <w:tcPr>
            <w:tcW w:type="dxa" w:w="3672"/>
          </w:tcPr>
          <w:p>
            <w:pPr>
              <w:spacing w:after="20"/>
              <w:jc w:val="right"/>
            </w:pPr>
            <w:r>
              <w:rPr>
                <w:color w:val="1C3A36"/>
                <w:sz w:val="18"/>
              </w:rPr>
              <w:t>-7.7%</w:t>
            </w:r>
          </w:p>
        </w:tc>
      </w:tr>
      <w:tr>
        <w:tc>
          <w:tcPr>
            <w:tcW w:type="dxa" w:w="2664"/>
          </w:tcPr>
          <w:p>
            <w:pPr>
              <w:spacing w:after="20"/>
            </w:pPr>
            <w:r>
              <w:rPr>
                <w:color w:val="1C3A36"/>
                <w:sz w:val="18"/>
              </w:rPr>
              <w:t>Support 3</w:t>
            </w:r>
          </w:p>
        </w:tc>
        <w:tc>
          <w:tcPr>
            <w:tcW w:type="dxa" w:w="3312"/>
          </w:tcPr>
          <w:p>
            <w:pPr>
              <w:spacing w:after="20"/>
              <w:jc w:val="right"/>
            </w:pPr>
            <w:r>
              <w:rPr>
                <w:color w:val="1C3A36"/>
                <w:sz w:val="18"/>
              </w:rPr>
              <w:t>5.17</w:t>
            </w:r>
          </w:p>
        </w:tc>
        <w:tc>
          <w:tcPr>
            <w:tcW w:type="dxa" w:w="3672"/>
          </w:tcPr>
          <w:p>
            <w:pPr>
              <w:spacing w:after="20"/>
              <w:jc w:val="right"/>
            </w:pPr>
            <w:r>
              <w:rPr>
                <w:color w:val="1C3A36"/>
                <w:sz w:val="18"/>
              </w:rPr>
              <w:t>-13.0%</w:t>
            </w:r>
          </w:p>
        </w:tc>
      </w:tr>
      <w:tr>
        <w:tc>
          <w:tcPr>
            <w:tcW w:type="dxa" w:w="2664"/>
            <w:shd w:val="clear" w:color="auto" w:fill="F6F1E6"/>
          </w:tcPr>
          <w:p>
            <w:pPr>
              <w:spacing w:after="20"/>
            </w:pPr>
            <w:r>
              <w:rPr>
                <w:b/>
                <w:color w:val="1C3A36"/>
                <w:sz w:val="18"/>
              </w:rPr>
              <w:t>Last close</w:t>
            </w:r>
          </w:p>
        </w:tc>
        <w:tc>
          <w:tcPr>
            <w:tcW w:type="dxa" w:w="3312"/>
            <w:shd w:val="clear" w:color="auto" w:fill="F6F1E6"/>
          </w:tcPr>
          <w:p>
            <w:pPr>
              <w:spacing w:after="20"/>
              <w:jc w:val="right"/>
            </w:pPr>
            <w:r>
              <w:rPr>
                <w:b/>
                <w:color w:val="1C3A36"/>
                <w:sz w:val="18"/>
              </w:rPr>
              <w:t>5.94</w:t>
            </w:r>
          </w:p>
        </w:tc>
        <w:tc>
          <w:tcPr>
            <w:tcW w:type="dxa" w:w="3672"/>
            <w:shd w:val="clear" w:color="auto" w:fill="F6F1E6"/>
          </w:tcPr>
          <w:p>
            <w:pPr>
              <w:spacing w:after="20"/>
              <w:jc w:val="right"/>
            </w:pPr>
            <w:r>
              <w:rPr>
                <w:b/>
                <w:color w:val="1C3A36"/>
                <w:sz w:val="18"/>
              </w:rPr>
            </w:r>
          </w:p>
        </w:tc>
      </w:tr>
      <w:tr>
        <w:tc>
          <w:tcPr>
            <w:tcW w:type="dxa" w:w="2664"/>
          </w:tcPr>
          <w:p>
            <w:pPr>
              <w:spacing w:after="20"/>
            </w:pPr>
            <w:r>
              <w:rPr>
                <w:color w:val="1C3A36"/>
                <w:sz w:val="18"/>
              </w:rPr>
              <w:t>52-week range</w:t>
            </w:r>
          </w:p>
        </w:tc>
        <w:tc>
          <w:tcPr>
            <w:tcW w:type="dxa" w:w="3312"/>
          </w:tcPr>
          <w:p>
            <w:pPr>
              <w:spacing w:after="20"/>
              <w:jc w:val="right"/>
            </w:pPr>
            <w:r>
              <w:rPr>
                <w:color w:val="1C3A36"/>
                <w:sz w:val="18"/>
              </w:rPr>
              <w:t>4.51 – 6.67</w:t>
            </w:r>
          </w:p>
        </w:tc>
        <w:tc>
          <w:tcPr>
            <w:tcW w:type="dxa" w:w="3672"/>
          </w:tcPr>
          <w:p>
            <w:pPr>
              <w:spacing w:after="20"/>
              <w:jc w:val="right"/>
            </w:pPr>
            <w:r>
              <w:rPr>
                <w:color w:val="1C3A36"/>
                <w:sz w:val="18"/>
              </w:rPr>
              <w:t>10.9% off the high</w:t>
            </w:r>
          </w:p>
        </w:tc>
      </w:tr>
    </w:tbl>
    <w:p>
      <w:pPr>
        <w:spacing w:after="40"/>
      </w:pPr>
    </w:p>
    <w:p>
      <w:pPr>
        <w:spacing w:after="120" w:before="0"/>
      </w:pPr>
      <w:r>
        <w:rPr>
          <w:b w:val="0"/>
          <w:i w:val="0"/>
          <w:color w:val="1C3A36"/>
          <w:sz w:val="21"/>
        </w:rPr>
        <w:t>Upside trigger: A daily close back above 6.00 would clear the nearest resistance and open the 6.67 zone. Downside trigger: A close below 5.86 would break the nearest support and open the 5.17 zone.</w:t>
      </w:r>
    </w:p>
    <w:p>
      <w:pPr>
        <w:spacing w:after="120" w:before="0"/>
      </w:pPr>
      <w:r>
        <w:rPr>
          <w:b w:val="0"/>
          <w:i w:val="0"/>
          <w:color w:val="1C3A36"/>
          <w:sz w:val="21"/>
        </w:rPr>
        <w:t>Every level and every clause above is computed from the same cleaned price series the probability map runs on; nothing here is a chart opinion. Levels one and above are the nearest to the close in each direction.</w:t>
      </w:r>
    </w:p>
    <w:p>
      <w:pPr>
        <w:spacing w:after="120" w:before="280"/>
      </w:pPr>
      <w:r>
        <w:rPr>
          <w:b/>
          <w:i w:val="0"/>
          <w:color w:val="1C3A36"/>
          <w:sz w:val="30"/>
        </w:rPr>
        <w:t>3. Probability map</w:t>
      </w:r>
    </w:p>
    <w:p>
      <w:pPr>
        <w:spacing w:after="80" w:before="0"/>
      </w:pPr>
      <w:r>
        <w:rPr>
          <w:b w:val="0"/>
          <w:i w:val="0"/>
          <w:color w:val="1C3A36"/>
          <w:sz w:val="21"/>
        </w:rPr>
        <w:t>Alongside the fundamental work the study carries a probability map: a simulation of where the price could be at two fixed future dates, given how this share has actually behaved. It is a different question from fair value and it is answered differently — 50,000 simulated price paths anchored on the close of 7 August 2026, with the drift set by the risk-free rate less the dividend yield the company has itself guided to (4.06% on the reaffirmed USD 1.05 billion floor), so no part of the answer comes from assuming the shares go up.</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Three-month cone to 2026-11-09, with the preceding 120 sessions of realised price for scale.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952"/>
        <w:gridCol w:w="2952"/>
      </w:tblGrid>
      <w:tr>
        <w:tc>
          <w:tcPr>
            <w:tcW w:type="dxa" w:w="4176"/>
            <w:shd w:val="clear" w:color="auto" w:fill="EAF0EE"/>
          </w:tcPr>
          <w:p>
            <w:pPr>
              <w:spacing w:after="20"/>
            </w:pPr>
            <w:r>
              <w:rPr>
                <w:b/>
                <w:color w:val="1C3A36"/>
                <w:sz w:val="18"/>
              </w:rPr>
            </w:r>
          </w:p>
        </w:tc>
        <w:tc>
          <w:tcPr>
            <w:tcW w:type="dxa" w:w="2952"/>
            <w:shd w:val="clear" w:color="auto" w:fill="EAF0EE"/>
          </w:tcPr>
          <w:p>
            <w:pPr>
              <w:spacing w:after="20"/>
            </w:pPr>
            <w:r>
              <w:rPr>
                <w:b/>
                <w:color w:val="1C3A36"/>
                <w:sz w:val="18"/>
              </w:rPr>
              <w:t>One month — 2026-09-07</w:t>
            </w:r>
          </w:p>
        </w:tc>
        <w:tc>
          <w:tcPr>
            <w:tcW w:type="dxa" w:w="2952"/>
            <w:shd w:val="clear" w:color="auto" w:fill="EAF0EE"/>
          </w:tcPr>
          <w:p>
            <w:pPr>
              <w:spacing w:after="20"/>
            </w:pPr>
            <w:r>
              <w:rPr>
                <w:b/>
                <w:color w:val="1C3A36"/>
                <w:sz w:val="18"/>
              </w:rPr>
              <w:t>Three months — 2026-11-09</w:t>
            </w:r>
          </w:p>
        </w:tc>
      </w:tr>
      <w:tr>
        <w:tc>
          <w:tcPr>
            <w:tcW w:type="dxa" w:w="4176"/>
          </w:tcPr>
          <w:p>
            <w:pPr>
              <w:spacing w:after="20"/>
            </w:pPr>
            <w:r>
              <w:rPr>
                <w:color w:val="1C3A36"/>
                <w:sz w:val="18"/>
              </w:rPr>
              <w:t>5th percentile (AED)</w:t>
            </w:r>
          </w:p>
        </w:tc>
        <w:tc>
          <w:tcPr>
            <w:tcW w:type="dxa" w:w="2952"/>
          </w:tcPr>
          <w:p>
            <w:pPr>
              <w:spacing w:after="20"/>
              <w:jc w:val="right"/>
            </w:pPr>
            <w:r>
              <w:rPr>
                <w:color w:val="1C3A36"/>
                <w:sz w:val="18"/>
              </w:rPr>
              <w:t>5.26</w:t>
            </w:r>
          </w:p>
        </w:tc>
        <w:tc>
          <w:tcPr>
            <w:tcW w:type="dxa" w:w="2952"/>
          </w:tcPr>
          <w:p>
            <w:pPr>
              <w:spacing w:after="20"/>
              <w:jc w:val="right"/>
            </w:pPr>
            <w:r>
              <w:rPr>
                <w:color w:val="1C3A36"/>
                <w:sz w:val="18"/>
              </w:rPr>
              <w:t>4.74</w:t>
            </w:r>
          </w:p>
        </w:tc>
      </w:tr>
      <w:tr>
        <w:tc>
          <w:tcPr>
            <w:tcW w:type="dxa" w:w="4176"/>
          </w:tcPr>
          <w:p>
            <w:pPr>
              <w:spacing w:after="20"/>
            </w:pPr>
            <w:r>
              <w:rPr>
                <w:color w:val="1C3A36"/>
                <w:sz w:val="18"/>
              </w:rPr>
              <w:t>25th percentile (AED)</w:t>
            </w:r>
          </w:p>
        </w:tc>
        <w:tc>
          <w:tcPr>
            <w:tcW w:type="dxa" w:w="2952"/>
          </w:tcPr>
          <w:p>
            <w:pPr>
              <w:spacing w:after="20"/>
              <w:jc w:val="right"/>
            </w:pPr>
            <w:r>
              <w:rPr>
                <w:color w:val="1C3A36"/>
                <w:sz w:val="18"/>
              </w:rPr>
              <w:t>5.67</w:t>
            </w:r>
          </w:p>
        </w:tc>
        <w:tc>
          <w:tcPr>
            <w:tcW w:type="dxa" w:w="2952"/>
          </w:tcPr>
          <w:p>
            <w:pPr>
              <w:spacing w:after="20"/>
              <w:jc w:val="right"/>
            </w:pPr>
            <w:r>
              <w:rPr>
                <w:color w:val="1C3A36"/>
                <w:sz w:val="18"/>
              </w:rPr>
              <w:t>5.45</w:t>
            </w:r>
          </w:p>
        </w:tc>
      </w:tr>
      <w:tr>
        <w:tc>
          <w:tcPr>
            <w:tcW w:type="dxa" w:w="4176"/>
          </w:tcPr>
          <w:p>
            <w:pPr>
              <w:spacing w:after="20"/>
            </w:pPr>
            <w:r>
              <w:rPr>
                <w:color w:val="1C3A36"/>
                <w:sz w:val="18"/>
              </w:rPr>
              <w:t>50th percentile (AED)</w:t>
            </w:r>
          </w:p>
        </w:tc>
        <w:tc>
          <w:tcPr>
            <w:tcW w:type="dxa" w:w="2952"/>
          </w:tcPr>
          <w:p>
            <w:pPr>
              <w:spacing w:after="20"/>
              <w:jc w:val="right"/>
            </w:pPr>
            <w:r>
              <w:rPr>
                <w:color w:val="1C3A36"/>
                <w:sz w:val="18"/>
              </w:rPr>
              <w:t>5.94</w:t>
            </w:r>
          </w:p>
        </w:tc>
        <w:tc>
          <w:tcPr>
            <w:tcW w:type="dxa" w:w="2952"/>
          </w:tcPr>
          <w:p>
            <w:pPr>
              <w:spacing w:after="20"/>
              <w:jc w:val="right"/>
            </w:pPr>
            <w:r>
              <w:rPr>
                <w:color w:val="1C3A36"/>
                <w:sz w:val="18"/>
              </w:rPr>
              <w:t>5.94</w:t>
            </w:r>
          </w:p>
        </w:tc>
      </w:tr>
      <w:tr>
        <w:tc>
          <w:tcPr>
            <w:tcW w:type="dxa" w:w="4176"/>
          </w:tcPr>
          <w:p>
            <w:pPr>
              <w:spacing w:after="20"/>
            </w:pPr>
            <w:r>
              <w:rPr>
                <w:color w:val="1C3A36"/>
                <w:sz w:val="18"/>
              </w:rPr>
              <w:t>75th percentile (AED)</w:t>
            </w:r>
          </w:p>
        </w:tc>
        <w:tc>
          <w:tcPr>
            <w:tcW w:type="dxa" w:w="2952"/>
          </w:tcPr>
          <w:p>
            <w:pPr>
              <w:spacing w:after="20"/>
              <w:jc w:val="right"/>
            </w:pPr>
            <w:r>
              <w:rPr>
                <w:color w:val="1C3A36"/>
                <w:sz w:val="18"/>
              </w:rPr>
              <w:t>6.22</w:t>
            </w:r>
          </w:p>
        </w:tc>
        <w:tc>
          <w:tcPr>
            <w:tcW w:type="dxa" w:w="2952"/>
          </w:tcPr>
          <w:p>
            <w:pPr>
              <w:spacing w:after="20"/>
              <w:jc w:val="right"/>
            </w:pPr>
            <w:r>
              <w:rPr>
                <w:color w:val="1C3A36"/>
                <w:sz w:val="18"/>
              </w:rPr>
              <w:t>6.47</w:t>
            </w:r>
          </w:p>
        </w:tc>
      </w:tr>
      <w:tr>
        <w:tc>
          <w:tcPr>
            <w:tcW w:type="dxa" w:w="4176"/>
          </w:tcPr>
          <w:p>
            <w:pPr>
              <w:spacing w:after="20"/>
            </w:pPr>
            <w:r>
              <w:rPr>
                <w:color w:val="1C3A36"/>
                <w:sz w:val="18"/>
              </w:rPr>
              <w:t>95th percentile (AED)</w:t>
            </w:r>
          </w:p>
        </w:tc>
        <w:tc>
          <w:tcPr>
            <w:tcW w:type="dxa" w:w="2952"/>
          </w:tcPr>
          <w:p>
            <w:pPr>
              <w:spacing w:after="20"/>
              <w:jc w:val="right"/>
            </w:pPr>
            <w:r>
              <w:rPr>
                <w:color w:val="1C3A36"/>
                <w:sz w:val="18"/>
              </w:rPr>
              <w:t>6.69</w:t>
            </w:r>
          </w:p>
        </w:tc>
        <w:tc>
          <w:tcPr>
            <w:tcW w:type="dxa" w:w="2952"/>
          </w:tcPr>
          <w:p>
            <w:pPr>
              <w:spacing w:after="20"/>
              <w:jc w:val="right"/>
            </w:pPr>
            <w:r>
              <w:rPr>
                <w:color w:val="1C3A36"/>
                <w:sz w:val="18"/>
              </w:rPr>
              <w:t>7.44</w:t>
            </w:r>
          </w:p>
        </w:tc>
      </w:tr>
      <w:tr>
        <w:tc>
          <w:tcPr>
            <w:tcW w:type="dxa" w:w="4176"/>
            <w:shd w:val="clear" w:color="auto" w:fill="F6F1E6"/>
          </w:tcPr>
          <w:p>
            <w:pPr>
              <w:spacing w:after="20"/>
            </w:pPr>
            <w:r>
              <w:rPr>
                <w:b/>
                <w:color w:val="1C3A36"/>
                <w:sz w:val="18"/>
              </w:rPr>
              <w:t>Probability of finishing above AED 5.80</w:t>
            </w:r>
          </w:p>
        </w:tc>
        <w:tc>
          <w:tcPr>
            <w:tcW w:type="dxa" w:w="2952"/>
            <w:shd w:val="clear" w:color="auto" w:fill="F6F1E6"/>
          </w:tcPr>
          <w:p>
            <w:pPr>
              <w:spacing w:after="20"/>
              <w:jc w:val="right"/>
            </w:pPr>
            <w:r>
              <w:rPr>
                <w:b/>
                <w:color w:val="1C3A36"/>
                <w:sz w:val="18"/>
              </w:rPr>
              <w:t>49.8%</w:t>
            </w:r>
          </w:p>
        </w:tc>
        <w:tc>
          <w:tcPr>
            <w:tcW w:type="dxa" w:w="2952"/>
            <w:shd w:val="clear" w:color="auto" w:fill="F6F1E6"/>
          </w:tcPr>
          <w:p>
            <w:pPr>
              <w:spacing w:after="20"/>
              <w:jc w:val="right"/>
            </w:pPr>
            <w:r>
              <w:rPr>
                <w:b/>
                <w:color w:val="1C3A36"/>
                <w:sz w:val="18"/>
              </w:rPr>
              <w:t>50.0%</w:t>
            </w:r>
          </w:p>
        </w:tc>
      </w:tr>
      <w:tr>
        <w:tc>
          <w:tcPr>
            <w:tcW w:type="dxa" w:w="4176"/>
          </w:tcPr>
          <w:p>
            <w:pPr>
              <w:spacing w:after="20"/>
            </w:pPr>
            <w:r>
              <w:rPr>
                <w:color w:val="1C3A36"/>
                <w:sz w:val="18"/>
              </w:rPr>
              <w:t>Probability of finishing 10% or more above</w:t>
            </w:r>
          </w:p>
        </w:tc>
        <w:tc>
          <w:tcPr>
            <w:tcW w:type="dxa" w:w="2952"/>
          </w:tcPr>
          <w:p>
            <w:pPr>
              <w:spacing w:after="20"/>
              <w:jc w:val="right"/>
            </w:pPr>
            <w:r>
              <w:rPr>
                <w:color w:val="1C3A36"/>
                <w:sz w:val="18"/>
              </w:rPr>
              <w:t>8.8%</w:t>
            </w:r>
          </w:p>
        </w:tc>
        <w:tc>
          <w:tcPr>
            <w:tcW w:type="dxa" w:w="2952"/>
          </w:tcPr>
          <w:p>
            <w:pPr>
              <w:spacing w:after="20"/>
              <w:jc w:val="right"/>
            </w:pPr>
            <w:r>
              <w:rPr>
                <w:color w:val="1C3A36"/>
                <w:sz w:val="18"/>
              </w:rPr>
              <w:t>22.7%</w:t>
            </w:r>
          </w:p>
        </w:tc>
      </w:tr>
      <w:tr>
        <w:tc>
          <w:tcPr>
            <w:tcW w:type="dxa" w:w="4176"/>
          </w:tcPr>
          <w:p>
            <w:pPr>
              <w:spacing w:after="20"/>
            </w:pPr>
            <w:r>
              <w:rPr>
                <w:color w:val="1C3A36"/>
                <w:sz w:val="18"/>
              </w:rPr>
              <w:t>Probability of finishing 10% or more below</w:t>
            </w:r>
          </w:p>
        </w:tc>
        <w:tc>
          <w:tcPr>
            <w:tcW w:type="dxa" w:w="2952"/>
          </w:tcPr>
          <w:p>
            <w:pPr>
              <w:spacing w:after="20"/>
              <w:jc w:val="right"/>
            </w:pPr>
            <w:r>
              <w:rPr>
                <w:color w:val="1C3A36"/>
                <w:sz w:val="18"/>
              </w:rPr>
              <w:t>7.3%</w:t>
            </w:r>
          </w:p>
        </w:tc>
        <w:tc>
          <w:tcPr>
            <w:tcW w:type="dxa" w:w="2952"/>
          </w:tcPr>
          <w:p>
            <w:pPr>
              <w:spacing w:after="20"/>
              <w:jc w:val="right"/>
            </w:pPr>
            <w:r>
              <w:rPr>
                <w:color w:val="1C3A36"/>
                <w:sz w:val="18"/>
              </w:rPr>
              <w:t>20.6%</w:t>
            </w:r>
          </w:p>
        </w:tc>
      </w:tr>
    </w:tbl>
    <w:p>
      <w:pPr>
        <w:spacing w:after="40"/>
      </w:pPr>
    </w:p>
    <w:p>
      <w:pPr>
        <w:spacing w:after="80" w:before="0"/>
      </w:pPr>
      <w:r>
        <w:rPr>
          <w:b w:val="0"/>
          <w:i w:val="0"/>
          <w:color w:val="1C3A36"/>
          <w:sz w:val="21"/>
        </w:rPr>
        <w:t>Touching a level at any point during the window is a different and higher probability than finishing beyond it, and both are given.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1584"/>
        <w:gridCol w:w="3384"/>
        <w:gridCol w:w="3528"/>
      </w:tblGrid>
      <w:tr>
        <w:tc>
          <w:tcPr>
            <w:tcW w:type="dxa" w:w="1584"/>
            <w:shd w:val="clear" w:color="auto" w:fill="EAF0EE"/>
          </w:tcPr>
          <w:p>
            <w:pPr>
              <w:spacing w:after="20"/>
            </w:pPr>
            <w:r>
              <w:rPr>
                <w:b/>
                <w:color w:val="1C3A36"/>
                <w:sz w:val="18"/>
              </w:rPr>
              <w:t>Level</w:t>
            </w:r>
          </w:p>
        </w:tc>
        <w:tc>
          <w:tcPr>
            <w:tcW w:type="dxa" w:w="1584"/>
            <w:shd w:val="clear" w:color="auto" w:fill="EAF0EE"/>
          </w:tcPr>
          <w:p>
            <w:pPr>
              <w:spacing w:after="20"/>
            </w:pPr>
            <w:r>
              <w:rPr>
                <w:b/>
                <w:color w:val="1C3A36"/>
                <w:sz w:val="18"/>
              </w:rPr>
              <w:t>AED</w:t>
            </w:r>
          </w:p>
        </w:tc>
        <w:tc>
          <w:tcPr>
            <w:tcW w:type="dxa" w:w="3384"/>
            <w:shd w:val="clear" w:color="auto" w:fill="EAF0EE"/>
          </w:tcPr>
          <w:p>
            <w:pPr>
              <w:spacing w:after="20"/>
            </w:pPr>
            <w:r>
              <w:rPr>
                <w:b/>
                <w:color w:val="1C3A36"/>
                <w:sz w:val="18"/>
              </w:rPr>
              <w:t>Touched within one month</w:t>
            </w:r>
          </w:p>
        </w:tc>
        <w:tc>
          <w:tcPr>
            <w:tcW w:type="dxa" w:w="3528"/>
            <w:shd w:val="clear" w:color="auto" w:fill="EAF0EE"/>
          </w:tcPr>
          <w:p>
            <w:pPr>
              <w:spacing w:after="20"/>
            </w:pPr>
            <w:r>
              <w:rPr>
                <w:b/>
                <w:color w:val="1C3A36"/>
                <w:sz w:val="18"/>
              </w:rPr>
              <w:t>Touched within three months</w:t>
            </w:r>
          </w:p>
        </w:tc>
      </w:tr>
      <w:tr>
        <w:tc>
          <w:tcPr>
            <w:tcW w:type="dxa" w:w="1584"/>
          </w:tcPr>
          <w:p>
            <w:pPr>
              <w:spacing w:after="20"/>
            </w:pPr>
            <w:r>
              <w:rPr>
                <w:color w:val="1C3A36"/>
                <w:sz w:val="18"/>
              </w:rPr>
              <w:t>+5%</w:t>
            </w:r>
          </w:p>
        </w:tc>
        <w:tc>
          <w:tcPr>
            <w:tcW w:type="dxa" w:w="1584"/>
          </w:tcPr>
          <w:p>
            <w:pPr>
              <w:spacing w:after="20"/>
              <w:jc w:val="right"/>
            </w:pPr>
            <w:r>
              <w:rPr>
                <w:color w:val="1C3A36"/>
                <w:sz w:val="18"/>
              </w:rPr>
              <w:t>6.09</w:t>
            </w:r>
          </w:p>
        </w:tc>
        <w:tc>
          <w:tcPr>
            <w:tcW w:type="dxa" w:w="3384"/>
          </w:tcPr>
          <w:p>
            <w:pPr>
              <w:spacing w:after="20"/>
              <w:jc w:val="right"/>
            </w:pPr>
            <w:r>
              <w:rPr>
                <w:color w:val="1C3A36"/>
                <w:sz w:val="18"/>
              </w:rPr>
              <w:t>40.6%</w:t>
            </w:r>
          </w:p>
        </w:tc>
        <w:tc>
          <w:tcPr>
            <w:tcW w:type="dxa" w:w="3528"/>
          </w:tcPr>
          <w:p>
            <w:pPr>
              <w:spacing w:after="20"/>
              <w:jc w:val="right"/>
            </w:pPr>
            <w:r>
              <w:rPr>
                <w:color w:val="1C3A36"/>
                <w:sz w:val="18"/>
              </w:rPr>
              <w:t>65.0%</w:t>
            </w:r>
          </w:p>
        </w:tc>
      </w:tr>
      <w:tr>
        <w:tc>
          <w:tcPr>
            <w:tcW w:type="dxa" w:w="1584"/>
          </w:tcPr>
          <w:p>
            <w:pPr>
              <w:spacing w:after="20"/>
            </w:pPr>
            <w:r>
              <w:rPr>
                <w:color w:val="1C3A36"/>
                <w:sz w:val="18"/>
              </w:rPr>
              <w:t>+10%</w:t>
            </w:r>
          </w:p>
        </w:tc>
        <w:tc>
          <w:tcPr>
            <w:tcW w:type="dxa" w:w="1584"/>
          </w:tcPr>
          <w:p>
            <w:pPr>
              <w:spacing w:after="20"/>
              <w:jc w:val="right"/>
            </w:pPr>
            <w:r>
              <w:rPr>
                <w:color w:val="1C3A36"/>
                <w:sz w:val="18"/>
              </w:rPr>
              <w:t>6.38</w:t>
            </w:r>
          </w:p>
        </w:tc>
        <w:tc>
          <w:tcPr>
            <w:tcW w:type="dxa" w:w="3384"/>
          </w:tcPr>
          <w:p>
            <w:pPr>
              <w:spacing w:after="20"/>
              <w:jc w:val="right"/>
            </w:pPr>
            <w:r>
              <w:rPr>
                <w:color w:val="1C3A36"/>
                <w:sz w:val="18"/>
              </w:rPr>
              <w:t>14.6%</w:t>
            </w:r>
          </w:p>
        </w:tc>
        <w:tc>
          <w:tcPr>
            <w:tcW w:type="dxa" w:w="3528"/>
          </w:tcPr>
          <w:p>
            <w:pPr>
              <w:spacing w:after="20"/>
              <w:jc w:val="right"/>
            </w:pPr>
            <w:r>
              <w:rPr>
                <w:color w:val="1C3A36"/>
                <w:sz w:val="18"/>
              </w:rPr>
              <w:t>41.8%</w:t>
            </w:r>
          </w:p>
        </w:tc>
      </w:tr>
      <w:tr>
        <w:tc>
          <w:tcPr>
            <w:tcW w:type="dxa" w:w="1584"/>
          </w:tcPr>
          <w:p>
            <w:pPr>
              <w:spacing w:after="20"/>
            </w:pPr>
            <w:r>
              <w:rPr>
                <w:color w:val="1C3A36"/>
                <w:sz w:val="18"/>
              </w:rPr>
              <w:t>+15%</w:t>
            </w:r>
          </w:p>
        </w:tc>
        <w:tc>
          <w:tcPr>
            <w:tcW w:type="dxa" w:w="1584"/>
          </w:tcPr>
          <w:p>
            <w:pPr>
              <w:spacing w:after="20"/>
              <w:jc w:val="right"/>
            </w:pPr>
            <w:r>
              <w:rPr>
                <w:color w:val="1C3A36"/>
                <w:sz w:val="18"/>
              </w:rPr>
              <w:t>6.67</w:t>
            </w:r>
          </w:p>
        </w:tc>
        <w:tc>
          <w:tcPr>
            <w:tcW w:type="dxa" w:w="3384"/>
          </w:tcPr>
          <w:p>
            <w:pPr>
              <w:spacing w:after="20"/>
              <w:jc w:val="right"/>
            </w:pPr>
            <w:r>
              <w:rPr>
                <w:color w:val="1C3A36"/>
                <w:sz w:val="18"/>
              </w:rPr>
              <w:t>4.7%</w:t>
            </w:r>
          </w:p>
        </w:tc>
        <w:tc>
          <w:tcPr>
            <w:tcW w:type="dxa" w:w="3528"/>
          </w:tcPr>
          <w:p>
            <w:pPr>
              <w:spacing w:after="20"/>
              <w:jc w:val="right"/>
            </w:pPr>
            <w:r>
              <w:rPr>
                <w:color w:val="1C3A36"/>
                <w:sz w:val="18"/>
              </w:rPr>
              <w:t>25.5%</w:t>
            </w:r>
          </w:p>
        </w:tc>
      </w:tr>
      <w:tr>
        <w:tc>
          <w:tcPr>
            <w:tcW w:type="dxa" w:w="1584"/>
          </w:tcPr>
          <w:p>
            <w:pPr>
              <w:spacing w:after="20"/>
            </w:pPr>
            <w:r>
              <w:rPr>
                <w:color w:val="1C3A36"/>
                <w:sz w:val="18"/>
              </w:rPr>
              <w:t>+20%</w:t>
            </w:r>
          </w:p>
        </w:tc>
        <w:tc>
          <w:tcPr>
            <w:tcW w:type="dxa" w:w="1584"/>
          </w:tcPr>
          <w:p>
            <w:pPr>
              <w:spacing w:after="20"/>
              <w:jc w:val="right"/>
            </w:pPr>
            <w:r>
              <w:rPr>
                <w:color w:val="1C3A36"/>
                <w:sz w:val="18"/>
              </w:rPr>
              <w:t>6.96</w:t>
            </w:r>
          </w:p>
        </w:tc>
        <w:tc>
          <w:tcPr>
            <w:tcW w:type="dxa" w:w="3384"/>
          </w:tcPr>
          <w:p>
            <w:pPr>
              <w:spacing w:after="20"/>
              <w:jc w:val="right"/>
            </w:pPr>
            <w:r>
              <w:rPr>
                <w:color w:val="1C3A36"/>
                <w:sz w:val="18"/>
              </w:rPr>
              <w:t>1.5%</w:t>
            </w:r>
          </w:p>
        </w:tc>
        <w:tc>
          <w:tcPr>
            <w:tcW w:type="dxa" w:w="3528"/>
          </w:tcPr>
          <w:p>
            <w:pPr>
              <w:spacing w:after="20"/>
              <w:jc w:val="right"/>
            </w:pPr>
            <w:r>
              <w:rPr>
                <w:color w:val="1C3A36"/>
                <w:sz w:val="18"/>
              </w:rPr>
              <w:t>15.3%</w:t>
            </w:r>
          </w:p>
        </w:tc>
      </w:tr>
      <w:tr>
        <w:tc>
          <w:tcPr>
            <w:tcW w:type="dxa" w:w="1584"/>
          </w:tcPr>
          <w:p>
            <w:pPr>
              <w:spacing w:after="20"/>
            </w:pPr>
            <w:r>
              <w:rPr>
                <w:color w:val="1C3A36"/>
                <w:sz w:val="18"/>
              </w:rPr>
              <w:t>-5%</w:t>
            </w:r>
          </w:p>
        </w:tc>
        <w:tc>
          <w:tcPr>
            <w:tcW w:type="dxa" w:w="1584"/>
          </w:tcPr>
          <w:p>
            <w:pPr>
              <w:spacing w:after="20"/>
              <w:jc w:val="right"/>
            </w:pPr>
            <w:r>
              <w:rPr>
                <w:color w:val="1C3A36"/>
                <w:sz w:val="18"/>
              </w:rPr>
              <w:t>5.51</w:t>
            </w:r>
          </w:p>
        </w:tc>
        <w:tc>
          <w:tcPr>
            <w:tcW w:type="dxa" w:w="3384"/>
          </w:tcPr>
          <w:p>
            <w:pPr>
              <w:spacing w:after="20"/>
              <w:jc w:val="right"/>
            </w:pPr>
            <w:r>
              <w:rPr>
                <w:color w:val="1C3A36"/>
                <w:sz w:val="18"/>
              </w:rPr>
              <w:t>39.2%</w:t>
            </w:r>
          </w:p>
        </w:tc>
        <w:tc>
          <w:tcPr>
            <w:tcW w:type="dxa" w:w="3528"/>
          </w:tcPr>
          <w:p>
            <w:pPr>
              <w:spacing w:after="20"/>
              <w:jc w:val="right"/>
            </w:pPr>
            <w:r>
              <w:rPr>
                <w:color w:val="1C3A36"/>
                <w:sz w:val="18"/>
              </w:rPr>
              <w:t>63.7%</w:t>
            </w:r>
          </w:p>
        </w:tc>
      </w:tr>
      <w:tr>
        <w:tc>
          <w:tcPr>
            <w:tcW w:type="dxa" w:w="1584"/>
          </w:tcPr>
          <w:p>
            <w:pPr>
              <w:spacing w:after="20"/>
            </w:pPr>
            <w:r>
              <w:rPr>
                <w:color w:val="1C3A36"/>
                <w:sz w:val="18"/>
              </w:rPr>
              <w:t>-10%</w:t>
            </w:r>
          </w:p>
        </w:tc>
        <w:tc>
          <w:tcPr>
            <w:tcW w:type="dxa" w:w="1584"/>
          </w:tcPr>
          <w:p>
            <w:pPr>
              <w:spacing w:after="20"/>
              <w:jc w:val="right"/>
            </w:pPr>
            <w:r>
              <w:rPr>
                <w:color w:val="1C3A36"/>
                <w:sz w:val="18"/>
              </w:rPr>
              <w:t>5.22</w:t>
            </w:r>
          </w:p>
        </w:tc>
        <w:tc>
          <w:tcPr>
            <w:tcW w:type="dxa" w:w="3384"/>
          </w:tcPr>
          <w:p>
            <w:pPr>
              <w:spacing w:after="20"/>
              <w:jc w:val="right"/>
            </w:pPr>
            <w:r>
              <w:rPr>
                <w:color w:val="1C3A36"/>
                <w:sz w:val="18"/>
              </w:rPr>
              <w:t>11.8%</w:t>
            </w:r>
          </w:p>
        </w:tc>
        <w:tc>
          <w:tcPr>
            <w:tcW w:type="dxa" w:w="3528"/>
          </w:tcPr>
          <w:p>
            <w:pPr>
              <w:spacing w:after="20"/>
              <w:jc w:val="right"/>
            </w:pPr>
            <w:r>
              <w:rPr>
                <w:color w:val="1C3A36"/>
                <w:sz w:val="18"/>
              </w:rPr>
              <w:t>37.6%</w:t>
            </w:r>
          </w:p>
        </w:tc>
      </w:tr>
      <w:tr>
        <w:tc>
          <w:tcPr>
            <w:tcW w:type="dxa" w:w="1584"/>
          </w:tcPr>
          <w:p>
            <w:pPr>
              <w:spacing w:after="20"/>
            </w:pPr>
            <w:r>
              <w:rPr>
                <w:color w:val="1C3A36"/>
                <w:sz w:val="18"/>
              </w:rPr>
              <w:t>-15%</w:t>
            </w:r>
          </w:p>
        </w:tc>
        <w:tc>
          <w:tcPr>
            <w:tcW w:type="dxa" w:w="1584"/>
          </w:tcPr>
          <w:p>
            <w:pPr>
              <w:spacing w:after="20"/>
              <w:jc w:val="right"/>
            </w:pPr>
            <w:r>
              <w:rPr>
                <w:color w:val="1C3A36"/>
                <w:sz w:val="18"/>
              </w:rPr>
              <w:t>4.93</w:t>
            </w:r>
          </w:p>
        </w:tc>
        <w:tc>
          <w:tcPr>
            <w:tcW w:type="dxa" w:w="3384"/>
          </w:tcPr>
          <w:p>
            <w:pPr>
              <w:spacing w:after="20"/>
              <w:jc w:val="right"/>
            </w:pPr>
            <w:r>
              <w:rPr>
                <w:color w:val="1C3A36"/>
                <w:sz w:val="18"/>
              </w:rPr>
              <w:t>2.7%</w:t>
            </w:r>
          </w:p>
        </w:tc>
        <w:tc>
          <w:tcPr>
            <w:tcW w:type="dxa" w:w="3528"/>
          </w:tcPr>
          <w:p>
            <w:pPr>
              <w:spacing w:after="20"/>
              <w:jc w:val="right"/>
            </w:pPr>
            <w:r>
              <w:rPr>
                <w:color w:val="1C3A36"/>
                <w:sz w:val="18"/>
              </w:rPr>
              <w:t>19.4%</w:t>
            </w:r>
          </w:p>
        </w:tc>
      </w:tr>
      <w:tr>
        <w:tc>
          <w:tcPr>
            <w:tcW w:type="dxa" w:w="1584"/>
          </w:tcPr>
          <w:p>
            <w:pPr>
              <w:spacing w:after="20"/>
            </w:pPr>
            <w:r>
              <w:rPr>
                <w:color w:val="1C3A36"/>
                <w:sz w:val="18"/>
              </w:rPr>
              <w:t>-20%</w:t>
            </w:r>
          </w:p>
        </w:tc>
        <w:tc>
          <w:tcPr>
            <w:tcW w:type="dxa" w:w="1584"/>
          </w:tcPr>
          <w:p>
            <w:pPr>
              <w:spacing w:after="20"/>
              <w:jc w:val="right"/>
            </w:pPr>
            <w:r>
              <w:rPr>
                <w:color w:val="1C3A36"/>
                <w:sz w:val="18"/>
              </w:rPr>
              <w:t>4.64</w:t>
            </w:r>
          </w:p>
        </w:tc>
        <w:tc>
          <w:tcPr>
            <w:tcW w:type="dxa" w:w="3384"/>
          </w:tcPr>
          <w:p>
            <w:pPr>
              <w:spacing w:after="20"/>
              <w:jc w:val="right"/>
            </w:pPr>
            <w:r>
              <w:rPr>
                <w:color w:val="1C3A36"/>
                <w:sz w:val="18"/>
              </w:rPr>
              <w:t>0.5%</w:t>
            </w:r>
          </w:p>
        </w:tc>
        <w:tc>
          <w:tcPr>
            <w:tcW w:type="dxa" w:w="3528"/>
          </w:tcPr>
          <w:p>
            <w:pPr>
              <w:spacing w:after="20"/>
              <w:jc w:val="right"/>
            </w:pPr>
            <w:r>
              <w:rPr>
                <w:color w:val="1C3A36"/>
                <w:sz w:val="18"/>
              </w:rPr>
              <w:t>8.9%</w:t>
            </w:r>
          </w:p>
        </w:tc>
      </w:tr>
    </w:tbl>
    <w:p>
      <w:pPr>
        <w:spacing w:after="40"/>
      </w:pPr>
    </w:p>
    <w:p>
      <w:pPr>
        <w:spacing w:after="40"/>
        <w:jc w:val="center"/>
      </w:pPr>
      <w:r>
        <w:drawing>
          <wp:inline xmlns:a="http://schemas.openxmlformats.org/drawingml/2006/main" xmlns:pic="http://schemas.openxmlformats.org/drawingml/2006/picture">
            <wp:extent cx="5669280" cy="2362200"/>
            <wp:docPr id="5" name="Picture 5"/>
            <wp:cNvGraphicFramePr>
              <a:graphicFrameLocks noChangeAspect="1"/>
            </wp:cNvGraphicFramePr>
            <a:graphic>
              <a:graphicData uri="http://schemas.openxmlformats.org/drawingml/2006/picture">
                <pic:pic>
                  <pic:nvPicPr>
                    <pic:cNvPr id="0" name="fig6_dist.png"/>
                    <pic:cNvPicPr/>
                  </pic:nvPicPr>
                  <pic:blipFill>
                    <a:blip r:embed="rId13"/>
                    <a:stretch>
                      <a:fillRect/>
                    </a:stretch>
                  </pic:blipFill>
                  <pic:spPr>
                    <a:xfrm>
                      <a:off x="0" y="0"/>
                      <a:ext cx="5669280" cy="2362200"/>
                    </a:xfrm>
                    <a:prstGeom prst="rect"/>
                  </pic:spPr>
                </pic:pic>
              </a:graphicData>
            </a:graphic>
          </wp:inline>
        </w:drawing>
      </w:r>
    </w:p>
    <w:p>
      <w:pPr>
        <w:spacing w:after="200" w:before="0"/>
      </w:pPr>
      <w:r>
        <w:rPr>
          <w:b w:val="0"/>
          <w:i/>
          <w:color w:val="6E7B77"/>
          <w:sz w:val="17"/>
        </w:rPr>
        <w:t>The three-month distribution of outcomes. The gold line is the current price.</w:t>
      </w:r>
    </w:p>
    <w:p>
      <w:pPr>
        <w:spacing w:after="80" w:before="200"/>
      </w:pPr>
      <w:r>
        <w:rPr>
          <w:b/>
          <w:i w:val="0"/>
          <w:color w:val="1C3A36"/>
          <w:sz w:val="24"/>
        </w:rPr>
        <w:t>How well has this map worked?</w:t>
      </w:r>
    </w:p>
    <w:p>
      <w:pPr>
        <w:spacing w:after="80" w:before="0"/>
      </w:pPr>
      <w:r>
        <w:rPr>
          <w:b w:val="0"/>
          <w:i w:val="0"/>
          <w:color w:val="1C3A36"/>
          <w:sz w:val="21"/>
        </w:rPr>
        <w:t>A probability map that has never been scored is decoration, so the record is stated plainly. Run backwards across every non-overlapping three-month window that the price history used here can score — the first of them opens on 2022-10-17 and the last on 2026-04-20, which is not the whole listed history: the earliest windows are held back to fit the model that predicts them — the price finished inside the 90% band in 100% of those 15 resolved forecasts, inside the 80% band in 100% and inside the 50% band in 60%.</w:t>
      </w:r>
    </w:p>
    <w:p>
      <w:pPr>
        <w:spacing w:after="80" w:before="0"/>
      </w:pPr>
      <w:r>
        <w:rPr>
          <w:b w:val="0"/>
          <w:i w:val="0"/>
          <w:color w:val="1C3A36"/>
          <w:sz w:val="21"/>
        </w:rPr>
        <w:t>Fifteen windows is a SHORT record and that is the first thing to say about it. A coverage figure drawn from fifteen observations cannot tell a well-sized band from an over-wide one with any confidence — the interval around it is wider than the differences worth arguing about — so nothing here is offered as a verdict on this name, and no flag is raised in either direction. The one-month record is longer: over 44 resolved forecasts the price finished inside the 90% band 98% of the time, inside the 80% band 89% and inside the 50% band 48%, which is close to what each band promises.</w:t>
      </w:r>
    </w:p>
    <w:p>
      <w:pPr>
        <w:spacing w:after="80" w:before="0"/>
      </w:pPr>
      <w:r>
        <w:rPr>
          <w:b w:val="0"/>
          <w:i w:val="0"/>
          <w:color w:val="1C3A36"/>
          <w:sz w:val="21"/>
        </w:rPr>
        <w:t>The centring is good on both horizons and that is worth separating from the width, because they are different questions. The median of the realised three-month outcomes sat at the 55th percentile of the predicted distribution against 50 for a perfectly centred forecast, so the map is not pointing the wrong way. How SHARP it is is reported beside that rather than folded into it: the 90% band runs 1.10 times the width of a naive band anchored on the same cost of carry. That figure carries no pass mark, deliberately — a wider band is not automatically wrong, and what the right width is differs by market — but it is what a reader needs in order to judge the coverage above rather than take it at face value, because a band wide enough is never wrong and is not very useful.</w:t>
      </w:r>
    </w:p>
    <w:p>
      <w:pPr>
        <w:spacing w:after="120" w:before="0"/>
      </w:pPr>
      <w:r>
        <w:rPr>
          <w:b w:val="0"/>
          <w:i w:val="0"/>
          <w:color w:val="1C3A36"/>
          <w:sz w:val="21"/>
        </w:rPr>
        <w:t>One mechanical fact sits behind the width and is stated as a diagnosis rather than acted on. The bands are calibrated across a panel of Abu Dhabi and Dubai listed companies, and this share's own realised volatility — measured as the annualised standard deviation of its daily returns over the whole price history used here — of 25.2% sits at the 28th percentile of that panel, below the panel median of 27.1% on the same measure. (Two other volatility figures appear in this study and are not the same quantity: the shorter-window figure quoted in the technical section, which is measured over the recent trading range only, and the forward volatility embedded in the probability map, which is what the panel calibration produces.) A band sized for the average name may be wider than a below-average-volatility one needs. Whether it should be narrowed for this name is not a question fifteen windows can answer, and a width chosen after seeing the outcomes it is measured on would not be evidence of anything.</w:t>
      </w:r>
    </w:p>
    <w:p>
      <w:r>
        <w:br w:type="page"/>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152"/>
        <w:gridCol w:w="2232"/>
        <w:gridCol w:w="2232"/>
        <w:gridCol w:w="2232"/>
      </w:tblGrid>
      <w:tr>
        <w:tc>
          <w:tcPr>
            <w:tcW w:type="dxa" w:w="2232"/>
            <w:shd w:val="clear" w:color="auto" w:fill="EAF0EE"/>
          </w:tcPr>
          <w:p>
            <w:pPr>
              <w:spacing w:after="20"/>
            </w:pPr>
            <w:r>
              <w:rPr>
                <w:b/>
                <w:color w:val="1C3A36"/>
                <w:sz w:val="17"/>
              </w:rPr>
              <w:t>Lens</w:t>
            </w:r>
          </w:p>
        </w:tc>
        <w:tc>
          <w:tcPr>
            <w:tcW w:type="dxa" w:w="1152"/>
            <w:shd w:val="clear" w:color="auto" w:fill="EAF0EE"/>
          </w:tcPr>
          <w:p>
            <w:pPr>
              <w:spacing w:after="20"/>
            </w:pPr>
            <w:r>
              <w:rPr>
                <w:b/>
                <w:color w:val="1C3A36"/>
                <w:sz w:val="17"/>
              </w:rPr>
              <w:t>AED/share</w:t>
            </w:r>
          </w:p>
        </w:tc>
        <w:tc>
          <w:tcPr>
            <w:tcW w:type="dxa" w:w="2232"/>
            <w:shd w:val="clear" w:color="auto" w:fill="EAF0EE"/>
          </w:tcPr>
          <w:p>
            <w:pPr>
              <w:spacing w:after="20"/>
            </w:pPr>
            <w:r>
              <w:rPr>
                <w:b/>
                <w:color w:val="1C3A36"/>
                <w:sz w:val="17"/>
              </w:rPr>
              <w:t>What it assumes</w:t>
            </w:r>
          </w:p>
        </w:tc>
        <w:tc>
          <w:tcPr>
            <w:tcW w:type="dxa" w:w="2232"/>
            <w:shd w:val="clear" w:color="auto" w:fill="EAF0EE"/>
          </w:tcPr>
          <w:p>
            <w:pPr>
              <w:spacing w:after="20"/>
            </w:pPr>
            <w:r>
              <w:rPr>
                <w:b/>
                <w:color w:val="1C3A36"/>
                <w:sz w:val="17"/>
              </w:rPr>
              <w:t>When it is the right lens</w:t>
            </w:r>
          </w:p>
        </w:tc>
        <w:tc>
          <w:tcPr>
            <w:tcW w:type="dxa" w:w="2232"/>
            <w:shd w:val="clear" w:color="auto" w:fill="EAF0EE"/>
          </w:tcPr>
          <w:p>
            <w:pPr>
              <w:spacing w:after="20"/>
            </w:pPr>
            <w:r>
              <w:rPr>
                <w:b/>
                <w:color w:val="1C3A36"/>
                <w:sz w:val="17"/>
              </w:rPr>
              <w:t>When it misleads</w:t>
            </w:r>
          </w:p>
        </w:tc>
      </w:tr>
      <w:tr>
        <w:tc>
          <w:tcPr>
            <w:tcW w:type="dxa" w:w="2232"/>
          </w:tcPr>
          <w:p>
            <w:pPr>
              <w:spacing w:after="20"/>
            </w:pPr>
            <w:r>
              <w:rPr>
                <w:color w:val="1C3A36"/>
                <w:sz w:val="17"/>
              </w:rPr>
              <w:t>Discounted cash flow — continued expansion</w:t>
            </w:r>
          </w:p>
        </w:tc>
        <w:tc>
          <w:tcPr>
            <w:tcW w:type="dxa" w:w="1152"/>
          </w:tcPr>
          <w:p>
            <w:pPr>
              <w:spacing w:after="20"/>
              <w:jc w:val="right"/>
            </w:pPr>
            <w:r>
              <w:rPr>
                <w:color w:val="1C3A36"/>
                <w:sz w:val="17"/>
              </w:rPr>
              <w:t>6.22</w:t>
            </w:r>
          </w:p>
        </w:tc>
        <w:tc>
          <w:tcPr>
            <w:tcW w:type="dxa" w:w="2232"/>
          </w:tcPr>
          <w:p>
            <w:pPr>
              <w:spacing w:after="20"/>
              <w:jc w:val="right"/>
            </w:pPr>
            <w:r>
              <w:rPr>
                <w:color w:val="1C3A36"/>
                <w:sz w:val="17"/>
              </w:rPr>
              <w:t>The fleet and the services book keep growing after the capacity target is met</w:t>
            </w:r>
          </w:p>
        </w:tc>
        <w:tc>
          <w:tcPr>
            <w:tcW w:type="dxa" w:w="2232"/>
          </w:tcPr>
          <w:p>
            <w:pPr>
              <w:spacing w:after="20"/>
              <w:jc w:val="right"/>
            </w:pPr>
            <w:r>
              <w:rPr>
                <w:color w:val="1C3A36"/>
                <w:sz w:val="17"/>
              </w:rPr>
              <w:t>When a customer has a published multi-decade investment programme</w:t>
            </w:r>
          </w:p>
        </w:tc>
        <w:tc>
          <w:tcPr>
            <w:tcW w:type="dxa" w:w="2232"/>
          </w:tcPr>
          <w:p>
            <w:pPr>
              <w:spacing w:after="20"/>
              <w:jc w:val="right"/>
            </w:pPr>
            <w:r>
              <w:rPr>
                <w:color w:val="1C3A36"/>
                <w:sz w:val="17"/>
              </w:rPr>
              <w:t>When the programme is a project with an end date rather than a policy</w:t>
            </w:r>
          </w:p>
        </w:tc>
      </w:tr>
      <w:tr>
        <w:tc>
          <w:tcPr>
            <w:tcW w:type="dxa" w:w="2232"/>
          </w:tcPr>
          <w:p>
            <w:pPr>
              <w:spacing w:after="20"/>
            </w:pPr>
            <w:r>
              <w:rPr>
                <w:color w:val="1C3A36"/>
                <w:sz w:val="17"/>
              </w:rPr>
              <w:t>Discounted cash flow — capacity plateau</w:t>
            </w:r>
          </w:p>
        </w:tc>
        <w:tc>
          <w:tcPr>
            <w:tcW w:type="dxa" w:w="1152"/>
          </w:tcPr>
          <w:p>
            <w:pPr>
              <w:spacing w:after="20"/>
              <w:jc w:val="right"/>
            </w:pPr>
            <w:r>
              <w:rPr>
                <w:color w:val="1C3A36"/>
                <w:sz w:val="17"/>
              </w:rPr>
              <w:t>5.40</w:t>
            </w:r>
          </w:p>
        </w:tc>
        <w:tc>
          <w:tcPr>
            <w:tcW w:type="dxa" w:w="2232"/>
          </w:tcPr>
          <w:p>
            <w:pPr>
              <w:spacing w:after="20"/>
              <w:jc w:val="right"/>
            </w:pPr>
            <w:r>
              <w:rPr>
                <w:color w:val="1C3A36"/>
                <w:sz w:val="17"/>
              </w:rPr>
              <w:t>Domestic growth stops in 2027 and only the ordered rigs arrive</w:t>
            </w:r>
          </w:p>
        </w:tc>
        <w:tc>
          <w:tcPr>
            <w:tcW w:type="dxa" w:w="2232"/>
          </w:tcPr>
          <w:p>
            <w:pPr>
              <w:spacing w:after="20"/>
              <w:jc w:val="right"/>
            </w:pPr>
            <w:r>
              <w:rPr>
                <w:color w:val="1C3A36"/>
                <w:sz w:val="17"/>
              </w:rPr>
              <w:t>When the demand driver is an explicit capacity target</w:t>
            </w:r>
          </w:p>
        </w:tc>
        <w:tc>
          <w:tcPr>
            <w:tcW w:type="dxa" w:w="2232"/>
          </w:tcPr>
          <w:p>
            <w:pPr>
              <w:spacing w:after="20"/>
              <w:jc w:val="right"/>
            </w:pPr>
            <w:r>
              <w:rPr>
                <w:color w:val="1C3A36"/>
                <w:sz w:val="17"/>
              </w:rPr>
              <w:t>When it ignores regional expansion that is already contracted</w:t>
            </w:r>
          </w:p>
        </w:tc>
      </w:tr>
      <w:tr>
        <w:tc>
          <w:tcPr>
            <w:tcW w:type="dxa" w:w="2232"/>
          </w:tcPr>
          <w:p>
            <w:pPr>
              <w:spacing w:after="20"/>
            </w:pPr>
            <w:r>
              <w:rPr>
                <w:color w:val="1C3A36"/>
                <w:sz w:val="17"/>
              </w:rPr>
              <w:t>Relative multiples</w:t>
            </w:r>
          </w:p>
        </w:tc>
        <w:tc>
          <w:tcPr>
            <w:tcW w:type="dxa" w:w="1152"/>
          </w:tcPr>
          <w:p>
            <w:pPr>
              <w:spacing w:after="20"/>
              <w:jc w:val="right"/>
            </w:pPr>
            <w:r>
              <w:rPr>
                <w:color w:val="1C3A36"/>
                <w:sz w:val="17"/>
              </w:rPr>
              <w:t>3.95</w:t>
            </w:r>
          </w:p>
        </w:tc>
        <w:tc>
          <w:tcPr>
            <w:tcW w:type="dxa" w:w="2232"/>
          </w:tcPr>
          <w:p>
            <w:pPr>
              <w:spacing w:after="20"/>
              <w:jc w:val="right"/>
            </w:pPr>
            <w:r>
              <w:rPr>
                <w:color w:val="1C3A36"/>
                <w:sz w:val="17"/>
              </w:rPr>
              <w:t>That this company should be valued like other listed drillers</w:t>
            </w:r>
          </w:p>
        </w:tc>
        <w:tc>
          <w:tcPr>
            <w:tcW w:type="dxa" w:w="2232"/>
          </w:tcPr>
          <w:p>
            <w:pPr>
              <w:spacing w:after="20"/>
              <w:jc w:val="right"/>
            </w:pPr>
            <w:r>
              <w:rPr>
                <w:color w:val="1C3A36"/>
                <w:sz w:val="17"/>
              </w:rPr>
              <w:t>When the peer set genuinely does the same job</w:t>
            </w:r>
          </w:p>
        </w:tc>
        <w:tc>
          <w:tcPr>
            <w:tcW w:type="dxa" w:w="2232"/>
          </w:tcPr>
          <w:p>
            <w:pPr>
              <w:spacing w:after="20"/>
              <w:jc w:val="right"/>
            </w:pPr>
            <w:r>
              <w:rPr>
                <w:color w:val="1C3A36"/>
                <w:sz w:val="17"/>
              </w:rPr>
              <w:t>When the peers are exposed to a spot market and this company is not</w:t>
            </w:r>
          </w:p>
        </w:tc>
      </w:tr>
      <w:tr>
        <w:tc>
          <w:tcPr>
            <w:tcW w:type="dxa" w:w="2232"/>
          </w:tcPr>
          <w:p>
            <w:pPr>
              <w:spacing w:after="20"/>
            </w:pPr>
            <w:r>
              <w:rPr>
                <w:color w:val="1C3A36"/>
                <w:sz w:val="17"/>
              </w:rPr>
              <w:t>Book value and sustainable return</w:t>
            </w:r>
          </w:p>
        </w:tc>
        <w:tc>
          <w:tcPr>
            <w:tcW w:type="dxa" w:w="1152"/>
          </w:tcPr>
          <w:p>
            <w:pPr>
              <w:spacing w:after="20"/>
              <w:jc w:val="right"/>
            </w:pPr>
            <w:r>
              <w:rPr>
                <w:color w:val="1C3A36"/>
                <w:sz w:val="17"/>
              </w:rPr>
              <w:t>4.73</w:t>
            </w:r>
          </w:p>
        </w:tc>
        <w:tc>
          <w:tcPr>
            <w:tcW w:type="dxa" w:w="2232"/>
          </w:tcPr>
          <w:p>
            <w:pPr>
              <w:spacing w:after="20"/>
              <w:jc w:val="right"/>
            </w:pPr>
            <w:r>
              <w:rPr>
                <w:color w:val="1C3A36"/>
                <w:sz w:val="17"/>
              </w:rPr>
              <w:t>That a return on equity above the cost of equity is durable</w:t>
            </w:r>
          </w:p>
        </w:tc>
        <w:tc>
          <w:tcPr>
            <w:tcW w:type="dxa" w:w="2232"/>
          </w:tcPr>
          <w:p>
            <w:pPr>
              <w:spacing w:after="20"/>
              <w:jc w:val="right"/>
            </w:pPr>
            <w:r>
              <w:rPr>
                <w:color w:val="1C3A36"/>
                <w:sz w:val="17"/>
              </w:rPr>
              <w:t>When a franchise has demonstrated the return through a cycle</w:t>
            </w:r>
          </w:p>
        </w:tc>
        <w:tc>
          <w:tcPr>
            <w:tcW w:type="dxa" w:w="2232"/>
          </w:tcPr>
          <w:p>
            <w:pPr>
              <w:spacing w:after="20"/>
              <w:jc w:val="right"/>
            </w:pPr>
            <w:r>
              <w:rPr>
                <w:color w:val="1C3A36"/>
                <w:sz w:val="17"/>
              </w:rPr>
              <w:t>When the cost of equity is close to the growth rate, as it is here</w:t>
            </w:r>
          </w:p>
        </w:tc>
      </w:tr>
      <w:tr>
        <w:tc>
          <w:tcPr>
            <w:tcW w:type="dxa" w:w="2232"/>
          </w:tcPr>
          <w:p>
            <w:pPr>
              <w:spacing w:after="20"/>
            </w:pPr>
            <w:r>
              <w:rPr>
                <w:color w:val="1C3A36"/>
                <w:sz w:val="17"/>
              </w:rPr>
              <w:t>Normalised earnings power</w:t>
            </w:r>
          </w:p>
        </w:tc>
        <w:tc>
          <w:tcPr>
            <w:tcW w:type="dxa" w:w="1152"/>
          </w:tcPr>
          <w:p>
            <w:pPr>
              <w:spacing w:after="20"/>
              <w:jc w:val="right"/>
            </w:pPr>
            <w:r>
              <w:rPr>
                <w:color w:val="1C3A36"/>
                <w:sz w:val="17"/>
              </w:rPr>
              <w:t>3.47</w:t>
            </w:r>
          </w:p>
        </w:tc>
        <w:tc>
          <w:tcPr>
            <w:tcW w:type="dxa" w:w="2232"/>
          </w:tcPr>
          <w:p>
            <w:pPr>
              <w:spacing w:after="20"/>
              <w:jc w:val="right"/>
            </w:pPr>
            <w:r>
              <w:rPr>
                <w:color w:val="1C3A36"/>
                <w:sz w:val="17"/>
              </w:rPr>
              <w:t>Only the fleet already installed, at the guided margin, forever</w:t>
            </w:r>
          </w:p>
        </w:tc>
        <w:tc>
          <w:tcPr>
            <w:tcW w:type="dxa" w:w="2232"/>
          </w:tcPr>
          <w:p>
            <w:pPr>
              <w:spacing w:after="20"/>
              <w:jc w:val="right"/>
            </w:pPr>
            <w:r>
              <w:rPr>
                <w:color w:val="1C3A36"/>
                <w:sz w:val="17"/>
              </w:rPr>
              <w:t>As a floor that credits no growth at all</w:t>
            </w:r>
          </w:p>
        </w:tc>
        <w:tc>
          <w:tcPr>
            <w:tcW w:type="dxa" w:w="2232"/>
          </w:tcPr>
          <w:p>
            <w:pPr>
              <w:spacing w:after="20"/>
              <w:jc w:val="right"/>
            </w:pPr>
            <w:r>
              <w:rPr>
                <w:color w:val="1C3A36"/>
                <w:sz w:val="17"/>
              </w:rPr>
              <w:t>When the installed fleet is genuinely still being built out</w:t>
            </w:r>
          </w:p>
        </w:tc>
      </w:tr>
    </w:tbl>
    <w:p>
      <w:pPr>
        <w:spacing w:after="40"/>
      </w:pPr>
    </w:p>
    <w:p>
      <w:pPr>
        <w:spacing w:after="120" w:before="0"/>
      </w:pPr>
      <w:r>
        <w:rPr>
          <w:b w:val="0"/>
          <w:i w:val="0"/>
          <w:color w:val="1C3A36"/>
          <w:sz w:val="21"/>
        </w:rPr>
        <w:t>The lenses disagree in a structured way rather than randomly, and the disagreement is about one thing: whether the return this business earns on its capital is durable. Four of the five sit at or below the market price — the capacity-plateau cash-flow case, the peer-multiple lens, the book-value lens and the normalised-earnings lens — and one sits above it, the continued-expansion cash-flow case. That is the same disagreement the expert panel in Appendix C reaches from three different starting points, and it is the disagreement a reader has to resolve for themselves.</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3744"/>
        <w:gridCol w:w="1440"/>
      </w:tblGrid>
      <w:tr>
        <w:tc>
          <w:tcPr>
            <w:tcW w:type="dxa" w:w="2664"/>
            <w:shd w:val="clear" w:color="auto" w:fill="EAF0EE"/>
          </w:tcPr>
          <w:p>
            <w:pPr>
              <w:spacing w:after="20"/>
            </w:pPr>
            <w:r>
              <w:rPr>
                <w:b/>
                <w:color w:val="1C3A36"/>
                <w:sz w:val="17"/>
              </w:rPr>
              <w:t>What</w:t>
            </w:r>
          </w:p>
        </w:tc>
        <w:tc>
          <w:tcPr>
            <w:tcW w:type="dxa" w:w="2232"/>
            <w:shd w:val="clear" w:color="auto" w:fill="EAF0EE"/>
          </w:tcPr>
          <w:p>
            <w:pPr>
              <w:spacing w:after="20"/>
            </w:pPr>
            <w:r>
              <w:rPr>
                <w:b/>
                <w:color w:val="1C3A36"/>
                <w:sz w:val="17"/>
              </w:rPr>
              <w:t>When</w:t>
            </w:r>
          </w:p>
        </w:tc>
        <w:tc>
          <w:tcPr>
            <w:tcW w:type="dxa" w:w="3744"/>
            <w:shd w:val="clear" w:color="auto" w:fill="EAF0EE"/>
          </w:tcPr>
          <w:p>
            <w:pPr>
              <w:spacing w:after="20"/>
            </w:pPr>
            <w:r>
              <w:rPr>
                <w:b/>
                <w:color w:val="1C3A36"/>
                <w:sz w:val="17"/>
              </w:rPr>
              <w:t>Why it matters</w:t>
            </w:r>
          </w:p>
        </w:tc>
        <w:tc>
          <w:tcPr>
            <w:tcW w:type="dxa" w:w="1440"/>
            <w:shd w:val="clear" w:color="auto" w:fill="EAF0EE"/>
          </w:tcPr>
          <w:p>
            <w:pPr>
              <w:spacing w:after="20"/>
            </w:pPr>
            <w:r>
              <w:rPr>
                <w:b/>
                <w:color w:val="1C3A36"/>
                <w:sz w:val="17"/>
              </w:rPr>
              <w:t>Which way</w:t>
            </w:r>
          </w:p>
        </w:tc>
      </w:tr>
      <w:tr>
        <w:tc>
          <w:tcPr>
            <w:tcW w:type="dxa" w:w="2664"/>
          </w:tcPr>
          <w:p>
            <w:pPr>
              <w:spacing w:after="20"/>
            </w:pPr>
            <w:r>
              <w:rPr>
                <w:color w:val="1C3A36"/>
                <w:sz w:val="17"/>
              </w:rPr>
              <w:t>2027 guidance</w:t>
            </w:r>
          </w:p>
        </w:tc>
        <w:tc>
          <w:tcPr>
            <w:tcW w:type="dxa" w:w="2232"/>
          </w:tcPr>
          <w:p>
            <w:pPr>
              <w:spacing w:after="20"/>
              <w:jc w:val="right"/>
            </w:pPr>
            <w:r>
              <w:rPr>
                <w:color w:val="1C3A36"/>
                <w:sz w:val="17"/>
              </w:rPr>
              <w:t>The company has said it will publish it once rig and oilfield-services phasing is fixed</w:t>
            </w:r>
          </w:p>
        </w:tc>
        <w:tc>
          <w:tcPr>
            <w:tcW w:type="dxa" w:w="3744"/>
          </w:tcPr>
          <w:p>
            <w:pPr>
              <w:spacing w:after="20"/>
              <w:jc w:val="right"/>
            </w:pPr>
            <w:r>
              <w:rPr>
                <w:color w:val="1C3A36"/>
                <w:sz w:val="17"/>
              </w:rPr>
              <w:t>This is the single observation that separates the two discounted-cash-flow cases</w:t>
            </w:r>
          </w:p>
        </w:tc>
        <w:tc>
          <w:tcPr>
            <w:tcW w:type="dxa" w:w="1440"/>
          </w:tcPr>
          <w:p>
            <w:pPr>
              <w:spacing w:after="20"/>
              <w:jc w:val="right"/>
            </w:pPr>
            <w:r>
              <w:rPr>
                <w:color w:val="1C3A36"/>
                <w:sz w:val="17"/>
              </w:rPr>
              <w:t>Either</w:t>
            </w:r>
          </w:p>
        </w:tc>
      </w:tr>
      <w:tr>
        <w:tc>
          <w:tcPr>
            <w:tcW w:type="dxa" w:w="2664"/>
          </w:tcPr>
          <w:p>
            <w:pPr>
              <w:spacing w:after="20"/>
            </w:pPr>
            <w:r>
              <w:rPr>
                <w:color w:val="1C3A36"/>
                <w:sz w:val="17"/>
              </w:rPr>
              <w:t>Third-quarter 2026 results</w:t>
            </w:r>
          </w:p>
        </w:tc>
        <w:tc>
          <w:tcPr>
            <w:tcW w:type="dxa" w:w="2232"/>
          </w:tcPr>
          <w:p>
            <w:pPr>
              <w:spacing w:after="20"/>
              <w:jc w:val="right"/>
            </w:pPr>
            <w:r>
              <w:rPr>
                <w:color w:val="1C3A36"/>
                <w:sz w:val="17"/>
              </w:rPr>
              <w:t>Expected late October 2026</w:t>
            </w:r>
          </w:p>
        </w:tc>
        <w:tc>
          <w:tcPr>
            <w:tcW w:type="dxa" w:w="3744"/>
          </w:tcPr>
          <w:p>
            <w:pPr>
              <w:spacing w:after="20"/>
              <w:jc w:val="right"/>
            </w:pPr>
            <w:r>
              <w:rPr>
                <w:color w:val="1C3A36"/>
                <w:sz w:val="17"/>
              </w:rPr>
              <w:t>The first read on whether the first-half deceleration to 4% revenue growth is phasing or trend</w:t>
            </w:r>
          </w:p>
        </w:tc>
        <w:tc>
          <w:tcPr>
            <w:tcW w:type="dxa" w:w="1440"/>
          </w:tcPr>
          <w:p>
            <w:pPr>
              <w:spacing w:after="20"/>
              <w:jc w:val="right"/>
            </w:pPr>
            <w:r>
              <w:rPr>
                <w:color w:val="1C3A36"/>
                <w:sz w:val="17"/>
              </w:rPr>
              <w:t>Either</w:t>
            </w:r>
          </w:p>
        </w:tc>
      </w:tr>
      <w:tr>
        <w:tc>
          <w:tcPr>
            <w:tcW w:type="dxa" w:w="2664"/>
          </w:tcPr>
          <w:p>
            <w:pPr>
              <w:spacing w:after="20"/>
            </w:pPr>
            <w:r>
              <w:rPr>
                <w:color w:val="1C3A36"/>
                <w:sz w:val="17"/>
              </w:rPr>
              <w:t>Completion of the MBPS acquisition</w:t>
            </w:r>
          </w:p>
        </w:tc>
        <w:tc>
          <w:tcPr>
            <w:tcW w:type="dxa" w:w="2232"/>
          </w:tcPr>
          <w:p>
            <w:pPr>
              <w:spacing w:after="20"/>
              <w:jc w:val="right"/>
            </w:pPr>
            <w:r>
              <w:rPr>
                <w:color w:val="1C3A36"/>
                <w:sz w:val="17"/>
              </w:rPr>
              <w:t>Announced November 2025, subject to regulatory approval</w:t>
            </w:r>
          </w:p>
        </w:tc>
        <w:tc>
          <w:tcPr>
            <w:tcW w:type="dxa" w:w="3744"/>
          </w:tcPr>
          <w:p>
            <w:pPr>
              <w:spacing w:after="20"/>
              <w:jc w:val="right"/>
            </w:pPr>
            <w:r>
              <w:rPr>
                <w:color w:val="1C3A36"/>
                <w:sz w:val="17"/>
              </w:rPr>
              <w:t>22 of the 30 regional rigs already in the June 2026 fleet count come through it</w:t>
            </w:r>
          </w:p>
        </w:tc>
        <w:tc>
          <w:tcPr>
            <w:tcW w:type="dxa" w:w="1440"/>
          </w:tcPr>
          <w:p>
            <w:pPr>
              <w:spacing w:after="20"/>
              <w:jc w:val="right"/>
            </w:pPr>
            <w:r>
              <w:rPr>
                <w:color w:val="1C3A36"/>
                <w:sz w:val="17"/>
              </w:rPr>
              <w:t>Down if it fails</w:t>
            </w:r>
          </w:p>
        </w:tc>
      </w:tr>
      <w:tr>
        <w:tc>
          <w:tcPr>
            <w:tcW w:type="dxa" w:w="2664"/>
          </w:tcPr>
          <w:p>
            <w:pPr>
              <w:spacing w:after="20"/>
            </w:pPr>
            <w:r>
              <w:rPr>
                <w:color w:val="1C3A36"/>
                <w:sz w:val="17"/>
              </w:rPr>
              <w:t>Delivery of the remaining ordered island rigs</w:t>
            </w:r>
          </w:p>
        </w:tc>
        <w:tc>
          <w:tcPr>
            <w:tcW w:type="dxa" w:w="2232"/>
          </w:tcPr>
          <w:p>
            <w:pPr>
              <w:spacing w:after="20"/>
              <w:jc w:val="right"/>
            </w:pPr>
            <w:r>
              <w:rPr>
                <w:color w:val="1C3A36"/>
                <w:sz w:val="17"/>
              </w:rPr>
              <w:t>Gradually to 2028</w:t>
            </w:r>
          </w:p>
        </w:tc>
        <w:tc>
          <w:tcPr>
            <w:tcW w:type="dxa" w:w="3744"/>
          </w:tcPr>
          <w:p>
            <w:pPr>
              <w:spacing w:after="20"/>
              <w:jc w:val="right"/>
            </w:pPr>
            <w:r>
              <w:rPr>
                <w:color w:val="1C3A36"/>
                <w:sz w:val="17"/>
              </w:rPr>
              <w:t>5 of the six ordered rigs are still to arrive — one entered the fleet in the second quarter of 2026, ahead of schedule; they are the most visible contracted growth in the model</w:t>
            </w:r>
          </w:p>
        </w:tc>
        <w:tc>
          <w:tcPr>
            <w:tcW w:type="dxa" w:w="1440"/>
          </w:tcPr>
          <w:p>
            <w:pPr>
              <w:spacing w:after="20"/>
              <w:jc w:val="right"/>
            </w:pPr>
            <w:r>
              <w:rPr>
                <w:color w:val="1C3A36"/>
                <w:sz w:val="17"/>
              </w:rPr>
              <w:t>Up</w:t>
            </w:r>
          </w:p>
        </w:tc>
      </w:tr>
      <w:tr>
        <w:tc>
          <w:tcPr>
            <w:tcW w:type="dxa" w:w="2664"/>
          </w:tcPr>
          <w:p>
            <w:pPr>
              <w:spacing w:after="20"/>
            </w:pPr>
            <w:r>
              <w:rPr>
                <w:color w:val="1C3A36"/>
                <w:sz w:val="17"/>
              </w:rPr>
              <w:t>An unconventional Phase 2 award</w:t>
            </w:r>
          </w:p>
        </w:tc>
        <w:tc>
          <w:tcPr>
            <w:tcW w:type="dxa" w:w="2232"/>
          </w:tcPr>
          <w:p>
            <w:pPr>
              <w:spacing w:after="20"/>
              <w:jc w:val="right"/>
            </w:pPr>
            <w:r>
              <w:rPr>
                <w:color w:val="1C3A36"/>
                <w:sz w:val="17"/>
              </w:rPr>
              <w:t>Not announced</w:t>
            </w:r>
          </w:p>
        </w:tc>
        <w:tc>
          <w:tcPr>
            <w:tcW w:type="dxa" w:w="3744"/>
          </w:tcPr>
          <w:p>
            <w:pPr>
              <w:spacing w:after="20"/>
              <w:jc w:val="right"/>
            </w:pPr>
            <w:r>
              <w:rPr>
                <w:color w:val="1C3A36"/>
                <w:sz w:val="17"/>
              </w:rPr>
              <w:t>Would extend a revenue line that is large but, on the evidence in section 1.7, barely profitable</w:t>
            </w:r>
          </w:p>
        </w:tc>
        <w:tc>
          <w:tcPr>
            <w:tcW w:type="dxa" w:w="1440"/>
          </w:tcPr>
          <w:p>
            <w:pPr>
              <w:spacing w:after="20"/>
              <w:jc w:val="right"/>
            </w:pPr>
            <w:r>
              <w:rPr>
                <w:color w:val="1C3A36"/>
                <w:sz w:val="17"/>
              </w:rPr>
              <w:t>Up, but less than it looks</w:t>
            </w:r>
          </w:p>
        </w:tc>
      </w:tr>
      <w:tr>
        <w:tc>
          <w:tcPr>
            <w:tcW w:type="dxa" w:w="2664"/>
          </w:tcPr>
          <w:p>
            <w:pPr>
              <w:spacing w:after="20"/>
            </w:pPr>
            <w:r>
              <w:rPr>
                <w:color w:val="1C3A36"/>
                <w:sz w:val="17"/>
              </w:rPr>
              <w:t>Integrated-services rig count reaching the stated 70 target</w:t>
            </w:r>
          </w:p>
        </w:tc>
        <w:tc>
          <w:tcPr>
            <w:tcW w:type="dxa" w:w="2232"/>
          </w:tcPr>
          <w:p>
            <w:pPr>
              <w:spacing w:after="20"/>
              <w:jc w:val="right"/>
            </w:pPr>
            <w:r>
              <w:rPr>
                <w:color w:val="1C3A36"/>
                <w:sz w:val="17"/>
              </w:rPr>
              <w:t>End of 2026</w:t>
            </w:r>
          </w:p>
        </w:tc>
        <w:tc>
          <w:tcPr>
            <w:tcW w:type="dxa" w:w="3744"/>
          </w:tcPr>
          <w:p>
            <w:pPr>
              <w:spacing w:after="20"/>
              <w:jc w:val="right"/>
            </w:pPr>
            <w:r>
              <w:rPr>
                <w:color w:val="1C3A36"/>
                <w:sz w:val="17"/>
              </w:rPr>
              <w:t>The fastest-growing and highest-incremental-margin part of the business</w:t>
            </w:r>
          </w:p>
        </w:tc>
        <w:tc>
          <w:tcPr>
            <w:tcW w:type="dxa" w:w="1440"/>
          </w:tcPr>
          <w:p>
            <w:pPr>
              <w:spacing w:after="20"/>
              <w:jc w:val="right"/>
            </w:pPr>
            <w:r>
              <w:rPr>
                <w:color w:val="1C3A36"/>
                <w:sz w:val="17"/>
              </w:rPr>
              <w:t>Up</w:t>
            </w:r>
          </w:p>
        </w:tc>
      </w:tr>
      <w:tr>
        <w:tc>
          <w:tcPr>
            <w:tcW w:type="dxa" w:w="2664"/>
          </w:tcPr>
          <w:p>
            <w:pPr>
              <w:spacing w:after="20"/>
            </w:pPr>
            <w:r>
              <w:rPr>
                <w:color w:val="1C3A36"/>
                <w:sz w:val="17"/>
              </w:rPr>
              <w:t>A change in the dividend policy</w:t>
            </w:r>
          </w:p>
        </w:tc>
        <w:tc>
          <w:tcPr>
            <w:tcW w:type="dxa" w:w="2232"/>
          </w:tcPr>
          <w:p>
            <w:pPr>
              <w:spacing w:after="20"/>
              <w:jc w:val="right"/>
            </w:pPr>
            <w:r>
              <w:rPr>
                <w:color w:val="1C3A36"/>
                <w:sz w:val="17"/>
              </w:rPr>
              <w:t>Board discretion</w:t>
            </w:r>
          </w:p>
        </w:tc>
        <w:tc>
          <w:tcPr>
            <w:tcW w:type="dxa" w:w="3744"/>
          </w:tcPr>
          <w:p>
            <w:pPr>
              <w:spacing w:after="20"/>
              <w:jc w:val="right"/>
            </w:pPr>
            <w:r>
              <w:rPr>
                <w:color w:val="1C3A36"/>
                <w:sz w:val="17"/>
              </w:rPr>
              <w:t>The guided floor of USD 1.05bn is 76.4% of forecast 2026 profit; the model accumulates cash rather than assuming a rise</w:t>
            </w:r>
          </w:p>
        </w:tc>
        <w:tc>
          <w:tcPr>
            <w:tcW w:type="dxa" w:w="1440"/>
          </w:tcPr>
          <w:p>
            <w:pPr>
              <w:spacing w:after="20"/>
              <w:jc w:val="right"/>
            </w:pPr>
            <w:r>
              <w:rPr>
                <w:color w:val="1C3A36"/>
                <w:sz w:val="17"/>
              </w:rPr>
              <w:t>Up if raised</w:t>
            </w:r>
          </w:p>
        </w:tc>
      </w:tr>
    </w:tbl>
    <w:p>
      <w:pPr>
        <w:spacing w:after="40"/>
      </w:pPr>
    </w:p>
    <w:p>
      <w:pPr>
        <w:spacing w:after="120" w:before="280"/>
      </w:pPr>
      <w:r>
        <w:rPr>
          <w:b/>
          <w:i w:val="0"/>
          <w:color w:val="1C3A36"/>
          <w:sz w:val="30"/>
        </w:rPr>
        <w:t>6. Reading the probability zones</w:t>
      </w:r>
    </w:p>
    <w:p>
      <w:pPr>
        <w:spacing w:after="80" w:before="0"/>
      </w:pPr>
      <w:r>
        <w:rPr>
          <w:b w:val="0"/>
          <w:i w:val="0"/>
          <w:color w:val="1C3A36"/>
          <w:sz w:val="21"/>
        </w:rPr>
        <w:t>The percentile map in section 3 is not a forecast of where the price will go. It is a statement about how far it could plausibly travel in a given window, given how it has travelled before. Three cautions apply to reading it.</w:t>
      </w:r>
    </w:p>
    <w:p>
      <w:pPr>
        <w:pStyle w:val="ListBullet"/>
        <w:spacing w:after="60"/>
      </w:pPr>
      <w:r>
        <w:rPr>
          <w:b/>
          <w:color w:val="1C3A36"/>
          <w:sz w:val="21"/>
        </w:rPr>
        <w:t xml:space="preserve">Percentiles are not bounds. </w:t>
      </w:r>
      <w:r>
        <w:rPr>
          <w:color w:val="1C3A36"/>
          <w:sz w:val="21"/>
        </w:rPr>
        <w:t>A 5th percentile is not a floor. One outcome in twenty is expected to fall below it, and the events that produce those outcomes — a contract loss, a sovereign shock, a sharp move in oil — are exactly the ones a volatility model does not see coming.</w:t>
      </w:r>
    </w:p>
    <w:p>
      <w:pPr>
        <w:pStyle w:val="ListBullet"/>
        <w:spacing w:after="60"/>
      </w:pPr>
      <w:r>
        <w:rPr>
          <w:b/>
          <w:color w:val="1C3A36"/>
          <w:sz w:val="21"/>
        </w:rPr>
        <w:t xml:space="preserve">Touching is not finishing. </w:t>
      </w:r>
      <w:r>
        <w:rPr>
          <w:color w:val="1C3A36"/>
          <w:sz w:val="21"/>
        </w:rPr>
        <w:t>The probability of touching a level at some point in a window is materially higher than the probability of finishing beyond it. Both are tabulated because confusing them is the most common error in reading a cone.</w:t>
      </w:r>
    </w:p>
    <w:p>
      <w:pPr>
        <w:pStyle w:val="ListBullet"/>
        <w:spacing w:after="60"/>
      </w:pPr>
      <w:r>
        <w:rPr>
          <w:b/>
          <w:color w:val="1C3A36"/>
          <w:sz w:val="21"/>
        </w:rPr>
        <w:t xml:space="preserve">This particular band is wide. </w:t>
      </w:r>
      <w:r>
        <w:rPr>
          <w:color w:val="1C3A36"/>
          <w:sz w:val="21"/>
        </w:rPr>
        <w:t>On this share's own record the three-month band has been too wide, as section 3 sets out in full. Treat the outer percentiles as generous rather than tight.</w:t>
      </w:r>
    </w:p>
    <w:p>
      <w:pPr>
        <w:spacing w:after="120" w:before="0"/>
      </w:pPr>
      <w:r>
        <w:rPr>
          <w:b w:val="0"/>
          <w:i w:val="0"/>
          <w:color w:val="1C3A36"/>
          <w:sz w:val="21"/>
        </w:rPr>
        <w:t>The map and the valuation answer different questions and are not reconciled with each other. The valuation says what the business is worth; the map says how far the price might wander in the next quarter regardless.</w:t>
      </w:r>
    </w:p>
    <w:p>
      <w:pPr>
        <w:spacing w:after="120" w:before="280"/>
      </w:pPr>
      <w:r>
        <w:rPr>
          <w:b/>
          <w:i w:val="0"/>
          <w:color w:val="1C3A36"/>
          <w:sz w:val="30"/>
        </w:rPr>
        <w:t>7. Caveats, and what would change our mind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4320"/>
        <w:gridCol w:w="2664"/>
      </w:tblGrid>
      <w:tr>
        <w:tc>
          <w:tcPr>
            <w:tcW w:type="dxa" w:w="3096"/>
            <w:shd w:val="clear" w:color="auto" w:fill="EAF0EE"/>
          </w:tcPr>
          <w:p>
            <w:pPr>
              <w:spacing w:after="20"/>
            </w:pPr>
            <w:r>
              <w:rPr>
                <w:b/>
                <w:color w:val="1C3A36"/>
                <w:sz w:val="17"/>
              </w:rPr>
              <w:t>Caveat</w:t>
            </w:r>
          </w:p>
        </w:tc>
        <w:tc>
          <w:tcPr>
            <w:tcW w:type="dxa" w:w="4320"/>
            <w:shd w:val="clear" w:color="auto" w:fill="EAF0EE"/>
          </w:tcPr>
          <w:p>
            <w:pPr>
              <w:spacing w:after="20"/>
            </w:pPr>
            <w:r>
              <w:rPr>
                <w:b/>
                <w:color w:val="1C3A36"/>
                <w:sz w:val="17"/>
              </w:rPr>
              <w:t>What it does to the answer</w:t>
            </w:r>
          </w:p>
        </w:tc>
        <w:tc>
          <w:tcPr>
            <w:tcW w:type="dxa" w:w="2664"/>
            <w:shd w:val="clear" w:color="auto" w:fill="EAF0EE"/>
          </w:tcPr>
          <w:p>
            <w:pPr>
              <w:spacing w:after="20"/>
            </w:pPr>
            <w:r>
              <w:rPr>
                <w:b/>
                <w:color w:val="1C3A36"/>
                <w:sz w:val="17"/>
              </w:rPr>
              <w:t>What would settle it</w:t>
            </w:r>
          </w:p>
        </w:tc>
      </w:tr>
      <w:tr>
        <w:tc>
          <w:tcPr>
            <w:tcW w:type="dxa" w:w="3096"/>
          </w:tcPr>
          <w:p>
            <w:pPr>
              <w:spacing w:after="20"/>
            </w:pPr>
            <w:r>
              <w:rPr>
                <w:color w:val="1C3A36"/>
                <w:sz w:val="17"/>
              </w:rPr>
              <w:t>The terminal value is more than seven-tenths of enterprise value in both cases</w:t>
            </w:r>
          </w:p>
        </w:tc>
        <w:tc>
          <w:tcPr>
            <w:tcW w:type="dxa" w:w="4320"/>
          </w:tcPr>
          <w:p>
            <w:pPr>
              <w:spacing w:after="20"/>
              <w:jc w:val="right"/>
            </w:pPr>
            <w:r>
              <w:rPr>
                <w:color w:val="1C3A36"/>
                <w:sz w:val="17"/>
              </w:rPr>
              <w:t>Most of this valuation is a claim about a period nobody has contracted for</w:t>
            </w:r>
          </w:p>
        </w:tc>
        <w:tc>
          <w:tcPr>
            <w:tcW w:type="dxa" w:w="2664"/>
          </w:tcPr>
          <w:p>
            <w:pPr>
              <w:spacing w:after="20"/>
              <w:jc w:val="right"/>
            </w:pPr>
            <w:r>
              <w:rPr>
                <w:color w:val="1C3A36"/>
                <w:sz w:val="17"/>
              </w:rPr>
              <w:t>Published 2027 and medium-term guidance</w:t>
            </w:r>
          </w:p>
        </w:tc>
      </w:tr>
      <w:tr>
        <w:tc>
          <w:tcPr>
            <w:tcW w:type="dxa" w:w="3096"/>
          </w:tcPr>
          <w:p>
            <w:pPr>
              <w:spacing w:after="20"/>
            </w:pPr>
            <w:r>
              <w:rPr>
                <w:color w:val="1C3A36"/>
                <w:sz w:val="17"/>
              </w:rPr>
              <w:t>The beta of 0.80 does more work than any other input, and it is not stable across estimation windows</w:t>
            </w:r>
          </w:p>
        </w:tc>
        <w:tc>
          <w:tcPr>
            <w:tcW w:type="dxa" w:w="4320"/>
          </w:tcPr>
          <w:p>
            <w:pPr>
              <w:spacing w:after="20"/>
              <w:jc w:val="right"/>
            </w:pPr>
            <w:r>
              <w:rPr>
                <w:color w:val="1C3A36"/>
                <w:sz w:val="17"/>
              </w:rPr>
              <w:t>The regressions actually run span 0.47 to 1.02, and across the sensitivity grid the continued-expansion case runs from AED 8.26 to AED 5.25 — a wider spread than the gap between the two terminal cases</w:t>
            </w:r>
          </w:p>
        </w:tc>
        <w:tc>
          <w:tcPr>
            <w:tcW w:type="dxa" w:w="2664"/>
          </w:tcPr>
          <w:p>
            <w:pPr>
              <w:spacing w:after="20"/>
              <w:jc w:val="right"/>
            </w:pPr>
            <w:r>
              <w:rPr>
                <w:color w:val="1C3A36"/>
                <w:sz w:val="17"/>
              </w:rPr>
              <w:t>A longer trading record, or a stress episode that tests the correlation. The index series is also two weeks behind the price anchor and should be refreshed alongside it</w:t>
            </w:r>
          </w:p>
        </w:tc>
      </w:tr>
      <w:tr>
        <w:tc>
          <w:tcPr>
            <w:tcW w:type="dxa" w:w="3096"/>
          </w:tcPr>
          <w:p>
            <w:pPr>
              <w:spacing w:after="20"/>
            </w:pPr>
            <w:r>
              <w:rPr>
                <w:color w:val="1C3A36"/>
                <w:sz w:val="17"/>
              </w:rPr>
              <w:t>One customer group, which is also the controlling shareholder</w:t>
            </w:r>
          </w:p>
        </w:tc>
        <w:tc>
          <w:tcPr>
            <w:tcW w:type="dxa" w:w="4320"/>
          </w:tcPr>
          <w:p>
            <w:pPr>
              <w:spacing w:after="20"/>
              <w:jc w:val="right"/>
            </w:pPr>
            <w:r>
              <w:rPr>
                <w:color w:val="1C3A36"/>
                <w:sz w:val="17"/>
              </w:rPr>
              <w:t>Contract terms are set inside a group, not in a market; the model reads realised rates and cannot see the negotiation behind them</w:t>
            </w:r>
          </w:p>
        </w:tc>
        <w:tc>
          <w:tcPr>
            <w:tcW w:type="dxa" w:w="2664"/>
          </w:tcPr>
          <w:p>
            <w:pPr>
              <w:spacing w:after="20"/>
              <w:jc w:val="right"/>
            </w:pPr>
            <w:r>
              <w:rPr>
                <w:color w:val="1C3A36"/>
                <w:sz w:val="17"/>
              </w:rPr>
              <w:t>Disclosure of contract tenor and repricing mechanics</w:t>
            </w:r>
          </w:p>
        </w:tc>
      </w:tr>
      <w:tr>
        <w:tc>
          <w:tcPr>
            <w:tcW w:type="dxa" w:w="3096"/>
          </w:tcPr>
          <w:p>
            <w:pPr>
              <w:spacing w:after="20"/>
            </w:pPr>
            <w:r>
              <w:rPr>
                <w:color w:val="1C3A36"/>
                <w:sz w:val="17"/>
              </w:rPr>
              <w:t>Regional expansion is bought, not built</w:t>
            </w:r>
          </w:p>
        </w:tc>
        <w:tc>
          <w:tcPr>
            <w:tcW w:type="dxa" w:w="4320"/>
          </w:tcPr>
          <w:p>
            <w:pPr>
              <w:spacing w:after="20"/>
              <w:jc w:val="right"/>
            </w:pPr>
            <w:r>
              <w:rPr>
                <w:color w:val="1C3A36"/>
                <w:sz w:val="17"/>
              </w:rPr>
              <w:t>Two acquisitions supply 30 of the 171 rigs; the revenue per regional rig is derived from one half-year of consolidation</w:t>
            </w:r>
          </w:p>
        </w:tc>
        <w:tc>
          <w:tcPr>
            <w:tcW w:type="dxa" w:w="2664"/>
          </w:tcPr>
          <w:p>
            <w:pPr>
              <w:spacing w:after="20"/>
              <w:jc w:val="right"/>
            </w:pPr>
            <w:r>
              <w:rPr>
                <w:color w:val="1C3A36"/>
                <w:sz w:val="17"/>
              </w:rPr>
              <w:t>A full year of reported regional segment data</w:t>
            </w:r>
          </w:p>
        </w:tc>
      </w:tr>
      <w:tr>
        <w:tc>
          <w:tcPr>
            <w:tcW w:type="dxa" w:w="3096"/>
          </w:tcPr>
          <w:p>
            <w:pPr>
              <w:spacing w:after="20"/>
            </w:pPr>
            <w:r>
              <w:rPr>
                <w:color w:val="1C3A36"/>
                <w:sz w:val="17"/>
              </w:rPr>
              <w:t>The dividend floor is a policy, not an obligation</w:t>
            </w:r>
          </w:p>
        </w:tc>
        <w:tc>
          <w:tcPr>
            <w:tcW w:type="dxa" w:w="4320"/>
          </w:tcPr>
          <w:p>
            <w:pPr>
              <w:spacing w:after="20"/>
              <w:jc w:val="right"/>
            </w:pPr>
            <w:r>
              <w:rPr>
                <w:color w:val="1C3A36"/>
                <w:sz w:val="17"/>
              </w:rPr>
              <w:t>The distribution lens in Appendix C rests on it entirely</w:t>
            </w:r>
          </w:p>
        </w:tc>
        <w:tc>
          <w:tcPr>
            <w:tcW w:type="dxa" w:w="2664"/>
          </w:tcPr>
          <w:p>
            <w:pPr>
              <w:spacing w:after="20"/>
              <w:jc w:val="right"/>
            </w:pPr>
            <w:r>
              <w:rPr>
                <w:color w:val="1C3A36"/>
                <w:sz w:val="17"/>
              </w:rPr>
              <w:t>A declared distribution below the floor, or a capital raise</w:t>
            </w:r>
          </w:p>
        </w:tc>
      </w:tr>
      <w:tr>
        <w:tc>
          <w:tcPr>
            <w:tcW w:type="dxa" w:w="3096"/>
          </w:tcPr>
          <w:p>
            <w:pPr>
              <w:spacing w:after="20"/>
            </w:pPr>
            <w:r>
              <w:rPr>
                <w:color w:val="1C3A36"/>
                <w:sz w:val="17"/>
              </w:rPr>
              <w:t>The forecast holds debt flat and pays only the guided floor</w:t>
            </w:r>
          </w:p>
        </w:tc>
        <w:tc>
          <w:tcPr>
            <w:tcW w:type="dxa" w:w="4320"/>
          </w:tcPr>
          <w:p>
            <w:pPr>
              <w:spacing w:after="20"/>
              <w:jc w:val="right"/>
            </w:pPr>
            <w:r>
              <w:rPr>
                <w:color w:val="1C3A36"/>
                <w:sz w:val="17"/>
              </w:rPr>
              <w:t>Cash accumulates to USD 2.79bn by 2030 and net debt turns negative; enterprise value is unaffected, but the balance sheet in Appendix A is a floor case, not a prediction</w:t>
            </w:r>
          </w:p>
        </w:tc>
        <w:tc>
          <w:tcPr>
            <w:tcW w:type="dxa" w:w="2664"/>
          </w:tcPr>
          <w:p>
            <w:pPr>
              <w:spacing w:after="20"/>
              <w:jc w:val="right"/>
            </w:pPr>
            <w:r>
              <w:rPr>
                <w:color w:val="1C3A36"/>
                <w:sz w:val="17"/>
              </w:rPr>
              <w:t>Any capital-allocation announcement</w:t>
            </w:r>
          </w:p>
        </w:tc>
      </w:tr>
      <w:tr>
        <w:tc>
          <w:tcPr>
            <w:tcW w:type="dxa" w:w="3096"/>
          </w:tcPr>
          <w:p>
            <w:pPr>
              <w:spacing w:after="20"/>
            </w:pPr>
            <w:r>
              <w:rPr>
                <w:color w:val="1C3A36"/>
                <w:sz w:val="17"/>
              </w:rPr>
              <w:t>First-half 2026 revenue grew 4%, against 22% for 2025</w:t>
            </w:r>
          </w:p>
        </w:tc>
        <w:tc>
          <w:tcPr>
            <w:tcW w:type="dxa" w:w="4320"/>
          </w:tcPr>
          <w:p>
            <w:pPr>
              <w:spacing w:after="20"/>
              <w:jc w:val="right"/>
            </w:pPr>
            <w:r>
              <w:rPr>
                <w:color w:val="1C3A36"/>
                <w:sz w:val="17"/>
              </w:rPr>
              <w:t>The forecast reconciles to guidance for 2026 and grows from there; if the deceleration is trend rather than phasing, the continued-expansion case is wrong</w:t>
            </w:r>
          </w:p>
        </w:tc>
        <w:tc>
          <w:tcPr>
            <w:tcW w:type="dxa" w:w="2664"/>
          </w:tcPr>
          <w:p>
            <w:pPr>
              <w:spacing w:after="20"/>
              <w:jc w:val="right"/>
            </w:pPr>
            <w:r>
              <w:rPr>
                <w:color w:val="1C3A36"/>
                <w:sz w:val="17"/>
              </w:rPr>
              <w:t>Third-quarter and full-year 2026 results</w:t>
            </w:r>
          </w:p>
        </w:tc>
      </w:tr>
    </w:tbl>
    <w:p>
      <w:pPr>
        <w:spacing w:after="40"/>
      </w:pPr>
    </w:p>
    <w:p>
      <w:r>
        <w:br w:type="page"/>
      </w:r>
    </w:p>
    <w:p>
      <w:pPr>
        <w:spacing w:after="120" w:before="280"/>
      </w:pPr>
      <w:r>
        <w:rPr>
          <w:b/>
          <w:i w:val="0"/>
          <w:color w:val="1C3A36"/>
          <w:sz w:val="30"/>
        </w:rPr>
        <w:t>Appendix A — financial statements</w:t>
      </w:r>
    </w:p>
    <w:p>
      <w:pPr>
        <w:spacing w:after="80" w:before="200"/>
      </w:pPr>
      <w:r>
        <w:rPr>
          <w:b/>
          <w:i w:val="0"/>
          <w:color w:val="1C3A36"/>
          <w:sz w:val="24"/>
        </w:rPr>
        <w:t>A.1 Income statement — three audited years and five forecast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49"/>
        <w:gridCol w:w="966"/>
        <w:gridCol w:w="966"/>
        <w:gridCol w:w="966"/>
        <w:gridCol w:w="966"/>
        <w:gridCol w:w="966"/>
        <w:gridCol w:w="966"/>
        <w:gridCol w:w="966"/>
        <w:gridCol w:w="966"/>
      </w:tblGrid>
      <w:tr>
        <w:tc>
          <w:tcPr>
            <w:tcW w:type="dxa" w:w="2349"/>
            <w:shd w:val="clear" w:color="auto" w:fill="EAF0EE"/>
          </w:tcPr>
          <w:p>
            <w:pPr>
              <w:spacing w:after="20"/>
            </w:pPr>
            <w:r>
              <w:rPr>
                <w:b/>
                <w:color w:val="1C3A36"/>
                <w:sz w:val="16"/>
              </w:rPr>
              <w:t>USD million</w:t>
            </w:r>
          </w:p>
        </w:tc>
        <w:tc>
          <w:tcPr>
            <w:tcW w:type="dxa" w:w="966"/>
            <w:shd w:val="clear" w:color="auto" w:fill="EAF0EE"/>
          </w:tcPr>
          <w:p>
            <w:pPr>
              <w:spacing w:after="20"/>
            </w:pPr>
            <w:r>
              <w:rPr>
                <w:b/>
                <w:color w:val="1C3A36"/>
                <w:sz w:val="16"/>
              </w:rPr>
              <w:t>FY2023</w:t>
            </w:r>
          </w:p>
        </w:tc>
        <w:tc>
          <w:tcPr>
            <w:tcW w:type="dxa" w:w="966"/>
            <w:shd w:val="clear" w:color="auto" w:fill="EAF0EE"/>
          </w:tcPr>
          <w:p>
            <w:pPr>
              <w:spacing w:after="20"/>
            </w:pPr>
            <w:r>
              <w:rPr>
                <w:b/>
                <w:color w:val="1C3A36"/>
                <w:sz w:val="16"/>
              </w:rPr>
              <w:t>FY2024</w:t>
            </w:r>
          </w:p>
        </w:tc>
        <w:tc>
          <w:tcPr>
            <w:tcW w:type="dxa" w:w="966"/>
            <w:shd w:val="clear" w:color="auto" w:fill="EAF0EE"/>
          </w:tcPr>
          <w:p>
            <w:pPr>
              <w:spacing w:after="20"/>
            </w:pPr>
            <w:r>
              <w:rPr>
                <w:b/>
                <w:color w:val="1C3A36"/>
                <w:sz w:val="16"/>
              </w:rPr>
              <w:t>FY2025</w:t>
            </w:r>
          </w:p>
        </w:tc>
        <w:tc>
          <w:tcPr>
            <w:tcW w:type="dxa" w:w="966"/>
            <w:shd w:val="clear" w:color="auto" w:fill="EAF0EE"/>
          </w:tcPr>
          <w:p>
            <w:pPr>
              <w:spacing w:after="20"/>
            </w:pPr>
            <w:r>
              <w:rPr>
                <w:b/>
                <w:color w:val="1C3A36"/>
                <w:sz w:val="16"/>
              </w:rPr>
              <w:t>FY2026E</w:t>
            </w:r>
          </w:p>
        </w:tc>
        <w:tc>
          <w:tcPr>
            <w:tcW w:type="dxa" w:w="966"/>
            <w:shd w:val="clear" w:color="auto" w:fill="EAF0EE"/>
          </w:tcPr>
          <w:p>
            <w:pPr>
              <w:spacing w:after="20"/>
            </w:pPr>
            <w:r>
              <w:rPr>
                <w:b/>
                <w:color w:val="1C3A36"/>
                <w:sz w:val="16"/>
              </w:rPr>
              <w:t>FY2027E</w:t>
            </w:r>
          </w:p>
        </w:tc>
        <w:tc>
          <w:tcPr>
            <w:tcW w:type="dxa" w:w="966"/>
            <w:shd w:val="clear" w:color="auto" w:fill="EAF0EE"/>
          </w:tcPr>
          <w:p>
            <w:pPr>
              <w:spacing w:after="20"/>
            </w:pPr>
            <w:r>
              <w:rPr>
                <w:b/>
                <w:color w:val="1C3A36"/>
                <w:sz w:val="16"/>
              </w:rPr>
              <w:t>FY2028E</w:t>
            </w:r>
          </w:p>
        </w:tc>
        <w:tc>
          <w:tcPr>
            <w:tcW w:type="dxa" w:w="966"/>
            <w:shd w:val="clear" w:color="auto" w:fill="EAF0EE"/>
          </w:tcPr>
          <w:p>
            <w:pPr>
              <w:spacing w:after="20"/>
            </w:pPr>
            <w:r>
              <w:rPr>
                <w:b/>
                <w:color w:val="1C3A36"/>
                <w:sz w:val="16"/>
              </w:rPr>
              <w:t>FY2029E</w:t>
            </w:r>
          </w:p>
        </w:tc>
        <w:tc>
          <w:tcPr>
            <w:tcW w:type="dxa" w:w="966"/>
            <w:shd w:val="clear" w:color="auto" w:fill="EAF0EE"/>
          </w:tcPr>
          <w:p>
            <w:pPr>
              <w:spacing w:after="20"/>
            </w:pPr>
            <w:r>
              <w:rPr>
                <w:b/>
                <w:color w:val="1C3A36"/>
                <w:sz w:val="16"/>
              </w:rPr>
              <w:t>FY2030E</w:t>
            </w:r>
          </w:p>
        </w:tc>
      </w:tr>
      <w:tr>
        <w:tc>
          <w:tcPr>
            <w:tcW w:type="dxa" w:w="2349"/>
          </w:tcPr>
          <w:p>
            <w:pPr>
              <w:spacing w:after="20"/>
            </w:pPr>
            <w:r>
              <w:rPr>
                <w:color w:val="1C3A36"/>
                <w:sz w:val="16"/>
              </w:rPr>
              <w:t>Revenue</w:t>
            </w:r>
          </w:p>
        </w:tc>
        <w:tc>
          <w:tcPr>
            <w:tcW w:type="dxa" w:w="966"/>
          </w:tcPr>
          <w:p>
            <w:pPr>
              <w:spacing w:after="20"/>
              <w:jc w:val="right"/>
            </w:pPr>
            <w:r>
              <w:rPr>
                <w:color w:val="1C3A36"/>
                <w:sz w:val="16"/>
              </w:rPr>
              <w:t>3,057</w:t>
            </w:r>
          </w:p>
        </w:tc>
        <w:tc>
          <w:tcPr>
            <w:tcW w:type="dxa" w:w="966"/>
          </w:tcPr>
          <w:p>
            <w:pPr>
              <w:spacing w:after="20"/>
              <w:jc w:val="right"/>
            </w:pPr>
            <w:r>
              <w:rPr>
                <w:color w:val="1C3A36"/>
                <w:sz w:val="16"/>
              </w:rPr>
              <w:t>4,034</w:t>
            </w:r>
          </w:p>
        </w:tc>
        <w:tc>
          <w:tcPr>
            <w:tcW w:type="dxa" w:w="966"/>
          </w:tcPr>
          <w:p>
            <w:pPr>
              <w:spacing w:after="20"/>
              <w:jc w:val="right"/>
            </w:pPr>
            <w:r>
              <w:rPr>
                <w:color w:val="1C3A36"/>
                <w:sz w:val="16"/>
              </w:rPr>
              <w:t>4,903</w:t>
            </w:r>
          </w:p>
        </w:tc>
        <w:tc>
          <w:tcPr>
            <w:tcW w:type="dxa" w:w="966"/>
          </w:tcPr>
          <w:p>
            <w:pPr>
              <w:spacing w:after="20"/>
              <w:jc w:val="right"/>
            </w:pPr>
            <w:r>
              <w:rPr>
                <w:color w:val="1C3A36"/>
                <w:sz w:val="16"/>
              </w:rPr>
              <w:t>5,000</w:t>
            </w:r>
          </w:p>
        </w:tc>
        <w:tc>
          <w:tcPr>
            <w:tcW w:type="dxa" w:w="966"/>
          </w:tcPr>
          <w:p>
            <w:pPr>
              <w:spacing w:after="20"/>
              <w:jc w:val="right"/>
            </w:pPr>
            <w:r>
              <w:rPr>
                <w:color w:val="1C3A36"/>
                <w:sz w:val="16"/>
              </w:rPr>
              <w:t>5,207</w:t>
            </w:r>
          </w:p>
        </w:tc>
        <w:tc>
          <w:tcPr>
            <w:tcW w:type="dxa" w:w="966"/>
          </w:tcPr>
          <w:p>
            <w:pPr>
              <w:spacing w:after="20"/>
              <w:jc w:val="right"/>
            </w:pPr>
            <w:r>
              <w:rPr>
                <w:color w:val="1C3A36"/>
                <w:sz w:val="16"/>
              </w:rPr>
              <w:t>5,497</w:t>
            </w:r>
          </w:p>
        </w:tc>
        <w:tc>
          <w:tcPr>
            <w:tcW w:type="dxa" w:w="966"/>
          </w:tcPr>
          <w:p>
            <w:pPr>
              <w:spacing w:after="20"/>
              <w:jc w:val="right"/>
            </w:pPr>
            <w:r>
              <w:rPr>
                <w:color w:val="1C3A36"/>
                <w:sz w:val="16"/>
              </w:rPr>
              <w:t>5,774</w:t>
            </w:r>
          </w:p>
        </w:tc>
        <w:tc>
          <w:tcPr>
            <w:tcW w:type="dxa" w:w="966"/>
          </w:tcPr>
          <w:p>
            <w:pPr>
              <w:spacing w:after="20"/>
              <w:jc w:val="right"/>
            </w:pPr>
            <w:r>
              <w:rPr>
                <w:color w:val="1C3A36"/>
                <w:sz w:val="16"/>
              </w:rPr>
              <w:t>5,962</w:t>
            </w:r>
          </w:p>
        </w:tc>
      </w:tr>
      <w:tr>
        <w:tc>
          <w:tcPr>
            <w:tcW w:type="dxa" w:w="2349"/>
          </w:tcPr>
          <w:p>
            <w:pPr>
              <w:spacing w:after="20"/>
            </w:pPr>
            <w:r>
              <w:rPr>
                <w:color w:val="1C3A36"/>
                <w:sz w:val="16"/>
              </w:rPr>
              <w:t>Direct cost</w:t>
            </w:r>
          </w:p>
        </w:tc>
        <w:tc>
          <w:tcPr>
            <w:tcW w:type="dxa" w:w="966"/>
          </w:tcPr>
          <w:p>
            <w:pPr>
              <w:spacing w:after="20"/>
              <w:jc w:val="right"/>
            </w:pPr>
            <w:r>
              <w:rPr>
                <w:color w:val="1C3A36"/>
                <w:sz w:val="16"/>
              </w:rPr>
              <w:t>-1,849</w:t>
            </w:r>
          </w:p>
        </w:tc>
        <w:tc>
          <w:tcPr>
            <w:tcW w:type="dxa" w:w="966"/>
          </w:tcPr>
          <w:p>
            <w:pPr>
              <w:spacing w:after="20"/>
              <w:jc w:val="right"/>
            </w:pPr>
            <w:r>
              <w:rPr>
                <w:color w:val="1C3A36"/>
                <w:sz w:val="16"/>
              </w:rPr>
              <w:t>-2,337</w:t>
            </w:r>
          </w:p>
        </w:tc>
        <w:tc>
          <w:tcPr>
            <w:tcW w:type="dxa" w:w="966"/>
          </w:tcPr>
          <w:p>
            <w:pPr>
              <w:spacing w:after="20"/>
              <w:jc w:val="right"/>
            </w:pPr>
            <w:r>
              <w:rPr>
                <w:color w:val="1C3A36"/>
                <w:sz w:val="16"/>
              </w:rPr>
              <w:t>-3,106</w:t>
            </w:r>
          </w:p>
        </w:tc>
        <w:tc>
          <w:tcPr>
            <w:tcW w:type="dxa" w:w="966"/>
          </w:tcPr>
          <w:p>
            <w:pPr>
              <w:spacing w:after="20"/>
              <w:jc w:val="right"/>
            </w:pPr>
            <w:r>
              <w:rPr>
                <w:color w:val="1C3A36"/>
                <w:sz w:val="16"/>
              </w:rPr>
              <w:t>-3,262</w:t>
            </w:r>
          </w:p>
        </w:tc>
        <w:tc>
          <w:tcPr>
            <w:tcW w:type="dxa" w:w="966"/>
          </w:tcPr>
          <w:p>
            <w:pPr>
              <w:spacing w:after="20"/>
              <w:jc w:val="right"/>
            </w:pPr>
            <w:r>
              <w:rPr>
                <w:color w:val="1C3A36"/>
                <w:sz w:val="16"/>
              </w:rPr>
              <w:t>-3,296</w:t>
            </w:r>
          </w:p>
        </w:tc>
        <w:tc>
          <w:tcPr>
            <w:tcW w:type="dxa" w:w="966"/>
          </w:tcPr>
          <w:p>
            <w:pPr>
              <w:spacing w:after="20"/>
              <w:jc w:val="right"/>
            </w:pPr>
            <w:r>
              <w:rPr>
                <w:color w:val="1C3A36"/>
                <w:sz w:val="16"/>
              </w:rPr>
              <w:t>-3,394</w:t>
            </w:r>
          </w:p>
        </w:tc>
        <w:tc>
          <w:tcPr>
            <w:tcW w:type="dxa" w:w="966"/>
          </w:tcPr>
          <w:p>
            <w:pPr>
              <w:spacing w:after="20"/>
              <w:jc w:val="right"/>
            </w:pPr>
            <w:r>
              <w:rPr>
                <w:color w:val="1C3A36"/>
                <w:sz w:val="16"/>
              </w:rPr>
              <w:t>-3,521</w:t>
            </w:r>
          </w:p>
        </w:tc>
        <w:tc>
          <w:tcPr>
            <w:tcW w:type="dxa" w:w="966"/>
          </w:tcPr>
          <w:p>
            <w:pPr>
              <w:spacing w:after="20"/>
              <w:jc w:val="right"/>
            </w:pPr>
            <w:r>
              <w:rPr>
                <w:color w:val="1C3A36"/>
                <w:sz w:val="16"/>
              </w:rPr>
              <w:t>-3,618</w:t>
            </w:r>
          </w:p>
        </w:tc>
      </w:tr>
      <w:tr>
        <w:tc>
          <w:tcPr>
            <w:tcW w:type="dxa" w:w="2349"/>
          </w:tcPr>
          <w:p>
            <w:pPr>
              <w:spacing w:after="20"/>
            </w:pPr>
            <w:r>
              <w:rPr>
                <w:color w:val="1C3A36"/>
                <w:sz w:val="16"/>
              </w:rPr>
              <w:t>Gross profit</w:t>
            </w:r>
          </w:p>
        </w:tc>
        <w:tc>
          <w:tcPr>
            <w:tcW w:type="dxa" w:w="966"/>
          </w:tcPr>
          <w:p>
            <w:pPr>
              <w:spacing w:after="20"/>
              <w:jc w:val="right"/>
            </w:pPr>
            <w:r>
              <w:rPr>
                <w:color w:val="1C3A36"/>
                <w:sz w:val="16"/>
              </w:rPr>
              <w:t>1,208</w:t>
            </w:r>
          </w:p>
        </w:tc>
        <w:tc>
          <w:tcPr>
            <w:tcW w:type="dxa" w:w="966"/>
          </w:tcPr>
          <w:p>
            <w:pPr>
              <w:spacing w:after="20"/>
              <w:jc w:val="right"/>
            </w:pPr>
            <w:r>
              <w:rPr>
                <w:color w:val="1C3A36"/>
                <w:sz w:val="16"/>
              </w:rPr>
              <w:t>1,697</w:t>
            </w:r>
          </w:p>
        </w:tc>
        <w:tc>
          <w:tcPr>
            <w:tcW w:type="dxa" w:w="966"/>
          </w:tcPr>
          <w:p>
            <w:pPr>
              <w:spacing w:after="20"/>
              <w:jc w:val="right"/>
            </w:pPr>
            <w:r>
              <w:rPr>
                <w:color w:val="1C3A36"/>
                <w:sz w:val="16"/>
              </w:rPr>
              <w:t>1,797</w:t>
            </w:r>
          </w:p>
        </w:tc>
        <w:tc>
          <w:tcPr>
            <w:tcW w:type="dxa" w:w="966"/>
          </w:tcPr>
          <w:p>
            <w:pPr>
              <w:spacing w:after="20"/>
              <w:jc w:val="right"/>
            </w:pPr>
            <w:r>
              <w:rPr>
                <w:color w:val="1C3A36"/>
                <w:sz w:val="16"/>
              </w:rPr>
              <w:t>1,738</w:t>
            </w:r>
          </w:p>
        </w:tc>
        <w:tc>
          <w:tcPr>
            <w:tcW w:type="dxa" w:w="966"/>
          </w:tcPr>
          <w:p>
            <w:pPr>
              <w:spacing w:after="20"/>
              <w:jc w:val="right"/>
            </w:pPr>
            <w:r>
              <w:rPr>
                <w:color w:val="1C3A36"/>
                <w:sz w:val="16"/>
              </w:rPr>
              <w:t>1,911</w:t>
            </w:r>
          </w:p>
        </w:tc>
        <w:tc>
          <w:tcPr>
            <w:tcW w:type="dxa" w:w="966"/>
          </w:tcPr>
          <w:p>
            <w:pPr>
              <w:spacing w:after="20"/>
              <w:jc w:val="right"/>
            </w:pPr>
            <w:r>
              <w:rPr>
                <w:color w:val="1C3A36"/>
                <w:sz w:val="16"/>
              </w:rPr>
              <w:t>2,102</w:t>
            </w:r>
          </w:p>
        </w:tc>
        <w:tc>
          <w:tcPr>
            <w:tcW w:type="dxa" w:w="966"/>
          </w:tcPr>
          <w:p>
            <w:pPr>
              <w:spacing w:after="20"/>
              <w:jc w:val="right"/>
            </w:pPr>
            <w:r>
              <w:rPr>
                <w:color w:val="1C3A36"/>
                <w:sz w:val="16"/>
              </w:rPr>
              <w:t>2,253</w:t>
            </w:r>
          </w:p>
        </w:tc>
        <w:tc>
          <w:tcPr>
            <w:tcW w:type="dxa" w:w="966"/>
          </w:tcPr>
          <w:p>
            <w:pPr>
              <w:spacing w:after="20"/>
              <w:jc w:val="right"/>
            </w:pPr>
            <w:r>
              <w:rPr>
                <w:color w:val="1C3A36"/>
                <w:sz w:val="16"/>
              </w:rPr>
              <w:t>2,345</w:t>
            </w:r>
          </w:p>
        </w:tc>
      </w:tr>
      <w:tr>
        <w:tc>
          <w:tcPr>
            <w:tcW w:type="dxa" w:w="2349"/>
          </w:tcPr>
          <w:p>
            <w:pPr>
              <w:spacing w:after="20"/>
            </w:pPr>
            <w:r>
              <w:rPr>
                <w:color w:val="1C3A36"/>
                <w:sz w:val="16"/>
              </w:rPr>
              <w:t>General and administrative expenses</w:t>
            </w:r>
          </w:p>
        </w:tc>
        <w:tc>
          <w:tcPr>
            <w:tcW w:type="dxa" w:w="966"/>
          </w:tcPr>
          <w:p>
            <w:pPr>
              <w:spacing w:after="20"/>
              <w:jc w:val="right"/>
            </w:pPr>
            <w:r>
              <w:rPr>
                <w:color w:val="1C3A36"/>
                <w:sz w:val="16"/>
              </w:rPr>
              <w:t>-126</w:t>
            </w:r>
          </w:p>
        </w:tc>
        <w:tc>
          <w:tcPr>
            <w:tcW w:type="dxa" w:w="966"/>
          </w:tcPr>
          <w:p>
            <w:pPr>
              <w:spacing w:after="20"/>
              <w:jc w:val="right"/>
            </w:pPr>
            <w:r>
              <w:rPr>
                <w:color w:val="1C3A36"/>
                <w:sz w:val="16"/>
              </w:rPr>
              <w:t>-155</w:t>
            </w:r>
          </w:p>
        </w:tc>
        <w:tc>
          <w:tcPr>
            <w:tcW w:type="dxa" w:w="966"/>
          </w:tcPr>
          <w:p>
            <w:pPr>
              <w:spacing w:after="20"/>
              <w:jc w:val="right"/>
            </w:pPr>
            <w:r>
              <w:rPr>
                <w:color w:val="1C3A36"/>
                <w:sz w:val="16"/>
              </w:rPr>
              <w:t>-167</w:t>
            </w:r>
          </w:p>
        </w:tc>
        <w:tc>
          <w:tcPr>
            <w:tcW w:type="dxa" w:w="966"/>
          </w:tcPr>
          <w:p>
            <w:pPr>
              <w:spacing w:after="20"/>
              <w:jc w:val="right"/>
            </w:pPr>
            <w:r>
              <w:rPr>
                <w:color w:val="1C3A36"/>
                <w:sz w:val="16"/>
              </w:rPr>
              <w:t>-164</w:t>
            </w:r>
          </w:p>
        </w:tc>
        <w:tc>
          <w:tcPr>
            <w:tcW w:type="dxa" w:w="966"/>
          </w:tcPr>
          <w:p>
            <w:pPr>
              <w:spacing w:after="20"/>
              <w:jc w:val="right"/>
            </w:pPr>
            <w:r>
              <w:rPr>
                <w:color w:val="1C3A36"/>
                <w:sz w:val="16"/>
              </w:rPr>
              <w:t>-179</w:t>
            </w:r>
          </w:p>
        </w:tc>
        <w:tc>
          <w:tcPr>
            <w:tcW w:type="dxa" w:w="966"/>
          </w:tcPr>
          <w:p>
            <w:pPr>
              <w:spacing w:after="20"/>
              <w:jc w:val="right"/>
            </w:pPr>
            <w:r>
              <w:rPr>
                <w:color w:val="1C3A36"/>
                <w:sz w:val="16"/>
              </w:rPr>
              <w:t>-195</w:t>
            </w:r>
          </w:p>
        </w:tc>
        <w:tc>
          <w:tcPr>
            <w:tcW w:type="dxa" w:w="966"/>
          </w:tcPr>
          <w:p>
            <w:pPr>
              <w:spacing w:after="20"/>
              <w:jc w:val="right"/>
            </w:pPr>
            <w:r>
              <w:rPr>
                <w:color w:val="1C3A36"/>
                <w:sz w:val="16"/>
              </w:rPr>
              <w:t>-208</w:t>
            </w:r>
          </w:p>
        </w:tc>
        <w:tc>
          <w:tcPr>
            <w:tcW w:type="dxa" w:w="966"/>
          </w:tcPr>
          <w:p>
            <w:pPr>
              <w:spacing w:after="20"/>
              <w:jc w:val="right"/>
            </w:pPr>
            <w:r>
              <w:rPr>
                <w:color w:val="1C3A36"/>
                <w:sz w:val="16"/>
              </w:rPr>
              <w:t>-218</w:t>
            </w:r>
          </w:p>
        </w:tc>
      </w:tr>
      <w:tr>
        <w:tc>
          <w:tcPr>
            <w:tcW w:type="dxa" w:w="2349"/>
          </w:tcPr>
          <w:p>
            <w:pPr>
              <w:spacing w:after="20"/>
            </w:pPr>
            <w:r>
              <w:rPr>
                <w:color w:val="1C3A36"/>
                <w:sz w:val="16"/>
              </w:rPr>
              <w:t>Other income</w:t>
            </w:r>
          </w:p>
        </w:tc>
        <w:tc>
          <w:tcPr>
            <w:tcW w:type="dxa" w:w="966"/>
          </w:tcPr>
          <w:p>
            <w:pPr>
              <w:spacing w:after="20"/>
              <w:jc w:val="right"/>
            </w:pPr>
            <w:r>
              <w:rPr>
                <w:color w:val="1C3A36"/>
                <w:sz w:val="16"/>
              </w:rPr>
              <w:t>10</w:t>
            </w:r>
          </w:p>
        </w:tc>
        <w:tc>
          <w:tcPr>
            <w:tcW w:type="dxa" w:w="966"/>
          </w:tcPr>
          <w:p>
            <w:pPr>
              <w:spacing w:after="20"/>
              <w:jc w:val="right"/>
            </w:pPr>
            <w:r>
              <w:rPr>
                <w:color w:val="1C3A36"/>
                <w:sz w:val="16"/>
              </w:rPr>
              <w:t>6</w:t>
            </w:r>
          </w:p>
        </w:tc>
        <w:tc>
          <w:tcPr>
            <w:tcW w:type="dxa" w:w="966"/>
          </w:tcPr>
          <w:p>
            <w:pPr>
              <w:spacing w:after="20"/>
              <w:jc w:val="right"/>
            </w:pPr>
            <w:r>
              <w:rPr>
                <w:color w:val="1C3A36"/>
                <w:sz w:val="16"/>
              </w:rPr>
              <w:t>27</w:t>
            </w:r>
          </w:p>
        </w:tc>
        <w:tc>
          <w:tcPr>
            <w:tcW w:type="dxa" w:w="966"/>
          </w:tcPr>
          <w:p>
            <w:pPr>
              <w:spacing w:after="20"/>
              <w:jc w:val="right"/>
            </w:pPr>
            <w:r>
              <w:rPr>
                <w:color w:val="1C3A36"/>
                <w:sz w:val="16"/>
              </w:rPr>
              <w:t>27</w:t>
            </w:r>
          </w:p>
        </w:tc>
        <w:tc>
          <w:tcPr>
            <w:tcW w:type="dxa" w:w="966"/>
          </w:tcPr>
          <w:p>
            <w:pPr>
              <w:spacing w:after="20"/>
              <w:jc w:val="right"/>
            </w:pPr>
            <w:r>
              <w:rPr>
                <w:color w:val="1C3A36"/>
                <w:sz w:val="16"/>
              </w:rPr>
              <w:t>28</w:t>
            </w:r>
          </w:p>
        </w:tc>
        <w:tc>
          <w:tcPr>
            <w:tcW w:type="dxa" w:w="966"/>
          </w:tcPr>
          <w:p>
            <w:pPr>
              <w:spacing w:after="20"/>
              <w:jc w:val="right"/>
            </w:pPr>
            <w:r>
              <w:rPr>
                <w:color w:val="1C3A36"/>
                <w:sz w:val="16"/>
              </w:rPr>
              <w:t>28</w:t>
            </w:r>
          </w:p>
        </w:tc>
        <w:tc>
          <w:tcPr>
            <w:tcW w:type="dxa" w:w="966"/>
          </w:tcPr>
          <w:p>
            <w:pPr>
              <w:spacing w:after="20"/>
              <w:jc w:val="right"/>
            </w:pPr>
            <w:r>
              <w:rPr>
                <w:color w:val="1C3A36"/>
                <w:sz w:val="16"/>
              </w:rPr>
              <w:t>29</w:t>
            </w:r>
          </w:p>
        </w:tc>
        <w:tc>
          <w:tcPr>
            <w:tcW w:type="dxa" w:w="966"/>
          </w:tcPr>
          <w:p>
            <w:pPr>
              <w:spacing w:after="20"/>
              <w:jc w:val="right"/>
            </w:pPr>
            <w:r>
              <w:rPr>
                <w:color w:val="1C3A36"/>
                <w:sz w:val="16"/>
              </w:rPr>
              <w:t>29</w:t>
            </w:r>
          </w:p>
        </w:tc>
      </w:tr>
      <w:tr>
        <w:tc>
          <w:tcPr>
            <w:tcW w:type="dxa" w:w="2349"/>
          </w:tcPr>
          <w:p>
            <w:pPr>
              <w:spacing w:after="20"/>
            </w:pPr>
            <w:r>
              <w:rPr>
                <w:color w:val="1C3A36"/>
                <w:sz w:val="16"/>
              </w:rPr>
              <w:t>Share of joint-venture results</w:t>
            </w:r>
          </w:p>
        </w:tc>
        <w:tc>
          <w:tcPr>
            <w:tcW w:type="dxa" w:w="966"/>
          </w:tcPr>
          <w:p>
            <w:pPr>
              <w:spacing w:after="20"/>
              <w:jc w:val="right"/>
            </w:pPr>
            <w:r>
              <w:rPr>
                <w:color w:val="1C3A36"/>
                <w:sz w:val="16"/>
              </w:rPr>
              <w:t>0</w:t>
            </w:r>
          </w:p>
        </w:tc>
        <w:tc>
          <w:tcPr>
            <w:tcW w:type="dxa" w:w="966"/>
          </w:tcPr>
          <w:p>
            <w:pPr>
              <w:spacing w:after="20"/>
              <w:jc w:val="right"/>
            </w:pPr>
            <w:r>
              <w:rPr>
                <w:color w:val="1C3A36"/>
                <w:sz w:val="16"/>
              </w:rPr>
              <w:t>8</w:t>
            </w:r>
          </w:p>
        </w:tc>
        <w:tc>
          <w:tcPr>
            <w:tcW w:type="dxa" w:w="966"/>
          </w:tcPr>
          <w:p>
            <w:pPr>
              <w:spacing w:after="20"/>
              <w:jc w:val="right"/>
            </w:pPr>
            <w:r>
              <w:rPr>
                <w:color w:val="1C3A36"/>
                <w:sz w:val="16"/>
              </w:rPr>
              <w:t>29</w:t>
            </w:r>
          </w:p>
        </w:tc>
        <w:tc>
          <w:tcPr>
            <w:tcW w:type="dxa" w:w="966"/>
          </w:tcPr>
          <w:p>
            <w:pPr>
              <w:spacing w:after="20"/>
              <w:jc w:val="right"/>
            </w:pPr>
            <w:r>
              <w:rPr>
                <w:color w:val="1C3A36"/>
                <w:sz w:val="16"/>
              </w:rPr>
              <w:t>29</w:t>
            </w:r>
          </w:p>
        </w:tc>
        <w:tc>
          <w:tcPr>
            <w:tcW w:type="dxa" w:w="966"/>
          </w:tcPr>
          <w:p>
            <w:pPr>
              <w:spacing w:after="20"/>
              <w:jc w:val="right"/>
            </w:pPr>
            <w:r>
              <w:rPr>
                <w:color w:val="1C3A36"/>
                <w:sz w:val="16"/>
              </w:rPr>
              <w:t>30</w:t>
            </w:r>
          </w:p>
        </w:tc>
        <w:tc>
          <w:tcPr>
            <w:tcW w:type="dxa" w:w="966"/>
          </w:tcPr>
          <w:p>
            <w:pPr>
              <w:spacing w:after="20"/>
              <w:jc w:val="right"/>
            </w:pPr>
            <w:r>
              <w:rPr>
                <w:color w:val="1C3A36"/>
                <w:sz w:val="16"/>
              </w:rPr>
              <w:t>30</w:t>
            </w:r>
          </w:p>
        </w:tc>
        <w:tc>
          <w:tcPr>
            <w:tcW w:type="dxa" w:w="966"/>
          </w:tcPr>
          <w:p>
            <w:pPr>
              <w:spacing w:after="20"/>
              <w:jc w:val="right"/>
            </w:pPr>
            <w:r>
              <w:rPr>
                <w:color w:val="1C3A36"/>
                <w:sz w:val="16"/>
              </w:rPr>
              <w:t>31</w:t>
            </w:r>
          </w:p>
        </w:tc>
        <w:tc>
          <w:tcPr>
            <w:tcW w:type="dxa" w:w="966"/>
          </w:tcPr>
          <w:p>
            <w:pPr>
              <w:spacing w:after="20"/>
              <w:jc w:val="right"/>
            </w:pPr>
            <w:r>
              <w:rPr>
                <w:color w:val="1C3A36"/>
                <w:sz w:val="16"/>
              </w:rPr>
              <w:t>31</w:t>
            </w:r>
          </w:p>
        </w:tc>
      </w:tr>
      <w:tr>
        <w:tc>
          <w:tcPr>
            <w:tcW w:type="dxa" w:w="2349"/>
            <w:shd w:val="clear" w:color="auto" w:fill="F6F1E6"/>
          </w:tcPr>
          <w:p>
            <w:pPr>
              <w:spacing w:after="20"/>
            </w:pPr>
            <w:r>
              <w:rPr>
                <w:b/>
                <w:color w:val="1C3A36"/>
                <w:sz w:val="16"/>
              </w:rPr>
              <w:t>EBITDA</w:t>
            </w:r>
          </w:p>
        </w:tc>
        <w:tc>
          <w:tcPr>
            <w:tcW w:type="dxa" w:w="966"/>
            <w:shd w:val="clear" w:color="auto" w:fill="F6F1E6"/>
          </w:tcPr>
          <w:p>
            <w:pPr>
              <w:spacing w:after="20"/>
              <w:jc w:val="right"/>
            </w:pPr>
            <w:r>
              <w:rPr>
                <w:b/>
                <w:color w:val="1C3A36"/>
                <w:sz w:val="16"/>
              </w:rPr>
              <w:t>1,483</w:t>
            </w:r>
          </w:p>
        </w:tc>
        <w:tc>
          <w:tcPr>
            <w:tcW w:type="dxa" w:w="966"/>
            <w:shd w:val="clear" w:color="auto" w:fill="F6F1E6"/>
          </w:tcPr>
          <w:p>
            <w:pPr>
              <w:spacing w:after="20"/>
              <w:jc w:val="right"/>
            </w:pPr>
            <w:r>
              <w:rPr>
                <w:b/>
                <w:color w:val="1C3A36"/>
                <w:sz w:val="16"/>
              </w:rPr>
              <w:t>2,015</w:t>
            </w:r>
          </w:p>
        </w:tc>
        <w:tc>
          <w:tcPr>
            <w:tcW w:type="dxa" w:w="966"/>
            <w:shd w:val="clear" w:color="auto" w:fill="F6F1E6"/>
          </w:tcPr>
          <w:p>
            <w:pPr>
              <w:spacing w:after="20"/>
              <w:jc w:val="right"/>
            </w:pPr>
            <w:r>
              <w:rPr>
                <w:b/>
                <w:color w:val="1C3A36"/>
                <w:sz w:val="16"/>
              </w:rPr>
              <w:t>2,198</w:t>
            </w:r>
          </w:p>
        </w:tc>
        <w:tc>
          <w:tcPr>
            <w:tcW w:type="dxa" w:w="966"/>
            <w:shd w:val="clear" w:color="auto" w:fill="F6F1E6"/>
          </w:tcPr>
          <w:p>
            <w:pPr>
              <w:spacing w:after="20"/>
              <w:jc w:val="right"/>
            </w:pPr>
            <w:r>
              <w:rPr>
                <w:b/>
                <w:color w:val="1C3A36"/>
                <w:sz w:val="16"/>
              </w:rPr>
              <w:t>2,187</w:t>
            </w:r>
          </w:p>
        </w:tc>
        <w:tc>
          <w:tcPr>
            <w:tcW w:type="dxa" w:w="966"/>
            <w:shd w:val="clear" w:color="auto" w:fill="F6F1E6"/>
          </w:tcPr>
          <w:p>
            <w:pPr>
              <w:spacing w:after="20"/>
              <w:jc w:val="right"/>
            </w:pPr>
            <w:r>
              <w:rPr>
                <w:b/>
                <w:color w:val="1C3A36"/>
                <w:sz w:val="16"/>
              </w:rPr>
              <w:t>2,360</w:t>
            </w:r>
          </w:p>
        </w:tc>
        <w:tc>
          <w:tcPr>
            <w:tcW w:type="dxa" w:w="966"/>
            <w:shd w:val="clear" w:color="auto" w:fill="F6F1E6"/>
          </w:tcPr>
          <w:p>
            <w:pPr>
              <w:spacing w:after="20"/>
              <w:jc w:val="right"/>
            </w:pPr>
            <w:r>
              <w:rPr>
                <w:b/>
                <w:color w:val="1C3A36"/>
                <w:sz w:val="16"/>
              </w:rPr>
              <w:t>2,539</w:t>
            </w:r>
          </w:p>
        </w:tc>
        <w:tc>
          <w:tcPr>
            <w:tcW w:type="dxa" w:w="966"/>
            <w:shd w:val="clear" w:color="auto" w:fill="F6F1E6"/>
          </w:tcPr>
          <w:p>
            <w:pPr>
              <w:spacing w:after="20"/>
              <w:jc w:val="right"/>
            </w:pPr>
            <w:r>
              <w:rPr>
                <w:b/>
                <w:color w:val="1C3A36"/>
                <w:sz w:val="16"/>
              </w:rPr>
              <w:t>2,672</w:t>
            </w:r>
          </w:p>
        </w:tc>
        <w:tc>
          <w:tcPr>
            <w:tcW w:type="dxa" w:w="966"/>
            <w:shd w:val="clear" w:color="auto" w:fill="F6F1E6"/>
          </w:tcPr>
          <w:p>
            <w:pPr>
              <w:spacing w:after="20"/>
              <w:jc w:val="right"/>
            </w:pPr>
            <w:r>
              <w:rPr>
                <w:b/>
                <w:color w:val="1C3A36"/>
                <w:sz w:val="16"/>
              </w:rPr>
              <w:t>2,741</w:t>
            </w:r>
          </w:p>
        </w:tc>
      </w:tr>
      <w:tr>
        <w:tc>
          <w:tcPr>
            <w:tcW w:type="dxa" w:w="2349"/>
          </w:tcPr>
          <w:p>
            <w:pPr>
              <w:spacing w:after="20"/>
            </w:pPr>
            <w:r>
              <w:rPr>
                <w:color w:val="1C3A36"/>
                <w:sz w:val="16"/>
              </w:rPr>
              <w:t>EBITDA margin</w:t>
            </w:r>
          </w:p>
        </w:tc>
        <w:tc>
          <w:tcPr>
            <w:tcW w:type="dxa" w:w="966"/>
          </w:tcPr>
          <w:p>
            <w:pPr>
              <w:spacing w:after="20"/>
              <w:jc w:val="right"/>
            </w:pPr>
            <w:r>
              <w:rPr>
                <w:color w:val="1C3A36"/>
                <w:sz w:val="16"/>
              </w:rPr>
              <w:t>48.5%</w:t>
            </w:r>
          </w:p>
        </w:tc>
        <w:tc>
          <w:tcPr>
            <w:tcW w:type="dxa" w:w="966"/>
          </w:tcPr>
          <w:p>
            <w:pPr>
              <w:spacing w:after="20"/>
              <w:jc w:val="right"/>
            </w:pPr>
            <w:r>
              <w:rPr>
                <w:color w:val="1C3A36"/>
                <w:sz w:val="16"/>
              </w:rPr>
              <w:t>49.9%</w:t>
            </w:r>
          </w:p>
        </w:tc>
        <w:tc>
          <w:tcPr>
            <w:tcW w:type="dxa" w:w="966"/>
          </w:tcPr>
          <w:p>
            <w:pPr>
              <w:spacing w:after="20"/>
              <w:jc w:val="right"/>
            </w:pPr>
            <w:r>
              <w:rPr>
                <w:color w:val="1C3A36"/>
                <w:sz w:val="16"/>
              </w:rPr>
              <w:t>44.8%</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45.3%</w:t>
            </w:r>
          </w:p>
        </w:tc>
        <w:tc>
          <w:tcPr>
            <w:tcW w:type="dxa" w:w="966"/>
          </w:tcPr>
          <w:p>
            <w:pPr>
              <w:spacing w:after="20"/>
              <w:jc w:val="right"/>
            </w:pPr>
            <w:r>
              <w:rPr>
                <w:color w:val="1C3A36"/>
                <w:sz w:val="16"/>
              </w:rPr>
              <w:t>46.2%</w:t>
            </w:r>
          </w:p>
        </w:tc>
        <w:tc>
          <w:tcPr>
            <w:tcW w:type="dxa" w:w="966"/>
          </w:tcPr>
          <w:p>
            <w:pPr>
              <w:spacing w:after="20"/>
              <w:jc w:val="right"/>
            </w:pPr>
            <w:r>
              <w:rPr>
                <w:color w:val="1C3A36"/>
                <w:sz w:val="16"/>
              </w:rPr>
              <w:t>46.3%</w:t>
            </w:r>
          </w:p>
        </w:tc>
        <w:tc>
          <w:tcPr>
            <w:tcW w:type="dxa" w:w="966"/>
          </w:tcPr>
          <w:p>
            <w:pPr>
              <w:spacing w:after="20"/>
              <w:jc w:val="right"/>
            </w:pPr>
            <w:r>
              <w:rPr>
                <w:color w:val="1C3A36"/>
                <w:sz w:val="16"/>
              </w:rPr>
              <w:t>46.0%</w:t>
            </w:r>
          </w:p>
        </w:tc>
      </w:tr>
      <w:tr>
        <w:tc>
          <w:tcPr>
            <w:tcW w:type="dxa" w:w="2349"/>
          </w:tcPr>
          <w:p>
            <w:pPr>
              <w:spacing w:after="20"/>
            </w:pPr>
            <w:r>
              <w:rPr>
                <w:color w:val="1C3A36"/>
                <w:sz w:val="16"/>
              </w:rPr>
              <w:t>Depreciation and amortisation</w:t>
            </w:r>
          </w:p>
        </w:tc>
        <w:tc>
          <w:tcPr>
            <w:tcW w:type="dxa" w:w="966"/>
          </w:tcPr>
          <w:p>
            <w:pPr>
              <w:spacing w:after="20"/>
              <w:jc w:val="right"/>
            </w:pPr>
            <w:r>
              <w:rPr>
                <w:color w:val="1C3A36"/>
                <w:sz w:val="16"/>
              </w:rPr>
              <w:t>-391</w:t>
            </w:r>
          </w:p>
        </w:tc>
        <w:tc>
          <w:tcPr>
            <w:tcW w:type="dxa" w:w="966"/>
          </w:tcPr>
          <w:p>
            <w:pPr>
              <w:spacing w:after="20"/>
              <w:jc w:val="right"/>
            </w:pPr>
            <w:r>
              <w:rPr>
                <w:color w:val="1C3A36"/>
                <w:sz w:val="16"/>
              </w:rPr>
              <w:t>-458</w:t>
            </w:r>
          </w:p>
        </w:tc>
        <w:tc>
          <w:tcPr>
            <w:tcW w:type="dxa" w:w="966"/>
          </w:tcPr>
          <w:p>
            <w:pPr>
              <w:spacing w:after="20"/>
              <w:jc w:val="right"/>
            </w:pPr>
            <w:r>
              <w:rPr>
                <w:color w:val="1C3A36"/>
                <w:sz w:val="16"/>
              </w:rPr>
              <w:t>-512</w:t>
            </w:r>
          </w:p>
        </w:tc>
        <w:tc>
          <w:tcPr>
            <w:tcW w:type="dxa" w:w="966"/>
          </w:tcPr>
          <w:p>
            <w:pPr>
              <w:spacing w:after="20"/>
              <w:jc w:val="right"/>
            </w:pPr>
            <w:r>
              <w:rPr>
                <w:color w:val="1C3A36"/>
                <w:sz w:val="16"/>
              </w:rPr>
              <w:t>-556</w:t>
            </w:r>
          </w:p>
        </w:tc>
        <w:tc>
          <w:tcPr>
            <w:tcW w:type="dxa" w:w="966"/>
          </w:tcPr>
          <w:p>
            <w:pPr>
              <w:spacing w:after="20"/>
              <w:jc w:val="right"/>
            </w:pPr>
            <w:r>
              <w:rPr>
                <w:color w:val="1C3A36"/>
                <w:sz w:val="16"/>
              </w:rPr>
              <w:t>-570</w:t>
            </w:r>
          </w:p>
        </w:tc>
        <w:tc>
          <w:tcPr>
            <w:tcW w:type="dxa" w:w="966"/>
          </w:tcPr>
          <w:p>
            <w:pPr>
              <w:spacing w:after="20"/>
              <w:jc w:val="right"/>
            </w:pPr>
            <w:r>
              <w:rPr>
                <w:color w:val="1C3A36"/>
                <w:sz w:val="16"/>
              </w:rPr>
              <w:t>-573</w:t>
            </w:r>
          </w:p>
        </w:tc>
        <w:tc>
          <w:tcPr>
            <w:tcW w:type="dxa" w:w="966"/>
          </w:tcPr>
          <w:p>
            <w:pPr>
              <w:spacing w:after="20"/>
              <w:jc w:val="right"/>
            </w:pPr>
            <w:r>
              <w:rPr>
                <w:color w:val="1C3A36"/>
                <w:sz w:val="16"/>
              </w:rPr>
              <w:t>-568</w:t>
            </w:r>
          </w:p>
        </w:tc>
        <w:tc>
          <w:tcPr>
            <w:tcW w:type="dxa" w:w="966"/>
          </w:tcPr>
          <w:p>
            <w:pPr>
              <w:spacing w:after="20"/>
              <w:jc w:val="right"/>
            </w:pPr>
            <w:r>
              <w:rPr>
                <w:color w:val="1C3A36"/>
                <w:sz w:val="16"/>
              </w:rPr>
              <w:t>-554</w:t>
            </w:r>
          </w:p>
        </w:tc>
      </w:tr>
      <w:tr>
        <w:tc>
          <w:tcPr>
            <w:tcW w:type="dxa" w:w="2349"/>
          </w:tcPr>
          <w:p>
            <w:pPr>
              <w:spacing w:after="20"/>
            </w:pPr>
            <w:r>
              <w:rPr>
                <w:color w:val="1C3A36"/>
                <w:sz w:val="16"/>
              </w:rPr>
              <w:t>EBIT</w:t>
            </w:r>
          </w:p>
        </w:tc>
        <w:tc>
          <w:tcPr>
            <w:tcW w:type="dxa" w:w="966"/>
          </w:tcPr>
          <w:p>
            <w:pPr>
              <w:spacing w:after="20"/>
              <w:jc w:val="right"/>
            </w:pPr>
            <w:r>
              <w:rPr>
                <w:color w:val="1C3A36"/>
                <w:sz w:val="16"/>
              </w:rPr>
              <w:t>1,092</w:t>
            </w:r>
          </w:p>
        </w:tc>
        <w:tc>
          <w:tcPr>
            <w:tcW w:type="dxa" w:w="966"/>
          </w:tcPr>
          <w:p>
            <w:pPr>
              <w:spacing w:after="20"/>
              <w:jc w:val="right"/>
            </w:pPr>
            <w:r>
              <w:rPr>
                <w:color w:val="1C3A36"/>
                <w:sz w:val="16"/>
              </w:rPr>
              <w:t>1,556</w:t>
            </w:r>
          </w:p>
        </w:tc>
        <w:tc>
          <w:tcPr>
            <w:tcW w:type="dxa" w:w="966"/>
          </w:tcPr>
          <w:p>
            <w:pPr>
              <w:spacing w:after="20"/>
              <w:jc w:val="right"/>
            </w:pPr>
            <w:r>
              <w:rPr>
                <w:color w:val="1C3A36"/>
                <w:sz w:val="16"/>
              </w:rPr>
              <w:t>1,686</w:t>
            </w:r>
          </w:p>
        </w:tc>
        <w:tc>
          <w:tcPr>
            <w:tcW w:type="dxa" w:w="966"/>
          </w:tcPr>
          <w:p>
            <w:pPr>
              <w:spacing w:after="20"/>
              <w:jc w:val="right"/>
            </w:pPr>
            <w:r>
              <w:rPr>
                <w:color w:val="1C3A36"/>
                <w:sz w:val="16"/>
              </w:rPr>
              <w:t>1,631</w:t>
            </w:r>
          </w:p>
        </w:tc>
        <w:tc>
          <w:tcPr>
            <w:tcW w:type="dxa" w:w="966"/>
          </w:tcPr>
          <w:p>
            <w:pPr>
              <w:spacing w:after="20"/>
              <w:jc w:val="right"/>
            </w:pPr>
            <w:r>
              <w:rPr>
                <w:color w:val="1C3A36"/>
                <w:sz w:val="16"/>
              </w:rPr>
              <w:t>1,790</w:t>
            </w:r>
          </w:p>
        </w:tc>
        <w:tc>
          <w:tcPr>
            <w:tcW w:type="dxa" w:w="966"/>
          </w:tcPr>
          <w:p>
            <w:pPr>
              <w:spacing w:after="20"/>
              <w:jc w:val="right"/>
            </w:pPr>
            <w:r>
              <w:rPr>
                <w:color w:val="1C3A36"/>
                <w:sz w:val="16"/>
              </w:rPr>
              <w:t>1,966</w:t>
            </w:r>
          </w:p>
        </w:tc>
        <w:tc>
          <w:tcPr>
            <w:tcW w:type="dxa" w:w="966"/>
          </w:tcPr>
          <w:p>
            <w:pPr>
              <w:spacing w:after="20"/>
              <w:jc w:val="right"/>
            </w:pPr>
            <w:r>
              <w:rPr>
                <w:color w:val="1C3A36"/>
                <w:sz w:val="16"/>
              </w:rPr>
              <w:t>2,104</w:t>
            </w:r>
          </w:p>
        </w:tc>
        <w:tc>
          <w:tcPr>
            <w:tcW w:type="dxa" w:w="966"/>
          </w:tcPr>
          <w:p>
            <w:pPr>
              <w:spacing w:after="20"/>
              <w:jc w:val="right"/>
            </w:pPr>
            <w:r>
              <w:rPr>
                <w:color w:val="1C3A36"/>
                <w:sz w:val="16"/>
              </w:rPr>
              <w:t>2,187</w:t>
            </w:r>
          </w:p>
        </w:tc>
      </w:tr>
      <w:tr>
        <w:tc>
          <w:tcPr>
            <w:tcW w:type="dxa" w:w="2349"/>
          </w:tcPr>
          <w:p>
            <w:pPr>
              <w:spacing w:after="20"/>
            </w:pPr>
            <w:r>
              <w:rPr>
                <w:color w:val="1C3A36"/>
                <w:sz w:val="16"/>
              </w:rPr>
              <w:t>Finance cost</w:t>
            </w:r>
          </w:p>
        </w:tc>
        <w:tc>
          <w:tcPr>
            <w:tcW w:type="dxa" w:w="966"/>
          </w:tcPr>
          <w:p>
            <w:pPr>
              <w:spacing w:after="20"/>
              <w:jc w:val="right"/>
            </w:pPr>
            <w:r>
              <w:rPr>
                <w:color w:val="1C3A36"/>
                <w:sz w:val="16"/>
              </w:rPr>
              <w:t>-75</w:t>
            </w:r>
          </w:p>
        </w:tc>
        <w:tc>
          <w:tcPr>
            <w:tcW w:type="dxa" w:w="966"/>
          </w:tcPr>
          <w:p>
            <w:pPr>
              <w:spacing w:after="20"/>
              <w:jc w:val="right"/>
            </w:pPr>
            <w:r>
              <w:rPr>
                <w:color w:val="1C3A36"/>
                <w:sz w:val="16"/>
              </w:rPr>
              <w:t>-136</w:t>
            </w:r>
          </w:p>
        </w:tc>
        <w:tc>
          <w:tcPr>
            <w:tcW w:type="dxa" w:w="966"/>
          </w:tcPr>
          <w:p>
            <w:pPr>
              <w:spacing w:after="20"/>
              <w:jc w:val="right"/>
            </w:pPr>
            <w:r>
              <w:rPr>
                <w:color w:val="1C3A36"/>
                <w:sz w:val="16"/>
              </w:rPr>
              <w:t>-109</w:t>
            </w:r>
          </w:p>
        </w:tc>
        <w:tc>
          <w:tcPr>
            <w:tcW w:type="dxa" w:w="966"/>
          </w:tcPr>
          <w:p>
            <w:pPr>
              <w:spacing w:after="20"/>
              <w:jc w:val="right"/>
            </w:pPr>
            <w:r>
              <w:rPr>
                <w:color w:val="1C3A36"/>
                <w:sz w:val="16"/>
              </w:rPr>
              <w:t>-129</w:t>
            </w:r>
          </w:p>
        </w:tc>
        <w:tc>
          <w:tcPr>
            <w:tcW w:type="dxa" w:w="966"/>
          </w:tcPr>
          <w:p>
            <w:pPr>
              <w:spacing w:after="20"/>
              <w:jc w:val="right"/>
            </w:pPr>
            <w:r>
              <w:rPr>
                <w:color w:val="1C3A36"/>
                <w:sz w:val="16"/>
              </w:rPr>
              <w:t>-129</w:t>
            </w:r>
          </w:p>
        </w:tc>
        <w:tc>
          <w:tcPr>
            <w:tcW w:type="dxa" w:w="966"/>
          </w:tcPr>
          <w:p>
            <w:pPr>
              <w:spacing w:after="20"/>
              <w:jc w:val="right"/>
            </w:pPr>
            <w:r>
              <w:rPr>
                <w:color w:val="1C3A36"/>
                <w:sz w:val="16"/>
              </w:rPr>
              <w:t>-129</w:t>
            </w:r>
          </w:p>
        </w:tc>
        <w:tc>
          <w:tcPr>
            <w:tcW w:type="dxa" w:w="966"/>
          </w:tcPr>
          <w:p>
            <w:pPr>
              <w:spacing w:after="20"/>
              <w:jc w:val="right"/>
            </w:pPr>
            <w:r>
              <w:rPr>
                <w:color w:val="1C3A36"/>
                <w:sz w:val="16"/>
              </w:rPr>
              <w:t>-129</w:t>
            </w:r>
          </w:p>
        </w:tc>
        <w:tc>
          <w:tcPr>
            <w:tcW w:type="dxa" w:w="966"/>
          </w:tcPr>
          <w:p>
            <w:pPr>
              <w:spacing w:after="20"/>
              <w:jc w:val="right"/>
            </w:pPr>
            <w:r>
              <w:rPr>
                <w:color w:val="1C3A36"/>
                <w:sz w:val="16"/>
              </w:rPr>
              <w:t>-129</w:t>
            </w:r>
          </w:p>
        </w:tc>
      </w:tr>
      <w:tr>
        <w:tc>
          <w:tcPr>
            <w:tcW w:type="dxa" w:w="2349"/>
          </w:tcPr>
          <w:p>
            <w:pPr>
              <w:spacing w:after="20"/>
            </w:pPr>
            <w:r>
              <w:rPr>
                <w:color w:val="1C3A36"/>
                <w:sz w:val="16"/>
              </w:rPr>
              <w:t>Finance income</w:t>
            </w:r>
          </w:p>
        </w:tc>
        <w:tc>
          <w:tcPr>
            <w:tcW w:type="dxa" w:w="966"/>
          </w:tcPr>
          <w:p>
            <w:pPr>
              <w:spacing w:after="20"/>
              <w:jc w:val="right"/>
            </w:pPr>
            <w:r>
              <w:rPr>
                <w:color w:val="1C3A36"/>
                <w:sz w:val="16"/>
              </w:rPr>
              <w:t>16</w:t>
            </w:r>
          </w:p>
        </w:tc>
        <w:tc>
          <w:tcPr>
            <w:tcW w:type="dxa" w:w="966"/>
          </w:tcPr>
          <w:p>
            <w:pPr>
              <w:spacing w:after="20"/>
              <w:jc w:val="right"/>
            </w:pPr>
            <w:r>
              <w:rPr>
                <w:color w:val="1C3A36"/>
                <w:sz w:val="16"/>
              </w:rPr>
              <w:t>12</w:t>
            </w:r>
          </w:p>
        </w:tc>
        <w:tc>
          <w:tcPr>
            <w:tcW w:type="dxa" w:w="966"/>
          </w:tcPr>
          <w:p>
            <w:pPr>
              <w:spacing w:after="20"/>
              <w:jc w:val="right"/>
            </w:pPr>
            <w:r>
              <w:rPr>
                <w:color w:val="1C3A36"/>
                <w:sz w:val="16"/>
              </w:rPr>
              <w:t>12</w:t>
            </w:r>
          </w:p>
        </w:tc>
        <w:tc>
          <w:tcPr>
            <w:tcW w:type="dxa" w:w="966"/>
          </w:tcPr>
          <w:p>
            <w:pPr>
              <w:spacing w:after="20"/>
              <w:jc w:val="right"/>
            </w:pPr>
            <w:r>
              <w:rPr>
                <w:color w:val="1C3A36"/>
                <w:sz w:val="16"/>
              </w:rPr>
              <w:t>9</w:t>
            </w:r>
          </w:p>
        </w:tc>
        <w:tc>
          <w:tcPr>
            <w:tcW w:type="dxa" w:w="966"/>
          </w:tcPr>
          <w:p>
            <w:pPr>
              <w:spacing w:after="20"/>
              <w:jc w:val="right"/>
            </w:pPr>
            <w:r>
              <w:rPr>
                <w:color w:val="1C3A36"/>
                <w:sz w:val="16"/>
              </w:rPr>
              <w:t>10</w:t>
            </w:r>
          </w:p>
        </w:tc>
        <w:tc>
          <w:tcPr>
            <w:tcW w:type="dxa" w:w="966"/>
          </w:tcPr>
          <w:p>
            <w:pPr>
              <w:spacing w:after="20"/>
              <w:jc w:val="right"/>
            </w:pPr>
            <w:r>
              <w:rPr>
                <w:color w:val="1C3A36"/>
                <w:sz w:val="16"/>
              </w:rPr>
              <w:t>24</w:t>
            </w:r>
          </w:p>
        </w:tc>
        <w:tc>
          <w:tcPr>
            <w:tcW w:type="dxa" w:w="966"/>
          </w:tcPr>
          <w:p>
            <w:pPr>
              <w:spacing w:after="20"/>
              <w:jc w:val="right"/>
            </w:pPr>
            <w:r>
              <w:rPr>
                <w:color w:val="1C3A36"/>
                <w:sz w:val="16"/>
              </w:rPr>
              <w:t>45</w:t>
            </w:r>
          </w:p>
        </w:tc>
        <w:tc>
          <w:tcPr>
            <w:tcW w:type="dxa" w:w="966"/>
          </w:tcPr>
          <w:p>
            <w:pPr>
              <w:spacing w:after="20"/>
              <w:jc w:val="right"/>
            </w:pPr>
            <w:r>
              <w:rPr>
                <w:color w:val="1C3A36"/>
                <w:sz w:val="16"/>
              </w:rPr>
              <w:t>72</w:t>
            </w:r>
          </w:p>
        </w:tc>
      </w:tr>
      <w:tr>
        <w:tc>
          <w:tcPr>
            <w:tcW w:type="dxa" w:w="2349"/>
          </w:tcPr>
          <w:p>
            <w:pPr>
              <w:spacing w:after="20"/>
            </w:pPr>
            <w:r>
              <w:rPr>
                <w:color w:val="1C3A36"/>
                <w:sz w:val="16"/>
              </w:rPr>
              <w:t>Profit before tax</w:t>
            </w:r>
          </w:p>
        </w:tc>
        <w:tc>
          <w:tcPr>
            <w:tcW w:type="dxa" w:w="966"/>
          </w:tcPr>
          <w:p>
            <w:pPr>
              <w:spacing w:after="20"/>
              <w:jc w:val="right"/>
            </w:pPr>
            <w:r>
              <w:rPr>
                <w:color w:val="1C3A36"/>
                <w:sz w:val="16"/>
              </w:rPr>
              <w:t>1,033</w:t>
            </w:r>
          </w:p>
        </w:tc>
        <w:tc>
          <w:tcPr>
            <w:tcW w:type="dxa" w:w="966"/>
          </w:tcPr>
          <w:p>
            <w:pPr>
              <w:spacing w:after="20"/>
              <w:jc w:val="right"/>
            </w:pPr>
            <w:r>
              <w:rPr>
                <w:color w:val="1C3A36"/>
                <w:sz w:val="16"/>
              </w:rPr>
              <w:t>1,432</w:t>
            </w:r>
          </w:p>
        </w:tc>
        <w:tc>
          <w:tcPr>
            <w:tcW w:type="dxa" w:w="966"/>
          </w:tcPr>
          <w:p>
            <w:pPr>
              <w:spacing w:after="20"/>
              <w:jc w:val="right"/>
            </w:pPr>
            <w:r>
              <w:rPr>
                <w:color w:val="1C3A36"/>
                <w:sz w:val="16"/>
              </w:rPr>
              <w:t>1,588</w:t>
            </w:r>
          </w:p>
        </w:tc>
        <w:tc>
          <w:tcPr>
            <w:tcW w:type="dxa" w:w="966"/>
          </w:tcPr>
          <w:p>
            <w:pPr>
              <w:spacing w:after="20"/>
              <w:jc w:val="right"/>
            </w:pPr>
            <w:r>
              <w:rPr>
                <w:color w:val="1C3A36"/>
                <w:sz w:val="16"/>
              </w:rPr>
              <w:t>1,511</w:t>
            </w:r>
          </w:p>
        </w:tc>
        <w:tc>
          <w:tcPr>
            <w:tcW w:type="dxa" w:w="966"/>
          </w:tcPr>
          <w:p>
            <w:pPr>
              <w:spacing w:after="20"/>
              <w:jc w:val="right"/>
            </w:pPr>
            <w:r>
              <w:rPr>
                <w:color w:val="1C3A36"/>
                <w:sz w:val="16"/>
              </w:rPr>
              <w:t>1,671</w:t>
            </w:r>
          </w:p>
        </w:tc>
        <w:tc>
          <w:tcPr>
            <w:tcW w:type="dxa" w:w="966"/>
          </w:tcPr>
          <w:p>
            <w:pPr>
              <w:spacing w:after="20"/>
              <w:jc w:val="right"/>
            </w:pPr>
            <w:r>
              <w:rPr>
                <w:color w:val="1C3A36"/>
                <w:sz w:val="16"/>
              </w:rPr>
              <w:t>1,862</w:t>
            </w:r>
          </w:p>
        </w:tc>
        <w:tc>
          <w:tcPr>
            <w:tcW w:type="dxa" w:w="966"/>
          </w:tcPr>
          <w:p>
            <w:pPr>
              <w:spacing w:after="20"/>
              <w:jc w:val="right"/>
            </w:pPr>
            <w:r>
              <w:rPr>
                <w:color w:val="1C3A36"/>
                <w:sz w:val="16"/>
              </w:rPr>
              <w:t>2,020</w:t>
            </w:r>
          </w:p>
        </w:tc>
        <w:tc>
          <w:tcPr>
            <w:tcW w:type="dxa" w:w="966"/>
          </w:tcPr>
          <w:p>
            <w:pPr>
              <w:spacing w:after="20"/>
              <w:jc w:val="right"/>
            </w:pPr>
            <w:r>
              <w:rPr>
                <w:color w:val="1C3A36"/>
                <w:sz w:val="16"/>
              </w:rPr>
              <w:t>2,130</w:t>
            </w:r>
          </w:p>
        </w:tc>
      </w:tr>
      <w:tr>
        <w:tc>
          <w:tcPr>
            <w:tcW w:type="dxa" w:w="2349"/>
          </w:tcPr>
          <w:p>
            <w:pPr>
              <w:spacing w:after="20"/>
            </w:pPr>
            <w:r>
              <w:rPr>
                <w:color w:val="1C3A36"/>
                <w:sz w:val="16"/>
              </w:rPr>
              <w:t>Income tax</w:t>
            </w:r>
          </w:p>
        </w:tc>
        <w:tc>
          <w:tcPr>
            <w:tcW w:type="dxa" w:w="966"/>
          </w:tcPr>
          <w:p>
            <w:pPr>
              <w:spacing w:after="20"/>
              <w:jc w:val="right"/>
            </w:pPr>
            <w:r>
              <w:rPr>
                <w:color w:val="1C3A36"/>
                <w:sz w:val="16"/>
              </w:rPr>
              <w:t>0</w:t>
            </w:r>
          </w:p>
        </w:tc>
        <w:tc>
          <w:tcPr>
            <w:tcW w:type="dxa" w:w="966"/>
          </w:tcPr>
          <w:p>
            <w:pPr>
              <w:spacing w:after="20"/>
              <w:jc w:val="right"/>
            </w:pPr>
            <w:r>
              <w:rPr>
                <w:color w:val="1C3A36"/>
                <w:sz w:val="16"/>
              </w:rPr>
              <w:t>-129</w:t>
            </w:r>
          </w:p>
        </w:tc>
        <w:tc>
          <w:tcPr>
            <w:tcW w:type="dxa" w:w="966"/>
          </w:tcPr>
          <w:p>
            <w:pPr>
              <w:spacing w:after="20"/>
              <w:jc w:val="right"/>
            </w:pPr>
            <w:r>
              <w:rPr>
                <w:color w:val="1C3A36"/>
                <w:sz w:val="16"/>
              </w:rPr>
              <w:t>-139</w:t>
            </w:r>
          </w:p>
        </w:tc>
        <w:tc>
          <w:tcPr>
            <w:tcW w:type="dxa" w:w="966"/>
          </w:tcPr>
          <w:p>
            <w:pPr>
              <w:spacing w:after="20"/>
              <w:jc w:val="right"/>
            </w:pPr>
            <w:r>
              <w:rPr>
                <w:color w:val="1C3A36"/>
                <w:sz w:val="16"/>
              </w:rPr>
              <w:t>-136</w:t>
            </w:r>
          </w:p>
        </w:tc>
        <w:tc>
          <w:tcPr>
            <w:tcW w:type="dxa" w:w="966"/>
          </w:tcPr>
          <w:p>
            <w:pPr>
              <w:spacing w:after="20"/>
              <w:jc w:val="right"/>
            </w:pPr>
            <w:r>
              <w:rPr>
                <w:color w:val="1C3A36"/>
                <w:sz w:val="16"/>
              </w:rPr>
              <w:t>-150</w:t>
            </w:r>
          </w:p>
        </w:tc>
        <w:tc>
          <w:tcPr>
            <w:tcW w:type="dxa" w:w="966"/>
          </w:tcPr>
          <w:p>
            <w:pPr>
              <w:spacing w:after="20"/>
              <w:jc w:val="right"/>
            </w:pPr>
            <w:r>
              <w:rPr>
                <w:color w:val="1C3A36"/>
                <w:sz w:val="16"/>
              </w:rPr>
              <w:t>-168</w:t>
            </w:r>
          </w:p>
        </w:tc>
        <w:tc>
          <w:tcPr>
            <w:tcW w:type="dxa" w:w="966"/>
          </w:tcPr>
          <w:p>
            <w:pPr>
              <w:spacing w:after="20"/>
              <w:jc w:val="right"/>
            </w:pPr>
            <w:r>
              <w:rPr>
                <w:color w:val="1C3A36"/>
                <w:sz w:val="16"/>
              </w:rPr>
              <w:t>-182</w:t>
            </w:r>
          </w:p>
        </w:tc>
        <w:tc>
          <w:tcPr>
            <w:tcW w:type="dxa" w:w="966"/>
          </w:tcPr>
          <w:p>
            <w:pPr>
              <w:spacing w:after="20"/>
              <w:jc w:val="right"/>
            </w:pPr>
            <w:r>
              <w:rPr>
                <w:color w:val="1C3A36"/>
                <w:sz w:val="16"/>
              </w:rPr>
              <w:t>-192</w:t>
            </w:r>
          </w:p>
        </w:tc>
      </w:tr>
      <w:tr>
        <w:tc>
          <w:tcPr>
            <w:tcW w:type="dxa" w:w="2349"/>
            <w:shd w:val="clear" w:color="auto" w:fill="F6F1E6"/>
          </w:tcPr>
          <w:p>
            <w:pPr>
              <w:spacing w:after="20"/>
            </w:pPr>
            <w:r>
              <w:rPr>
                <w:b/>
                <w:color w:val="1C3A36"/>
                <w:sz w:val="16"/>
              </w:rPr>
              <w:t>Profit after tax</w:t>
            </w:r>
          </w:p>
        </w:tc>
        <w:tc>
          <w:tcPr>
            <w:tcW w:type="dxa" w:w="966"/>
            <w:shd w:val="clear" w:color="auto" w:fill="F6F1E6"/>
          </w:tcPr>
          <w:p>
            <w:pPr>
              <w:spacing w:after="20"/>
              <w:jc w:val="right"/>
            </w:pPr>
            <w:r>
              <w:rPr>
                <w:b/>
                <w:color w:val="1C3A36"/>
                <w:sz w:val="16"/>
              </w:rPr>
              <w:t>1,033</w:t>
            </w:r>
          </w:p>
        </w:tc>
        <w:tc>
          <w:tcPr>
            <w:tcW w:type="dxa" w:w="966"/>
            <w:shd w:val="clear" w:color="auto" w:fill="F6F1E6"/>
          </w:tcPr>
          <w:p>
            <w:pPr>
              <w:spacing w:after="20"/>
              <w:jc w:val="right"/>
            </w:pPr>
            <w:r>
              <w:rPr>
                <w:b/>
                <w:color w:val="1C3A36"/>
                <w:sz w:val="16"/>
              </w:rPr>
              <w:t>1,304</w:t>
            </w:r>
          </w:p>
        </w:tc>
        <w:tc>
          <w:tcPr>
            <w:tcW w:type="dxa" w:w="966"/>
            <w:shd w:val="clear" w:color="auto" w:fill="F6F1E6"/>
          </w:tcPr>
          <w:p>
            <w:pPr>
              <w:spacing w:after="20"/>
              <w:jc w:val="right"/>
            </w:pPr>
            <w:r>
              <w:rPr>
                <w:b/>
                <w:color w:val="1C3A36"/>
                <w:sz w:val="16"/>
              </w:rPr>
              <w:t>1,449</w:t>
            </w:r>
          </w:p>
        </w:tc>
        <w:tc>
          <w:tcPr>
            <w:tcW w:type="dxa" w:w="966"/>
            <w:shd w:val="clear" w:color="auto" w:fill="F6F1E6"/>
          </w:tcPr>
          <w:p>
            <w:pPr>
              <w:spacing w:after="20"/>
              <w:jc w:val="right"/>
            </w:pPr>
            <w:r>
              <w:rPr>
                <w:b/>
                <w:color w:val="1C3A36"/>
                <w:sz w:val="16"/>
              </w:rPr>
              <w:t>1,375</w:t>
            </w:r>
          </w:p>
        </w:tc>
        <w:tc>
          <w:tcPr>
            <w:tcW w:type="dxa" w:w="966"/>
            <w:shd w:val="clear" w:color="auto" w:fill="F6F1E6"/>
          </w:tcPr>
          <w:p>
            <w:pPr>
              <w:spacing w:after="20"/>
              <w:jc w:val="right"/>
            </w:pPr>
            <w:r>
              <w:rPr>
                <w:b/>
                <w:color w:val="1C3A36"/>
                <w:sz w:val="16"/>
              </w:rPr>
              <w:t>1,521</w:t>
            </w:r>
          </w:p>
        </w:tc>
        <w:tc>
          <w:tcPr>
            <w:tcW w:type="dxa" w:w="966"/>
            <w:shd w:val="clear" w:color="auto" w:fill="F6F1E6"/>
          </w:tcPr>
          <w:p>
            <w:pPr>
              <w:spacing w:after="20"/>
              <w:jc w:val="right"/>
            </w:pPr>
            <w:r>
              <w:rPr>
                <w:b/>
                <w:color w:val="1C3A36"/>
                <w:sz w:val="16"/>
              </w:rPr>
              <w:t>1,694</w:t>
            </w:r>
          </w:p>
        </w:tc>
        <w:tc>
          <w:tcPr>
            <w:tcW w:type="dxa" w:w="966"/>
            <w:shd w:val="clear" w:color="auto" w:fill="F6F1E6"/>
          </w:tcPr>
          <w:p>
            <w:pPr>
              <w:spacing w:after="20"/>
              <w:jc w:val="right"/>
            </w:pPr>
            <w:r>
              <w:rPr>
                <w:b/>
                <w:color w:val="1C3A36"/>
                <w:sz w:val="16"/>
              </w:rPr>
              <w:t>1,839</w:t>
            </w:r>
          </w:p>
        </w:tc>
        <w:tc>
          <w:tcPr>
            <w:tcW w:type="dxa" w:w="966"/>
            <w:shd w:val="clear" w:color="auto" w:fill="F6F1E6"/>
          </w:tcPr>
          <w:p>
            <w:pPr>
              <w:spacing w:after="20"/>
              <w:jc w:val="right"/>
            </w:pPr>
            <w:r>
              <w:rPr>
                <w:b/>
                <w:color w:val="1C3A36"/>
                <w:sz w:val="16"/>
              </w:rPr>
              <w:t>1,939</w:t>
            </w:r>
          </w:p>
        </w:tc>
      </w:tr>
      <w:tr>
        <w:tc>
          <w:tcPr>
            <w:tcW w:type="dxa" w:w="2349"/>
          </w:tcPr>
          <w:p>
            <w:pPr>
              <w:spacing w:after="20"/>
            </w:pPr>
            <w:r>
              <w:rPr>
                <w:color w:val="1C3A36"/>
                <w:sz w:val="16"/>
              </w:rPr>
              <w:t>Net margin</w:t>
            </w:r>
          </w:p>
        </w:tc>
        <w:tc>
          <w:tcPr>
            <w:tcW w:type="dxa" w:w="966"/>
          </w:tcPr>
          <w:p>
            <w:pPr>
              <w:spacing w:after="20"/>
              <w:jc w:val="right"/>
            </w:pPr>
            <w:r>
              <w:rPr>
                <w:color w:val="1C3A36"/>
                <w:sz w:val="16"/>
              </w:rPr>
              <w:t>33.8%</w:t>
            </w:r>
          </w:p>
        </w:tc>
        <w:tc>
          <w:tcPr>
            <w:tcW w:type="dxa" w:w="966"/>
          </w:tcPr>
          <w:p>
            <w:pPr>
              <w:spacing w:after="20"/>
              <w:jc w:val="right"/>
            </w:pPr>
            <w:r>
              <w:rPr>
                <w:color w:val="1C3A36"/>
                <w:sz w:val="16"/>
              </w:rPr>
              <w:t>32.3%</w:t>
            </w:r>
          </w:p>
        </w:tc>
        <w:tc>
          <w:tcPr>
            <w:tcW w:type="dxa" w:w="966"/>
          </w:tcPr>
          <w:p>
            <w:pPr>
              <w:spacing w:after="20"/>
              <w:jc w:val="right"/>
            </w:pPr>
            <w:r>
              <w:rPr>
                <w:color w:val="1C3A36"/>
                <w:sz w:val="16"/>
              </w:rPr>
              <w:t>29.5%</w:t>
            </w:r>
          </w:p>
        </w:tc>
        <w:tc>
          <w:tcPr>
            <w:tcW w:type="dxa" w:w="966"/>
          </w:tcPr>
          <w:p>
            <w:pPr>
              <w:spacing w:after="20"/>
              <w:jc w:val="right"/>
            </w:pPr>
            <w:r>
              <w:rPr>
                <w:color w:val="1C3A36"/>
                <w:sz w:val="16"/>
              </w:rPr>
              <w:t>27.5%</w:t>
            </w:r>
          </w:p>
        </w:tc>
        <w:tc>
          <w:tcPr>
            <w:tcW w:type="dxa" w:w="966"/>
          </w:tcPr>
          <w:p>
            <w:pPr>
              <w:spacing w:after="20"/>
              <w:jc w:val="right"/>
            </w:pPr>
            <w:r>
              <w:rPr>
                <w:color w:val="1C3A36"/>
                <w:sz w:val="16"/>
              </w:rPr>
              <w:t>29.2%</w:t>
            </w:r>
          </w:p>
        </w:tc>
        <w:tc>
          <w:tcPr>
            <w:tcW w:type="dxa" w:w="966"/>
          </w:tcPr>
          <w:p>
            <w:pPr>
              <w:spacing w:after="20"/>
              <w:jc w:val="right"/>
            </w:pPr>
            <w:r>
              <w:rPr>
                <w:color w:val="1C3A36"/>
                <w:sz w:val="16"/>
              </w:rPr>
              <w:t>30.8%</w:t>
            </w:r>
          </w:p>
        </w:tc>
        <w:tc>
          <w:tcPr>
            <w:tcW w:type="dxa" w:w="966"/>
          </w:tcPr>
          <w:p>
            <w:pPr>
              <w:spacing w:after="20"/>
              <w:jc w:val="right"/>
            </w:pPr>
            <w:r>
              <w:rPr>
                <w:color w:val="1C3A36"/>
                <w:sz w:val="16"/>
              </w:rPr>
              <w:t>31.8%</w:t>
            </w:r>
          </w:p>
        </w:tc>
        <w:tc>
          <w:tcPr>
            <w:tcW w:type="dxa" w:w="966"/>
          </w:tcPr>
          <w:p>
            <w:pPr>
              <w:spacing w:after="20"/>
              <w:jc w:val="right"/>
            </w:pPr>
            <w:r>
              <w:rPr>
                <w:color w:val="1C3A36"/>
                <w:sz w:val="16"/>
              </w:rPr>
              <w:t>32.5%</w:t>
            </w:r>
          </w:p>
        </w:tc>
      </w:tr>
    </w:tbl>
    <w:p>
      <w:pPr>
        <w:spacing w:after="40"/>
      </w:pPr>
    </w:p>
    <w:p>
      <w:pPr>
        <w:spacing w:after="200" w:before="0"/>
      </w:pPr>
      <w:r>
        <w:rPr>
          <w:b w:val="0"/>
          <w:i/>
          <w:color w:val="6E7B77"/>
          <w:sz w:val="17"/>
        </w:rPr>
        <w:t>The three historical years are the audited figures. FY2023 carries no income tax because the Abu Dhabi fiscal arrangement took effect on 1 January 2024.</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49"/>
        <w:gridCol w:w="966"/>
        <w:gridCol w:w="966"/>
        <w:gridCol w:w="966"/>
        <w:gridCol w:w="966"/>
        <w:gridCol w:w="966"/>
        <w:gridCol w:w="966"/>
        <w:gridCol w:w="966"/>
        <w:gridCol w:w="966"/>
      </w:tblGrid>
      <w:tr>
        <w:tc>
          <w:tcPr>
            <w:tcW w:type="dxa" w:w="2349"/>
            <w:shd w:val="clear" w:color="auto" w:fill="EAF0EE"/>
          </w:tcPr>
          <w:p>
            <w:pPr>
              <w:spacing w:after="20"/>
            </w:pPr>
            <w:r>
              <w:rPr>
                <w:b/>
                <w:color w:val="1C3A36"/>
                <w:sz w:val="16"/>
              </w:rPr>
              <w:t>USD million</w:t>
            </w:r>
          </w:p>
        </w:tc>
        <w:tc>
          <w:tcPr>
            <w:tcW w:type="dxa" w:w="966"/>
            <w:shd w:val="clear" w:color="auto" w:fill="EAF0EE"/>
          </w:tcPr>
          <w:p>
            <w:pPr>
              <w:spacing w:after="20"/>
            </w:pPr>
            <w:r>
              <w:rPr>
                <w:b/>
                <w:color w:val="1C3A36"/>
                <w:sz w:val="16"/>
              </w:rPr>
              <w:t>FY2023</w:t>
            </w:r>
          </w:p>
        </w:tc>
        <w:tc>
          <w:tcPr>
            <w:tcW w:type="dxa" w:w="966"/>
            <w:shd w:val="clear" w:color="auto" w:fill="EAF0EE"/>
          </w:tcPr>
          <w:p>
            <w:pPr>
              <w:spacing w:after="20"/>
            </w:pPr>
            <w:r>
              <w:rPr>
                <w:b/>
                <w:color w:val="1C3A36"/>
                <w:sz w:val="16"/>
              </w:rPr>
              <w:t>FY2024</w:t>
            </w:r>
          </w:p>
        </w:tc>
        <w:tc>
          <w:tcPr>
            <w:tcW w:type="dxa" w:w="966"/>
            <w:shd w:val="clear" w:color="auto" w:fill="EAF0EE"/>
          </w:tcPr>
          <w:p>
            <w:pPr>
              <w:spacing w:after="20"/>
            </w:pPr>
            <w:r>
              <w:rPr>
                <w:b/>
                <w:color w:val="1C3A36"/>
                <w:sz w:val="16"/>
              </w:rPr>
              <w:t>FY2025</w:t>
            </w:r>
          </w:p>
        </w:tc>
        <w:tc>
          <w:tcPr>
            <w:tcW w:type="dxa" w:w="966"/>
            <w:shd w:val="clear" w:color="auto" w:fill="EAF0EE"/>
          </w:tcPr>
          <w:p>
            <w:pPr>
              <w:spacing w:after="20"/>
            </w:pPr>
            <w:r>
              <w:rPr>
                <w:b/>
                <w:color w:val="1C3A36"/>
                <w:sz w:val="16"/>
              </w:rPr>
              <w:t>FY2026E</w:t>
            </w:r>
          </w:p>
        </w:tc>
        <w:tc>
          <w:tcPr>
            <w:tcW w:type="dxa" w:w="966"/>
            <w:shd w:val="clear" w:color="auto" w:fill="EAF0EE"/>
          </w:tcPr>
          <w:p>
            <w:pPr>
              <w:spacing w:after="20"/>
            </w:pPr>
            <w:r>
              <w:rPr>
                <w:b/>
                <w:color w:val="1C3A36"/>
                <w:sz w:val="16"/>
              </w:rPr>
              <w:t>FY2027E</w:t>
            </w:r>
          </w:p>
        </w:tc>
        <w:tc>
          <w:tcPr>
            <w:tcW w:type="dxa" w:w="966"/>
            <w:shd w:val="clear" w:color="auto" w:fill="EAF0EE"/>
          </w:tcPr>
          <w:p>
            <w:pPr>
              <w:spacing w:after="20"/>
            </w:pPr>
            <w:r>
              <w:rPr>
                <w:b/>
                <w:color w:val="1C3A36"/>
                <w:sz w:val="16"/>
              </w:rPr>
              <w:t>FY2028E</w:t>
            </w:r>
          </w:p>
        </w:tc>
        <w:tc>
          <w:tcPr>
            <w:tcW w:type="dxa" w:w="966"/>
            <w:shd w:val="clear" w:color="auto" w:fill="EAF0EE"/>
          </w:tcPr>
          <w:p>
            <w:pPr>
              <w:spacing w:after="20"/>
            </w:pPr>
            <w:r>
              <w:rPr>
                <w:b/>
                <w:color w:val="1C3A36"/>
                <w:sz w:val="16"/>
              </w:rPr>
              <w:t>FY2029E</w:t>
            </w:r>
          </w:p>
        </w:tc>
        <w:tc>
          <w:tcPr>
            <w:tcW w:type="dxa" w:w="966"/>
            <w:shd w:val="clear" w:color="auto" w:fill="EAF0EE"/>
          </w:tcPr>
          <w:p>
            <w:pPr>
              <w:spacing w:after="20"/>
            </w:pPr>
            <w:r>
              <w:rPr>
                <w:b/>
                <w:color w:val="1C3A36"/>
                <w:sz w:val="16"/>
              </w:rPr>
              <w:t>FY2030E</w:t>
            </w:r>
          </w:p>
        </w:tc>
      </w:tr>
      <w:tr>
        <w:tc>
          <w:tcPr>
            <w:tcW w:type="dxa" w:w="2349"/>
          </w:tcPr>
          <w:p>
            <w:pPr>
              <w:spacing w:after="20"/>
            </w:pPr>
            <w:r>
              <w:rPr>
                <w:color w:val="1C3A36"/>
                <w:sz w:val="16"/>
              </w:rPr>
              <w:t>Fixed assets</w:t>
            </w:r>
          </w:p>
        </w:tc>
        <w:tc>
          <w:tcPr>
            <w:tcW w:type="dxa" w:w="966"/>
          </w:tcPr>
          <w:p>
            <w:pPr>
              <w:spacing w:after="20"/>
              <w:jc w:val="right"/>
            </w:pPr>
            <w:r>
              <w:rPr>
                <w:color w:val="1C3A36"/>
                <w:sz w:val="16"/>
              </w:rPr>
              <w:t>5,027</w:t>
            </w:r>
          </w:p>
        </w:tc>
        <w:tc>
          <w:tcPr>
            <w:tcW w:type="dxa" w:w="966"/>
          </w:tcPr>
          <w:p>
            <w:pPr>
              <w:spacing w:after="20"/>
              <w:jc w:val="right"/>
            </w:pPr>
            <w:r>
              <w:rPr>
                <w:color w:val="1C3A36"/>
                <w:sz w:val="16"/>
              </w:rPr>
              <w:t>5,381</w:t>
            </w:r>
          </w:p>
        </w:tc>
        <w:tc>
          <w:tcPr>
            <w:tcW w:type="dxa" w:w="966"/>
          </w:tcPr>
          <w:p>
            <w:pPr>
              <w:spacing w:after="20"/>
              <w:jc w:val="right"/>
            </w:pPr>
            <w:r>
              <w:rPr>
                <w:color w:val="1C3A36"/>
                <w:sz w:val="16"/>
              </w:rPr>
              <w:t>5,534</w:t>
            </w:r>
          </w:p>
        </w:tc>
        <w:tc>
          <w:tcPr>
            <w:tcW w:type="dxa" w:w="966"/>
          </w:tcPr>
          <w:p>
            <w:pPr>
              <w:spacing w:after="20"/>
              <w:jc w:val="right"/>
            </w:pPr>
            <w:r>
              <w:rPr>
                <w:color w:val="1C3A36"/>
                <w:sz w:val="16"/>
              </w:rPr>
              <w:t>5,987</w:t>
            </w:r>
          </w:p>
        </w:tc>
        <w:tc>
          <w:tcPr>
            <w:tcW w:type="dxa" w:w="966"/>
          </w:tcPr>
          <w:p>
            <w:pPr>
              <w:spacing w:after="20"/>
              <w:jc w:val="right"/>
            </w:pPr>
            <w:r>
              <w:rPr>
                <w:color w:val="1C3A36"/>
                <w:sz w:val="16"/>
              </w:rPr>
              <w:t>6,017</w:t>
            </w:r>
          </w:p>
        </w:tc>
        <w:tc>
          <w:tcPr>
            <w:tcW w:type="dxa" w:w="966"/>
          </w:tcPr>
          <w:p>
            <w:pPr>
              <w:spacing w:after="20"/>
              <w:jc w:val="right"/>
            </w:pPr>
            <w:r>
              <w:rPr>
                <w:color w:val="1C3A36"/>
                <w:sz w:val="16"/>
              </w:rPr>
              <w:t>5,964</w:t>
            </w:r>
          </w:p>
        </w:tc>
        <w:tc>
          <w:tcPr>
            <w:tcW w:type="dxa" w:w="966"/>
          </w:tcPr>
          <w:p>
            <w:pPr>
              <w:spacing w:after="20"/>
              <w:jc w:val="right"/>
            </w:pPr>
            <w:r>
              <w:rPr>
                <w:color w:val="1C3A36"/>
                <w:sz w:val="16"/>
              </w:rPr>
              <w:t>5,816</w:t>
            </w:r>
          </w:p>
        </w:tc>
        <w:tc>
          <w:tcPr>
            <w:tcW w:type="dxa" w:w="966"/>
          </w:tcPr>
          <w:p>
            <w:pPr>
              <w:spacing w:after="20"/>
              <w:jc w:val="right"/>
            </w:pPr>
            <w:r>
              <w:rPr>
                <w:color w:val="1C3A36"/>
                <w:sz w:val="16"/>
              </w:rPr>
              <w:t>5,642</w:t>
            </w:r>
          </w:p>
        </w:tc>
      </w:tr>
      <w:tr>
        <w:tc>
          <w:tcPr>
            <w:tcW w:type="dxa" w:w="2349"/>
          </w:tcPr>
          <w:p>
            <w:pPr>
              <w:spacing w:after="20"/>
            </w:pPr>
            <w:r>
              <w:rPr>
                <w:color w:val="1C3A36"/>
                <w:sz w:val="16"/>
              </w:rPr>
              <w:t>Other non-current assets</w:t>
            </w:r>
          </w:p>
        </w:tc>
        <w:tc>
          <w:tcPr>
            <w:tcW w:type="dxa" w:w="966"/>
          </w:tcPr>
          <w:p>
            <w:pPr>
              <w:spacing w:after="20"/>
              <w:jc w:val="right"/>
            </w:pPr>
            <w:r>
              <w:rPr>
                <w:color w:val="1C3A36"/>
                <w:sz w:val="16"/>
              </w:rPr>
              <w:t>2</w:t>
            </w:r>
          </w:p>
        </w:tc>
        <w:tc>
          <w:tcPr>
            <w:tcW w:type="dxa" w:w="966"/>
          </w:tcPr>
          <w:p>
            <w:pPr>
              <w:spacing w:after="20"/>
              <w:jc w:val="right"/>
            </w:pPr>
            <w:r>
              <w:rPr>
                <w:color w:val="1C3A36"/>
                <w:sz w:val="16"/>
              </w:rPr>
              <w:t>4</w:t>
            </w:r>
          </w:p>
        </w:tc>
        <w:tc>
          <w:tcPr>
            <w:tcW w:type="dxa" w:w="966"/>
          </w:tcPr>
          <w:p>
            <w:pPr>
              <w:spacing w:after="20"/>
              <w:jc w:val="right"/>
            </w:pPr>
            <w:r>
              <w:rPr>
                <w:color w:val="1C3A36"/>
                <w:sz w:val="16"/>
              </w:rPr>
              <w:t>100</w:t>
            </w:r>
          </w:p>
        </w:tc>
        <w:tc>
          <w:tcPr>
            <w:tcW w:type="dxa" w:w="966"/>
          </w:tcPr>
          <w:p>
            <w:pPr>
              <w:spacing w:after="20"/>
              <w:jc w:val="right"/>
            </w:pPr>
            <w:r>
              <w:rPr>
                <w:color w:val="1C3A36"/>
                <w:sz w:val="16"/>
              </w:rPr>
              <w:t>10</w:t>
            </w:r>
          </w:p>
        </w:tc>
        <w:tc>
          <w:tcPr>
            <w:tcW w:type="dxa" w:w="966"/>
          </w:tcPr>
          <w:p>
            <w:pPr>
              <w:spacing w:after="20"/>
              <w:jc w:val="right"/>
            </w:pPr>
            <w:r>
              <w:rPr>
                <w:color w:val="1C3A36"/>
                <w:sz w:val="16"/>
              </w:rPr>
              <w:t>10</w:t>
            </w:r>
          </w:p>
        </w:tc>
        <w:tc>
          <w:tcPr>
            <w:tcW w:type="dxa" w:w="966"/>
          </w:tcPr>
          <w:p>
            <w:pPr>
              <w:spacing w:after="20"/>
              <w:jc w:val="right"/>
            </w:pPr>
            <w:r>
              <w:rPr>
                <w:color w:val="1C3A36"/>
                <w:sz w:val="16"/>
              </w:rPr>
              <w:t>10</w:t>
            </w:r>
          </w:p>
        </w:tc>
        <w:tc>
          <w:tcPr>
            <w:tcW w:type="dxa" w:w="966"/>
          </w:tcPr>
          <w:p>
            <w:pPr>
              <w:spacing w:after="20"/>
              <w:jc w:val="right"/>
            </w:pPr>
            <w:r>
              <w:rPr>
                <w:color w:val="1C3A36"/>
                <w:sz w:val="16"/>
              </w:rPr>
              <w:t>10</w:t>
            </w:r>
          </w:p>
        </w:tc>
        <w:tc>
          <w:tcPr>
            <w:tcW w:type="dxa" w:w="966"/>
          </w:tcPr>
          <w:p>
            <w:pPr>
              <w:spacing w:after="20"/>
              <w:jc w:val="right"/>
            </w:pPr>
            <w:r>
              <w:rPr>
                <w:color w:val="1C3A36"/>
                <w:sz w:val="16"/>
              </w:rPr>
              <w:t>10</w:t>
            </w:r>
          </w:p>
        </w:tc>
      </w:tr>
      <w:tr>
        <w:tc>
          <w:tcPr>
            <w:tcW w:type="dxa" w:w="2349"/>
          </w:tcPr>
          <w:p>
            <w:pPr>
              <w:spacing w:after="20"/>
            </w:pPr>
            <w:r>
              <w:rPr>
                <w:color w:val="1C3A36"/>
                <w:sz w:val="16"/>
              </w:rPr>
              <w:t>Investment in joint ventures</w:t>
            </w:r>
          </w:p>
        </w:tc>
        <w:tc>
          <w:tcPr>
            <w:tcW w:type="dxa" w:w="966"/>
          </w:tcPr>
          <w:p>
            <w:pPr>
              <w:spacing w:after="20"/>
              <w:jc w:val="right"/>
            </w:pPr>
            <w:r>
              <w:rPr>
                <w:color w:val="1C3A36"/>
                <w:sz w:val="16"/>
              </w:rPr>
              <w:t>0</w:t>
            </w:r>
          </w:p>
        </w:tc>
        <w:tc>
          <w:tcPr>
            <w:tcW w:type="dxa" w:w="966"/>
          </w:tcPr>
          <w:p>
            <w:pPr>
              <w:spacing w:after="20"/>
              <w:jc w:val="right"/>
            </w:pPr>
            <w:r>
              <w:rPr>
                <w:color w:val="1C3A36"/>
                <w:sz w:val="16"/>
              </w:rPr>
              <w:t>275</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437</w:t>
            </w:r>
          </w:p>
        </w:tc>
        <w:tc>
          <w:tcPr>
            <w:tcW w:type="dxa" w:w="966"/>
          </w:tcPr>
          <w:p>
            <w:pPr>
              <w:spacing w:after="20"/>
              <w:jc w:val="right"/>
            </w:pPr>
            <w:r>
              <w:rPr>
                <w:color w:val="1C3A36"/>
                <w:sz w:val="16"/>
              </w:rPr>
              <w:t>437</w:t>
            </w:r>
          </w:p>
        </w:tc>
      </w:tr>
      <w:tr>
        <w:tc>
          <w:tcPr>
            <w:tcW w:type="dxa" w:w="2349"/>
          </w:tcPr>
          <w:p>
            <w:pPr>
              <w:spacing w:after="20"/>
            </w:pPr>
            <w:r>
              <w:rPr>
                <w:color w:val="1C3A36"/>
                <w:sz w:val="16"/>
              </w:rPr>
              <w:t>Inventories</w:t>
            </w:r>
          </w:p>
        </w:tc>
        <w:tc>
          <w:tcPr>
            <w:tcW w:type="dxa" w:w="966"/>
          </w:tcPr>
          <w:p>
            <w:pPr>
              <w:spacing w:after="20"/>
              <w:jc w:val="right"/>
            </w:pPr>
            <w:r>
              <w:rPr>
                <w:color w:val="1C3A36"/>
                <w:sz w:val="16"/>
              </w:rPr>
              <w:t>206</w:t>
            </w:r>
          </w:p>
        </w:tc>
        <w:tc>
          <w:tcPr>
            <w:tcW w:type="dxa" w:w="966"/>
          </w:tcPr>
          <w:p>
            <w:pPr>
              <w:spacing w:after="20"/>
              <w:jc w:val="right"/>
            </w:pPr>
            <w:r>
              <w:rPr>
                <w:color w:val="1C3A36"/>
                <w:sz w:val="16"/>
              </w:rPr>
              <w:t>223</w:t>
            </w:r>
          </w:p>
        </w:tc>
        <w:tc>
          <w:tcPr>
            <w:tcW w:type="dxa" w:w="966"/>
          </w:tcPr>
          <w:p>
            <w:pPr>
              <w:spacing w:after="20"/>
              <w:jc w:val="right"/>
            </w:pPr>
            <w:r>
              <w:rPr>
                <w:color w:val="1C3A36"/>
                <w:sz w:val="16"/>
              </w:rPr>
              <w:t>279</w:t>
            </w:r>
          </w:p>
        </w:tc>
        <w:tc>
          <w:tcPr>
            <w:tcW w:type="dxa" w:w="966"/>
          </w:tcPr>
          <w:p>
            <w:pPr>
              <w:spacing w:after="20"/>
              <w:jc w:val="right"/>
            </w:pPr>
            <w:r>
              <w:rPr>
                <w:color w:val="1C3A36"/>
                <w:sz w:val="16"/>
              </w:rPr>
              <w:t>477</w:t>
            </w:r>
          </w:p>
        </w:tc>
        <w:tc>
          <w:tcPr>
            <w:tcW w:type="dxa" w:w="966"/>
          </w:tcPr>
          <w:p>
            <w:pPr>
              <w:spacing w:after="20"/>
              <w:jc w:val="right"/>
            </w:pPr>
            <w:r>
              <w:rPr>
                <w:color w:val="1C3A36"/>
                <w:sz w:val="16"/>
              </w:rPr>
              <w:t>497</w:t>
            </w:r>
          </w:p>
        </w:tc>
        <w:tc>
          <w:tcPr>
            <w:tcW w:type="dxa" w:w="966"/>
          </w:tcPr>
          <w:p>
            <w:pPr>
              <w:spacing w:after="20"/>
              <w:jc w:val="right"/>
            </w:pPr>
            <w:r>
              <w:rPr>
                <w:color w:val="1C3A36"/>
                <w:sz w:val="16"/>
              </w:rPr>
              <w:t>525</w:t>
            </w:r>
          </w:p>
        </w:tc>
        <w:tc>
          <w:tcPr>
            <w:tcW w:type="dxa" w:w="966"/>
          </w:tcPr>
          <w:p>
            <w:pPr>
              <w:spacing w:after="20"/>
              <w:jc w:val="right"/>
            </w:pPr>
            <w:r>
              <w:rPr>
                <w:color w:val="1C3A36"/>
                <w:sz w:val="16"/>
              </w:rPr>
              <w:t>551</w:t>
            </w:r>
          </w:p>
        </w:tc>
        <w:tc>
          <w:tcPr>
            <w:tcW w:type="dxa" w:w="966"/>
          </w:tcPr>
          <w:p>
            <w:pPr>
              <w:spacing w:after="20"/>
              <w:jc w:val="right"/>
            </w:pPr>
            <w:r>
              <w:rPr>
                <w:color w:val="1C3A36"/>
                <w:sz w:val="16"/>
              </w:rPr>
              <w:t>569</w:t>
            </w:r>
          </w:p>
        </w:tc>
      </w:tr>
      <w:tr>
        <w:tc>
          <w:tcPr>
            <w:tcW w:type="dxa" w:w="2349"/>
          </w:tcPr>
          <w:p>
            <w:pPr>
              <w:spacing w:after="20"/>
            </w:pPr>
            <w:r>
              <w:rPr>
                <w:color w:val="1C3A36"/>
                <w:sz w:val="16"/>
              </w:rPr>
              <w:t>Trade and other receivables</w:t>
            </w:r>
          </w:p>
        </w:tc>
        <w:tc>
          <w:tcPr>
            <w:tcW w:type="dxa" w:w="966"/>
          </w:tcPr>
          <w:p>
            <w:pPr>
              <w:spacing w:after="20"/>
              <w:jc w:val="right"/>
            </w:pPr>
            <w:r>
              <w:rPr>
                <w:color w:val="1C3A36"/>
                <w:sz w:val="16"/>
              </w:rPr>
              <w:t>154</w:t>
            </w:r>
          </w:p>
        </w:tc>
        <w:tc>
          <w:tcPr>
            <w:tcW w:type="dxa" w:w="966"/>
          </w:tcPr>
          <w:p>
            <w:pPr>
              <w:spacing w:after="20"/>
              <w:jc w:val="right"/>
            </w:pPr>
            <w:r>
              <w:rPr>
                <w:color w:val="1C3A36"/>
                <w:sz w:val="16"/>
              </w:rPr>
              <w:t>186</w:t>
            </w:r>
          </w:p>
        </w:tc>
        <w:tc>
          <w:tcPr>
            <w:tcW w:type="dxa" w:w="966"/>
          </w:tcPr>
          <w:p>
            <w:pPr>
              <w:spacing w:after="20"/>
              <w:jc w:val="right"/>
            </w:pPr>
            <w:r>
              <w:rPr>
                <w:color w:val="1C3A36"/>
                <w:sz w:val="16"/>
              </w:rPr>
              <w:t>150</w:t>
            </w:r>
          </w:p>
        </w:tc>
        <w:tc>
          <w:tcPr>
            <w:tcW w:type="dxa" w:w="966"/>
          </w:tcPr>
          <w:p>
            <w:pPr>
              <w:spacing w:after="20"/>
              <w:jc w:val="right"/>
            </w:pPr>
            <w:r>
              <w:rPr>
                <w:color w:val="1C3A36"/>
                <w:sz w:val="16"/>
              </w:rPr>
              <w:t>257</w:t>
            </w:r>
          </w:p>
        </w:tc>
        <w:tc>
          <w:tcPr>
            <w:tcW w:type="dxa" w:w="966"/>
          </w:tcPr>
          <w:p>
            <w:pPr>
              <w:spacing w:after="20"/>
              <w:jc w:val="right"/>
            </w:pPr>
            <w:r>
              <w:rPr>
                <w:color w:val="1C3A36"/>
                <w:sz w:val="16"/>
              </w:rPr>
              <w:t>268</w:t>
            </w:r>
          </w:p>
        </w:tc>
        <w:tc>
          <w:tcPr>
            <w:tcW w:type="dxa" w:w="966"/>
          </w:tcPr>
          <w:p>
            <w:pPr>
              <w:spacing w:after="20"/>
              <w:jc w:val="right"/>
            </w:pPr>
            <w:r>
              <w:rPr>
                <w:color w:val="1C3A36"/>
                <w:sz w:val="16"/>
              </w:rPr>
              <w:t>283</w:t>
            </w:r>
          </w:p>
        </w:tc>
        <w:tc>
          <w:tcPr>
            <w:tcW w:type="dxa" w:w="966"/>
          </w:tcPr>
          <w:p>
            <w:pPr>
              <w:spacing w:after="20"/>
              <w:jc w:val="right"/>
            </w:pPr>
            <w:r>
              <w:rPr>
                <w:color w:val="1C3A36"/>
                <w:sz w:val="16"/>
              </w:rPr>
              <w:t>297</w:t>
            </w:r>
          </w:p>
        </w:tc>
        <w:tc>
          <w:tcPr>
            <w:tcW w:type="dxa" w:w="966"/>
          </w:tcPr>
          <w:p>
            <w:pPr>
              <w:spacing w:after="20"/>
              <w:jc w:val="right"/>
            </w:pPr>
            <w:r>
              <w:rPr>
                <w:color w:val="1C3A36"/>
                <w:sz w:val="16"/>
              </w:rPr>
              <w:t>307</w:t>
            </w:r>
          </w:p>
        </w:tc>
      </w:tr>
      <w:tr>
        <w:tc>
          <w:tcPr>
            <w:tcW w:type="dxa" w:w="2349"/>
          </w:tcPr>
          <w:p>
            <w:pPr>
              <w:spacing w:after="20"/>
            </w:pPr>
            <w:r>
              <w:rPr>
                <w:color w:val="1C3A36"/>
                <w:sz w:val="16"/>
              </w:rPr>
              <w:t>Due from related parties</w:t>
            </w:r>
          </w:p>
        </w:tc>
        <w:tc>
          <w:tcPr>
            <w:tcW w:type="dxa" w:w="966"/>
          </w:tcPr>
          <w:p>
            <w:pPr>
              <w:spacing w:after="20"/>
              <w:jc w:val="right"/>
            </w:pPr>
            <w:r>
              <w:rPr>
                <w:color w:val="1C3A36"/>
                <w:sz w:val="16"/>
              </w:rPr>
              <w:t>987</w:t>
            </w:r>
          </w:p>
        </w:tc>
        <w:tc>
          <w:tcPr>
            <w:tcW w:type="dxa" w:w="966"/>
          </w:tcPr>
          <w:p>
            <w:pPr>
              <w:spacing w:after="20"/>
              <w:jc w:val="right"/>
            </w:pPr>
            <w:r>
              <w:rPr>
                <w:color w:val="1C3A36"/>
                <w:sz w:val="16"/>
              </w:rPr>
              <w:t>1,361</w:t>
            </w:r>
          </w:p>
        </w:tc>
        <w:tc>
          <w:tcPr>
            <w:tcW w:type="dxa" w:w="966"/>
          </w:tcPr>
          <w:p>
            <w:pPr>
              <w:spacing w:after="20"/>
              <w:jc w:val="right"/>
            </w:pPr>
            <w:r>
              <w:rPr>
                <w:color w:val="1C3A36"/>
                <w:sz w:val="16"/>
              </w:rPr>
              <w:t>1,365</w:t>
            </w:r>
          </w:p>
        </w:tc>
        <w:tc>
          <w:tcPr>
            <w:tcW w:type="dxa" w:w="966"/>
          </w:tcPr>
          <w:p>
            <w:pPr>
              <w:spacing w:after="20"/>
              <w:jc w:val="right"/>
            </w:pPr>
            <w:r>
              <w:rPr>
                <w:color w:val="1C3A36"/>
                <w:sz w:val="16"/>
              </w:rPr>
              <w:t>2,335</w:t>
            </w:r>
          </w:p>
        </w:tc>
        <w:tc>
          <w:tcPr>
            <w:tcW w:type="dxa" w:w="966"/>
          </w:tcPr>
          <w:p>
            <w:pPr>
              <w:spacing w:after="20"/>
              <w:jc w:val="right"/>
            </w:pPr>
            <w:r>
              <w:rPr>
                <w:color w:val="1C3A36"/>
                <w:sz w:val="16"/>
              </w:rPr>
              <w:t>2,432</w:t>
            </w:r>
          </w:p>
        </w:tc>
        <w:tc>
          <w:tcPr>
            <w:tcW w:type="dxa" w:w="966"/>
          </w:tcPr>
          <w:p>
            <w:pPr>
              <w:spacing w:after="20"/>
              <w:jc w:val="right"/>
            </w:pPr>
            <w:r>
              <w:rPr>
                <w:color w:val="1C3A36"/>
                <w:sz w:val="16"/>
              </w:rPr>
              <w:t>2,567</w:t>
            </w:r>
          </w:p>
        </w:tc>
        <w:tc>
          <w:tcPr>
            <w:tcW w:type="dxa" w:w="966"/>
          </w:tcPr>
          <w:p>
            <w:pPr>
              <w:spacing w:after="20"/>
              <w:jc w:val="right"/>
            </w:pPr>
            <w:r>
              <w:rPr>
                <w:color w:val="1C3A36"/>
                <w:sz w:val="16"/>
              </w:rPr>
              <w:t>2,696</w:t>
            </w:r>
          </w:p>
        </w:tc>
        <w:tc>
          <w:tcPr>
            <w:tcW w:type="dxa" w:w="966"/>
          </w:tcPr>
          <w:p>
            <w:pPr>
              <w:spacing w:after="20"/>
              <w:jc w:val="right"/>
            </w:pPr>
            <w:r>
              <w:rPr>
                <w:color w:val="1C3A36"/>
                <w:sz w:val="16"/>
              </w:rPr>
              <w:t>2,784</w:t>
            </w:r>
          </w:p>
        </w:tc>
      </w:tr>
      <w:tr>
        <w:tc>
          <w:tcPr>
            <w:tcW w:type="dxa" w:w="2349"/>
          </w:tcPr>
          <w:p>
            <w:pPr>
              <w:spacing w:after="20"/>
            </w:pPr>
            <w:r>
              <w:rPr>
                <w:color w:val="1C3A36"/>
                <w:sz w:val="16"/>
              </w:rPr>
              <w:t>Cash and cash equivalents</w:t>
            </w:r>
          </w:p>
        </w:tc>
        <w:tc>
          <w:tcPr>
            <w:tcW w:type="dxa" w:w="966"/>
          </w:tcPr>
          <w:p>
            <w:pPr>
              <w:spacing w:after="20"/>
              <w:jc w:val="right"/>
            </w:pPr>
            <w:r>
              <w:rPr>
                <w:color w:val="1C3A36"/>
                <w:sz w:val="16"/>
              </w:rPr>
              <w:t>365</w:t>
            </w:r>
          </w:p>
        </w:tc>
        <w:tc>
          <w:tcPr>
            <w:tcW w:type="dxa" w:w="966"/>
          </w:tcPr>
          <w:p>
            <w:pPr>
              <w:spacing w:after="20"/>
              <w:jc w:val="right"/>
            </w:pPr>
            <w:r>
              <w:rPr>
                <w:color w:val="1C3A36"/>
                <w:sz w:val="16"/>
              </w:rPr>
              <w:t>336</w:t>
            </w:r>
          </w:p>
        </w:tc>
        <w:tc>
          <w:tcPr>
            <w:tcW w:type="dxa" w:w="966"/>
          </w:tcPr>
          <w:p>
            <w:pPr>
              <w:spacing w:after="20"/>
              <w:jc w:val="right"/>
            </w:pPr>
            <w:r>
              <w:rPr>
                <w:color w:val="1C3A36"/>
                <w:sz w:val="16"/>
              </w:rPr>
              <w:t>236</w:t>
            </w:r>
          </w:p>
        </w:tc>
        <w:tc>
          <w:tcPr>
            <w:tcW w:type="dxa" w:w="966"/>
          </w:tcPr>
          <w:p>
            <w:pPr>
              <w:spacing w:after="20"/>
              <w:jc w:val="right"/>
            </w:pPr>
            <w:r>
              <w:rPr>
                <w:color w:val="1C3A36"/>
                <w:sz w:val="16"/>
              </w:rPr>
              <w:t>279</w:t>
            </w:r>
          </w:p>
        </w:tc>
        <w:tc>
          <w:tcPr>
            <w:tcW w:type="dxa" w:w="966"/>
          </w:tcPr>
          <w:p>
            <w:pPr>
              <w:spacing w:after="20"/>
              <w:jc w:val="right"/>
            </w:pPr>
            <w:r>
              <w:rPr>
                <w:color w:val="1C3A36"/>
                <w:sz w:val="16"/>
              </w:rPr>
              <w:t>653</w:t>
            </w:r>
          </w:p>
        </w:tc>
        <w:tc>
          <w:tcPr>
            <w:tcW w:type="dxa" w:w="966"/>
          </w:tcPr>
          <w:p>
            <w:pPr>
              <w:spacing w:after="20"/>
              <w:jc w:val="right"/>
            </w:pPr>
            <w:r>
              <w:rPr>
                <w:color w:val="1C3A36"/>
                <w:sz w:val="16"/>
              </w:rPr>
              <w:t>1,221</w:t>
            </w:r>
          </w:p>
        </w:tc>
        <w:tc>
          <w:tcPr>
            <w:tcW w:type="dxa" w:w="966"/>
          </w:tcPr>
          <w:p>
            <w:pPr>
              <w:spacing w:after="20"/>
              <w:jc w:val="right"/>
            </w:pPr>
            <w:r>
              <w:rPr>
                <w:color w:val="1C3A36"/>
                <w:sz w:val="16"/>
              </w:rPr>
              <w:t>1,971</w:t>
            </w:r>
          </w:p>
        </w:tc>
        <w:tc>
          <w:tcPr>
            <w:tcW w:type="dxa" w:w="966"/>
          </w:tcPr>
          <w:p>
            <w:pPr>
              <w:spacing w:after="20"/>
              <w:jc w:val="right"/>
            </w:pPr>
            <w:r>
              <w:rPr>
                <w:color w:val="1C3A36"/>
                <w:sz w:val="16"/>
              </w:rPr>
              <w:t>2,794</w:t>
            </w:r>
          </w:p>
        </w:tc>
      </w:tr>
      <w:tr>
        <w:tc>
          <w:tcPr>
            <w:tcW w:type="dxa" w:w="2349"/>
            <w:shd w:val="clear" w:color="auto" w:fill="F6F1E6"/>
          </w:tcPr>
          <w:p>
            <w:pPr>
              <w:spacing w:after="20"/>
            </w:pPr>
            <w:r>
              <w:rPr>
                <w:b/>
                <w:color w:val="1C3A36"/>
                <w:sz w:val="16"/>
              </w:rPr>
              <w:t>Total assets</w:t>
            </w:r>
          </w:p>
        </w:tc>
        <w:tc>
          <w:tcPr>
            <w:tcW w:type="dxa" w:w="966"/>
            <w:shd w:val="clear" w:color="auto" w:fill="F6F1E6"/>
          </w:tcPr>
          <w:p>
            <w:pPr>
              <w:spacing w:after="20"/>
              <w:jc w:val="right"/>
            </w:pPr>
            <w:r>
              <w:rPr>
                <w:b/>
                <w:color w:val="1C3A36"/>
                <w:sz w:val="16"/>
              </w:rPr>
              <w:t>6,740</w:t>
            </w:r>
          </w:p>
        </w:tc>
        <w:tc>
          <w:tcPr>
            <w:tcW w:type="dxa" w:w="966"/>
            <w:shd w:val="clear" w:color="auto" w:fill="F6F1E6"/>
          </w:tcPr>
          <w:p>
            <w:pPr>
              <w:spacing w:after="20"/>
              <w:jc w:val="right"/>
            </w:pPr>
            <w:r>
              <w:rPr>
                <w:b/>
                <w:color w:val="1C3A36"/>
                <w:sz w:val="16"/>
              </w:rPr>
              <w:t>7,766</w:t>
            </w:r>
          </w:p>
        </w:tc>
        <w:tc>
          <w:tcPr>
            <w:tcW w:type="dxa" w:w="966"/>
            <w:shd w:val="clear" w:color="auto" w:fill="F6F1E6"/>
          </w:tcPr>
          <w:p>
            <w:pPr>
              <w:spacing w:after="20"/>
              <w:jc w:val="right"/>
            </w:pPr>
            <w:r>
              <w:rPr>
                <w:b/>
                <w:color w:val="1C3A36"/>
                <w:sz w:val="16"/>
              </w:rPr>
              <w:t>8,101</w:t>
            </w:r>
          </w:p>
        </w:tc>
        <w:tc>
          <w:tcPr>
            <w:tcW w:type="dxa" w:w="966"/>
            <w:shd w:val="clear" w:color="auto" w:fill="F6F1E6"/>
          </w:tcPr>
          <w:p>
            <w:pPr>
              <w:spacing w:after="20"/>
              <w:jc w:val="right"/>
            </w:pPr>
            <w:r>
              <w:rPr>
                <w:b/>
                <w:color w:val="1C3A36"/>
                <w:sz w:val="16"/>
              </w:rPr>
              <w:t>9,781</w:t>
            </w:r>
          </w:p>
        </w:tc>
        <w:tc>
          <w:tcPr>
            <w:tcW w:type="dxa" w:w="966"/>
            <w:shd w:val="clear" w:color="auto" w:fill="F6F1E6"/>
          </w:tcPr>
          <w:p>
            <w:pPr>
              <w:spacing w:after="20"/>
              <w:jc w:val="right"/>
            </w:pPr>
            <w:r>
              <w:rPr>
                <w:b/>
                <w:color w:val="1C3A36"/>
                <w:sz w:val="16"/>
              </w:rPr>
              <w:t>10,313</w:t>
            </w:r>
          </w:p>
        </w:tc>
        <w:tc>
          <w:tcPr>
            <w:tcW w:type="dxa" w:w="966"/>
            <w:shd w:val="clear" w:color="auto" w:fill="F6F1E6"/>
          </w:tcPr>
          <w:p>
            <w:pPr>
              <w:spacing w:after="20"/>
              <w:jc w:val="right"/>
            </w:pPr>
            <w:r>
              <w:rPr>
                <w:b/>
                <w:color w:val="1C3A36"/>
                <w:sz w:val="16"/>
              </w:rPr>
              <w:t>11,005</w:t>
            </w:r>
          </w:p>
        </w:tc>
        <w:tc>
          <w:tcPr>
            <w:tcW w:type="dxa" w:w="966"/>
            <w:shd w:val="clear" w:color="auto" w:fill="F6F1E6"/>
          </w:tcPr>
          <w:p>
            <w:pPr>
              <w:spacing w:after="20"/>
              <w:jc w:val="right"/>
            </w:pPr>
            <w:r>
              <w:rPr>
                <w:b/>
                <w:color w:val="1C3A36"/>
                <w:sz w:val="16"/>
              </w:rPr>
              <w:t>11,778</w:t>
            </w:r>
          </w:p>
        </w:tc>
        <w:tc>
          <w:tcPr>
            <w:tcW w:type="dxa" w:w="966"/>
            <w:shd w:val="clear" w:color="auto" w:fill="F6F1E6"/>
          </w:tcPr>
          <w:p>
            <w:pPr>
              <w:spacing w:after="20"/>
              <w:jc w:val="right"/>
            </w:pPr>
            <w:r>
              <w:rPr>
                <w:b/>
                <w:color w:val="1C3A36"/>
                <w:sz w:val="16"/>
              </w:rPr>
              <w:t>12,543</w:t>
            </w:r>
          </w:p>
        </w:tc>
      </w:tr>
      <w:tr>
        <w:tc>
          <w:tcPr>
            <w:tcW w:type="dxa" w:w="2349"/>
          </w:tcPr>
          <w:p>
            <w:pPr>
              <w:spacing w:after="20"/>
            </w:pPr>
            <w:r>
              <w:rPr>
                <w:color w:val="1C3A36"/>
                <w:sz w:val="16"/>
              </w:rPr>
              <w:t>Borrowings and lease liabilities</w:t>
            </w:r>
          </w:p>
        </w:tc>
        <w:tc>
          <w:tcPr>
            <w:tcW w:type="dxa" w:w="966"/>
          </w:tcPr>
          <w:p>
            <w:pPr>
              <w:spacing w:after="20"/>
              <w:jc w:val="right"/>
            </w:pPr>
            <w:r>
              <w:rPr>
                <w:color w:val="1C3A36"/>
                <w:sz w:val="16"/>
              </w:rPr>
              <w:t>2,181</w:t>
            </w:r>
          </w:p>
        </w:tc>
        <w:tc>
          <w:tcPr>
            <w:tcW w:type="dxa" w:w="966"/>
          </w:tcPr>
          <w:p>
            <w:pPr>
              <w:spacing w:after="20"/>
              <w:jc w:val="right"/>
            </w:pPr>
            <w:r>
              <w:rPr>
                <w:color w:val="1C3A36"/>
                <w:sz w:val="16"/>
              </w:rPr>
              <w:t>2,320</w:t>
            </w:r>
          </w:p>
        </w:tc>
        <w:tc>
          <w:tcPr>
            <w:tcW w:type="dxa" w:w="966"/>
          </w:tcPr>
          <w:p>
            <w:pPr>
              <w:spacing w:after="20"/>
              <w:jc w:val="right"/>
            </w:pPr>
            <w:r>
              <w:rPr>
                <w:color w:val="1C3A36"/>
                <w:sz w:val="16"/>
              </w:rPr>
              <w:t>2,317</w:t>
            </w:r>
          </w:p>
        </w:tc>
        <w:tc>
          <w:tcPr>
            <w:tcW w:type="dxa" w:w="966"/>
          </w:tcPr>
          <w:p>
            <w:pPr>
              <w:spacing w:after="20"/>
              <w:jc w:val="right"/>
            </w:pPr>
            <w:r>
              <w:rPr>
                <w:color w:val="1C3A36"/>
                <w:sz w:val="16"/>
              </w:rPr>
              <w:t>2,496</w:t>
            </w:r>
          </w:p>
        </w:tc>
        <w:tc>
          <w:tcPr>
            <w:tcW w:type="dxa" w:w="966"/>
          </w:tcPr>
          <w:p>
            <w:pPr>
              <w:spacing w:after="20"/>
              <w:jc w:val="right"/>
            </w:pPr>
            <w:r>
              <w:rPr>
                <w:color w:val="1C3A36"/>
                <w:sz w:val="16"/>
              </w:rPr>
              <w:t>2,496</w:t>
            </w:r>
          </w:p>
        </w:tc>
        <w:tc>
          <w:tcPr>
            <w:tcW w:type="dxa" w:w="966"/>
          </w:tcPr>
          <w:p>
            <w:pPr>
              <w:spacing w:after="20"/>
              <w:jc w:val="right"/>
            </w:pPr>
            <w:r>
              <w:rPr>
                <w:color w:val="1C3A36"/>
                <w:sz w:val="16"/>
              </w:rPr>
              <w:t>2,496</w:t>
            </w:r>
          </w:p>
        </w:tc>
        <w:tc>
          <w:tcPr>
            <w:tcW w:type="dxa" w:w="966"/>
          </w:tcPr>
          <w:p>
            <w:pPr>
              <w:spacing w:after="20"/>
              <w:jc w:val="right"/>
            </w:pPr>
            <w:r>
              <w:rPr>
                <w:color w:val="1C3A36"/>
                <w:sz w:val="16"/>
              </w:rPr>
              <w:t>2,496</w:t>
            </w:r>
          </w:p>
        </w:tc>
        <w:tc>
          <w:tcPr>
            <w:tcW w:type="dxa" w:w="966"/>
          </w:tcPr>
          <w:p>
            <w:pPr>
              <w:spacing w:after="20"/>
              <w:jc w:val="right"/>
            </w:pPr>
            <w:r>
              <w:rPr>
                <w:color w:val="1C3A36"/>
                <w:sz w:val="16"/>
              </w:rPr>
              <w:t>2,496</w:t>
            </w:r>
          </w:p>
        </w:tc>
      </w:tr>
      <w:tr>
        <w:tc>
          <w:tcPr>
            <w:tcW w:type="dxa" w:w="2349"/>
          </w:tcPr>
          <w:p>
            <w:pPr>
              <w:spacing w:after="20"/>
            </w:pPr>
            <w:r>
              <w:rPr>
                <w:color w:val="1C3A36"/>
                <w:sz w:val="16"/>
              </w:rPr>
              <w:t>Trade and other payables</w:t>
            </w:r>
          </w:p>
        </w:tc>
        <w:tc>
          <w:tcPr>
            <w:tcW w:type="dxa" w:w="966"/>
          </w:tcPr>
          <w:p>
            <w:pPr>
              <w:spacing w:after="20"/>
              <w:jc w:val="right"/>
            </w:pPr>
            <w:r>
              <w:rPr>
                <w:color w:val="1C3A36"/>
                <w:sz w:val="16"/>
              </w:rPr>
              <w:t>930</w:t>
            </w:r>
          </w:p>
        </w:tc>
        <w:tc>
          <w:tcPr>
            <w:tcW w:type="dxa" w:w="966"/>
          </w:tcPr>
          <w:p>
            <w:pPr>
              <w:spacing w:after="20"/>
              <w:jc w:val="right"/>
            </w:pPr>
            <w:r>
              <w:rPr>
                <w:color w:val="1C3A36"/>
                <w:sz w:val="16"/>
              </w:rPr>
              <w:t>1,241</w:t>
            </w:r>
          </w:p>
        </w:tc>
        <w:tc>
          <w:tcPr>
            <w:tcW w:type="dxa" w:w="966"/>
          </w:tcPr>
          <w:p>
            <w:pPr>
              <w:spacing w:after="20"/>
              <w:jc w:val="right"/>
            </w:pPr>
            <w:r>
              <w:rPr>
                <w:color w:val="1C3A36"/>
                <w:sz w:val="16"/>
              </w:rPr>
              <w:t>1,115</w:t>
            </w:r>
          </w:p>
        </w:tc>
        <w:tc>
          <w:tcPr>
            <w:tcW w:type="dxa" w:w="966"/>
          </w:tcPr>
          <w:p>
            <w:pPr>
              <w:spacing w:after="20"/>
              <w:jc w:val="right"/>
            </w:pPr>
            <w:r>
              <w:rPr>
                <w:color w:val="1C3A36"/>
                <w:sz w:val="16"/>
              </w:rPr>
              <w:t>1,907</w:t>
            </w:r>
          </w:p>
        </w:tc>
        <w:tc>
          <w:tcPr>
            <w:tcW w:type="dxa" w:w="966"/>
          </w:tcPr>
          <w:p>
            <w:pPr>
              <w:spacing w:after="20"/>
              <w:jc w:val="right"/>
            </w:pPr>
            <w:r>
              <w:rPr>
                <w:color w:val="1C3A36"/>
                <w:sz w:val="16"/>
              </w:rPr>
              <w:t>1,986</w:t>
            </w:r>
          </w:p>
        </w:tc>
        <w:tc>
          <w:tcPr>
            <w:tcW w:type="dxa" w:w="966"/>
          </w:tcPr>
          <w:p>
            <w:pPr>
              <w:spacing w:after="20"/>
              <w:jc w:val="right"/>
            </w:pPr>
            <w:r>
              <w:rPr>
                <w:color w:val="1C3A36"/>
                <w:sz w:val="16"/>
              </w:rPr>
              <w:t>2,096</w:t>
            </w:r>
          </w:p>
        </w:tc>
        <w:tc>
          <w:tcPr>
            <w:tcW w:type="dxa" w:w="966"/>
          </w:tcPr>
          <w:p>
            <w:pPr>
              <w:spacing w:after="20"/>
              <w:jc w:val="right"/>
            </w:pPr>
            <w:r>
              <w:rPr>
                <w:color w:val="1C3A36"/>
                <w:sz w:val="16"/>
              </w:rPr>
              <w:t>2,202</w:t>
            </w:r>
          </w:p>
        </w:tc>
        <w:tc>
          <w:tcPr>
            <w:tcW w:type="dxa" w:w="966"/>
          </w:tcPr>
          <w:p>
            <w:pPr>
              <w:spacing w:after="20"/>
              <w:jc w:val="right"/>
            </w:pPr>
            <w:r>
              <w:rPr>
                <w:color w:val="1C3A36"/>
                <w:sz w:val="16"/>
              </w:rPr>
              <w:t>2,274</w:t>
            </w:r>
          </w:p>
        </w:tc>
      </w:tr>
      <w:tr>
        <w:tc>
          <w:tcPr>
            <w:tcW w:type="dxa" w:w="2349"/>
          </w:tcPr>
          <w:p>
            <w:pPr>
              <w:spacing w:after="20"/>
            </w:pPr>
            <w:r>
              <w:rPr>
                <w:color w:val="1C3A36"/>
                <w:sz w:val="16"/>
              </w:rPr>
              <w:t>Due to related parties</w:t>
            </w:r>
          </w:p>
        </w:tc>
        <w:tc>
          <w:tcPr>
            <w:tcW w:type="dxa" w:w="966"/>
          </w:tcPr>
          <w:p>
            <w:pPr>
              <w:spacing w:after="20"/>
              <w:jc w:val="right"/>
            </w:pPr>
            <w:r>
              <w:rPr>
                <w:color w:val="1C3A36"/>
                <w:sz w:val="16"/>
              </w:rPr>
              <w:t>250</w:t>
            </w:r>
          </w:p>
        </w:tc>
        <w:tc>
          <w:tcPr>
            <w:tcW w:type="dxa" w:w="966"/>
          </w:tcPr>
          <w:p>
            <w:pPr>
              <w:spacing w:after="20"/>
              <w:jc w:val="right"/>
            </w:pPr>
            <w:r>
              <w:rPr>
                <w:color w:val="1C3A36"/>
                <w:sz w:val="16"/>
              </w:rPr>
              <w:t>251</w:t>
            </w:r>
          </w:p>
        </w:tc>
        <w:tc>
          <w:tcPr>
            <w:tcW w:type="dxa" w:w="966"/>
          </w:tcPr>
          <w:p>
            <w:pPr>
              <w:spacing w:after="20"/>
              <w:jc w:val="right"/>
            </w:pPr>
            <w:r>
              <w:rPr>
                <w:color w:val="1C3A36"/>
                <w:sz w:val="16"/>
              </w:rPr>
              <w:t>416</w:t>
            </w:r>
          </w:p>
        </w:tc>
        <w:tc>
          <w:tcPr>
            <w:tcW w:type="dxa" w:w="966"/>
          </w:tcPr>
          <w:p>
            <w:pPr>
              <w:spacing w:after="20"/>
              <w:jc w:val="right"/>
            </w:pPr>
            <w:r>
              <w:rPr>
                <w:color w:val="1C3A36"/>
                <w:sz w:val="16"/>
              </w:rPr>
              <w:t>712</w:t>
            </w:r>
          </w:p>
        </w:tc>
        <w:tc>
          <w:tcPr>
            <w:tcW w:type="dxa" w:w="966"/>
          </w:tcPr>
          <w:p>
            <w:pPr>
              <w:spacing w:after="20"/>
              <w:jc w:val="right"/>
            </w:pPr>
            <w:r>
              <w:rPr>
                <w:color w:val="1C3A36"/>
                <w:sz w:val="16"/>
              </w:rPr>
              <w:t>741</w:t>
            </w:r>
          </w:p>
        </w:tc>
        <w:tc>
          <w:tcPr>
            <w:tcW w:type="dxa" w:w="966"/>
          </w:tcPr>
          <w:p>
            <w:pPr>
              <w:spacing w:after="20"/>
              <w:jc w:val="right"/>
            </w:pPr>
            <w:r>
              <w:rPr>
                <w:color w:val="1C3A36"/>
                <w:sz w:val="16"/>
              </w:rPr>
              <w:t>782</w:t>
            </w:r>
          </w:p>
        </w:tc>
        <w:tc>
          <w:tcPr>
            <w:tcW w:type="dxa" w:w="966"/>
          </w:tcPr>
          <w:p>
            <w:pPr>
              <w:spacing w:after="20"/>
              <w:jc w:val="right"/>
            </w:pPr>
            <w:r>
              <w:rPr>
                <w:color w:val="1C3A36"/>
                <w:sz w:val="16"/>
              </w:rPr>
              <w:t>822</w:t>
            </w:r>
          </w:p>
        </w:tc>
        <w:tc>
          <w:tcPr>
            <w:tcW w:type="dxa" w:w="966"/>
          </w:tcPr>
          <w:p>
            <w:pPr>
              <w:spacing w:after="20"/>
              <w:jc w:val="right"/>
            </w:pPr>
            <w:r>
              <w:rPr>
                <w:color w:val="1C3A36"/>
                <w:sz w:val="16"/>
              </w:rPr>
              <w:t>849</w:t>
            </w:r>
          </w:p>
        </w:tc>
      </w:tr>
      <w:tr>
        <w:tc>
          <w:tcPr>
            <w:tcW w:type="dxa" w:w="2349"/>
          </w:tcPr>
          <w:p>
            <w:pPr>
              <w:spacing w:after="20"/>
            </w:pPr>
            <w:r>
              <w:rPr>
                <w:color w:val="1C3A36"/>
                <w:sz w:val="16"/>
              </w:rPr>
              <w:t>Employees' end of service benefits</w:t>
            </w:r>
          </w:p>
        </w:tc>
        <w:tc>
          <w:tcPr>
            <w:tcW w:type="dxa" w:w="966"/>
          </w:tcPr>
          <w:p>
            <w:pPr>
              <w:spacing w:after="20"/>
              <w:jc w:val="right"/>
            </w:pPr>
            <w:r>
              <w:rPr>
                <w:color w:val="1C3A36"/>
                <w:sz w:val="16"/>
              </w:rPr>
              <w:t>114</w:t>
            </w:r>
          </w:p>
        </w:tc>
        <w:tc>
          <w:tcPr>
            <w:tcW w:type="dxa" w:w="966"/>
          </w:tcPr>
          <w:p>
            <w:pPr>
              <w:spacing w:after="20"/>
              <w:jc w:val="right"/>
            </w:pPr>
            <w:r>
              <w:rPr>
                <w:color w:val="1C3A36"/>
                <w:sz w:val="16"/>
              </w:rPr>
              <w:t>130</w:t>
            </w:r>
          </w:p>
        </w:tc>
        <w:tc>
          <w:tcPr>
            <w:tcW w:type="dxa" w:w="966"/>
          </w:tcPr>
          <w:p>
            <w:pPr>
              <w:spacing w:after="20"/>
              <w:jc w:val="right"/>
            </w:pPr>
            <w:r>
              <w:rPr>
                <w:color w:val="1C3A36"/>
                <w:sz w:val="16"/>
              </w:rPr>
              <w:t>144</w:t>
            </w:r>
          </w:p>
        </w:tc>
        <w:tc>
          <w:tcPr>
            <w:tcW w:type="dxa" w:w="966"/>
          </w:tcPr>
          <w:p>
            <w:pPr>
              <w:spacing w:after="20"/>
              <w:jc w:val="right"/>
            </w:pPr>
            <w:r>
              <w:rPr>
                <w:color w:val="1C3A36"/>
                <w:sz w:val="16"/>
              </w:rPr>
              <w:t>149</w:t>
            </w:r>
          </w:p>
        </w:tc>
        <w:tc>
          <w:tcPr>
            <w:tcW w:type="dxa" w:w="966"/>
          </w:tcPr>
          <w:p>
            <w:pPr>
              <w:spacing w:after="20"/>
              <w:jc w:val="right"/>
            </w:pPr>
            <w:r>
              <w:rPr>
                <w:color w:val="1C3A36"/>
                <w:sz w:val="16"/>
              </w:rPr>
              <w:t>152</w:t>
            </w:r>
          </w:p>
        </w:tc>
        <w:tc>
          <w:tcPr>
            <w:tcW w:type="dxa" w:w="966"/>
          </w:tcPr>
          <w:p>
            <w:pPr>
              <w:spacing w:after="20"/>
              <w:jc w:val="right"/>
            </w:pPr>
            <w:r>
              <w:rPr>
                <w:color w:val="1C3A36"/>
                <w:sz w:val="16"/>
              </w:rPr>
              <w:t>155</w:t>
            </w:r>
          </w:p>
        </w:tc>
        <w:tc>
          <w:tcPr>
            <w:tcW w:type="dxa" w:w="966"/>
          </w:tcPr>
          <w:p>
            <w:pPr>
              <w:spacing w:after="20"/>
              <w:jc w:val="right"/>
            </w:pPr>
            <w:r>
              <w:rPr>
                <w:color w:val="1C3A36"/>
                <w:sz w:val="16"/>
              </w:rPr>
              <w:t>158</w:t>
            </w:r>
          </w:p>
        </w:tc>
        <w:tc>
          <w:tcPr>
            <w:tcW w:type="dxa" w:w="966"/>
          </w:tcPr>
          <w:p>
            <w:pPr>
              <w:spacing w:after="20"/>
              <w:jc w:val="right"/>
            </w:pPr>
            <w:r>
              <w:rPr>
                <w:color w:val="1C3A36"/>
                <w:sz w:val="16"/>
              </w:rPr>
              <w:t>162</w:t>
            </w:r>
          </w:p>
        </w:tc>
      </w:tr>
      <w:tr>
        <w:tc>
          <w:tcPr>
            <w:tcW w:type="dxa" w:w="2349"/>
          </w:tcPr>
          <w:p>
            <w:pPr>
              <w:spacing w:after="20"/>
            </w:pPr>
            <w:r>
              <w:rPr>
                <w:color w:val="1C3A36"/>
                <w:sz w:val="16"/>
              </w:rPr>
              <w:t>Income tax payable</w:t>
            </w:r>
          </w:p>
        </w:tc>
        <w:tc>
          <w:tcPr>
            <w:tcW w:type="dxa" w:w="966"/>
          </w:tcPr>
          <w:p>
            <w:pPr>
              <w:spacing w:after="20"/>
              <w:jc w:val="right"/>
            </w:pPr>
            <w:r>
              <w:rPr>
                <w:color w:val="1C3A36"/>
                <w:sz w:val="16"/>
              </w:rPr>
              <w:t>0</w:t>
            </w:r>
          </w:p>
        </w:tc>
        <w:tc>
          <w:tcPr>
            <w:tcW w:type="dxa" w:w="966"/>
          </w:tcPr>
          <w:p>
            <w:pPr>
              <w:spacing w:after="20"/>
              <w:jc w:val="right"/>
            </w:pPr>
            <w:r>
              <w:rPr>
                <w:color w:val="1C3A36"/>
                <w:sz w:val="16"/>
              </w:rPr>
              <w:t>15</w:t>
            </w:r>
          </w:p>
        </w:tc>
        <w:tc>
          <w:tcPr>
            <w:tcW w:type="dxa" w:w="966"/>
          </w:tcPr>
          <w:p>
            <w:pPr>
              <w:spacing w:after="20"/>
              <w:jc w:val="right"/>
            </w:pPr>
            <w:r>
              <w:rPr>
                <w:color w:val="1C3A36"/>
                <w:sz w:val="16"/>
              </w:rPr>
              <w:t>11</w:t>
            </w:r>
          </w:p>
        </w:tc>
        <w:tc>
          <w:tcPr>
            <w:tcW w:type="dxa" w:w="966"/>
          </w:tcPr>
          <w:p>
            <w:pPr>
              <w:spacing w:after="20"/>
              <w:jc w:val="right"/>
            </w:pPr>
            <w:r>
              <w:rPr>
                <w:color w:val="1C3A36"/>
                <w:sz w:val="16"/>
              </w:rPr>
              <w:t>11</w:t>
            </w:r>
          </w:p>
        </w:tc>
        <w:tc>
          <w:tcPr>
            <w:tcW w:type="dxa" w:w="966"/>
          </w:tcPr>
          <w:p>
            <w:pPr>
              <w:spacing w:after="20"/>
              <w:jc w:val="right"/>
            </w:pPr>
            <w:r>
              <w:rPr>
                <w:color w:val="1C3A36"/>
                <w:sz w:val="16"/>
              </w:rPr>
              <w:t>12</w:t>
            </w:r>
          </w:p>
        </w:tc>
        <w:tc>
          <w:tcPr>
            <w:tcW w:type="dxa" w:w="966"/>
          </w:tcPr>
          <w:p>
            <w:pPr>
              <w:spacing w:after="20"/>
              <w:jc w:val="right"/>
            </w:pPr>
            <w:r>
              <w:rPr>
                <w:color w:val="1C3A36"/>
                <w:sz w:val="16"/>
              </w:rPr>
              <w:t>13</w:t>
            </w:r>
          </w:p>
        </w:tc>
        <w:tc>
          <w:tcPr>
            <w:tcW w:type="dxa" w:w="966"/>
          </w:tcPr>
          <w:p>
            <w:pPr>
              <w:spacing w:after="20"/>
              <w:jc w:val="right"/>
            </w:pPr>
            <w:r>
              <w:rPr>
                <w:color w:val="1C3A36"/>
                <w:sz w:val="16"/>
              </w:rPr>
              <w:t>14</w:t>
            </w:r>
          </w:p>
        </w:tc>
        <w:tc>
          <w:tcPr>
            <w:tcW w:type="dxa" w:w="966"/>
          </w:tcPr>
          <w:p>
            <w:pPr>
              <w:spacing w:after="20"/>
              <w:jc w:val="right"/>
            </w:pPr>
            <w:r>
              <w:rPr>
                <w:color w:val="1C3A36"/>
                <w:sz w:val="16"/>
              </w:rPr>
              <w:t>15</w:t>
            </w:r>
          </w:p>
        </w:tc>
      </w:tr>
      <w:tr>
        <w:tc>
          <w:tcPr>
            <w:tcW w:type="dxa" w:w="2349"/>
            <w:shd w:val="clear" w:color="auto" w:fill="F6F1E6"/>
          </w:tcPr>
          <w:p>
            <w:pPr>
              <w:spacing w:after="20"/>
            </w:pPr>
            <w:r>
              <w:rPr>
                <w:b/>
                <w:color w:val="1C3A36"/>
                <w:sz w:val="16"/>
              </w:rPr>
              <w:t>Acquisition liabilities</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32</w:t>
            </w:r>
          </w:p>
        </w:tc>
        <w:tc>
          <w:tcPr>
            <w:tcW w:type="dxa" w:w="966"/>
            <w:shd w:val="clear" w:color="auto" w:fill="F6F1E6"/>
          </w:tcPr>
          <w:p>
            <w:pPr>
              <w:spacing w:after="20"/>
              <w:jc w:val="right"/>
            </w:pPr>
            <w:r>
              <w:rPr>
                <w:b/>
                <w:color w:val="1C3A36"/>
                <w:sz w:val="16"/>
              </w:rPr>
              <w:t>32</w:t>
            </w:r>
          </w:p>
        </w:tc>
        <w:tc>
          <w:tcPr>
            <w:tcW w:type="dxa" w:w="966"/>
            <w:shd w:val="clear" w:color="auto" w:fill="F6F1E6"/>
          </w:tcPr>
          <w:p>
            <w:pPr>
              <w:spacing w:after="20"/>
              <w:jc w:val="right"/>
            </w:pPr>
            <w:r>
              <w:rPr>
                <w:b/>
                <w:color w:val="1C3A36"/>
                <w:sz w:val="16"/>
              </w:rPr>
              <w:t>32</w:t>
            </w:r>
          </w:p>
        </w:tc>
        <w:tc>
          <w:tcPr>
            <w:tcW w:type="dxa" w:w="966"/>
            <w:shd w:val="clear" w:color="auto" w:fill="F6F1E6"/>
          </w:tcPr>
          <w:p>
            <w:pPr>
              <w:spacing w:after="20"/>
              <w:jc w:val="right"/>
            </w:pPr>
            <w:r>
              <w:rPr>
                <w:b/>
                <w:color w:val="1C3A36"/>
                <w:sz w:val="16"/>
              </w:rPr>
              <w:t>32</w:t>
            </w:r>
          </w:p>
        </w:tc>
        <w:tc>
          <w:tcPr>
            <w:tcW w:type="dxa" w:w="966"/>
            <w:shd w:val="clear" w:color="auto" w:fill="F6F1E6"/>
          </w:tcPr>
          <w:p>
            <w:pPr>
              <w:spacing w:after="20"/>
              <w:jc w:val="right"/>
            </w:pPr>
            <w:r>
              <w:rPr>
                <w:b/>
                <w:color w:val="1C3A36"/>
                <w:sz w:val="16"/>
              </w:rPr>
              <w:t>32</w:t>
            </w:r>
          </w:p>
        </w:tc>
      </w:tr>
      <w:tr>
        <w:tc>
          <w:tcPr>
            <w:tcW w:type="dxa" w:w="2349"/>
            <w:shd w:val="clear" w:color="auto" w:fill="F6F1E6"/>
          </w:tcPr>
          <w:p>
            <w:pPr>
              <w:spacing w:after="20"/>
            </w:pPr>
            <w:r>
              <w:rPr>
                <w:b/>
                <w:color w:val="1C3A36"/>
                <w:sz w:val="16"/>
              </w:rPr>
              <w:t>Total liabilities</w:t>
            </w:r>
          </w:p>
        </w:tc>
        <w:tc>
          <w:tcPr>
            <w:tcW w:type="dxa" w:w="966"/>
            <w:shd w:val="clear" w:color="auto" w:fill="F6F1E6"/>
          </w:tcPr>
          <w:p>
            <w:pPr>
              <w:spacing w:after="20"/>
              <w:jc w:val="right"/>
            </w:pPr>
            <w:r>
              <w:rPr>
                <w:b/>
                <w:color w:val="1C3A36"/>
                <w:sz w:val="16"/>
              </w:rPr>
              <w:t>3,476</w:t>
            </w:r>
          </w:p>
        </w:tc>
        <w:tc>
          <w:tcPr>
            <w:tcW w:type="dxa" w:w="966"/>
            <w:shd w:val="clear" w:color="auto" w:fill="F6F1E6"/>
          </w:tcPr>
          <w:p>
            <w:pPr>
              <w:spacing w:after="20"/>
              <w:jc w:val="right"/>
            </w:pPr>
            <w:r>
              <w:rPr>
                <w:b/>
                <w:color w:val="1C3A36"/>
                <w:sz w:val="16"/>
              </w:rPr>
              <w:t>3,956</w:t>
            </w:r>
          </w:p>
        </w:tc>
        <w:tc>
          <w:tcPr>
            <w:tcW w:type="dxa" w:w="966"/>
            <w:shd w:val="clear" w:color="auto" w:fill="F6F1E6"/>
          </w:tcPr>
          <w:p>
            <w:pPr>
              <w:spacing w:after="20"/>
              <w:jc w:val="right"/>
            </w:pPr>
            <w:r>
              <w:rPr>
                <w:b/>
                <w:color w:val="1C3A36"/>
                <w:sz w:val="16"/>
              </w:rPr>
              <w:t>4,002</w:t>
            </w:r>
          </w:p>
        </w:tc>
        <w:tc>
          <w:tcPr>
            <w:tcW w:type="dxa" w:w="966"/>
            <w:shd w:val="clear" w:color="auto" w:fill="F6F1E6"/>
          </w:tcPr>
          <w:p>
            <w:pPr>
              <w:spacing w:after="20"/>
              <w:jc w:val="right"/>
            </w:pPr>
            <w:r>
              <w:rPr>
                <w:b/>
                <w:color w:val="1C3A36"/>
                <w:sz w:val="16"/>
              </w:rPr>
              <w:t>5,307</w:t>
            </w:r>
          </w:p>
        </w:tc>
        <w:tc>
          <w:tcPr>
            <w:tcW w:type="dxa" w:w="966"/>
            <w:shd w:val="clear" w:color="auto" w:fill="F6F1E6"/>
          </w:tcPr>
          <w:p>
            <w:pPr>
              <w:spacing w:after="20"/>
              <w:jc w:val="right"/>
            </w:pPr>
            <w:r>
              <w:rPr>
                <w:b/>
                <w:color w:val="1C3A36"/>
                <w:sz w:val="16"/>
              </w:rPr>
              <w:t>5,420</w:t>
            </w:r>
          </w:p>
        </w:tc>
        <w:tc>
          <w:tcPr>
            <w:tcW w:type="dxa" w:w="966"/>
            <w:shd w:val="clear" w:color="auto" w:fill="F6F1E6"/>
          </w:tcPr>
          <w:p>
            <w:pPr>
              <w:spacing w:after="20"/>
              <w:jc w:val="right"/>
            </w:pPr>
            <w:r>
              <w:rPr>
                <w:b/>
                <w:color w:val="1C3A36"/>
                <w:sz w:val="16"/>
              </w:rPr>
              <w:t>5,576</w:t>
            </w:r>
          </w:p>
        </w:tc>
        <w:tc>
          <w:tcPr>
            <w:tcW w:type="dxa" w:w="966"/>
            <w:shd w:val="clear" w:color="auto" w:fill="F6F1E6"/>
          </w:tcPr>
          <w:p>
            <w:pPr>
              <w:spacing w:after="20"/>
              <w:jc w:val="right"/>
            </w:pPr>
            <w:r>
              <w:rPr>
                <w:b/>
                <w:color w:val="1C3A36"/>
                <w:sz w:val="16"/>
              </w:rPr>
              <w:t>5,725</w:t>
            </w:r>
          </w:p>
        </w:tc>
        <w:tc>
          <w:tcPr>
            <w:tcW w:type="dxa" w:w="966"/>
            <w:shd w:val="clear" w:color="auto" w:fill="F6F1E6"/>
          </w:tcPr>
          <w:p>
            <w:pPr>
              <w:spacing w:after="20"/>
              <w:jc w:val="right"/>
            </w:pPr>
            <w:r>
              <w:rPr>
                <w:b/>
                <w:color w:val="1C3A36"/>
                <w:sz w:val="16"/>
              </w:rPr>
              <w:t>5,828</w:t>
            </w:r>
          </w:p>
        </w:tc>
      </w:tr>
      <w:tr>
        <w:tc>
          <w:tcPr>
            <w:tcW w:type="dxa" w:w="2349"/>
          </w:tcPr>
          <w:p>
            <w:pPr>
              <w:spacing w:after="20"/>
            </w:pPr>
            <w:r>
              <w:rPr>
                <w:color w:val="1C3A36"/>
                <w:sz w:val="16"/>
              </w:rPr>
              <w:t>Total equity</w:t>
            </w:r>
          </w:p>
        </w:tc>
        <w:tc>
          <w:tcPr>
            <w:tcW w:type="dxa" w:w="966"/>
          </w:tcPr>
          <w:p>
            <w:pPr>
              <w:spacing w:after="20"/>
              <w:jc w:val="right"/>
            </w:pPr>
            <w:r>
              <w:rPr>
                <w:color w:val="1C3A36"/>
                <w:sz w:val="16"/>
              </w:rPr>
              <w:t>3,264</w:t>
            </w:r>
          </w:p>
        </w:tc>
        <w:tc>
          <w:tcPr>
            <w:tcW w:type="dxa" w:w="966"/>
          </w:tcPr>
          <w:p>
            <w:pPr>
              <w:spacing w:after="20"/>
              <w:jc w:val="right"/>
            </w:pPr>
            <w:r>
              <w:rPr>
                <w:color w:val="1C3A36"/>
                <w:sz w:val="16"/>
              </w:rPr>
              <w:t>3,810</w:t>
            </w:r>
          </w:p>
        </w:tc>
        <w:tc>
          <w:tcPr>
            <w:tcW w:type="dxa" w:w="966"/>
          </w:tcPr>
          <w:p>
            <w:pPr>
              <w:spacing w:after="20"/>
              <w:jc w:val="right"/>
            </w:pPr>
            <w:r>
              <w:rPr>
                <w:color w:val="1C3A36"/>
                <w:sz w:val="16"/>
              </w:rPr>
              <w:t>4,099</w:t>
            </w:r>
          </w:p>
        </w:tc>
        <w:tc>
          <w:tcPr>
            <w:tcW w:type="dxa" w:w="966"/>
          </w:tcPr>
          <w:p>
            <w:pPr>
              <w:spacing w:after="20"/>
              <w:jc w:val="right"/>
            </w:pPr>
            <w:r>
              <w:rPr>
                <w:color w:val="1C3A36"/>
                <w:sz w:val="16"/>
              </w:rPr>
              <w:t>4,424</w:t>
            </w:r>
          </w:p>
        </w:tc>
        <w:tc>
          <w:tcPr>
            <w:tcW w:type="dxa" w:w="966"/>
          </w:tcPr>
          <w:p>
            <w:pPr>
              <w:spacing w:after="20"/>
              <w:jc w:val="right"/>
            </w:pPr>
            <w:r>
              <w:rPr>
                <w:color w:val="1C3A36"/>
                <w:sz w:val="16"/>
              </w:rPr>
              <w:t>4,843</w:t>
            </w:r>
          </w:p>
        </w:tc>
        <w:tc>
          <w:tcPr>
            <w:tcW w:type="dxa" w:w="966"/>
          </w:tcPr>
          <w:p>
            <w:pPr>
              <w:spacing w:after="20"/>
              <w:jc w:val="right"/>
            </w:pPr>
            <w:r>
              <w:rPr>
                <w:color w:val="1C3A36"/>
                <w:sz w:val="16"/>
              </w:rPr>
              <w:t>5,379</w:t>
            </w:r>
          </w:p>
        </w:tc>
        <w:tc>
          <w:tcPr>
            <w:tcW w:type="dxa" w:w="966"/>
          </w:tcPr>
          <w:p>
            <w:pPr>
              <w:spacing w:after="20"/>
              <w:jc w:val="right"/>
            </w:pPr>
            <w:r>
              <w:rPr>
                <w:color w:val="1C3A36"/>
                <w:sz w:val="16"/>
              </w:rPr>
              <w:t>6,002</w:t>
            </w:r>
          </w:p>
        </w:tc>
        <w:tc>
          <w:tcPr>
            <w:tcW w:type="dxa" w:w="966"/>
          </w:tcPr>
          <w:p>
            <w:pPr>
              <w:spacing w:after="20"/>
              <w:jc w:val="right"/>
            </w:pPr>
            <w:r>
              <w:rPr>
                <w:color w:val="1C3A36"/>
                <w:sz w:val="16"/>
              </w:rPr>
              <w:t>6,665</w:t>
            </w:r>
          </w:p>
        </w:tc>
      </w:tr>
      <w:tr>
        <w:tc>
          <w:tcPr>
            <w:tcW w:type="dxa" w:w="2349"/>
          </w:tcPr>
          <w:p>
            <w:pPr>
              <w:spacing w:after="20"/>
            </w:pPr>
            <w:r>
              <w:rPr>
                <w:color w:val="1C3A36"/>
                <w:sz w:val="16"/>
              </w:rPr>
              <w:t>Net debt</w:t>
            </w:r>
          </w:p>
        </w:tc>
        <w:tc>
          <w:tcPr>
            <w:tcW w:type="dxa" w:w="966"/>
          </w:tcPr>
          <w:p>
            <w:pPr>
              <w:spacing w:after="20"/>
              <w:jc w:val="right"/>
            </w:pPr>
            <w:r>
              <w:rPr>
                <w:color w:val="1C3A36"/>
                <w:sz w:val="16"/>
              </w:rPr>
              <w:t>1,827</w:t>
            </w:r>
          </w:p>
        </w:tc>
        <w:tc>
          <w:tcPr>
            <w:tcW w:type="dxa" w:w="966"/>
          </w:tcPr>
          <w:p>
            <w:pPr>
              <w:spacing w:after="20"/>
              <w:jc w:val="right"/>
            </w:pPr>
            <w:r>
              <w:rPr>
                <w:color w:val="1C3A36"/>
                <w:sz w:val="16"/>
              </w:rPr>
              <w:t>1,990</w:t>
            </w:r>
          </w:p>
        </w:tc>
        <w:tc>
          <w:tcPr>
            <w:tcW w:type="dxa" w:w="966"/>
          </w:tcPr>
          <w:p>
            <w:pPr>
              <w:spacing w:after="20"/>
              <w:jc w:val="right"/>
            </w:pPr>
            <w:r>
              <w:rPr>
                <w:color w:val="1C3A36"/>
                <w:sz w:val="16"/>
              </w:rPr>
              <w:t>2,081</w:t>
            </w:r>
          </w:p>
        </w:tc>
        <w:tc>
          <w:tcPr>
            <w:tcW w:type="dxa" w:w="966"/>
          </w:tcPr>
          <w:p>
            <w:pPr>
              <w:spacing w:after="20"/>
              <w:jc w:val="right"/>
            </w:pPr>
            <w:r>
              <w:rPr>
                <w:color w:val="1C3A36"/>
                <w:sz w:val="16"/>
              </w:rPr>
              <w:t>2,217</w:t>
            </w:r>
          </w:p>
        </w:tc>
        <w:tc>
          <w:tcPr>
            <w:tcW w:type="dxa" w:w="966"/>
          </w:tcPr>
          <w:p>
            <w:pPr>
              <w:spacing w:after="20"/>
              <w:jc w:val="right"/>
            </w:pPr>
            <w:r>
              <w:rPr>
                <w:color w:val="1C3A36"/>
                <w:sz w:val="16"/>
              </w:rPr>
              <w:t>1,843</w:t>
            </w:r>
          </w:p>
        </w:tc>
        <w:tc>
          <w:tcPr>
            <w:tcW w:type="dxa" w:w="966"/>
          </w:tcPr>
          <w:p>
            <w:pPr>
              <w:spacing w:after="20"/>
              <w:jc w:val="right"/>
            </w:pPr>
            <w:r>
              <w:rPr>
                <w:color w:val="1C3A36"/>
                <w:sz w:val="16"/>
              </w:rPr>
              <w:t>1,276</w:t>
            </w:r>
          </w:p>
        </w:tc>
        <w:tc>
          <w:tcPr>
            <w:tcW w:type="dxa" w:w="966"/>
          </w:tcPr>
          <w:p>
            <w:pPr>
              <w:spacing w:after="20"/>
              <w:jc w:val="right"/>
            </w:pPr>
            <w:r>
              <w:rPr>
                <w:color w:val="1C3A36"/>
                <w:sz w:val="16"/>
              </w:rPr>
              <w:t>526</w:t>
            </w:r>
          </w:p>
        </w:tc>
        <w:tc>
          <w:tcPr>
            <w:tcW w:type="dxa" w:w="966"/>
          </w:tcPr>
          <w:p>
            <w:pPr>
              <w:spacing w:after="20"/>
              <w:jc w:val="right"/>
            </w:pPr>
            <w:r>
              <w:rPr>
                <w:color w:val="1C3A36"/>
                <w:sz w:val="16"/>
              </w:rPr>
              <w:t>-297</w:t>
            </w:r>
          </w:p>
        </w:tc>
      </w:tr>
      <w:tr>
        <w:tc>
          <w:tcPr>
            <w:tcW w:type="dxa" w:w="2349"/>
          </w:tcPr>
          <w:p>
            <w:pPr>
              <w:spacing w:after="20"/>
            </w:pPr>
            <w:r>
              <w:rPr>
                <w:color w:val="1C3A36"/>
                <w:sz w:val="16"/>
              </w:rPr>
              <w:t>Net debt / EBITDA</w:t>
            </w:r>
          </w:p>
        </w:tc>
        <w:tc>
          <w:tcPr>
            <w:tcW w:type="dxa" w:w="966"/>
          </w:tcPr>
          <w:p>
            <w:pPr>
              <w:spacing w:after="20"/>
              <w:jc w:val="right"/>
            </w:pPr>
            <w:r>
              <w:rPr>
                <w:color w:val="1C3A36"/>
                <w:sz w:val="16"/>
              </w:rPr>
              <w:t>1.23x</w:t>
            </w:r>
          </w:p>
        </w:tc>
        <w:tc>
          <w:tcPr>
            <w:tcW w:type="dxa" w:w="966"/>
          </w:tcPr>
          <w:p>
            <w:pPr>
              <w:spacing w:after="20"/>
              <w:jc w:val="right"/>
            </w:pPr>
            <w:r>
              <w:rPr>
                <w:color w:val="1C3A36"/>
                <w:sz w:val="16"/>
              </w:rPr>
              <w:t>0.99x</w:t>
            </w:r>
          </w:p>
        </w:tc>
        <w:tc>
          <w:tcPr>
            <w:tcW w:type="dxa" w:w="966"/>
          </w:tcPr>
          <w:p>
            <w:pPr>
              <w:spacing w:after="20"/>
              <w:jc w:val="right"/>
            </w:pPr>
            <w:r>
              <w:rPr>
                <w:color w:val="1C3A36"/>
                <w:sz w:val="16"/>
              </w:rPr>
              <w:t>0.95x</w:t>
            </w:r>
          </w:p>
        </w:tc>
        <w:tc>
          <w:tcPr>
            <w:tcW w:type="dxa" w:w="966"/>
          </w:tcPr>
          <w:p>
            <w:pPr>
              <w:spacing w:after="20"/>
              <w:jc w:val="right"/>
            </w:pPr>
            <w:r>
              <w:rPr>
                <w:color w:val="1C3A36"/>
                <w:sz w:val="16"/>
              </w:rPr>
              <w:t>1.01x</w:t>
            </w:r>
          </w:p>
        </w:tc>
        <w:tc>
          <w:tcPr>
            <w:tcW w:type="dxa" w:w="966"/>
          </w:tcPr>
          <w:p>
            <w:pPr>
              <w:spacing w:after="20"/>
              <w:jc w:val="right"/>
            </w:pPr>
            <w:r>
              <w:rPr>
                <w:color w:val="1C3A36"/>
                <w:sz w:val="16"/>
              </w:rPr>
              <w:t>0.78x</w:t>
            </w:r>
          </w:p>
        </w:tc>
        <w:tc>
          <w:tcPr>
            <w:tcW w:type="dxa" w:w="966"/>
          </w:tcPr>
          <w:p>
            <w:pPr>
              <w:spacing w:after="20"/>
              <w:jc w:val="right"/>
            </w:pPr>
            <w:r>
              <w:rPr>
                <w:color w:val="1C3A36"/>
                <w:sz w:val="16"/>
              </w:rPr>
              <w:t>0.50x</w:t>
            </w:r>
          </w:p>
        </w:tc>
        <w:tc>
          <w:tcPr>
            <w:tcW w:type="dxa" w:w="966"/>
          </w:tcPr>
          <w:p>
            <w:pPr>
              <w:spacing w:after="20"/>
              <w:jc w:val="right"/>
            </w:pPr>
            <w:r>
              <w:rPr>
                <w:color w:val="1C3A36"/>
                <w:sz w:val="16"/>
              </w:rPr>
              <w:t>0.20x</w:t>
            </w:r>
          </w:p>
        </w:tc>
        <w:tc>
          <w:tcPr>
            <w:tcW w:type="dxa" w:w="966"/>
          </w:tcPr>
          <w:p>
            <w:pPr>
              <w:spacing w:after="20"/>
              <w:jc w:val="right"/>
            </w:pPr>
            <w:r>
              <w:rPr>
                <w:color w:val="1C3A36"/>
                <w:sz w:val="16"/>
              </w:rPr>
              <w:t>-0.11x</w:t>
            </w:r>
          </w:p>
        </w:tc>
      </w:tr>
    </w:tbl>
    <w:p>
      <w:pPr>
        <w:spacing w:after="40"/>
      </w:pPr>
    </w:p>
    <w:p>
      <w:pPr>
        <w:spacing w:after="200" w:before="0"/>
      </w:pPr>
      <w:r>
        <w:rPr>
          <w:b w:val="0"/>
          <w:i/>
          <w:color w:val="6E7B77"/>
          <w:sz w:val="17"/>
        </w:rPr>
        <w:t>The forecast balance sheet holds gross debt flat at the audited 2025 level and pays only the guided dividend floor, so surplus cash accumulates. It balances in every year, and the residual equity agrees with the independently rolled-forward equity to the dollar.</w:t>
      </w:r>
    </w:p>
    <w:p>
      <w:pPr>
        <w:spacing w:after="80" w:before="200"/>
      </w:pPr>
      <w:r>
        <w:rPr>
          <w:b/>
          <w:i w:val="0"/>
          <w:color w:val="1C3A36"/>
          <w:sz w:val="24"/>
        </w:rPr>
        <w:t>A.3 Cash flow and the working-capital cycle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49"/>
        <w:gridCol w:w="966"/>
        <w:gridCol w:w="966"/>
        <w:gridCol w:w="966"/>
        <w:gridCol w:w="966"/>
        <w:gridCol w:w="966"/>
        <w:gridCol w:w="966"/>
        <w:gridCol w:w="966"/>
        <w:gridCol w:w="966"/>
      </w:tblGrid>
      <w:tr>
        <w:tc>
          <w:tcPr>
            <w:tcW w:type="dxa" w:w="2349"/>
            <w:shd w:val="clear" w:color="auto" w:fill="EAF0EE"/>
          </w:tcPr>
          <w:p>
            <w:pPr>
              <w:spacing w:after="20"/>
            </w:pPr>
            <w:r>
              <w:rPr>
                <w:b/>
                <w:color w:val="1C3A36"/>
                <w:sz w:val="16"/>
              </w:rPr>
              <w:t>USD million</w:t>
            </w:r>
          </w:p>
        </w:tc>
        <w:tc>
          <w:tcPr>
            <w:tcW w:type="dxa" w:w="966"/>
            <w:shd w:val="clear" w:color="auto" w:fill="EAF0EE"/>
          </w:tcPr>
          <w:p>
            <w:pPr>
              <w:spacing w:after="20"/>
            </w:pPr>
            <w:r>
              <w:rPr>
                <w:b/>
                <w:color w:val="1C3A36"/>
                <w:sz w:val="16"/>
              </w:rPr>
              <w:t>FY2023</w:t>
            </w:r>
          </w:p>
        </w:tc>
        <w:tc>
          <w:tcPr>
            <w:tcW w:type="dxa" w:w="966"/>
            <w:shd w:val="clear" w:color="auto" w:fill="EAF0EE"/>
          </w:tcPr>
          <w:p>
            <w:pPr>
              <w:spacing w:after="20"/>
            </w:pPr>
            <w:r>
              <w:rPr>
                <w:b/>
                <w:color w:val="1C3A36"/>
                <w:sz w:val="16"/>
              </w:rPr>
              <w:t>FY2024</w:t>
            </w:r>
          </w:p>
        </w:tc>
        <w:tc>
          <w:tcPr>
            <w:tcW w:type="dxa" w:w="966"/>
            <w:shd w:val="clear" w:color="auto" w:fill="EAF0EE"/>
          </w:tcPr>
          <w:p>
            <w:pPr>
              <w:spacing w:after="20"/>
            </w:pPr>
            <w:r>
              <w:rPr>
                <w:b/>
                <w:color w:val="1C3A36"/>
                <w:sz w:val="16"/>
              </w:rPr>
              <w:t>FY2025</w:t>
            </w:r>
          </w:p>
        </w:tc>
        <w:tc>
          <w:tcPr>
            <w:tcW w:type="dxa" w:w="966"/>
            <w:shd w:val="clear" w:color="auto" w:fill="EAF0EE"/>
          </w:tcPr>
          <w:p>
            <w:pPr>
              <w:spacing w:after="20"/>
            </w:pPr>
            <w:r>
              <w:rPr>
                <w:b/>
                <w:color w:val="1C3A36"/>
                <w:sz w:val="16"/>
              </w:rPr>
              <w:t>FY2026E</w:t>
            </w:r>
          </w:p>
        </w:tc>
        <w:tc>
          <w:tcPr>
            <w:tcW w:type="dxa" w:w="966"/>
            <w:shd w:val="clear" w:color="auto" w:fill="EAF0EE"/>
          </w:tcPr>
          <w:p>
            <w:pPr>
              <w:spacing w:after="20"/>
            </w:pPr>
            <w:r>
              <w:rPr>
                <w:b/>
                <w:color w:val="1C3A36"/>
                <w:sz w:val="16"/>
              </w:rPr>
              <w:t>FY2027E</w:t>
            </w:r>
          </w:p>
        </w:tc>
        <w:tc>
          <w:tcPr>
            <w:tcW w:type="dxa" w:w="966"/>
            <w:shd w:val="clear" w:color="auto" w:fill="EAF0EE"/>
          </w:tcPr>
          <w:p>
            <w:pPr>
              <w:spacing w:after="20"/>
            </w:pPr>
            <w:r>
              <w:rPr>
                <w:b/>
                <w:color w:val="1C3A36"/>
                <w:sz w:val="16"/>
              </w:rPr>
              <w:t>FY2028E</w:t>
            </w:r>
          </w:p>
        </w:tc>
        <w:tc>
          <w:tcPr>
            <w:tcW w:type="dxa" w:w="966"/>
            <w:shd w:val="clear" w:color="auto" w:fill="EAF0EE"/>
          </w:tcPr>
          <w:p>
            <w:pPr>
              <w:spacing w:after="20"/>
            </w:pPr>
            <w:r>
              <w:rPr>
                <w:b/>
                <w:color w:val="1C3A36"/>
                <w:sz w:val="16"/>
              </w:rPr>
              <w:t>FY2029E</w:t>
            </w:r>
          </w:p>
        </w:tc>
        <w:tc>
          <w:tcPr>
            <w:tcW w:type="dxa" w:w="966"/>
            <w:shd w:val="clear" w:color="auto" w:fill="EAF0EE"/>
          </w:tcPr>
          <w:p>
            <w:pPr>
              <w:spacing w:after="20"/>
            </w:pPr>
            <w:r>
              <w:rPr>
                <w:b/>
                <w:color w:val="1C3A36"/>
                <w:sz w:val="16"/>
              </w:rPr>
              <w:t>FY2030E</w:t>
            </w:r>
          </w:p>
        </w:tc>
      </w:tr>
      <w:tr>
        <w:tc>
          <w:tcPr>
            <w:tcW w:type="dxa" w:w="2349"/>
          </w:tcPr>
          <w:p>
            <w:pPr>
              <w:spacing w:after="20"/>
            </w:pPr>
            <w:r>
              <w:rPr>
                <w:color w:val="1C3A36"/>
                <w:sz w:val="16"/>
              </w:rPr>
              <w:t>Net cash from operating activities</w:t>
            </w:r>
          </w:p>
        </w:tc>
        <w:tc>
          <w:tcPr>
            <w:tcW w:type="dxa" w:w="966"/>
          </w:tcPr>
          <w:p>
            <w:pPr>
              <w:spacing w:after="20"/>
              <w:jc w:val="right"/>
            </w:pPr>
            <w:r>
              <w:rPr>
                <w:color w:val="1C3A36"/>
                <w:sz w:val="16"/>
              </w:rPr>
              <w:t>1,355</w:t>
            </w:r>
          </w:p>
        </w:tc>
        <w:tc>
          <w:tcPr>
            <w:tcW w:type="dxa" w:w="966"/>
          </w:tcPr>
          <w:p>
            <w:pPr>
              <w:spacing w:after="20"/>
              <w:jc w:val="right"/>
            </w:pPr>
            <w:r>
              <w:rPr>
                <w:color w:val="1C3A36"/>
                <w:sz w:val="16"/>
              </w:rPr>
              <w:t>1,654</w:t>
            </w:r>
          </w:p>
        </w:tc>
        <w:tc>
          <w:tcPr>
            <w:tcW w:type="dxa" w:w="966"/>
          </w:tcPr>
          <w:p>
            <w:pPr>
              <w:spacing w:after="20"/>
              <w:jc w:val="right"/>
            </w:pPr>
            <w:r>
              <w:rPr>
                <w:color w:val="1C3A36"/>
                <w:sz w:val="16"/>
              </w:rPr>
              <w:t>2,226</w:t>
            </w:r>
          </w:p>
        </w:tc>
        <w:tc>
          <w:tcPr>
            <w:tcW w:type="dxa" w:w="966"/>
          </w:tcPr>
          <w:p>
            <w:pPr>
              <w:spacing w:after="20"/>
              <w:jc w:val="right"/>
            </w:pPr>
            <w:r>
              <w:rPr>
                <w:color w:val="1C3A36"/>
                <w:sz w:val="16"/>
              </w:rPr>
              <w:t>1,788</w:t>
            </w:r>
          </w:p>
        </w:tc>
        <w:tc>
          <w:tcPr>
            <w:tcW w:type="dxa" w:w="966"/>
          </w:tcPr>
          <w:p>
            <w:pPr>
              <w:spacing w:after="20"/>
              <w:jc w:val="right"/>
            </w:pPr>
            <w:r>
              <w:rPr>
                <w:color w:val="1C3A36"/>
                <w:sz w:val="16"/>
              </w:rPr>
              <w:t>2,076</w:t>
            </w:r>
          </w:p>
        </w:tc>
        <w:tc>
          <w:tcPr>
            <w:tcW w:type="dxa" w:w="966"/>
          </w:tcPr>
          <w:p>
            <w:pPr>
              <w:spacing w:after="20"/>
              <w:jc w:val="right"/>
            </w:pPr>
            <w:r>
              <w:rPr>
                <w:color w:val="1C3A36"/>
                <w:sz w:val="16"/>
              </w:rPr>
              <w:t>2,245</w:t>
            </w:r>
          </w:p>
        </w:tc>
        <w:tc>
          <w:tcPr>
            <w:tcW w:type="dxa" w:w="966"/>
          </w:tcPr>
          <w:p>
            <w:pPr>
              <w:spacing w:after="20"/>
              <w:jc w:val="right"/>
            </w:pPr>
            <w:r>
              <w:rPr>
                <w:color w:val="1C3A36"/>
                <w:sz w:val="16"/>
              </w:rPr>
              <w:t>2,386</w:t>
            </w:r>
          </w:p>
        </w:tc>
        <w:tc>
          <w:tcPr>
            <w:tcW w:type="dxa" w:w="966"/>
          </w:tcPr>
          <w:p>
            <w:pPr>
              <w:spacing w:after="20"/>
              <w:jc w:val="right"/>
            </w:pPr>
            <w:r>
              <w:rPr>
                <w:color w:val="1C3A36"/>
                <w:sz w:val="16"/>
              </w:rPr>
              <w:t>2,479</w:t>
            </w:r>
          </w:p>
        </w:tc>
      </w:tr>
      <w:tr>
        <w:tc>
          <w:tcPr>
            <w:tcW w:type="dxa" w:w="2349"/>
          </w:tcPr>
          <w:p>
            <w:pPr>
              <w:spacing w:after="20"/>
            </w:pPr>
            <w:r>
              <w:rPr>
                <w:color w:val="1C3A36"/>
                <w:sz w:val="16"/>
              </w:rPr>
              <w:t>Capital expenditure</w:t>
            </w:r>
          </w:p>
        </w:tc>
        <w:tc>
          <w:tcPr>
            <w:tcW w:type="dxa" w:w="966"/>
          </w:tcPr>
          <w:p>
            <w:pPr>
              <w:spacing w:after="20"/>
              <w:jc w:val="right"/>
            </w:pPr>
            <w:r>
              <w:rPr>
                <w:color w:val="1C3A36"/>
                <w:sz w:val="16"/>
              </w:rPr>
              <w:t>(1,062)</w:t>
            </w:r>
          </w:p>
        </w:tc>
        <w:tc>
          <w:tcPr>
            <w:tcW w:type="dxa" w:w="966"/>
          </w:tcPr>
          <w:p>
            <w:pPr>
              <w:spacing w:after="20"/>
              <w:jc w:val="right"/>
            </w:pPr>
            <w:r>
              <w:rPr>
                <w:color w:val="1C3A36"/>
                <w:sz w:val="16"/>
              </w:rPr>
              <w:t>(762)</w:t>
            </w:r>
          </w:p>
        </w:tc>
        <w:tc>
          <w:tcPr>
            <w:tcW w:type="dxa" w:w="966"/>
          </w:tcPr>
          <w:p>
            <w:pPr>
              <w:spacing w:after="20"/>
              <w:jc w:val="right"/>
            </w:pPr>
            <w:r>
              <w:rPr>
                <w:color w:val="1C3A36"/>
                <w:sz w:val="16"/>
              </w:rPr>
              <w:t>(815)</w:t>
            </w:r>
          </w:p>
        </w:tc>
        <w:tc>
          <w:tcPr>
            <w:tcW w:type="dxa" w:w="966"/>
          </w:tcPr>
          <w:p>
            <w:pPr>
              <w:spacing w:after="20"/>
              <w:jc w:val="right"/>
            </w:pPr>
            <w:r>
              <w:rPr>
                <w:color w:val="1C3A36"/>
                <w:sz w:val="16"/>
              </w:rPr>
              <w:t>(700)</w:t>
            </w:r>
          </w:p>
        </w:tc>
        <w:tc>
          <w:tcPr>
            <w:tcW w:type="dxa" w:w="966"/>
          </w:tcPr>
          <w:p>
            <w:pPr>
              <w:spacing w:after="20"/>
              <w:jc w:val="right"/>
            </w:pPr>
            <w:r>
              <w:rPr>
                <w:color w:val="1C3A36"/>
                <w:sz w:val="16"/>
              </w:rPr>
              <w:t>(600)</w:t>
            </w:r>
          </w:p>
        </w:tc>
        <w:tc>
          <w:tcPr>
            <w:tcW w:type="dxa" w:w="966"/>
          </w:tcPr>
          <w:p>
            <w:pPr>
              <w:spacing w:after="20"/>
              <w:jc w:val="right"/>
            </w:pPr>
            <w:r>
              <w:rPr>
                <w:color w:val="1C3A36"/>
                <w:sz w:val="16"/>
              </w:rPr>
              <w:t>(520)</w:t>
            </w:r>
          </w:p>
        </w:tc>
        <w:tc>
          <w:tcPr>
            <w:tcW w:type="dxa" w:w="966"/>
          </w:tcPr>
          <w:p>
            <w:pPr>
              <w:spacing w:after="20"/>
              <w:jc w:val="right"/>
            </w:pPr>
            <w:r>
              <w:rPr>
                <w:color w:val="1C3A36"/>
                <w:sz w:val="16"/>
              </w:rPr>
              <w:t>(420)</w:t>
            </w:r>
          </w:p>
        </w:tc>
        <w:tc>
          <w:tcPr>
            <w:tcW w:type="dxa" w:w="966"/>
          </w:tcPr>
          <w:p>
            <w:pPr>
              <w:spacing w:after="20"/>
              <w:jc w:val="right"/>
            </w:pPr>
            <w:r>
              <w:rPr>
                <w:color w:val="1C3A36"/>
                <w:sz w:val="16"/>
              </w:rPr>
              <w:t>(380)</w:t>
            </w:r>
          </w:p>
        </w:tc>
      </w:tr>
      <w:tr>
        <w:tc>
          <w:tcPr>
            <w:tcW w:type="dxa" w:w="2349"/>
          </w:tcPr>
          <w:p>
            <w:pPr>
              <w:spacing w:after="20"/>
            </w:pPr>
            <w:r>
              <w:rPr>
                <w:color w:val="1C3A36"/>
                <w:sz w:val="16"/>
              </w:rPr>
              <w:t>Dividends paid</w:t>
            </w:r>
          </w:p>
        </w:tc>
        <w:tc>
          <w:tcPr>
            <w:tcW w:type="dxa" w:w="966"/>
          </w:tcPr>
          <w:p>
            <w:pPr>
              <w:spacing w:after="20"/>
              <w:jc w:val="right"/>
            </w:pPr>
            <w:r>
              <w:rPr>
                <w:color w:val="1C3A36"/>
                <w:sz w:val="16"/>
              </w:rPr>
              <w:t>(700)</w:t>
            </w:r>
          </w:p>
        </w:tc>
        <w:tc>
          <w:tcPr>
            <w:tcW w:type="dxa" w:w="966"/>
          </w:tcPr>
          <w:p>
            <w:pPr>
              <w:spacing w:after="20"/>
              <w:jc w:val="right"/>
            </w:pPr>
            <w:r>
              <w:rPr>
                <w:color w:val="1C3A36"/>
                <w:sz w:val="16"/>
              </w:rPr>
              <w:t>(752)</w:t>
            </w:r>
          </w:p>
        </w:tc>
        <w:tc>
          <w:tcPr>
            <w:tcW w:type="dxa" w:w="966"/>
          </w:tcPr>
          <w:p>
            <w:pPr>
              <w:spacing w:after="20"/>
              <w:jc w:val="right"/>
            </w:pPr>
            <w:r>
              <w:rPr>
                <w:color w:val="1C3A36"/>
                <w:sz w:val="16"/>
              </w:rPr>
              <w:t>(1,144)</w:t>
            </w:r>
          </w:p>
        </w:tc>
        <w:tc>
          <w:tcPr>
            <w:tcW w:type="dxa" w:w="966"/>
          </w:tcPr>
          <w:p>
            <w:pPr>
              <w:spacing w:after="20"/>
              <w:jc w:val="right"/>
            </w:pPr>
            <w:r>
              <w:rPr>
                <w:color w:val="1C3A36"/>
                <w:sz w:val="16"/>
              </w:rPr>
              <w:t>(1,050)</w:t>
            </w:r>
          </w:p>
        </w:tc>
        <w:tc>
          <w:tcPr>
            <w:tcW w:type="dxa" w:w="966"/>
          </w:tcPr>
          <w:p>
            <w:pPr>
              <w:spacing w:after="20"/>
              <w:jc w:val="right"/>
            </w:pPr>
            <w:r>
              <w:rPr>
                <w:color w:val="1C3A36"/>
                <w:sz w:val="16"/>
              </w:rPr>
              <w:t>(1,102)</w:t>
            </w:r>
          </w:p>
        </w:tc>
        <w:tc>
          <w:tcPr>
            <w:tcW w:type="dxa" w:w="966"/>
          </w:tcPr>
          <w:p>
            <w:pPr>
              <w:spacing w:after="20"/>
              <w:jc w:val="right"/>
            </w:pPr>
            <w:r>
              <w:rPr>
                <w:color w:val="1C3A36"/>
                <w:sz w:val="16"/>
              </w:rPr>
              <w:t>(1,158)</w:t>
            </w:r>
          </w:p>
        </w:tc>
        <w:tc>
          <w:tcPr>
            <w:tcW w:type="dxa" w:w="966"/>
          </w:tcPr>
          <w:p>
            <w:pPr>
              <w:spacing w:after="20"/>
              <w:jc w:val="right"/>
            </w:pPr>
            <w:r>
              <w:rPr>
                <w:color w:val="1C3A36"/>
                <w:sz w:val="16"/>
              </w:rPr>
              <w:t>(1,216)</w:t>
            </w:r>
          </w:p>
        </w:tc>
        <w:tc>
          <w:tcPr>
            <w:tcW w:type="dxa" w:w="966"/>
          </w:tcPr>
          <w:p>
            <w:pPr>
              <w:spacing w:after="20"/>
              <w:jc w:val="right"/>
            </w:pPr>
            <w:r>
              <w:rPr>
                <w:color w:val="1C3A36"/>
                <w:sz w:val="16"/>
              </w:rPr>
              <w:t>(1,276)</w:t>
            </w:r>
          </w:p>
        </w:tc>
      </w:tr>
      <w:tr>
        <w:tc>
          <w:tcPr>
            <w:tcW w:type="dxa" w:w="2349"/>
            <w:shd w:val="clear" w:color="auto" w:fill="F6F1E6"/>
          </w:tcPr>
          <w:p>
            <w:pPr>
              <w:spacing w:after="20"/>
            </w:pPr>
            <w:r>
              <w:rPr>
                <w:b/>
                <w:color w:val="1C3A36"/>
                <w:sz w:val="16"/>
              </w:rPr>
              <w:t>Free cash flow to the firm</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w:t>
            </w:r>
          </w:p>
        </w:tc>
        <w:tc>
          <w:tcPr>
            <w:tcW w:type="dxa" w:w="966"/>
            <w:shd w:val="clear" w:color="auto" w:fill="F6F1E6"/>
          </w:tcPr>
          <w:p>
            <w:pPr>
              <w:spacing w:after="20"/>
              <w:jc w:val="right"/>
            </w:pPr>
            <w:r>
              <w:rPr>
                <w:b/>
                <w:color w:val="1C3A36"/>
                <w:sz w:val="16"/>
              </w:rPr>
              <w:t>1,167</w:t>
            </w:r>
          </w:p>
        </w:tc>
        <w:tc>
          <w:tcPr>
            <w:tcW w:type="dxa" w:w="966"/>
            <w:shd w:val="clear" w:color="auto" w:fill="F6F1E6"/>
          </w:tcPr>
          <w:p>
            <w:pPr>
              <w:spacing w:after="20"/>
              <w:jc w:val="right"/>
            </w:pPr>
            <w:r>
              <w:rPr>
                <w:b/>
                <w:color w:val="1C3A36"/>
                <w:sz w:val="16"/>
              </w:rPr>
              <w:t>1,553</w:t>
            </w:r>
          </w:p>
        </w:tc>
        <w:tc>
          <w:tcPr>
            <w:tcW w:type="dxa" w:w="966"/>
            <w:shd w:val="clear" w:color="auto" w:fill="F6F1E6"/>
          </w:tcPr>
          <w:p>
            <w:pPr>
              <w:spacing w:after="20"/>
              <w:jc w:val="right"/>
            </w:pPr>
            <w:r>
              <w:rPr>
                <w:b/>
                <w:color w:val="1C3A36"/>
                <w:sz w:val="16"/>
              </w:rPr>
              <w:t>1,789</w:t>
            </w:r>
          </w:p>
        </w:tc>
        <w:tc>
          <w:tcPr>
            <w:tcW w:type="dxa" w:w="966"/>
            <w:shd w:val="clear" w:color="auto" w:fill="F6F1E6"/>
          </w:tcPr>
          <w:p>
            <w:pPr>
              <w:spacing w:after="20"/>
              <w:jc w:val="right"/>
            </w:pPr>
            <w:r>
              <w:rPr>
                <w:b/>
                <w:color w:val="1C3A36"/>
                <w:sz w:val="16"/>
              </w:rPr>
              <w:t>2,010</w:t>
            </w:r>
          </w:p>
        </w:tc>
        <w:tc>
          <w:tcPr>
            <w:tcW w:type="dxa" w:w="966"/>
            <w:shd w:val="clear" w:color="auto" w:fill="F6F1E6"/>
          </w:tcPr>
          <w:p>
            <w:pPr>
              <w:spacing w:after="20"/>
              <w:jc w:val="right"/>
            </w:pPr>
            <w:r>
              <w:rPr>
                <w:b/>
                <w:color w:val="1C3A36"/>
                <w:sz w:val="16"/>
              </w:rPr>
              <w:t>2,118</w:t>
            </w:r>
          </w:p>
        </w:tc>
      </w:tr>
      <w:tr>
        <w:tc>
          <w:tcPr>
            <w:tcW w:type="dxa" w:w="2349"/>
          </w:tcPr>
          <w:p>
            <w:pPr>
              <w:spacing w:after="20"/>
            </w:pPr>
            <w:r>
              <w:rPr>
                <w:color w:val="1C3A36"/>
                <w:sz w:val="16"/>
              </w:rPr>
              <w:t>Closing cash</w:t>
            </w:r>
          </w:p>
        </w:tc>
        <w:tc>
          <w:tcPr>
            <w:tcW w:type="dxa" w:w="966"/>
          </w:tcPr>
          <w:p>
            <w:pPr>
              <w:spacing w:after="20"/>
              <w:jc w:val="right"/>
            </w:pPr>
            <w:r>
              <w:rPr>
                <w:color w:val="1C3A36"/>
                <w:sz w:val="16"/>
              </w:rPr>
              <w:t>354</w:t>
            </w:r>
          </w:p>
        </w:tc>
        <w:tc>
          <w:tcPr>
            <w:tcW w:type="dxa" w:w="966"/>
          </w:tcPr>
          <w:p>
            <w:pPr>
              <w:spacing w:after="20"/>
              <w:jc w:val="right"/>
            </w:pPr>
            <w:r>
              <w:rPr>
                <w:color w:val="1C3A36"/>
                <w:sz w:val="16"/>
              </w:rPr>
              <w:t>330</w:t>
            </w:r>
          </w:p>
        </w:tc>
        <w:tc>
          <w:tcPr>
            <w:tcW w:type="dxa" w:w="966"/>
          </w:tcPr>
          <w:p>
            <w:pPr>
              <w:spacing w:after="20"/>
              <w:jc w:val="right"/>
            </w:pPr>
            <w:r>
              <w:rPr>
                <w:color w:val="1C3A36"/>
                <w:sz w:val="16"/>
              </w:rPr>
              <w:t>236</w:t>
            </w:r>
          </w:p>
        </w:tc>
        <w:tc>
          <w:tcPr>
            <w:tcW w:type="dxa" w:w="966"/>
          </w:tcPr>
          <w:p>
            <w:pPr>
              <w:spacing w:after="20"/>
              <w:jc w:val="right"/>
            </w:pPr>
            <w:r>
              <w:rPr>
                <w:color w:val="1C3A36"/>
                <w:sz w:val="16"/>
              </w:rPr>
              <w:t>279</w:t>
            </w:r>
          </w:p>
        </w:tc>
        <w:tc>
          <w:tcPr>
            <w:tcW w:type="dxa" w:w="966"/>
          </w:tcPr>
          <w:p>
            <w:pPr>
              <w:spacing w:after="20"/>
              <w:jc w:val="right"/>
            </w:pPr>
            <w:r>
              <w:rPr>
                <w:color w:val="1C3A36"/>
                <w:sz w:val="16"/>
              </w:rPr>
              <w:t>653</w:t>
            </w:r>
          </w:p>
        </w:tc>
        <w:tc>
          <w:tcPr>
            <w:tcW w:type="dxa" w:w="966"/>
          </w:tcPr>
          <w:p>
            <w:pPr>
              <w:spacing w:after="20"/>
              <w:jc w:val="right"/>
            </w:pPr>
            <w:r>
              <w:rPr>
                <w:color w:val="1C3A36"/>
                <w:sz w:val="16"/>
              </w:rPr>
              <w:t>1,221</w:t>
            </w:r>
          </w:p>
        </w:tc>
        <w:tc>
          <w:tcPr>
            <w:tcW w:type="dxa" w:w="966"/>
          </w:tcPr>
          <w:p>
            <w:pPr>
              <w:spacing w:after="20"/>
              <w:jc w:val="right"/>
            </w:pPr>
            <w:r>
              <w:rPr>
                <w:color w:val="1C3A36"/>
                <w:sz w:val="16"/>
              </w:rPr>
              <w:t>1,971</w:t>
            </w:r>
          </w:p>
        </w:tc>
        <w:tc>
          <w:tcPr>
            <w:tcW w:type="dxa" w:w="966"/>
          </w:tcPr>
          <w:p>
            <w:pPr>
              <w:spacing w:after="20"/>
              <w:jc w:val="right"/>
            </w:pPr>
            <w:r>
              <w:rPr>
                <w:color w:val="1C3A36"/>
                <w:sz w:val="16"/>
              </w:rPr>
              <w:t>2,794</w:t>
            </w:r>
          </w:p>
        </w:tc>
      </w:tr>
    </w:tbl>
    <w:p>
      <w:pPr>
        <w:spacing w:after="40"/>
      </w:pPr>
    </w:p>
    <w:p>
      <w:pPr>
        <w:spacing w:after="80" w:before="0"/>
      </w:pPr>
      <w:r>
        <w:rPr>
          <w:b w:val="0"/>
          <w:i w:val="0"/>
          <w:color w:val="1C3A36"/>
          <w:sz w:val="21"/>
        </w:rPr>
        <w:t>The asset-conversion cycle, read from the statements and used to project the balance sheet rather than plugged: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037"/>
        <w:gridCol w:w="1037"/>
        <w:gridCol w:w="1037"/>
        <w:gridCol w:w="4018"/>
      </w:tblGrid>
      <w:tr>
        <w:tc>
          <w:tcPr>
            <w:tcW w:type="dxa" w:w="2952"/>
            <w:shd w:val="clear" w:color="auto" w:fill="EAF0EE"/>
          </w:tcPr>
          <w:p>
            <w:pPr>
              <w:spacing w:after="20"/>
            </w:pPr>
            <w:r>
              <w:rPr>
                <w:b/>
                <w:color w:val="1C3A36"/>
                <w:sz w:val="17"/>
              </w:rPr>
              <w:t>Days</w:t>
            </w:r>
          </w:p>
        </w:tc>
        <w:tc>
          <w:tcPr>
            <w:tcW w:type="dxa" w:w="1037"/>
            <w:shd w:val="clear" w:color="auto" w:fill="EAF0EE"/>
          </w:tcPr>
          <w:p>
            <w:pPr>
              <w:spacing w:after="20"/>
            </w:pPr>
            <w:r>
              <w:rPr>
                <w:b/>
                <w:color w:val="1C3A36"/>
                <w:sz w:val="17"/>
              </w:rPr>
              <w:t>FY2023</w:t>
            </w:r>
          </w:p>
        </w:tc>
        <w:tc>
          <w:tcPr>
            <w:tcW w:type="dxa" w:w="1037"/>
            <w:shd w:val="clear" w:color="auto" w:fill="EAF0EE"/>
          </w:tcPr>
          <w:p>
            <w:pPr>
              <w:spacing w:after="20"/>
            </w:pPr>
            <w:r>
              <w:rPr>
                <w:b/>
                <w:color w:val="1C3A36"/>
                <w:sz w:val="17"/>
              </w:rPr>
              <w:t>FY2024</w:t>
            </w:r>
          </w:p>
        </w:tc>
        <w:tc>
          <w:tcPr>
            <w:tcW w:type="dxa" w:w="1037"/>
            <w:shd w:val="clear" w:color="auto" w:fill="EAF0EE"/>
          </w:tcPr>
          <w:p>
            <w:pPr>
              <w:spacing w:after="20"/>
            </w:pPr>
            <w:r>
              <w:rPr>
                <w:b/>
                <w:color w:val="1C3A36"/>
                <w:sz w:val="17"/>
              </w:rPr>
              <w:t>FY2025</w:t>
            </w:r>
          </w:p>
        </w:tc>
        <w:tc>
          <w:tcPr>
            <w:tcW w:type="dxa" w:w="4018"/>
            <w:shd w:val="clear" w:color="auto" w:fill="EAF0EE"/>
          </w:tcPr>
          <w:p>
            <w:pPr>
              <w:spacing w:after="20"/>
            </w:pPr>
            <w:r>
              <w:rPr>
                <w:b/>
                <w:color w:val="1C3A36"/>
                <w:sz w:val="17"/>
              </w:rPr>
              <w:t>What it is</w:t>
            </w:r>
          </w:p>
        </w:tc>
      </w:tr>
      <w:tr>
        <w:tc>
          <w:tcPr>
            <w:tcW w:type="dxa" w:w="2952"/>
          </w:tcPr>
          <w:p>
            <w:pPr>
              <w:spacing w:after="20"/>
            </w:pPr>
            <w:r>
              <w:rPr>
                <w:color w:val="1C3A36"/>
                <w:sz w:val="17"/>
              </w:rPr>
              <w:t>Days sales outstanding</w:t>
            </w:r>
          </w:p>
        </w:tc>
        <w:tc>
          <w:tcPr>
            <w:tcW w:type="dxa" w:w="1037"/>
          </w:tcPr>
          <w:p>
            <w:pPr>
              <w:spacing w:after="20"/>
              <w:jc w:val="right"/>
            </w:pPr>
            <w:r>
              <w:rPr>
                <w:color w:val="1C3A36"/>
                <w:sz w:val="17"/>
              </w:rPr>
              <w:t>136</w:t>
            </w:r>
          </w:p>
        </w:tc>
        <w:tc>
          <w:tcPr>
            <w:tcW w:type="dxa" w:w="1037"/>
          </w:tcPr>
          <w:p>
            <w:pPr>
              <w:spacing w:after="20"/>
              <w:jc w:val="right"/>
            </w:pPr>
            <w:r>
              <w:rPr>
                <w:color w:val="1C3A36"/>
                <w:sz w:val="17"/>
              </w:rPr>
              <w:t>140</w:t>
            </w:r>
          </w:p>
        </w:tc>
        <w:tc>
          <w:tcPr>
            <w:tcW w:type="dxa" w:w="1037"/>
          </w:tcPr>
          <w:p>
            <w:pPr>
              <w:spacing w:after="20"/>
              <w:jc w:val="right"/>
            </w:pPr>
            <w:r>
              <w:rPr>
                <w:color w:val="1C3A36"/>
                <w:sz w:val="17"/>
              </w:rPr>
              <w:t>113</w:t>
            </w:r>
          </w:p>
        </w:tc>
        <w:tc>
          <w:tcPr>
            <w:tcW w:type="dxa" w:w="4018"/>
          </w:tcPr>
          <w:p>
            <w:pPr>
              <w:spacing w:after="20"/>
              <w:jc w:val="right"/>
            </w:pPr>
            <w:r>
              <w:rPr>
                <w:color w:val="1C3A36"/>
                <w:sz w:val="17"/>
              </w:rPr>
              <w:t>Trade receivables plus amounts due from related parties, over revenue. The size reflects unbilled contract assets on work performed for group companies</w:t>
            </w:r>
          </w:p>
        </w:tc>
      </w:tr>
      <w:tr>
        <w:tc>
          <w:tcPr>
            <w:tcW w:type="dxa" w:w="2952"/>
          </w:tcPr>
          <w:p>
            <w:pPr>
              <w:spacing w:after="20"/>
            </w:pPr>
            <w:r>
              <w:rPr>
                <w:color w:val="1C3A36"/>
                <w:sz w:val="17"/>
              </w:rPr>
              <w:t>Days inventory outstanding</w:t>
            </w:r>
          </w:p>
        </w:tc>
        <w:tc>
          <w:tcPr>
            <w:tcW w:type="dxa" w:w="1037"/>
          </w:tcPr>
          <w:p>
            <w:pPr>
              <w:spacing w:after="20"/>
              <w:jc w:val="right"/>
            </w:pPr>
            <w:r>
              <w:rPr>
                <w:color w:val="1C3A36"/>
                <w:sz w:val="17"/>
              </w:rPr>
              <w:t>41</w:t>
            </w:r>
          </w:p>
        </w:tc>
        <w:tc>
          <w:tcPr>
            <w:tcW w:type="dxa" w:w="1037"/>
          </w:tcPr>
          <w:p>
            <w:pPr>
              <w:spacing w:after="20"/>
              <w:jc w:val="right"/>
            </w:pPr>
            <w:r>
              <w:rPr>
                <w:color w:val="1C3A36"/>
                <w:sz w:val="17"/>
              </w:rPr>
              <w:t>35</w:t>
            </w:r>
          </w:p>
        </w:tc>
        <w:tc>
          <w:tcPr>
            <w:tcW w:type="dxa" w:w="1037"/>
          </w:tcPr>
          <w:p>
            <w:pPr>
              <w:spacing w:after="20"/>
              <w:jc w:val="right"/>
            </w:pPr>
            <w:r>
              <w:rPr>
                <w:color w:val="1C3A36"/>
                <w:sz w:val="17"/>
              </w:rPr>
              <w:t>33</w:t>
            </w:r>
          </w:p>
        </w:tc>
        <w:tc>
          <w:tcPr>
            <w:tcW w:type="dxa" w:w="4018"/>
          </w:tcPr>
          <w:p>
            <w:pPr>
              <w:spacing w:after="20"/>
              <w:jc w:val="right"/>
            </w:pPr>
            <w:r>
              <w:rPr>
                <w:color w:val="1C3A36"/>
                <w:sz w:val="17"/>
              </w:rPr>
              <w:t>Inventories over direct cost</w:t>
            </w:r>
          </w:p>
        </w:tc>
      </w:tr>
      <w:tr>
        <w:tc>
          <w:tcPr>
            <w:tcW w:type="dxa" w:w="2952"/>
          </w:tcPr>
          <w:p>
            <w:pPr>
              <w:spacing w:after="20"/>
            </w:pPr>
            <w:r>
              <w:rPr>
                <w:color w:val="1C3A36"/>
                <w:sz w:val="17"/>
              </w:rPr>
              <w:t>Days payables outstanding</w:t>
            </w:r>
          </w:p>
        </w:tc>
        <w:tc>
          <w:tcPr>
            <w:tcW w:type="dxa" w:w="1037"/>
          </w:tcPr>
          <w:p>
            <w:pPr>
              <w:spacing w:after="20"/>
              <w:jc w:val="right"/>
            </w:pPr>
            <w:r>
              <w:rPr>
                <w:color w:val="1C3A36"/>
                <w:sz w:val="17"/>
              </w:rPr>
              <w:t>233</w:t>
            </w:r>
          </w:p>
        </w:tc>
        <w:tc>
          <w:tcPr>
            <w:tcW w:type="dxa" w:w="1037"/>
          </w:tcPr>
          <w:p>
            <w:pPr>
              <w:spacing w:after="20"/>
              <w:jc w:val="right"/>
            </w:pPr>
            <w:r>
              <w:rPr>
                <w:color w:val="1C3A36"/>
                <w:sz w:val="17"/>
              </w:rPr>
              <w:t>233</w:t>
            </w:r>
          </w:p>
        </w:tc>
        <w:tc>
          <w:tcPr>
            <w:tcW w:type="dxa" w:w="1037"/>
          </w:tcPr>
          <w:p>
            <w:pPr>
              <w:spacing w:after="20"/>
              <w:jc w:val="right"/>
            </w:pPr>
            <w:r>
              <w:rPr>
                <w:color w:val="1C3A36"/>
                <w:sz w:val="17"/>
              </w:rPr>
              <w:t>180</w:t>
            </w:r>
          </w:p>
        </w:tc>
        <w:tc>
          <w:tcPr>
            <w:tcW w:type="dxa" w:w="4018"/>
          </w:tcPr>
          <w:p>
            <w:pPr>
              <w:spacing w:after="20"/>
              <w:jc w:val="right"/>
            </w:pPr>
            <w:r>
              <w:rPr>
                <w:color w:val="1C3A36"/>
                <w:sz w:val="17"/>
              </w:rPr>
              <w:t>Trade and other payables plus amounts due to related parties, over direct cost</w:t>
            </w:r>
          </w:p>
        </w:tc>
      </w:tr>
      <w:tr>
        <w:tc>
          <w:tcPr>
            <w:tcW w:type="dxa" w:w="2952"/>
            <w:shd w:val="clear" w:color="auto" w:fill="F6F1E6"/>
          </w:tcPr>
          <w:p>
            <w:pPr>
              <w:spacing w:after="20"/>
            </w:pPr>
            <w:r>
              <w:rPr>
                <w:b/>
                <w:color w:val="1C3A36"/>
                <w:sz w:val="17"/>
              </w:rPr>
              <w:t>Working capital as a share of revenue</w:t>
            </w:r>
          </w:p>
        </w:tc>
        <w:tc>
          <w:tcPr>
            <w:tcW w:type="dxa" w:w="1037"/>
            <w:shd w:val="clear" w:color="auto" w:fill="F6F1E6"/>
          </w:tcPr>
          <w:p>
            <w:pPr>
              <w:spacing w:after="20"/>
              <w:jc w:val="right"/>
            </w:pPr>
            <w:r>
              <w:rPr>
                <w:b/>
                <w:color w:val="1C3A36"/>
                <w:sz w:val="17"/>
              </w:rPr>
              <w:t>5.5%</w:t>
            </w:r>
          </w:p>
        </w:tc>
        <w:tc>
          <w:tcPr>
            <w:tcW w:type="dxa" w:w="1037"/>
            <w:shd w:val="clear" w:color="auto" w:fill="F6F1E6"/>
          </w:tcPr>
          <w:p>
            <w:pPr>
              <w:spacing w:after="20"/>
              <w:jc w:val="right"/>
            </w:pPr>
            <w:r>
              <w:rPr>
                <w:b/>
                <w:color w:val="1C3A36"/>
                <w:sz w:val="17"/>
              </w:rPr>
              <w:t>6.9%</w:t>
            </w:r>
          </w:p>
        </w:tc>
        <w:tc>
          <w:tcPr>
            <w:tcW w:type="dxa" w:w="1037"/>
            <w:shd w:val="clear" w:color="auto" w:fill="F6F1E6"/>
          </w:tcPr>
          <w:p>
            <w:pPr>
              <w:spacing w:after="20"/>
              <w:jc w:val="right"/>
            </w:pPr>
            <w:r>
              <w:rPr>
                <w:b/>
                <w:color w:val="1C3A36"/>
                <w:sz w:val="17"/>
              </w:rPr>
              <w:t>5.4%</w:t>
            </w:r>
          </w:p>
        </w:tc>
        <w:tc>
          <w:tcPr>
            <w:tcW w:type="dxa" w:w="4018"/>
            <w:shd w:val="clear" w:color="auto" w:fill="F6F1E6"/>
          </w:tcPr>
          <w:p>
            <w:pPr>
              <w:spacing w:after="20"/>
              <w:jc w:val="right"/>
            </w:pPr>
            <w:r>
              <w:rPr>
                <w:b/>
                <w:color w:val="1C3A36"/>
                <w:sz w:val="17"/>
              </w:rPr>
              <w:t>Averaged to 9.0% and used to drive the forecast</w:t>
            </w:r>
          </w:p>
        </w:tc>
      </w:tr>
    </w:tbl>
    <w:p>
      <w:pPr>
        <w:spacing w:after="40"/>
      </w:pPr>
    </w:p>
    <w:p>
      <w:r>
        <w:br w:type="page"/>
      </w:r>
    </w:p>
    <w:p>
      <w:pPr>
        <w:spacing w:after="120" w:before="280"/>
      </w:pPr>
      <w:r>
        <w:rPr>
          <w:b/>
          <w:i w:val="0"/>
          <w:color w:val="1C3A36"/>
          <w:sz w:val="30"/>
        </w:rPr>
        <w:t>Appendix B — peers, risks and research register</w:t>
      </w:r>
    </w:p>
    <w:p>
      <w:pPr>
        <w:spacing w:after="80" w:before="200"/>
      </w:pPr>
      <w:r>
        <w:rPr>
          <w:b/>
          <w:i w:val="0"/>
          <w:color w:val="1C3A36"/>
          <w:sz w:val="24"/>
        </w:rPr>
        <w:t>B.1 The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21"/>
        <w:gridCol w:w="2719"/>
        <w:gridCol w:w="1791"/>
        <w:gridCol w:w="2056"/>
        <w:gridCol w:w="1194"/>
      </w:tblGrid>
      <w:tr>
        <w:tc>
          <w:tcPr>
            <w:tcW w:type="dxa" w:w="2321"/>
            <w:shd w:val="clear" w:color="auto" w:fill="EAF0EE"/>
          </w:tcPr>
          <w:p>
            <w:pPr>
              <w:spacing w:after="20"/>
            </w:pPr>
            <w:r>
              <w:rPr>
                <w:b/>
                <w:color w:val="1C3A36"/>
                <w:sz w:val="17"/>
              </w:rPr>
              <w:t>Company</w:t>
            </w:r>
          </w:p>
        </w:tc>
        <w:tc>
          <w:tcPr>
            <w:tcW w:type="dxa" w:w="2719"/>
            <w:shd w:val="clear" w:color="auto" w:fill="EAF0EE"/>
          </w:tcPr>
          <w:p>
            <w:pPr>
              <w:spacing w:after="20"/>
            </w:pPr>
            <w:r>
              <w:rPr>
                <w:b/>
                <w:color w:val="1C3A36"/>
                <w:sz w:val="17"/>
              </w:rPr>
              <w:t>Group</w:t>
            </w:r>
          </w:p>
        </w:tc>
        <w:tc>
          <w:tcPr>
            <w:tcW w:type="dxa" w:w="1791"/>
            <w:shd w:val="clear" w:color="auto" w:fill="EAF0EE"/>
          </w:tcPr>
          <w:p>
            <w:pPr>
              <w:spacing w:after="20"/>
            </w:pPr>
            <w:r>
              <w:rPr>
                <w:b/>
                <w:color w:val="1C3A36"/>
                <w:sz w:val="17"/>
              </w:rPr>
              <w:t>Enterprise value (USD mn)</w:t>
            </w:r>
          </w:p>
        </w:tc>
        <w:tc>
          <w:tcPr>
            <w:tcW w:type="dxa" w:w="2056"/>
            <w:shd w:val="clear" w:color="auto" w:fill="EAF0EE"/>
          </w:tcPr>
          <w:p>
            <w:pPr>
              <w:spacing w:after="20"/>
            </w:pPr>
            <w:r>
              <w:rPr>
                <w:b/>
                <w:color w:val="1C3A36"/>
                <w:sz w:val="17"/>
              </w:rPr>
              <w:t>Last 12 months EBITDA (USD mn)</w:t>
            </w:r>
          </w:p>
        </w:tc>
        <w:tc>
          <w:tcPr>
            <w:tcW w:type="dxa" w:w="1194"/>
            <w:shd w:val="clear" w:color="auto" w:fill="EAF0EE"/>
          </w:tcPr>
          <w:p>
            <w:pPr>
              <w:spacing w:after="20"/>
            </w:pPr>
            <w:r>
              <w:rPr>
                <w:b/>
                <w:color w:val="1C3A36"/>
                <w:sz w:val="17"/>
              </w:rPr>
              <w:t>EV/EBITDA</w:t>
            </w:r>
          </w:p>
        </w:tc>
      </w:tr>
      <w:tr>
        <w:tc>
          <w:tcPr>
            <w:tcW w:type="dxa" w:w="2321"/>
          </w:tcPr>
          <w:p>
            <w:pPr>
              <w:spacing w:after="20"/>
            </w:pPr>
            <w:r>
              <w:rPr>
                <w:color w:val="1C3A36"/>
                <w:sz w:val="17"/>
              </w:rPr>
              <w:t>ADES Holding</w:t>
            </w:r>
          </w:p>
        </w:tc>
        <w:tc>
          <w:tcPr>
            <w:tcW w:type="dxa" w:w="2719"/>
          </w:tcPr>
          <w:p>
            <w:pPr>
              <w:spacing w:after="20"/>
              <w:jc w:val="right"/>
            </w:pPr>
            <w:r>
              <w:rPr>
                <w:color w:val="1C3A36"/>
                <w:sz w:val="17"/>
              </w:rPr>
              <w:t>MENA NOC-contracted driller</w:t>
            </w:r>
          </w:p>
        </w:tc>
        <w:tc>
          <w:tcPr>
            <w:tcW w:type="dxa" w:w="1791"/>
          </w:tcPr>
          <w:p>
            <w:pPr>
              <w:spacing w:after="20"/>
              <w:jc w:val="right"/>
            </w:pPr>
            <w:r>
              <w:rPr>
                <w:color w:val="1C3A36"/>
                <w:sz w:val="17"/>
              </w:rPr>
              <w:t>9,981</w:t>
            </w:r>
          </w:p>
        </w:tc>
        <w:tc>
          <w:tcPr>
            <w:tcW w:type="dxa" w:w="2056"/>
          </w:tcPr>
          <w:p>
            <w:pPr>
              <w:spacing w:after="20"/>
              <w:jc w:val="right"/>
            </w:pPr>
            <w:r>
              <w:rPr>
                <w:color w:val="1C3A36"/>
                <w:sz w:val="17"/>
              </w:rPr>
              <w:t>976</w:t>
            </w:r>
          </w:p>
        </w:tc>
        <w:tc>
          <w:tcPr>
            <w:tcW w:type="dxa" w:w="1194"/>
          </w:tcPr>
          <w:p>
            <w:pPr>
              <w:spacing w:after="20"/>
              <w:jc w:val="right"/>
            </w:pPr>
            <w:r>
              <w:rPr>
                <w:color w:val="1C3A36"/>
                <w:sz w:val="17"/>
              </w:rPr>
              <w:t>10.23x</w:t>
            </w:r>
          </w:p>
        </w:tc>
      </w:tr>
      <w:tr>
        <w:tc>
          <w:tcPr>
            <w:tcW w:type="dxa" w:w="2321"/>
          </w:tcPr>
          <w:p>
            <w:pPr>
              <w:spacing w:after="20"/>
            </w:pPr>
            <w:r>
              <w:rPr>
                <w:color w:val="1C3A36"/>
                <w:sz w:val="17"/>
              </w:rPr>
              <w:t>Arabian Drilling</w:t>
            </w:r>
          </w:p>
        </w:tc>
        <w:tc>
          <w:tcPr>
            <w:tcW w:type="dxa" w:w="2719"/>
          </w:tcPr>
          <w:p>
            <w:pPr>
              <w:spacing w:after="20"/>
              <w:jc w:val="right"/>
            </w:pPr>
            <w:r>
              <w:rPr>
                <w:color w:val="1C3A36"/>
                <w:sz w:val="17"/>
              </w:rPr>
              <w:t>MENA NOC-contracted driller</w:t>
            </w:r>
          </w:p>
        </w:tc>
        <w:tc>
          <w:tcPr>
            <w:tcW w:type="dxa" w:w="1791"/>
          </w:tcPr>
          <w:p>
            <w:pPr>
              <w:spacing w:after="20"/>
              <w:jc w:val="right"/>
            </w:pPr>
            <w:r>
              <w:rPr>
                <w:color w:val="1C3A36"/>
                <w:sz w:val="17"/>
              </w:rPr>
              <w:t>2,587</w:t>
            </w:r>
          </w:p>
        </w:tc>
        <w:tc>
          <w:tcPr>
            <w:tcW w:type="dxa" w:w="2056"/>
          </w:tcPr>
          <w:p>
            <w:pPr>
              <w:spacing w:after="20"/>
              <w:jc w:val="right"/>
            </w:pPr>
            <w:r>
              <w:rPr>
                <w:color w:val="1C3A36"/>
                <w:sz w:val="17"/>
              </w:rPr>
              <w:t>296</w:t>
            </w:r>
          </w:p>
        </w:tc>
        <w:tc>
          <w:tcPr>
            <w:tcW w:type="dxa" w:w="1194"/>
          </w:tcPr>
          <w:p>
            <w:pPr>
              <w:spacing w:after="20"/>
              <w:jc w:val="right"/>
            </w:pPr>
            <w:r>
              <w:rPr>
                <w:color w:val="1C3A36"/>
                <w:sz w:val="17"/>
              </w:rPr>
              <w:t>8.75x</w:t>
            </w:r>
          </w:p>
        </w:tc>
      </w:tr>
      <w:tr>
        <w:tc>
          <w:tcPr>
            <w:tcW w:type="dxa" w:w="2321"/>
          </w:tcPr>
          <w:p>
            <w:pPr>
              <w:spacing w:after="20"/>
            </w:pPr>
            <w:r>
              <w:rPr>
                <w:color w:val="1C3A36"/>
                <w:sz w:val="17"/>
              </w:rPr>
              <w:t>Helmerich &amp; Payne</w:t>
            </w:r>
          </w:p>
        </w:tc>
        <w:tc>
          <w:tcPr>
            <w:tcW w:type="dxa" w:w="2719"/>
          </w:tcPr>
          <w:p>
            <w:pPr>
              <w:spacing w:after="20"/>
              <w:jc w:val="right"/>
            </w:pPr>
            <w:r>
              <w:rPr>
                <w:color w:val="1C3A36"/>
                <w:sz w:val="17"/>
              </w:rPr>
              <w:t>Global land driller</w:t>
            </w:r>
          </w:p>
        </w:tc>
        <w:tc>
          <w:tcPr>
            <w:tcW w:type="dxa" w:w="1791"/>
          </w:tcPr>
          <w:p>
            <w:pPr>
              <w:spacing w:after="20"/>
              <w:jc w:val="right"/>
            </w:pPr>
            <w:r>
              <w:rPr>
                <w:color w:val="1C3A36"/>
                <w:sz w:val="17"/>
              </w:rPr>
              <w:t>5,365</w:t>
            </w:r>
          </w:p>
        </w:tc>
        <w:tc>
          <w:tcPr>
            <w:tcW w:type="dxa" w:w="2056"/>
          </w:tcPr>
          <w:p>
            <w:pPr>
              <w:spacing w:after="20"/>
              <w:jc w:val="right"/>
            </w:pPr>
            <w:r>
              <w:rPr>
                <w:color w:val="1C3A36"/>
                <w:sz w:val="17"/>
              </w:rPr>
              <w:t>794</w:t>
            </w:r>
          </w:p>
        </w:tc>
        <w:tc>
          <w:tcPr>
            <w:tcW w:type="dxa" w:w="1194"/>
          </w:tcPr>
          <w:p>
            <w:pPr>
              <w:spacing w:after="20"/>
              <w:jc w:val="right"/>
            </w:pPr>
            <w:r>
              <w:rPr>
                <w:color w:val="1C3A36"/>
                <w:sz w:val="17"/>
              </w:rPr>
              <w:t>6.75x</w:t>
            </w:r>
          </w:p>
        </w:tc>
      </w:tr>
      <w:tr>
        <w:tc>
          <w:tcPr>
            <w:tcW w:type="dxa" w:w="2321"/>
          </w:tcPr>
          <w:p>
            <w:pPr>
              <w:spacing w:after="20"/>
            </w:pPr>
            <w:r>
              <w:rPr>
                <w:color w:val="1C3A36"/>
                <w:sz w:val="17"/>
              </w:rPr>
              <w:t>Nabors Industries</w:t>
            </w:r>
          </w:p>
        </w:tc>
        <w:tc>
          <w:tcPr>
            <w:tcW w:type="dxa" w:w="2719"/>
          </w:tcPr>
          <w:p>
            <w:pPr>
              <w:spacing w:after="20"/>
              <w:jc w:val="right"/>
            </w:pPr>
            <w:r>
              <w:rPr>
                <w:color w:val="1C3A36"/>
                <w:sz w:val="17"/>
              </w:rPr>
              <w:t>Global land driller</w:t>
            </w:r>
          </w:p>
        </w:tc>
        <w:tc>
          <w:tcPr>
            <w:tcW w:type="dxa" w:w="1791"/>
          </w:tcPr>
          <w:p>
            <w:pPr>
              <w:spacing w:after="20"/>
              <w:jc w:val="right"/>
            </w:pPr>
            <w:r>
              <w:rPr>
                <w:color w:val="1C3A36"/>
                <w:sz w:val="17"/>
              </w:rPr>
              <w:t>2,826</w:t>
            </w:r>
          </w:p>
        </w:tc>
        <w:tc>
          <w:tcPr>
            <w:tcW w:type="dxa" w:w="2056"/>
          </w:tcPr>
          <w:p>
            <w:pPr>
              <w:spacing w:after="20"/>
              <w:jc w:val="right"/>
            </w:pPr>
            <w:r>
              <w:rPr>
                <w:color w:val="1C3A36"/>
                <w:sz w:val="17"/>
              </w:rPr>
              <w:t>1,308</w:t>
            </w:r>
          </w:p>
        </w:tc>
        <w:tc>
          <w:tcPr>
            <w:tcW w:type="dxa" w:w="1194"/>
          </w:tcPr>
          <w:p>
            <w:pPr>
              <w:spacing w:after="20"/>
              <w:jc w:val="right"/>
            </w:pPr>
            <w:r>
              <w:rPr>
                <w:color w:val="1C3A36"/>
                <w:sz w:val="17"/>
              </w:rPr>
              <w:t>2.16x</w:t>
            </w:r>
          </w:p>
        </w:tc>
      </w:tr>
      <w:tr>
        <w:tc>
          <w:tcPr>
            <w:tcW w:type="dxa" w:w="2321"/>
          </w:tcPr>
          <w:p>
            <w:pPr>
              <w:spacing w:after="20"/>
            </w:pPr>
            <w:r>
              <w:rPr>
                <w:color w:val="1C3A36"/>
                <w:sz w:val="17"/>
              </w:rPr>
              <w:t>Patterson-UTI</w:t>
            </w:r>
          </w:p>
        </w:tc>
        <w:tc>
          <w:tcPr>
            <w:tcW w:type="dxa" w:w="2719"/>
          </w:tcPr>
          <w:p>
            <w:pPr>
              <w:spacing w:after="20"/>
              <w:jc w:val="right"/>
            </w:pPr>
            <w:r>
              <w:rPr>
                <w:color w:val="1C3A36"/>
                <w:sz w:val="17"/>
              </w:rPr>
              <w:t>Global land driller</w:t>
            </w:r>
          </w:p>
        </w:tc>
        <w:tc>
          <w:tcPr>
            <w:tcW w:type="dxa" w:w="1791"/>
          </w:tcPr>
          <w:p>
            <w:pPr>
              <w:spacing w:after="20"/>
              <w:jc w:val="right"/>
            </w:pPr>
            <w:r>
              <w:rPr>
                <w:color w:val="1C3A36"/>
                <w:sz w:val="17"/>
              </w:rPr>
              <w:t>4,849</w:t>
            </w:r>
          </w:p>
        </w:tc>
        <w:tc>
          <w:tcPr>
            <w:tcW w:type="dxa" w:w="2056"/>
          </w:tcPr>
          <w:p>
            <w:pPr>
              <w:spacing w:after="20"/>
              <w:jc w:val="right"/>
            </w:pPr>
            <w:r>
              <w:rPr>
                <w:color w:val="1C3A36"/>
                <w:sz w:val="17"/>
              </w:rPr>
              <w:t>873</w:t>
            </w:r>
          </w:p>
        </w:tc>
        <w:tc>
          <w:tcPr>
            <w:tcW w:type="dxa" w:w="1194"/>
          </w:tcPr>
          <w:p>
            <w:pPr>
              <w:spacing w:after="20"/>
              <w:jc w:val="right"/>
            </w:pPr>
            <w:r>
              <w:rPr>
                <w:color w:val="1C3A36"/>
                <w:sz w:val="17"/>
              </w:rPr>
              <w:t>5.56x</w:t>
            </w:r>
          </w:p>
        </w:tc>
      </w:tr>
      <w:tr>
        <w:tc>
          <w:tcPr>
            <w:tcW w:type="dxa" w:w="2321"/>
          </w:tcPr>
          <w:p>
            <w:pPr>
              <w:spacing w:after="20"/>
            </w:pPr>
            <w:r>
              <w:rPr>
                <w:color w:val="1C3A36"/>
                <w:sz w:val="17"/>
              </w:rPr>
              <w:t>Precision Drilling</w:t>
            </w:r>
          </w:p>
        </w:tc>
        <w:tc>
          <w:tcPr>
            <w:tcW w:type="dxa" w:w="2719"/>
          </w:tcPr>
          <w:p>
            <w:pPr>
              <w:spacing w:after="20"/>
              <w:jc w:val="right"/>
            </w:pPr>
            <w:r>
              <w:rPr>
                <w:color w:val="1C3A36"/>
                <w:sz w:val="17"/>
              </w:rPr>
              <w:t>Global land driller</w:t>
            </w:r>
          </w:p>
        </w:tc>
        <w:tc>
          <w:tcPr>
            <w:tcW w:type="dxa" w:w="1791"/>
          </w:tcPr>
          <w:p>
            <w:pPr>
              <w:spacing w:after="20"/>
              <w:jc w:val="right"/>
            </w:pPr>
            <w:r>
              <w:rPr>
                <w:color w:val="1C3A36"/>
                <w:sz w:val="17"/>
              </w:rPr>
              <w:t>1,604</w:t>
            </w:r>
          </w:p>
        </w:tc>
        <w:tc>
          <w:tcPr>
            <w:tcW w:type="dxa" w:w="2056"/>
          </w:tcPr>
          <w:p>
            <w:pPr>
              <w:spacing w:after="20"/>
              <w:jc w:val="right"/>
            </w:pPr>
            <w:r>
              <w:rPr>
                <w:color w:val="1C3A36"/>
                <w:sz w:val="17"/>
              </w:rPr>
              <w:t>229</w:t>
            </w:r>
          </w:p>
        </w:tc>
        <w:tc>
          <w:tcPr>
            <w:tcW w:type="dxa" w:w="1194"/>
          </w:tcPr>
          <w:p>
            <w:pPr>
              <w:spacing w:after="20"/>
              <w:jc w:val="right"/>
            </w:pPr>
            <w:r>
              <w:rPr>
                <w:color w:val="1C3A36"/>
                <w:sz w:val="17"/>
              </w:rPr>
              <w:t>7.02x</w:t>
            </w:r>
          </w:p>
        </w:tc>
      </w:tr>
      <w:tr>
        <w:tc>
          <w:tcPr>
            <w:tcW w:type="dxa" w:w="2321"/>
          </w:tcPr>
          <w:p>
            <w:pPr>
              <w:spacing w:after="20"/>
            </w:pPr>
            <w:r>
              <w:rPr>
                <w:color w:val="1C3A36"/>
                <w:sz w:val="17"/>
              </w:rPr>
              <w:t>Valaris</w:t>
            </w:r>
          </w:p>
        </w:tc>
        <w:tc>
          <w:tcPr>
            <w:tcW w:type="dxa" w:w="2719"/>
          </w:tcPr>
          <w:p>
            <w:pPr>
              <w:spacing w:after="20"/>
              <w:jc w:val="right"/>
            </w:pPr>
            <w:r>
              <w:rPr>
                <w:color w:val="1C3A36"/>
                <w:sz w:val="17"/>
              </w:rPr>
              <w:t>Global offshore driller</w:t>
            </w:r>
          </w:p>
        </w:tc>
        <w:tc>
          <w:tcPr>
            <w:tcW w:type="dxa" w:w="1791"/>
          </w:tcPr>
          <w:p>
            <w:pPr>
              <w:spacing w:after="20"/>
              <w:jc w:val="right"/>
            </w:pPr>
            <w:r>
              <w:rPr>
                <w:color w:val="1C3A36"/>
                <w:sz w:val="17"/>
              </w:rPr>
              <w:t>6,080</w:t>
            </w:r>
          </w:p>
        </w:tc>
        <w:tc>
          <w:tcPr>
            <w:tcW w:type="dxa" w:w="2056"/>
          </w:tcPr>
          <w:p>
            <w:pPr>
              <w:spacing w:after="20"/>
              <w:jc w:val="right"/>
            </w:pPr>
            <w:r>
              <w:rPr>
                <w:color w:val="1C3A36"/>
                <w:sz w:val="17"/>
              </w:rPr>
              <w:t>606</w:t>
            </w:r>
          </w:p>
        </w:tc>
        <w:tc>
          <w:tcPr>
            <w:tcW w:type="dxa" w:w="1194"/>
          </w:tcPr>
          <w:p>
            <w:pPr>
              <w:spacing w:after="20"/>
              <w:jc w:val="right"/>
            </w:pPr>
            <w:r>
              <w:rPr>
                <w:color w:val="1C3A36"/>
                <w:sz w:val="17"/>
              </w:rPr>
              <w:t>10.03x</w:t>
            </w:r>
          </w:p>
        </w:tc>
      </w:tr>
      <w:tr>
        <w:tc>
          <w:tcPr>
            <w:tcW w:type="dxa" w:w="2321"/>
          </w:tcPr>
          <w:p>
            <w:pPr>
              <w:spacing w:after="20"/>
            </w:pPr>
            <w:r>
              <w:rPr>
                <w:color w:val="1C3A36"/>
                <w:sz w:val="17"/>
              </w:rPr>
              <w:t>Noble Corporation</w:t>
            </w:r>
          </w:p>
        </w:tc>
        <w:tc>
          <w:tcPr>
            <w:tcW w:type="dxa" w:w="2719"/>
          </w:tcPr>
          <w:p>
            <w:pPr>
              <w:spacing w:after="20"/>
              <w:jc w:val="right"/>
            </w:pPr>
            <w:r>
              <w:rPr>
                <w:color w:val="1C3A36"/>
                <w:sz w:val="17"/>
              </w:rPr>
              <w:t>Global offshore driller</w:t>
            </w:r>
          </w:p>
        </w:tc>
        <w:tc>
          <w:tcPr>
            <w:tcW w:type="dxa" w:w="1791"/>
          </w:tcPr>
          <w:p>
            <w:pPr>
              <w:spacing w:after="20"/>
              <w:jc w:val="right"/>
            </w:pPr>
            <w:r>
              <w:rPr>
                <w:color w:val="1C3A36"/>
                <w:sz w:val="17"/>
              </w:rPr>
              <w:t>7,941</w:t>
            </w:r>
          </w:p>
        </w:tc>
        <w:tc>
          <w:tcPr>
            <w:tcW w:type="dxa" w:w="2056"/>
          </w:tcPr>
          <w:p>
            <w:pPr>
              <w:spacing w:after="20"/>
              <w:jc w:val="right"/>
            </w:pPr>
            <w:r>
              <w:rPr>
                <w:color w:val="1C3A36"/>
                <w:sz w:val="17"/>
              </w:rPr>
              <w:t>929</w:t>
            </w:r>
          </w:p>
        </w:tc>
        <w:tc>
          <w:tcPr>
            <w:tcW w:type="dxa" w:w="1194"/>
          </w:tcPr>
          <w:p>
            <w:pPr>
              <w:spacing w:after="20"/>
              <w:jc w:val="right"/>
            </w:pPr>
            <w:r>
              <w:rPr>
                <w:color w:val="1C3A36"/>
                <w:sz w:val="17"/>
              </w:rPr>
              <w:t>8.55x</w:t>
            </w:r>
          </w:p>
        </w:tc>
      </w:tr>
      <w:tr>
        <w:tc>
          <w:tcPr>
            <w:tcW w:type="dxa" w:w="2321"/>
          </w:tcPr>
          <w:p>
            <w:pPr>
              <w:spacing w:after="20"/>
            </w:pPr>
            <w:r>
              <w:rPr>
                <w:color w:val="1C3A36"/>
                <w:sz w:val="17"/>
              </w:rPr>
              <w:t>Borr Drilling</w:t>
            </w:r>
          </w:p>
        </w:tc>
        <w:tc>
          <w:tcPr>
            <w:tcW w:type="dxa" w:w="2719"/>
          </w:tcPr>
          <w:p>
            <w:pPr>
              <w:spacing w:after="20"/>
              <w:jc w:val="right"/>
            </w:pPr>
            <w:r>
              <w:rPr>
                <w:color w:val="1C3A36"/>
                <w:sz w:val="17"/>
              </w:rPr>
              <w:t>Global offshore driller</w:t>
            </w:r>
          </w:p>
        </w:tc>
        <w:tc>
          <w:tcPr>
            <w:tcW w:type="dxa" w:w="1791"/>
          </w:tcPr>
          <w:p>
            <w:pPr>
              <w:spacing w:after="20"/>
              <w:jc w:val="right"/>
            </w:pPr>
            <w:r>
              <w:rPr>
                <w:color w:val="1C3A36"/>
                <w:sz w:val="17"/>
              </w:rPr>
              <w:t>3,247</w:t>
            </w:r>
          </w:p>
        </w:tc>
        <w:tc>
          <w:tcPr>
            <w:tcW w:type="dxa" w:w="2056"/>
          </w:tcPr>
          <w:p>
            <w:pPr>
              <w:spacing w:after="20"/>
              <w:jc w:val="right"/>
            </w:pPr>
            <w:r>
              <w:rPr>
                <w:color w:val="1C3A36"/>
                <w:sz w:val="17"/>
              </w:rPr>
              <w:t>452</w:t>
            </w:r>
          </w:p>
        </w:tc>
        <w:tc>
          <w:tcPr>
            <w:tcW w:type="dxa" w:w="1194"/>
          </w:tcPr>
          <w:p>
            <w:pPr>
              <w:spacing w:after="20"/>
              <w:jc w:val="right"/>
            </w:pPr>
            <w:r>
              <w:rPr>
                <w:color w:val="1C3A36"/>
                <w:sz w:val="17"/>
              </w:rPr>
              <w:t>7.18x</w:t>
            </w:r>
          </w:p>
        </w:tc>
      </w:tr>
      <w:tr>
        <w:tc>
          <w:tcPr>
            <w:tcW w:type="dxa" w:w="2321"/>
          </w:tcPr>
          <w:p>
            <w:pPr>
              <w:spacing w:after="20"/>
            </w:pPr>
            <w:r>
              <w:rPr>
                <w:color w:val="1C3A36"/>
                <w:sz w:val="17"/>
              </w:rPr>
              <w:t>SLB</w:t>
            </w:r>
          </w:p>
        </w:tc>
        <w:tc>
          <w:tcPr>
            <w:tcW w:type="dxa" w:w="2719"/>
          </w:tcPr>
          <w:p>
            <w:pPr>
              <w:spacing w:after="20"/>
              <w:jc w:val="right"/>
            </w:pPr>
            <w:r>
              <w:rPr>
                <w:color w:val="1C3A36"/>
                <w:sz w:val="17"/>
              </w:rPr>
              <w:t>Diversified oilfield services</w:t>
            </w:r>
          </w:p>
        </w:tc>
        <w:tc>
          <w:tcPr>
            <w:tcW w:type="dxa" w:w="1791"/>
          </w:tcPr>
          <w:p>
            <w:pPr>
              <w:spacing w:after="20"/>
              <w:jc w:val="right"/>
            </w:pPr>
            <w:r>
              <w:rPr>
                <w:color w:val="1C3A36"/>
                <w:sz w:val="17"/>
              </w:rPr>
              <w:t>85,049</w:t>
            </w:r>
          </w:p>
        </w:tc>
        <w:tc>
          <w:tcPr>
            <w:tcW w:type="dxa" w:w="2056"/>
          </w:tcPr>
          <w:p>
            <w:pPr>
              <w:spacing w:after="20"/>
              <w:jc w:val="right"/>
            </w:pPr>
            <w:r>
              <w:rPr>
                <w:color w:val="1C3A36"/>
                <w:sz w:val="17"/>
              </w:rPr>
              <w:t>6,663</w:t>
            </w:r>
          </w:p>
        </w:tc>
        <w:tc>
          <w:tcPr>
            <w:tcW w:type="dxa" w:w="1194"/>
          </w:tcPr>
          <w:p>
            <w:pPr>
              <w:spacing w:after="20"/>
              <w:jc w:val="right"/>
            </w:pPr>
            <w:r>
              <w:rPr>
                <w:color w:val="1C3A36"/>
                <w:sz w:val="17"/>
              </w:rPr>
              <w:t>12.76x</w:t>
            </w:r>
          </w:p>
        </w:tc>
      </w:tr>
      <w:tr>
        <w:tc>
          <w:tcPr>
            <w:tcW w:type="dxa" w:w="2321"/>
          </w:tcPr>
          <w:p>
            <w:pPr>
              <w:spacing w:after="20"/>
            </w:pPr>
            <w:r>
              <w:rPr>
                <w:color w:val="1C3A36"/>
                <w:sz w:val="17"/>
              </w:rPr>
              <w:t>Halliburton</w:t>
            </w:r>
          </w:p>
        </w:tc>
        <w:tc>
          <w:tcPr>
            <w:tcW w:type="dxa" w:w="2719"/>
          </w:tcPr>
          <w:p>
            <w:pPr>
              <w:spacing w:after="20"/>
              <w:jc w:val="right"/>
            </w:pPr>
            <w:r>
              <w:rPr>
                <w:color w:val="1C3A36"/>
                <w:sz w:val="17"/>
              </w:rPr>
              <w:t>Diversified oilfield services</w:t>
            </w:r>
          </w:p>
        </w:tc>
        <w:tc>
          <w:tcPr>
            <w:tcW w:type="dxa" w:w="1791"/>
          </w:tcPr>
          <w:p>
            <w:pPr>
              <w:spacing w:after="20"/>
              <w:jc w:val="right"/>
            </w:pPr>
            <w:r>
              <w:rPr>
                <w:color w:val="1C3A36"/>
                <w:sz w:val="17"/>
              </w:rPr>
              <w:t>32,747</w:t>
            </w:r>
          </w:p>
        </w:tc>
        <w:tc>
          <w:tcPr>
            <w:tcW w:type="dxa" w:w="2056"/>
          </w:tcPr>
          <w:p>
            <w:pPr>
              <w:spacing w:after="20"/>
              <w:jc w:val="right"/>
            </w:pPr>
            <w:r>
              <w:rPr>
                <w:color w:val="1C3A36"/>
                <w:sz w:val="17"/>
              </w:rPr>
              <w:t>3,592</w:t>
            </w:r>
          </w:p>
        </w:tc>
        <w:tc>
          <w:tcPr>
            <w:tcW w:type="dxa" w:w="1194"/>
          </w:tcPr>
          <w:p>
            <w:pPr>
              <w:spacing w:after="20"/>
              <w:jc w:val="right"/>
            </w:pPr>
            <w:r>
              <w:rPr>
                <w:color w:val="1C3A36"/>
                <w:sz w:val="17"/>
              </w:rPr>
              <w:t>9.12x</w:t>
            </w:r>
          </w:p>
        </w:tc>
      </w:tr>
      <w:tr>
        <w:tc>
          <w:tcPr>
            <w:tcW w:type="dxa" w:w="2321"/>
          </w:tcPr>
          <w:p>
            <w:pPr>
              <w:spacing w:after="20"/>
            </w:pPr>
            <w:r>
              <w:rPr>
                <w:color w:val="1C3A36"/>
                <w:sz w:val="17"/>
              </w:rPr>
              <w:t>Baker Hughes</w:t>
            </w:r>
          </w:p>
        </w:tc>
        <w:tc>
          <w:tcPr>
            <w:tcW w:type="dxa" w:w="2719"/>
          </w:tcPr>
          <w:p>
            <w:pPr>
              <w:spacing w:after="20"/>
              <w:jc w:val="right"/>
            </w:pPr>
            <w:r>
              <w:rPr>
                <w:color w:val="1C3A36"/>
                <w:sz w:val="17"/>
              </w:rPr>
              <w:t>Diversified oilfield services</w:t>
            </w:r>
          </w:p>
        </w:tc>
        <w:tc>
          <w:tcPr>
            <w:tcW w:type="dxa" w:w="1791"/>
          </w:tcPr>
          <w:p>
            <w:pPr>
              <w:spacing w:after="20"/>
              <w:jc w:val="right"/>
            </w:pPr>
            <w:r>
              <w:rPr>
                <w:color w:val="1C3A36"/>
                <w:sz w:val="17"/>
              </w:rPr>
              <w:t>61,604</w:t>
            </w:r>
          </w:p>
        </w:tc>
        <w:tc>
          <w:tcPr>
            <w:tcW w:type="dxa" w:w="2056"/>
          </w:tcPr>
          <w:p>
            <w:pPr>
              <w:spacing w:after="20"/>
              <w:jc w:val="right"/>
            </w:pPr>
            <w:r>
              <w:rPr>
                <w:color w:val="1C3A36"/>
                <w:sz w:val="17"/>
              </w:rPr>
              <w:t>5,080</w:t>
            </w:r>
          </w:p>
        </w:tc>
        <w:tc>
          <w:tcPr>
            <w:tcW w:type="dxa" w:w="1194"/>
          </w:tcPr>
          <w:p>
            <w:pPr>
              <w:spacing w:after="20"/>
              <w:jc w:val="right"/>
            </w:pPr>
            <w:r>
              <w:rPr>
                <w:color w:val="1C3A36"/>
                <w:sz w:val="17"/>
              </w:rPr>
              <w:t>12.13x</w:t>
            </w:r>
          </w:p>
        </w:tc>
      </w:tr>
      <w:tr>
        <w:tc>
          <w:tcPr>
            <w:tcW w:type="dxa" w:w="2321"/>
          </w:tcPr>
          <w:p>
            <w:pPr>
              <w:spacing w:after="20"/>
            </w:pPr>
            <w:r>
              <w:rPr>
                <w:color w:val="1C3A36"/>
                <w:sz w:val="17"/>
              </w:rPr>
              <w:t>Weatherford Intl</w:t>
            </w:r>
          </w:p>
        </w:tc>
        <w:tc>
          <w:tcPr>
            <w:tcW w:type="dxa" w:w="2719"/>
          </w:tcPr>
          <w:p>
            <w:pPr>
              <w:spacing w:after="20"/>
              <w:jc w:val="right"/>
            </w:pPr>
            <w:r>
              <w:rPr>
                <w:color w:val="1C3A36"/>
                <w:sz w:val="17"/>
              </w:rPr>
              <w:t>Diversified oilfield services</w:t>
            </w:r>
          </w:p>
        </w:tc>
        <w:tc>
          <w:tcPr>
            <w:tcW w:type="dxa" w:w="1791"/>
          </w:tcPr>
          <w:p>
            <w:pPr>
              <w:spacing w:after="20"/>
              <w:jc w:val="right"/>
            </w:pPr>
            <w:r>
              <w:rPr>
                <w:color w:val="1C3A36"/>
                <w:sz w:val="17"/>
              </w:rPr>
              <w:t>6,756</w:t>
            </w:r>
          </w:p>
        </w:tc>
        <w:tc>
          <w:tcPr>
            <w:tcW w:type="dxa" w:w="2056"/>
          </w:tcPr>
          <w:p>
            <w:pPr>
              <w:spacing w:after="20"/>
              <w:jc w:val="right"/>
            </w:pPr>
            <w:r>
              <w:rPr>
                <w:color w:val="1C3A36"/>
                <w:sz w:val="17"/>
              </w:rPr>
              <w:t>848</w:t>
            </w:r>
          </w:p>
        </w:tc>
        <w:tc>
          <w:tcPr>
            <w:tcW w:type="dxa" w:w="1194"/>
          </w:tcPr>
          <w:p>
            <w:pPr>
              <w:spacing w:after="20"/>
              <w:jc w:val="right"/>
            </w:pPr>
            <w:r>
              <w:rPr>
                <w:color w:val="1C3A36"/>
                <w:sz w:val="17"/>
              </w:rPr>
              <w:t>7.97x</w:t>
            </w:r>
          </w:p>
        </w:tc>
      </w:tr>
      <w:tr>
        <w:tc>
          <w:tcPr>
            <w:tcW w:type="dxa" w:w="2321"/>
            <w:shd w:val="clear" w:color="auto" w:fill="F6F1E6"/>
          </w:tcPr>
          <w:p>
            <w:pPr>
              <w:spacing w:after="20"/>
            </w:pPr>
            <w:r>
              <w:rPr>
                <w:b/>
                <w:color w:val="1C3A36"/>
                <w:sz w:val="17"/>
              </w:rPr>
              <w:t>ADNOC Drilling at AED 5.80</w:t>
            </w:r>
          </w:p>
        </w:tc>
        <w:tc>
          <w:tcPr>
            <w:tcW w:type="dxa" w:w="2719"/>
            <w:shd w:val="clear" w:color="auto" w:fill="F6F1E6"/>
          </w:tcPr>
          <w:p>
            <w:pPr>
              <w:spacing w:after="20"/>
              <w:jc w:val="right"/>
            </w:pPr>
            <w:r>
              <w:rPr>
                <w:b/>
                <w:color w:val="1C3A36"/>
                <w:sz w:val="17"/>
              </w:rPr>
              <w:t>Subject</w:t>
            </w:r>
          </w:p>
        </w:tc>
        <w:tc>
          <w:tcPr>
            <w:tcW w:type="dxa" w:w="1791"/>
            <w:shd w:val="clear" w:color="auto" w:fill="F6F1E6"/>
          </w:tcPr>
          <w:p>
            <w:pPr>
              <w:spacing w:after="20"/>
              <w:jc w:val="right"/>
            </w:pPr>
            <w:r>
              <w:rPr>
                <w:b/>
                <w:color w:val="1C3A36"/>
                <w:sz w:val="17"/>
              </w:rPr>
              <w:t>27,416</w:t>
            </w:r>
          </w:p>
        </w:tc>
        <w:tc>
          <w:tcPr>
            <w:tcW w:type="dxa" w:w="2056"/>
            <w:shd w:val="clear" w:color="auto" w:fill="F6F1E6"/>
          </w:tcPr>
          <w:p>
            <w:pPr>
              <w:spacing w:after="20"/>
              <w:jc w:val="right"/>
            </w:pPr>
            <w:r>
              <w:rPr>
                <w:b/>
                <w:color w:val="1C3A36"/>
                <w:sz w:val="17"/>
              </w:rPr>
              <w:t>2,173</w:t>
            </w:r>
          </w:p>
        </w:tc>
        <w:tc>
          <w:tcPr>
            <w:tcW w:type="dxa" w:w="1194"/>
            <w:shd w:val="clear" w:color="auto" w:fill="F6F1E6"/>
          </w:tcPr>
          <w:p>
            <w:pPr>
              <w:spacing w:after="20"/>
              <w:jc w:val="right"/>
            </w:pPr>
            <w:r>
              <w:rPr>
                <w:b/>
                <w:color w:val="1C3A36"/>
                <w:sz w:val="17"/>
              </w:rPr>
              <w:t>12.62x</w:t>
            </w:r>
          </w:p>
        </w:tc>
      </w:tr>
    </w:tbl>
    <w:p>
      <w:pPr>
        <w:spacing w:after="40"/>
      </w:pPr>
    </w:p>
    <w:p>
      <w:pPr>
        <w:spacing w:after="200" w:before="0"/>
      </w:pPr>
      <w:r>
        <w:rPr>
          <w:b w:val="0"/>
          <w:i/>
          <w:color w:val="6E7B77"/>
          <w:sz w:val="17"/>
        </w:rPr>
        <w:t>Peer prices are at the close on 7 August 2026; earnings and balance-sheet figures are each company's own latest reported period. Nothing on this table is a source for any ADNOC Drilling figure — it is used for cross-check and for the relative lens only.</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21"/>
        <w:gridCol w:w="3979"/>
        <w:gridCol w:w="1127"/>
        <w:gridCol w:w="2653"/>
      </w:tblGrid>
      <w:tr>
        <w:tc>
          <w:tcPr>
            <w:tcW w:type="dxa" w:w="2321"/>
            <w:shd w:val="clear" w:color="auto" w:fill="EAF0EE"/>
          </w:tcPr>
          <w:p>
            <w:pPr>
              <w:spacing w:after="20"/>
            </w:pPr>
            <w:r>
              <w:rPr>
                <w:b/>
                <w:color w:val="1C3A36"/>
                <w:sz w:val="17"/>
              </w:rPr>
              <w:t>Risk</w:t>
            </w:r>
          </w:p>
        </w:tc>
        <w:tc>
          <w:tcPr>
            <w:tcW w:type="dxa" w:w="3979"/>
            <w:shd w:val="clear" w:color="auto" w:fill="EAF0EE"/>
          </w:tcPr>
          <w:p>
            <w:pPr>
              <w:spacing w:after="20"/>
            </w:pPr>
            <w:r>
              <w:rPr>
                <w:b/>
                <w:color w:val="1C3A36"/>
                <w:sz w:val="17"/>
              </w:rPr>
              <w:t>How it would show up</w:t>
            </w:r>
          </w:p>
        </w:tc>
        <w:tc>
          <w:tcPr>
            <w:tcW w:type="dxa" w:w="1127"/>
            <w:shd w:val="clear" w:color="auto" w:fill="EAF0EE"/>
          </w:tcPr>
          <w:p>
            <w:pPr>
              <w:spacing w:after="20"/>
            </w:pPr>
            <w:r>
              <w:rPr>
                <w:b/>
                <w:color w:val="1C3A36"/>
                <w:sz w:val="17"/>
              </w:rPr>
              <w:t>Severity</w:t>
            </w:r>
          </w:p>
        </w:tc>
        <w:tc>
          <w:tcPr>
            <w:tcW w:type="dxa" w:w="2653"/>
            <w:shd w:val="clear" w:color="auto" w:fill="EAF0EE"/>
          </w:tcPr>
          <w:p>
            <w:pPr>
              <w:spacing w:after="20"/>
            </w:pPr>
            <w:r>
              <w:rPr>
                <w:b/>
                <w:color w:val="1C3A36"/>
                <w:sz w:val="17"/>
              </w:rPr>
              <w:t>Already visible?</w:t>
            </w:r>
          </w:p>
        </w:tc>
      </w:tr>
      <w:tr>
        <w:tc>
          <w:tcPr>
            <w:tcW w:type="dxa" w:w="2321"/>
          </w:tcPr>
          <w:p>
            <w:pPr>
              <w:spacing w:after="20"/>
            </w:pPr>
            <w:r>
              <w:rPr>
                <w:color w:val="1C3A36"/>
                <w:sz w:val="17"/>
              </w:rPr>
              <w:t>Customer concentration</w:t>
            </w:r>
          </w:p>
        </w:tc>
        <w:tc>
          <w:tcPr>
            <w:tcW w:type="dxa" w:w="3979"/>
          </w:tcPr>
          <w:p>
            <w:pPr>
              <w:spacing w:after="20"/>
              <w:jc w:val="right"/>
            </w:pPr>
            <w:r>
              <w:rPr>
                <w:color w:val="1C3A36"/>
                <w:sz w:val="17"/>
              </w:rPr>
              <w:t>A change in contract terms at renewal, invisible until realised revenue per rig moves</w:t>
            </w:r>
          </w:p>
        </w:tc>
        <w:tc>
          <w:tcPr>
            <w:tcW w:type="dxa" w:w="1127"/>
          </w:tcPr>
          <w:p>
            <w:pPr>
              <w:spacing w:after="20"/>
              <w:jc w:val="right"/>
            </w:pPr>
            <w:r>
              <w:rPr>
                <w:color w:val="1C3A36"/>
                <w:sz w:val="17"/>
              </w:rPr>
              <w:t>High</w:t>
            </w:r>
          </w:p>
        </w:tc>
        <w:tc>
          <w:tcPr>
            <w:tcW w:type="dxa" w:w="2653"/>
          </w:tcPr>
          <w:p>
            <w:pPr>
              <w:spacing w:after="20"/>
              <w:jc w:val="right"/>
            </w:pPr>
            <w:r>
              <w:rPr>
                <w:color w:val="1C3A36"/>
                <w:sz w:val="17"/>
              </w:rPr>
              <w:t>No — terms are not disclosed</w:t>
            </w:r>
          </w:p>
        </w:tc>
      </w:tr>
      <w:tr>
        <w:tc>
          <w:tcPr>
            <w:tcW w:type="dxa" w:w="2321"/>
          </w:tcPr>
          <w:p>
            <w:pPr>
              <w:spacing w:after="20"/>
            </w:pPr>
            <w:r>
              <w:rPr>
                <w:color w:val="1C3A36"/>
                <w:sz w:val="17"/>
              </w:rPr>
              <w:t>Capacity target achieved and drilling demand plateaus</w:t>
            </w:r>
          </w:p>
        </w:tc>
        <w:tc>
          <w:tcPr>
            <w:tcW w:type="dxa" w:w="3979"/>
          </w:tcPr>
          <w:p>
            <w:pPr>
              <w:spacing w:after="20"/>
              <w:jc w:val="right"/>
            </w:pPr>
            <w:r>
              <w:rPr>
                <w:color w:val="1C3A36"/>
                <w:sz w:val="17"/>
              </w:rPr>
              <w:t>Flat or falling rig count from 2028</w:t>
            </w:r>
          </w:p>
        </w:tc>
        <w:tc>
          <w:tcPr>
            <w:tcW w:type="dxa" w:w="1127"/>
          </w:tcPr>
          <w:p>
            <w:pPr>
              <w:spacing w:after="20"/>
              <w:jc w:val="right"/>
            </w:pPr>
            <w:r>
              <w:rPr>
                <w:color w:val="1C3A36"/>
                <w:sz w:val="17"/>
              </w:rPr>
              <w:t>High</w:t>
            </w:r>
          </w:p>
        </w:tc>
        <w:tc>
          <w:tcPr>
            <w:tcW w:type="dxa" w:w="2653"/>
          </w:tcPr>
          <w:p>
            <w:pPr>
              <w:spacing w:after="20"/>
              <w:jc w:val="right"/>
            </w:pPr>
            <w:r>
              <w:rPr>
                <w:color w:val="1C3A36"/>
                <w:sz w:val="17"/>
              </w:rPr>
              <w:t>Partly — 2027 guidance is deliberately withheld</w:t>
            </w:r>
          </w:p>
        </w:tc>
      </w:tr>
      <w:tr>
        <w:tc>
          <w:tcPr>
            <w:tcW w:type="dxa" w:w="2321"/>
          </w:tcPr>
          <w:p>
            <w:pPr>
              <w:spacing w:after="20"/>
            </w:pPr>
            <w:r>
              <w:rPr>
                <w:color w:val="1C3A36"/>
                <w:sz w:val="17"/>
              </w:rPr>
              <w:t>Receivable concentration</w:t>
            </w:r>
          </w:p>
        </w:tc>
        <w:tc>
          <w:tcPr>
            <w:tcW w:type="dxa" w:w="3979"/>
          </w:tcPr>
          <w:p>
            <w:pPr>
              <w:spacing w:after="20"/>
              <w:jc w:val="right"/>
            </w:pPr>
            <w:r>
              <w:rPr>
                <w:color w:val="1C3A36"/>
                <w:sz w:val="17"/>
              </w:rPr>
              <w:t>Four counterparties represented 99.9% of related-party receivables at the end of 2025</w:t>
            </w:r>
          </w:p>
        </w:tc>
        <w:tc>
          <w:tcPr>
            <w:tcW w:type="dxa" w:w="1127"/>
          </w:tcPr>
          <w:p>
            <w:pPr>
              <w:spacing w:after="20"/>
              <w:jc w:val="right"/>
            </w:pPr>
            <w:r>
              <w:rPr>
                <w:color w:val="1C3A36"/>
                <w:sz w:val="17"/>
              </w:rPr>
              <w:t>Medium</w:t>
            </w:r>
          </w:p>
        </w:tc>
        <w:tc>
          <w:tcPr>
            <w:tcW w:type="dxa" w:w="2653"/>
          </w:tcPr>
          <w:p>
            <w:pPr>
              <w:spacing w:after="20"/>
              <w:jc w:val="right"/>
            </w:pPr>
            <w:r>
              <w:rPr>
                <w:color w:val="1C3A36"/>
                <w:sz w:val="17"/>
              </w:rPr>
              <w:t>Yes — disclosed in the accounts</w:t>
            </w:r>
          </w:p>
        </w:tc>
      </w:tr>
      <w:tr>
        <w:tc>
          <w:tcPr>
            <w:tcW w:type="dxa" w:w="2321"/>
          </w:tcPr>
          <w:p>
            <w:pPr>
              <w:spacing w:after="20"/>
            </w:pPr>
            <w:r>
              <w:rPr>
                <w:color w:val="1C3A36"/>
                <w:sz w:val="17"/>
              </w:rPr>
              <w:t>Current liabilities exceed current assets</w:t>
            </w:r>
          </w:p>
        </w:tc>
        <w:tc>
          <w:tcPr>
            <w:tcW w:type="dxa" w:w="3979"/>
          </w:tcPr>
          <w:p>
            <w:pPr>
              <w:spacing w:after="20"/>
              <w:jc w:val="right"/>
            </w:pPr>
            <w:r>
              <w:rPr>
                <w:color w:val="1C3A36"/>
                <w:sz w:val="17"/>
              </w:rPr>
              <w:t>The company disclosed a USD 477.7 million shortfall at the end of 2025 and states it has assessed liquidity under several scenarios</w:t>
            </w:r>
          </w:p>
        </w:tc>
        <w:tc>
          <w:tcPr>
            <w:tcW w:type="dxa" w:w="1127"/>
          </w:tcPr>
          <w:p>
            <w:pPr>
              <w:spacing w:after="20"/>
              <w:jc w:val="right"/>
            </w:pPr>
            <w:r>
              <w:rPr>
                <w:color w:val="1C3A36"/>
                <w:sz w:val="17"/>
              </w:rPr>
              <w:t>Low</w:t>
            </w:r>
          </w:p>
        </w:tc>
        <w:tc>
          <w:tcPr>
            <w:tcW w:type="dxa" w:w="2653"/>
          </w:tcPr>
          <w:p>
            <w:pPr>
              <w:spacing w:after="20"/>
              <w:jc w:val="right"/>
            </w:pPr>
            <w:r>
              <w:rPr>
                <w:color w:val="1C3A36"/>
                <w:sz w:val="17"/>
              </w:rPr>
              <w:t>Yes — disclosed, with USD 1.5 billion of undrawn revolving capacity behind it</w:t>
            </w:r>
          </w:p>
        </w:tc>
      </w:tr>
      <w:tr>
        <w:tc>
          <w:tcPr>
            <w:tcW w:type="dxa" w:w="2321"/>
          </w:tcPr>
          <w:p>
            <w:pPr>
              <w:spacing w:after="20"/>
            </w:pPr>
            <w:r>
              <w:rPr>
                <w:color w:val="1C3A36"/>
                <w:sz w:val="17"/>
              </w:rPr>
              <w:t>Regional integration risk</w:t>
            </w:r>
          </w:p>
        </w:tc>
        <w:tc>
          <w:tcPr>
            <w:tcW w:type="dxa" w:w="3979"/>
          </w:tcPr>
          <w:p>
            <w:pPr>
              <w:spacing w:after="20"/>
              <w:jc w:val="right"/>
            </w:pPr>
            <w:r>
              <w:rPr>
                <w:color w:val="1C3A36"/>
                <w:sz w:val="17"/>
              </w:rPr>
              <w:t>Two acquisitions consolidated within six months; margin dilution already visible in the first-half onshore numbers</w:t>
            </w:r>
          </w:p>
        </w:tc>
        <w:tc>
          <w:tcPr>
            <w:tcW w:type="dxa" w:w="1127"/>
          </w:tcPr>
          <w:p>
            <w:pPr>
              <w:spacing w:after="20"/>
              <w:jc w:val="right"/>
            </w:pPr>
            <w:r>
              <w:rPr>
                <w:color w:val="1C3A36"/>
                <w:sz w:val="17"/>
              </w:rPr>
              <w:t>Medium</w:t>
            </w:r>
          </w:p>
        </w:tc>
        <w:tc>
          <w:tcPr>
            <w:tcW w:type="dxa" w:w="2653"/>
          </w:tcPr>
          <w:p>
            <w:pPr>
              <w:spacing w:after="20"/>
              <w:jc w:val="right"/>
            </w:pPr>
            <w:r>
              <w:rPr>
                <w:color w:val="1C3A36"/>
                <w:sz w:val="17"/>
              </w:rPr>
              <w:t>Yes — onshore EBITDA margin fell from 50% to 45% year on year in the first half</w:t>
            </w:r>
          </w:p>
        </w:tc>
      </w:tr>
      <w:tr>
        <w:tc>
          <w:tcPr>
            <w:tcW w:type="dxa" w:w="2321"/>
          </w:tcPr>
          <w:p>
            <w:pPr>
              <w:spacing w:after="20"/>
            </w:pPr>
            <w:r>
              <w:rPr>
                <w:color w:val="1C3A36"/>
                <w:sz w:val="17"/>
              </w:rPr>
              <w:t>Oil price</w:t>
            </w:r>
          </w:p>
        </w:tc>
        <w:tc>
          <w:tcPr>
            <w:tcW w:type="dxa" w:w="3979"/>
          </w:tcPr>
          <w:p>
            <w:pPr>
              <w:spacing w:after="20"/>
              <w:jc w:val="right"/>
            </w:pPr>
            <w:r>
              <w:rPr>
                <w:color w:val="1C3A36"/>
                <w:sz w:val="17"/>
              </w:rPr>
              <w:t>Indirect: it moves the customer's investment programme rather than this company's day rates</w:t>
            </w:r>
          </w:p>
        </w:tc>
        <w:tc>
          <w:tcPr>
            <w:tcW w:type="dxa" w:w="1127"/>
          </w:tcPr>
          <w:p>
            <w:pPr>
              <w:spacing w:after="20"/>
              <w:jc w:val="right"/>
            </w:pPr>
            <w:r>
              <w:rPr>
                <w:color w:val="1C3A36"/>
                <w:sz w:val="17"/>
              </w:rPr>
              <w:t>Medium</w:t>
            </w:r>
          </w:p>
        </w:tc>
        <w:tc>
          <w:tcPr>
            <w:tcW w:type="dxa" w:w="2653"/>
          </w:tcPr>
          <w:p>
            <w:pPr>
              <w:spacing w:after="20"/>
              <w:jc w:val="right"/>
            </w:pPr>
            <w:r>
              <w:rPr>
                <w:color w:val="1C3A36"/>
                <w:sz w:val="17"/>
              </w:rPr>
              <w:t>No</w:t>
            </w:r>
          </w:p>
        </w:tc>
      </w:tr>
      <w:tr>
        <w:tc>
          <w:tcPr>
            <w:tcW w:type="dxa" w:w="2321"/>
          </w:tcPr>
          <w:p>
            <w:pPr>
              <w:spacing w:after="20"/>
            </w:pPr>
            <w:r>
              <w:rPr>
                <w:color w:val="1C3A36"/>
                <w:sz w:val="17"/>
              </w:rPr>
              <w:t>Floating-rate debt</w:t>
            </w:r>
          </w:p>
        </w:tc>
        <w:tc>
          <w:tcPr>
            <w:tcW w:type="dxa" w:w="3979"/>
          </w:tcPr>
          <w:p>
            <w:pPr>
              <w:spacing w:after="20"/>
              <w:jc w:val="right"/>
            </w:pPr>
            <w:r>
              <w:rPr>
                <w:color w:val="1C3A36"/>
                <w:sz w:val="17"/>
              </w:rPr>
              <w:t>All borrowings are priced over the overnight financing rate</w:t>
            </w:r>
          </w:p>
        </w:tc>
        <w:tc>
          <w:tcPr>
            <w:tcW w:type="dxa" w:w="1127"/>
          </w:tcPr>
          <w:p>
            <w:pPr>
              <w:spacing w:after="20"/>
              <w:jc w:val="right"/>
            </w:pPr>
            <w:r>
              <w:rPr>
                <w:color w:val="1C3A36"/>
                <w:sz w:val="17"/>
              </w:rPr>
              <w:t>Low</w:t>
            </w:r>
          </w:p>
        </w:tc>
        <w:tc>
          <w:tcPr>
            <w:tcW w:type="dxa" w:w="2653"/>
          </w:tcPr>
          <w:p>
            <w:pPr>
              <w:spacing w:after="20"/>
              <w:jc w:val="right"/>
            </w:pPr>
            <w:r>
              <w:rPr>
                <w:color w:val="1C3A36"/>
                <w:sz w:val="17"/>
              </w:rPr>
              <w:t>Yes — the rate structure is disclosed in the borrowings note</w:t>
            </w:r>
          </w:p>
        </w:tc>
      </w:tr>
    </w:tbl>
    <w:p>
      <w:pPr>
        <w:spacing w:after="40"/>
      </w:pPr>
    </w:p>
    <w:p>
      <w:pPr>
        <w:spacing w:after="80" w:before="200"/>
      </w:pPr>
      <w:r>
        <w:rPr>
          <w:b/>
          <w:i w:val="0"/>
          <w:color w:val="1C3A36"/>
          <w:sz w:val="24"/>
        </w:rPr>
        <w:t>B.3 Research register — what was looked for, and what was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54"/>
        <w:gridCol w:w="2454"/>
        <w:gridCol w:w="5173"/>
      </w:tblGrid>
      <w:tr>
        <w:tc>
          <w:tcPr>
            <w:tcW w:type="dxa" w:w="2454"/>
            <w:shd w:val="clear" w:color="auto" w:fill="EAF0EE"/>
          </w:tcPr>
          <w:p>
            <w:pPr>
              <w:spacing w:after="20"/>
            </w:pPr>
            <w:r>
              <w:rPr>
                <w:b/>
                <w:color w:val="1C3A36"/>
                <w:sz w:val="17"/>
              </w:rPr>
              <w:t>Question</w:t>
            </w:r>
          </w:p>
        </w:tc>
        <w:tc>
          <w:tcPr>
            <w:tcW w:type="dxa" w:w="2454"/>
            <w:shd w:val="clear" w:color="auto" w:fill="EAF0EE"/>
          </w:tcPr>
          <w:p>
            <w:pPr>
              <w:spacing w:after="20"/>
            </w:pPr>
            <w:r>
              <w:rPr>
                <w:b/>
                <w:color w:val="1C3A36"/>
                <w:sz w:val="17"/>
              </w:rPr>
              <w:t>Where it was looked for</w:t>
            </w:r>
          </w:p>
        </w:tc>
        <w:tc>
          <w:tcPr>
            <w:tcW w:type="dxa" w:w="5173"/>
            <w:shd w:val="clear" w:color="auto" w:fill="EAF0EE"/>
          </w:tcPr>
          <w:p>
            <w:pPr>
              <w:spacing w:after="20"/>
            </w:pPr>
            <w:r>
              <w:rPr>
                <w:b/>
                <w:color w:val="1C3A36"/>
                <w:sz w:val="17"/>
              </w:rPr>
              <w:t>Outcome</w:t>
            </w:r>
          </w:p>
        </w:tc>
      </w:tr>
      <w:tr>
        <w:tc>
          <w:tcPr>
            <w:tcW w:type="dxa" w:w="2454"/>
          </w:tcPr>
          <w:p>
            <w:pPr>
              <w:spacing w:after="20"/>
            </w:pPr>
            <w:r>
              <w:rPr>
                <w:color w:val="1C3A36"/>
                <w:sz w:val="17"/>
              </w:rPr>
              <w:t>Audited statements for three complete years</w:t>
            </w:r>
          </w:p>
        </w:tc>
        <w:tc>
          <w:tcPr>
            <w:tcW w:type="dxa" w:w="2454"/>
          </w:tcPr>
          <w:p>
            <w:pPr>
              <w:spacing w:after="20"/>
              <w:jc w:val="right"/>
            </w:pPr>
            <w:r>
              <w:rPr>
                <w:color w:val="1C3A36"/>
                <w:sz w:val="17"/>
              </w:rPr>
              <w:t>The company's investor-relations site</w:t>
            </w:r>
          </w:p>
        </w:tc>
        <w:tc>
          <w:tcPr>
            <w:tcW w:type="dxa" w:w="5173"/>
          </w:tcPr>
          <w:p>
            <w:pPr>
              <w:spacing w:after="20"/>
              <w:jc w:val="right"/>
            </w:pPr>
            <w:r>
              <w:rPr>
                <w:color w:val="1C3A36"/>
                <w:sz w:val="17"/>
              </w:rPr>
              <w:t>Found: signed consolidated statements for 2023, 2024 and 2025, plus reviewed interims for the first quarter and first half of 2026</w:t>
            </w:r>
          </w:p>
        </w:tc>
      </w:tr>
      <w:tr>
        <w:tc>
          <w:tcPr>
            <w:tcW w:type="dxa" w:w="2454"/>
          </w:tcPr>
          <w:p>
            <w:pPr>
              <w:spacing w:after="20"/>
            </w:pPr>
            <w:r>
              <w:rPr>
                <w:color w:val="1C3A36"/>
                <w:sz w:val="17"/>
              </w:rPr>
              <w:t>Rig counts, wells drilled and utilisation</w:t>
            </w:r>
          </w:p>
        </w:tc>
        <w:tc>
          <w:tcPr>
            <w:tcW w:type="dxa" w:w="2454"/>
          </w:tcPr>
          <w:p>
            <w:pPr>
              <w:spacing w:after="20"/>
              <w:jc w:val="right"/>
            </w:pPr>
            <w:r>
              <w:rPr>
                <w:color w:val="1C3A36"/>
                <w:sz w:val="17"/>
              </w:rPr>
              <w:t>Quarterly management commentary and earnings presentations</w:t>
            </w:r>
          </w:p>
        </w:tc>
        <w:tc>
          <w:tcPr>
            <w:tcW w:type="dxa" w:w="5173"/>
          </w:tcPr>
          <w:p>
            <w:pPr>
              <w:spacing w:after="20"/>
              <w:jc w:val="right"/>
            </w:pPr>
            <w:r>
              <w:rPr>
                <w:color w:val="1C3A36"/>
                <w:sz w:val="17"/>
              </w:rPr>
              <w:t>Found for every year from 2022 to the second quarter of 2026</w:t>
            </w:r>
          </w:p>
        </w:tc>
      </w:tr>
      <w:tr>
        <w:tc>
          <w:tcPr>
            <w:tcW w:type="dxa" w:w="2454"/>
          </w:tcPr>
          <w:p>
            <w:pPr>
              <w:spacing w:after="20"/>
            </w:pPr>
            <w:r>
              <w:rPr>
                <w:color w:val="1C3A36"/>
                <w:sz w:val="17"/>
              </w:rPr>
              <w:t>Contract tenor and day-rate mechanics</w:t>
            </w:r>
          </w:p>
        </w:tc>
        <w:tc>
          <w:tcPr>
            <w:tcW w:type="dxa" w:w="2454"/>
          </w:tcPr>
          <w:p>
            <w:pPr>
              <w:spacing w:after="20"/>
              <w:jc w:val="right"/>
            </w:pPr>
            <w:r>
              <w:rPr>
                <w:color w:val="1C3A36"/>
                <w:sz w:val="17"/>
              </w:rPr>
              <w:t>All filings and presentations</w:t>
            </w:r>
          </w:p>
        </w:tc>
        <w:tc>
          <w:tcPr>
            <w:tcW w:type="dxa" w:w="5173"/>
          </w:tcPr>
          <w:p>
            <w:pPr>
              <w:spacing w:after="20"/>
              <w:jc w:val="right"/>
            </w:pPr>
            <w:r>
              <w:rPr>
                <w:color w:val="1C3A36"/>
                <w:sz w:val="17"/>
              </w:rPr>
              <w:t>NOT FOUND. The company does not disclose contract tenor or repricing terms. Realised revenue per rig is used instead, and the gap is flagged</w:t>
            </w:r>
          </w:p>
        </w:tc>
      </w:tr>
      <w:tr>
        <w:tc>
          <w:tcPr>
            <w:tcW w:type="dxa" w:w="2454"/>
          </w:tcPr>
          <w:p>
            <w:pPr>
              <w:spacing w:after="20"/>
            </w:pPr>
            <w:r>
              <w:rPr>
                <w:color w:val="1C3A36"/>
                <w:sz w:val="17"/>
              </w:rPr>
              <w:t>Backlog</w:t>
            </w:r>
          </w:p>
        </w:tc>
        <w:tc>
          <w:tcPr>
            <w:tcW w:type="dxa" w:w="2454"/>
          </w:tcPr>
          <w:p>
            <w:pPr>
              <w:spacing w:after="20"/>
              <w:jc w:val="right"/>
            </w:pPr>
            <w:r>
              <w:rPr>
                <w:color w:val="1C3A36"/>
                <w:sz w:val="17"/>
              </w:rPr>
              <w:t>All filings</w:t>
            </w:r>
          </w:p>
        </w:tc>
        <w:tc>
          <w:tcPr>
            <w:tcW w:type="dxa" w:w="5173"/>
          </w:tcPr>
          <w:p>
            <w:pPr>
              <w:spacing w:after="20"/>
              <w:jc w:val="right"/>
            </w:pPr>
            <w:r>
              <w:rPr>
                <w:color w:val="1C3A36"/>
                <w:sz w:val="17"/>
              </w:rPr>
              <w:t>NOT FOUND in the form other drillers report. The accounts disclose only USD 19.4 million of unsatisfied performance obligations, which is a revenue-recognition measure and not a backlog</w:t>
            </w:r>
          </w:p>
        </w:tc>
      </w:tr>
      <w:tr>
        <w:tc>
          <w:tcPr>
            <w:tcW w:type="dxa" w:w="2454"/>
          </w:tcPr>
          <w:p>
            <w:pPr>
              <w:spacing w:after="20"/>
            </w:pPr>
            <w:r>
              <w:rPr>
                <w:color w:val="1C3A36"/>
                <w:sz w:val="17"/>
              </w:rPr>
              <w:t>2027 and beyond guidance</w:t>
            </w:r>
          </w:p>
        </w:tc>
        <w:tc>
          <w:tcPr>
            <w:tcW w:type="dxa" w:w="2454"/>
          </w:tcPr>
          <w:p>
            <w:pPr>
              <w:spacing w:after="20"/>
              <w:jc w:val="right"/>
            </w:pPr>
            <w:r>
              <w:rPr>
                <w:color w:val="1C3A36"/>
                <w:sz w:val="17"/>
              </w:rPr>
              <w:t>Results releases</w:t>
            </w:r>
          </w:p>
        </w:tc>
        <w:tc>
          <w:tcPr>
            <w:tcW w:type="dxa" w:w="5173"/>
          </w:tcPr>
          <w:p>
            <w:pPr>
              <w:spacing w:after="20"/>
              <w:jc w:val="right"/>
            </w:pPr>
            <w:r>
              <w:rPr>
                <w:color w:val="1C3A36"/>
                <w:sz w:val="17"/>
              </w:rPr>
              <w:t>NOT AVAILABLE. The company states it will publish it once rig and oilfield-services phasing is finalised. This absence is the reason the study carries two cases rather than one</w:t>
            </w:r>
          </w:p>
        </w:tc>
      </w:tr>
      <w:tr>
        <w:tc>
          <w:tcPr>
            <w:tcW w:type="dxa" w:w="2454"/>
          </w:tcPr>
          <w:p>
            <w:pPr>
              <w:spacing w:after="20"/>
            </w:pPr>
            <w:r>
              <w:rPr>
                <w:color w:val="1C3A36"/>
                <w:sz w:val="17"/>
              </w:rPr>
              <w:t>Exchange disclosure portal</w:t>
            </w:r>
          </w:p>
        </w:tc>
        <w:tc>
          <w:tcPr>
            <w:tcW w:type="dxa" w:w="2454"/>
          </w:tcPr>
          <w:p>
            <w:pPr>
              <w:spacing w:after="20"/>
              <w:jc w:val="right"/>
            </w:pPr>
            <w:r>
              <w:rPr>
                <w:color w:val="1C3A36"/>
                <w:sz w:val="17"/>
              </w:rPr>
              <w:t>adx.ae</w:t>
            </w:r>
          </w:p>
        </w:tc>
        <w:tc>
          <w:tcPr>
            <w:tcW w:type="dxa" w:w="5173"/>
          </w:tcPr>
          <w:p>
            <w:pPr>
              <w:spacing w:after="20"/>
              <w:jc w:val="right"/>
            </w:pPr>
            <w:r>
              <w:rPr>
                <w:color w:val="1C3A36"/>
                <w:sz w:val="17"/>
              </w:rPr>
              <w:t>Returned an access error from this environment. Not required — the filings were obtained from the company itself</w:t>
            </w:r>
          </w:p>
        </w:tc>
      </w:tr>
      <w:tr>
        <w:tc>
          <w:tcPr>
            <w:tcW w:type="dxa" w:w="2454"/>
          </w:tcPr>
          <w:p>
            <w:pPr>
              <w:spacing w:after="20"/>
            </w:pPr>
            <w:r>
              <w:rPr>
                <w:color w:val="1C3A36"/>
                <w:sz w:val="17"/>
              </w:rPr>
              <w:t>Local-currency government bond curve</w:t>
            </w:r>
          </w:p>
        </w:tc>
        <w:tc>
          <w:tcPr>
            <w:tcW w:type="dxa" w:w="2454"/>
          </w:tcPr>
          <w:p>
            <w:pPr>
              <w:spacing w:after="20"/>
              <w:jc w:val="right"/>
            </w:pPr>
            <w:r>
              <w:rPr>
                <w:color w:val="1C3A36"/>
                <w:sz w:val="17"/>
              </w:rPr>
              <w:t>Central bank of the UAE and market data sources</w:t>
            </w:r>
          </w:p>
        </w:tc>
        <w:tc>
          <w:tcPr>
            <w:tcW w:type="dxa" w:w="5173"/>
          </w:tcPr>
          <w:p>
            <w:pPr>
              <w:spacing w:after="20"/>
              <w:jc w:val="right"/>
            </w:pPr>
            <w:r>
              <w:rPr>
                <w:color w:val="1C3A36"/>
                <w:sz w:val="17"/>
              </w:rPr>
              <w:t>NOT OBTAINED. Not required: the cash flows are in US dollars and the discount rate is built in dollars. A dirham-basis cross-check would need this curve and is therefore not published</w:t>
            </w:r>
          </w:p>
        </w:tc>
      </w:tr>
    </w:tbl>
    <w:p>
      <w:pPr>
        <w:spacing w:after="40"/>
      </w:pPr>
    </w:p>
    <w:p>
      <w:r>
        <w:br w:type="page"/>
      </w:r>
    </w:p>
    <w:p>
      <w:pPr>
        <w:spacing w:after="120" w:before="280"/>
      </w:pPr>
      <w:r>
        <w:rPr>
          <w:b/>
          <w:i w:val="0"/>
          <w:color w:val="1C3A36"/>
          <w:sz w:val="30"/>
        </w:rPr>
        <w:t>Appendix C — the expert panel</w:t>
      </w:r>
    </w:p>
    <w:p>
      <w:pPr>
        <w:spacing w:after="120" w:before="0"/>
      </w:pPr>
      <w:r>
        <w:rPr>
          <w:b w:val="0"/>
          <w:i w:val="0"/>
          <w:color w:val="1C3A36"/>
          <w:sz w:val="21"/>
        </w:rPr>
        <w:t>Three analysts value the same company by three genuinely different methods. Each shows the workings, each names the sensitivity that matters most to their answer, and each states in advance what would prove them wrong.</w:t>
      </w:r>
    </w:p>
    <w:p>
      <w:pPr>
        <w:spacing w:after="80" w:before="200"/>
      </w:pPr>
      <w:r>
        <w:rPr>
          <w:b/>
          <w:i w:val="0"/>
          <w:color w:val="1C3A36"/>
          <w:sz w:val="24"/>
        </w:rPr>
        <w:t>C.1 Expert 1 — the asset valuer</w:t>
      </w:r>
    </w:p>
    <w:p>
      <w:pPr>
        <w:spacing w:after="60" w:before="0"/>
      </w:pPr>
      <w:r>
        <w:rPr>
          <w:b w:val="0"/>
          <w:i w:val="0"/>
          <w:color w:val="1C3A36"/>
          <w:sz w:val="21"/>
        </w:rPr>
        <w:t>Worldview: a rig is a machine with a replacement cost. Anything a buyer pays above the cost of rebuilding the fleet is a payment for a contract, and contracts end. This lens is therefore not a fair value at all; it is a floor, and its usefulness is the size of the gap between it and the market.</w:t>
      </w:r>
    </w:p>
    <w:p>
      <w:pPr>
        <w:spacing w:after="80" w:before="0"/>
      </w:pPr>
      <w:r>
        <w:rPr>
          <w:b w:val="0"/>
          <w:i w:val="0"/>
          <w:color w:val="1C3A36"/>
          <w:sz w:val="21"/>
        </w:rPr>
        <w:t>When it works: in a downturn, when contracts lapse and the steel is what is left. When it fails: in a company like this one, where the contract is the asset.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1872"/>
        <w:gridCol w:w="4104"/>
      </w:tblGrid>
      <w:tr>
        <w:tc>
          <w:tcPr>
            <w:tcW w:type="dxa" w:w="4104"/>
            <w:shd w:val="clear" w:color="auto" w:fill="EAF0EE"/>
          </w:tcPr>
          <w:p>
            <w:pPr>
              <w:spacing w:after="20"/>
            </w:pPr>
            <w:r>
              <w:rPr>
                <w:b/>
                <w:color w:val="1C3A36"/>
                <w:sz w:val="17"/>
              </w:rPr>
              <w:t>USD million</w:t>
            </w:r>
          </w:p>
        </w:tc>
        <w:tc>
          <w:tcPr>
            <w:tcW w:type="dxa" w:w="1872"/>
            <w:shd w:val="clear" w:color="auto" w:fill="EAF0EE"/>
          </w:tcPr>
          <w:p>
            <w:pPr>
              <w:spacing w:after="20"/>
            </w:pPr>
            <w:r>
              <w:rPr>
                <w:b/>
                <w:color w:val="1C3A36"/>
                <w:sz w:val="17"/>
              </w:rPr>
            </w:r>
          </w:p>
        </w:tc>
        <w:tc>
          <w:tcPr>
            <w:tcW w:type="dxa" w:w="4104"/>
            <w:shd w:val="clear" w:color="auto" w:fill="EAF0EE"/>
          </w:tcPr>
          <w:p>
            <w:pPr>
              <w:spacing w:after="20"/>
            </w:pPr>
            <w:r>
              <w:rPr>
                <w:b/>
                <w:color w:val="1C3A36"/>
                <w:sz w:val="17"/>
              </w:rPr>
              <w:t>Source or construction</w:t>
            </w:r>
          </w:p>
        </w:tc>
      </w:tr>
      <w:tr>
        <w:tc>
          <w:tcPr>
            <w:tcW w:type="dxa" w:w="4104"/>
          </w:tcPr>
          <w:p>
            <w:pPr>
              <w:spacing w:after="20"/>
            </w:pPr>
            <w:r>
              <w:rPr>
                <w:color w:val="1C3A36"/>
                <w:sz w:val="17"/>
              </w:rPr>
              <w:t>Property and equipment at cost</w:t>
            </w:r>
          </w:p>
        </w:tc>
        <w:tc>
          <w:tcPr>
            <w:tcW w:type="dxa" w:w="1872"/>
          </w:tcPr>
          <w:p>
            <w:pPr>
              <w:spacing w:after="20"/>
              <w:jc w:val="right"/>
            </w:pPr>
            <w:r>
              <w:rPr>
                <w:color w:val="1C3A36"/>
                <w:sz w:val="17"/>
              </w:rPr>
              <w:t>10,379</w:t>
            </w:r>
          </w:p>
        </w:tc>
        <w:tc>
          <w:tcPr>
            <w:tcW w:type="dxa" w:w="4104"/>
          </w:tcPr>
          <w:p>
            <w:pPr>
              <w:spacing w:after="20"/>
              <w:jc w:val="right"/>
            </w:pPr>
            <w:r>
              <w:rPr>
                <w:color w:val="1C3A36"/>
                <w:sz w:val="17"/>
              </w:rPr>
              <w:t>FY2025 property and equipment note</w:t>
            </w:r>
          </w:p>
        </w:tc>
      </w:tr>
      <w:tr>
        <w:tc>
          <w:tcPr>
            <w:tcW w:type="dxa" w:w="4104"/>
          </w:tcPr>
          <w:p>
            <w:pPr>
              <w:spacing w:after="20"/>
            </w:pPr>
            <w:r>
              <w:rPr>
                <w:color w:val="1C3A36"/>
                <w:sz w:val="17"/>
              </w:rPr>
              <w:t>less accumulated depreciation</w:t>
            </w:r>
          </w:p>
        </w:tc>
        <w:tc>
          <w:tcPr>
            <w:tcW w:type="dxa" w:w="1872"/>
          </w:tcPr>
          <w:p>
            <w:pPr>
              <w:spacing w:after="20"/>
              <w:jc w:val="right"/>
            </w:pPr>
            <w:r>
              <w:rPr>
                <w:color w:val="1C3A36"/>
                <w:sz w:val="17"/>
              </w:rPr>
              <w:t>(4,902)</w:t>
            </w:r>
          </w:p>
        </w:tc>
        <w:tc>
          <w:tcPr>
            <w:tcW w:type="dxa" w:w="4104"/>
          </w:tcPr>
          <w:p>
            <w:pPr>
              <w:spacing w:after="20"/>
              <w:jc w:val="right"/>
            </w:pPr>
            <w:r>
              <w:rPr>
                <w:color w:val="1C3A36"/>
                <w:sz w:val="17"/>
              </w:rPr>
              <w:t>Same note</w:t>
            </w:r>
          </w:p>
        </w:tc>
      </w:tr>
      <w:tr>
        <w:tc>
          <w:tcPr>
            <w:tcW w:type="dxa" w:w="4104"/>
            <w:shd w:val="clear" w:color="auto" w:fill="F6F1E6"/>
          </w:tcPr>
          <w:p>
            <w:pPr>
              <w:spacing w:after="20"/>
            </w:pPr>
            <w:r>
              <w:rPr>
                <w:b/>
                <w:color w:val="1C3A36"/>
                <w:sz w:val="17"/>
              </w:rPr>
              <w:t>Net book value</w:t>
            </w:r>
          </w:p>
        </w:tc>
        <w:tc>
          <w:tcPr>
            <w:tcW w:type="dxa" w:w="1872"/>
            <w:shd w:val="clear" w:color="auto" w:fill="F6F1E6"/>
          </w:tcPr>
          <w:p>
            <w:pPr>
              <w:spacing w:after="20"/>
              <w:jc w:val="right"/>
            </w:pPr>
            <w:r>
              <w:rPr>
                <w:b/>
                <w:color w:val="1C3A36"/>
                <w:sz w:val="17"/>
              </w:rPr>
              <w:t>5,477</w:t>
            </w:r>
          </w:p>
        </w:tc>
        <w:tc>
          <w:tcPr>
            <w:tcW w:type="dxa" w:w="4104"/>
            <w:shd w:val="clear" w:color="auto" w:fill="F6F1E6"/>
          </w:tcPr>
          <w:p>
            <w:pPr>
              <w:spacing w:after="20"/>
              <w:jc w:val="right"/>
            </w:pPr>
            <w:r>
              <w:rPr>
                <w:b/>
                <w:color w:val="1C3A36"/>
                <w:sz w:val="17"/>
              </w:rPr>
            </w:r>
          </w:p>
        </w:tc>
      </w:tr>
      <w:tr>
        <w:tc>
          <w:tcPr>
            <w:tcW w:type="dxa" w:w="4104"/>
          </w:tcPr>
          <w:p>
            <w:pPr>
              <w:spacing w:after="20"/>
            </w:pPr>
            <w:r>
              <w:rPr>
                <w:color w:val="1C3A36"/>
                <w:sz w:val="17"/>
              </w:rPr>
              <w:t>Replacement uplift on net book at 15%</w:t>
            </w:r>
          </w:p>
        </w:tc>
        <w:tc>
          <w:tcPr>
            <w:tcW w:type="dxa" w:w="1872"/>
          </w:tcPr>
          <w:p>
            <w:pPr>
              <w:spacing w:after="20"/>
              <w:jc w:val="right"/>
            </w:pPr>
            <w:r>
              <w:rPr>
                <w:color w:val="1C3A36"/>
                <w:sz w:val="17"/>
              </w:rPr>
              <w:t>822</w:t>
            </w:r>
          </w:p>
        </w:tc>
        <w:tc>
          <w:tcPr>
            <w:tcW w:type="dxa" w:w="4104"/>
          </w:tcPr>
          <w:p>
            <w:pPr>
              <w:spacing w:after="20"/>
              <w:jc w:val="right"/>
            </w:pPr>
            <w:r>
              <w:rPr>
                <w:color w:val="1C3A36"/>
                <w:sz w:val="17"/>
              </w:rPr>
              <w:t>The fleet was bought over many years; rebuilding it costs more than it cost</w:t>
            </w:r>
          </w:p>
        </w:tc>
      </w:tr>
      <w:tr>
        <w:tc>
          <w:tcPr>
            <w:tcW w:type="dxa" w:w="4104"/>
          </w:tcPr>
          <w:p>
            <w:pPr>
              <w:spacing w:after="20"/>
            </w:pPr>
            <w:r>
              <w:rPr>
                <w:color w:val="1C3A36"/>
                <w:sz w:val="17"/>
              </w:rPr>
              <w:t>Fully depreciated assets still in use, at cost</w:t>
            </w:r>
          </w:p>
        </w:tc>
        <w:tc>
          <w:tcPr>
            <w:tcW w:type="dxa" w:w="1872"/>
          </w:tcPr>
          <w:p>
            <w:pPr>
              <w:spacing w:after="20"/>
              <w:jc w:val="right"/>
            </w:pPr>
            <w:r>
              <w:rPr>
                <w:color w:val="1C3A36"/>
                <w:sz w:val="17"/>
              </w:rPr>
              <w:t>1,539</w:t>
            </w:r>
          </w:p>
        </w:tc>
        <w:tc>
          <w:tcPr>
            <w:tcW w:type="dxa" w:w="4104"/>
          </w:tcPr>
          <w:p>
            <w:pPr>
              <w:spacing w:after="20"/>
              <w:jc w:val="right"/>
            </w:pPr>
            <w:r>
              <w:rPr>
                <w:color w:val="1C3A36"/>
                <w:sz w:val="17"/>
              </w:rPr>
              <w:t>Disclosed in the FY2025 note: assets still in use with nil carrying value</w:t>
            </w:r>
          </w:p>
        </w:tc>
      </w:tr>
      <w:tr>
        <w:tc>
          <w:tcPr>
            <w:tcW w:type="dxa" w:w="4104"/>
          </w:tcPr>
          <w:p>
            <w:pPr>
              <w:spacing w:after="20"/>
            </w:pPr>
            <w:r>
              <w:rPr>
                <w:color w:val="1C3A36"/>
                <w:sz w:val="17"/>
              </w:rPr>
              <w:t>valued at 25% of cost</w:t>
            </w:r>
          </w:p>
        </w:tc>
        <w:tc>
          <w:tcPr>
            <w:tcW w:type="dxa" w:w="1872"/>
          </w:tcPr>
          <w:p>
            <w:pPr>
              <w:spacing w:after="20"/>
              <w:jc w:val="right"/>
            </w:pPr>
            <w:r>
              <w:rPr>
                <w:color w:val="1C3A36"/>
                <w:sz w:val="17"/>
              </w:rPr>
              <w:t>385</w:t>
            </w:r>
          </w:p>
        </w:tc>
        <w:tc>
          <w:tcPr>
            <w:tcW w:type="dxa" w:w="4104"/>
          </w:tcPr>
          <w:p>
            <w:pPr>
              <w:spacing w:after="20"/>
              <w:jc w:val="right"/>
            </w:pPr>
            <w:r>
              <w:rPr>
                <w:color w:val="1C3A36"/>
                <w:sz w:val="17"/>
              </w:rPr>
            </w:r>
          </w:p>
        </w:tc>
      </w:tr>
      <w:tr>
        <w:tc>
          <w:tcPr>
            <w:tcW w:type="dxa" w:w="4104"/>
            <w:shd w:val="clear" w:color="auto" w:fill="F6F1E6"/>
          </w:tcPr>
          <w:p>
            <w:pPr>
              <w:spacing w:after="20"/>
            </w:pPr>
            <w:r>
              <w:rPr>
                <w:b/>
                <w:color w:val="1C3A36"/>
                <w:sz w:val="17"/>
              </w:rPr>
              <w:t>Depreciated replacement cost of the fleet</w:t>
            </w:r>
          </w:p>
        </w:tc>
        <w:tc>
          <w:tcPr>
            <w:tcW w:type="dxa" w:w="1872"/>
            <w:shd w:val="clear" w:color="auto" w:fill="F6F1E6"/>
          </w:tcPr>
          <w:p>
            <w:pPr>
              <w:spacing w:after="20"/>
              <w:jc w:val="right"/>
            </w:pPr>
            <w:r>
              <w:rPr>
                <w:b/>
                <w:color w:val="1C3A36"/>
                <w:sz w:val="17"/>
              </w:rPr>
              <w:t>6,684</w:t>
            </w:r>
          </w:p>
        </w:tc>
        <w:tc>
          <w:tcPr>
            <w:tcW w:type="dxa" w:w="4104"/>
            <w:shd w:val="clear" w:color="auto" w:fill="F6F1E6"/>
          </w:tcPr>
          <w:p>
            <w:pPr>
              <w:spacing w:after="20"/>
              <w:jc w:val="right"/>
            </w:pPr>
            <w:r>
              <w:rPr>
                <w:b/>
                <w:color w:val="1C3A36"/>
                <w:sz w:val="17"/>
              </w:rPr>
            </w:r>
          </w:p>
        </w:tc>
      </w:tr>
      <w:tr>
        <w:tc>
          <w:tcPr>
            <w:tcW w:type="dxa" w:w="4104"/>
          </w:tcPr>
          <w:p>
            <w:pPr>
              <w:spacing w:after="20"/>
            </w:pPr>
            <w:r>
              <w:rPr>
                <w:color w:val="1C3A36"/>
                <w:sz w:val="17"/>
              </w:rPr>
              <w:t>add right-of-use assets and intangibles</w:t>
            </w:r>
          </w:p>
        </w:tc>
        <w:tc>
          <w:tcPr>
            <w:tcW w:type="dxa" w:w="1872"/>
          </w:tcPr>
          <w:p>
            <w:pPr>
              <w:spacing w:after="20"/>
              <w:jc w:val="right"/>
            </w:pPr>
            <w:r>
              <w:rPr>
                <w:color w:val="1C3A36"/>
                <w:sz w:val="17"/>
              </w:rPr>
              <w:t>56</w:t>
            </w:r>
          </w:p>
        </w:tc>
        <w:tc>
          <w:tcPr>
            <w:tcW w:type="dxa" w:w="4104"/>
          </w:tcPr>
          <w:p>
            <w:pPr>
              <w:spacing w:after="20"/>
              <w:jc w:val="right"/>
            </w:pPr>
            <w:r>
              <w:rPr>
                <w:color w:val="1C3A36"/>
                <w:sz w:val="17"/>
              </w:rPr>
            </w:r>
          </w:p>
        </w:tc>
      </w:tr>
      <w:tr>
        <w:tc>
          <w:tcPr>
            <w:tcW w:type="dxa" w:w="4104"/>
          </w:tcPr>
          <w:p>
            <w:pPr>
              <w:spacing w:after="20"/>
            </w:pPr>
            <w:r>
              <w:rPr>
                <w:color w:val="1C3A36"/>
                <w:sz w:val="17"/>
              </w:rPr>
              <w:t>add net working capital</w:t>
            </w:r>
          </w:p>
        </w:tc>
        <w:tc>
          <w:tcPr>
            <w:tcW w:type="dxa" w:w="1872"/>
          </w:tcPr>
          <w:p>
            <w:pPr>
              <w:spacing w:after="20"/>
              <w:jc w:val="right"/>
            </w:pPr>
            <w:r>
              <w:rPr>
                <w:color w:val="1C3A36"/>
                <w:sz w:val="17"/>
              </w:rPr>
              <w:t>263</w:t>
            </w:r>
          </w:p>
        </w:tc>
        <w:tc>
          <w:tcPr>
            <w:tcW w:type="dxa" w:w="4104"/>
          </w:tcPr>
          <w:p>
            <w:pPr>
              <w:spacing w:after="20"/>
              <w:jc w:val="right"/>
            </w:pPr>
            <w:r>
              <w:rPr>
                <w:color w:val="1C3A36"/>
                <w:sz w:val="17"/>
              </w:rPr>
              <w:t>FY2025 balance sheet</w:t>
            </w:r>
          </w:p>
        </w:tc>
      </w:tr>
      <w:tr>
        <w:tc>
          <w:tcPr>
            <w:tcW w:type="dxa" w:w="4104"/>
          </w:tcPr>
          <w:p>
            <w:pPr>
              <w:spacing w:after="20"/>
            </w:pPr>
            <w:r>
              <w:rPr>
                <w:color w:val="1C3A36"/>
                <w:sz w:val="17"/>
              </w:rPr>
              <w:t>add other non-current assets</w:t>
            </w:r>
          </w:p>
        </w:tc>
        <w:tc>
          <w:tcPr>
            <w:tcW w:type="dxa" w:w="1872"/>
          </w:tcPr>
          <w:p>
            <w:pPr>
              <w:spacing w:after="20"/>
              <w:jc w:val="right"/>
            </w:pPr>
            <w:r>
              <w:rPr>
                <w:color w:val="1C3A36"/>
                <w:sz w:val="17"/>
              </w:rPr>
              <w:t>10</w:t>
            </w:r>
          </w:p>
        </w:tc>
        <w:tc>
          <w:tcPr>
            <w:tcW w:type="dxa" w:w="4104"/>
          </w:tcPr>
          <w:p>
            <w:pPr>
              <w:spacing w:after="20"/>
              <w:jc w:val="right"/>
            </w:pPr>
            <w:r>
              <w:rPr>
                <w:color w:val="1C3A36"/>
                <w:sz w:val="17"/>
              </w:rPr>
            </w:r>
          </w:p>
        </w:tc>
      </w:tr>
      <w:tr>
        <w:tc>
          <w:tcPr>
            <w:tcW w:type="dxa" w:w="4104"/>
            <w:shd w:val="clear" w:color="auto" w:fill="F6F1E6"/>
          </w:tcPr>
          <w:p>
            <w:pPr>
              <w:spacing w:after="20"/>
            </w:pPr>
            <w:r>
              <w:rPr>
                <w:b/>
                <w:color w:val="1C3A36"/>
                <w:sz w:val="17"/>
              </w:rPr>
              <w:t>Asset enterprise value</w:t>
            </w:r>
          </w:p>
        </w:tc>
        <w:tc>
          <w:tcPr>
            <w:tcW w:type="dxa" w:w="1872"/>
            <w:shd w:val="clear" w:color="auto" w:fill="F6F1E6"/>
          </w:tcPr>
          <w:p>
            <w:pPr>
              <w:spacing w:after="20"/>
              <w:jc w:val="right"/>
            </w:pPr>
            <w:r>
              <w:rPr>
                <w:b/>
                <w:color w:val="1C3A36"/>
                <w:sz w:val="17"/>
              </w:rPr>
              <w:t>7,013</w:t>
            </w:r>
          </w:p>
        </w:tc>
        <w:tc>
          <w:tcPr>
            <w:tcW w:type="dxa" w:w="4104"/>
            <w:shd w:val="clear" w:color="auto" w:fill="F6F1E6"/>
          </w:tcPr>
          <w:p>
            <w:pPr>
              <w:spacing w:after="20"/>
              <w:jc w:val="right"/>
            </w:pPr>
            <w:r>
              <w:rPr>
                <w:b/>
                <w:color w:val="1C3A36"/>
                <w:sz w:val="17"/>
              </w:rPr>
            </w:r>
          </w:p>
        </w:tc>
      </w:tr>
      <w:tr>
        <w:tc>
          <w:tcPr>
            <w:tcW w:type="dxa" w:w="4104"/>
            <w:shd w:val="clear" w:color="auto" w:fill="F6F1E6"/>
          </w:tcPr>
          <w:p>
            <w:pPr>
              <w:spacing w:after="20"/>
            </w:pPr>
            <w:r>
              <w:rPr>
                <w:b/>
                <w:color w:val="1C3A36"/>
                <w:sz w:val="17"/>
              </w:rPr>
              <w:t>Equity value after the bridge</w:t>
            </w:r>
          </w:p>
        </w:tc>
        <w:tc>
          <w:tcPr>
            <w:tcW w:type="dxa" w:w="1872"/>
            <w:shd w:val="clear" w:color="auto" w:fill="F6F1E6"/>
          </w:tcPr>
          <w:p>
            <w:pPr>
              <w:spacing w:after="20"/>
              <w:jc w:val="right"/>
            </w:pPr>
            <w:r>
              <w:rPr>
                <w:b/>
                <w:color w:val="1C3A36"/>
                <w:sz w:val="17"/>
              </w:rPr>
              <w:t>5,200</w:t>
            </w:r>
          </w:p>
        </w:tc>
        <w:tc>
          <w:tcPr>
            <w:tcW w:type="dxa" w:w="4104"/>
            <w:shd w:val="clear" w:color="auto" w:fill="F6F1E6"/>
          </w:tcPr>
          <w:p>
            <w:pPr>
              <w:spacing w:after="20"/>
              <w:jc w:val="right"/>
            </w:pPr>
            <w:r>
              <w:rPr>
                <w:b/>
                <w:color w:val="1C3A36"/>
                <w:sz w:val="17"/>
              </w:rPr>
              <w:t>Same bridge as the main study</w:t>
            </w:r>
          </w:p>
        </w:tc>
      </w:tr>
      <w:tr>
        <w:tc>
          <w:tcPr>
            <w:tcW w:type="dxa" w:w="4104"/>
            <w:shd w:val="clear" w:color="auto" w:fill="F6F1E6"/>
          </w:tcPr>
          <w:p>
            <w:pPr>
              <w:spacing w:after="20"/>
            </w:pPr>
            <w:r>
              <w:rPr>
                <w:b/>
                <w:color w:val="1C3A36"/>
                <w:sz w:val="17"/>
              </w:rPr>
              <w:t>Value per share (AED)</w:t>
            </w:r>
          </w:p>
        </w:tc>
        <w:tc>
          <w:tcPr>
            <w:tcW w:type="dxa" w:w="1872"/>
            <w:shd w:val="clear" w:color="auto" w:fill="F6F1E6"/>
          </w:tcPr>
          <w:p>
            <w:pPr>
              <w:spacing w:after="20"/>
              <w:jc w:val="right"/>
            </w:pPr>
            <w:r>
              <w:rPr>
                <w:b/>
                <w:color w:val="1C3A36"/>
                <w:sz w:val="17"/>
              </w:rPr>
              <w:t>1.19</w:t>
            </w:r>
          </w:p>
        </w:tc>
        <w:tc>
          <w:tcPr>
            <w:tcW w:type="dxa" w:w="4104"/>
            <w:shd w:val="clear" w:color="auto" w:fill="F6F1E6"/>
          </w:tcPr>
          <w:p>
            <w:pPr>
              <w:spacing w:after="20"/>
              <w:jc w:val="right"/>
            </w:pPr>
            <w:r>
              <w:rPr>
                <w:b/>
                <w:color w:val="1C3A36"/>
                <w:sz w:val="17"/>
              </w:rPr>
            </w:r>
          </w:p>
        </w:tc>
      </w:tr>
    </w:tbl>
    <w:p>
      <w:pPr>
        <w:spacing w:after="40"/>
      </w:pPr>
    </w:p>
    <w:p>
      <w:pPr>
        <w:spacing w:after="60" w:before="0"/>
      </w:pPr>
      <w:r>
        <w:rPr>
          <w:b w:val="0"/>
          <w:i w:val="0"/>
          <w:color w:val="1C3A36"/>
          <w:sz w:val="21"/>
        </w:rPr>
        <w:t>Named sensitivity: the replacement uplift is the only judgement in the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c>
          <w:tcPr>
            <w:tcW w:type="dxa" w:w="3744"/>
            <w:shd w:val="clear" w:color="auto" w:fill="EAF0EE"/>
          </w:tcPr>
          <w:p>
            <w:pPr>
              <w:spacing w:after="20"/>
            </w:pPr>
            <w:r>
              <w:rPr>
                <w:b/>
                <w:color w:val="1C3A36"/>
                <w:sz w:val="18"/>
              </w:rPr>
              <w:t>Replacement uplift on net book</w:t>
            </w:r>
          </w:p>
        </w:tc>
        <w:tc>
          <w:tcPr>
            <w:tcW w:type="dxa" w:w="1584"/>
            <w:shd w:val="clear" w:color="auto" w:fill="EAF0EE"/>
          </w:tcPr>
          <w:p>
            <w:pPr>
              <w:spacing w:after="20"/>
            </w:pPr>
            <w:r>
              <w:rPr>
                <w:b/>
                <w:color w:val="1C3A36"/>
                <w:sz w:val="18"/>
              </w:rPr>
              <w:t>0%</w:t>
            </w:r>
          </w:p>
        </w:tc>
        <w:tc>
          <w:tcPr>
            <w:tcW w:type="dxa" w:w="1584"/>
            <w:shd w:val="clear" w:color="auto" w:fill="EAF0EE"/>
          </w:tcPr>
          <w:p>
            <w:pPr>
              <w:spacing w:after="20"/>
            </w:pPr>
            <w:r>
              <w:rPr>
                <w:b/>
                <w:color w:val="1C3A36"/>
                <w:sz w:val="18"/>
              </w:rPr>
              <w:t>15%</w:t>
            </w:r>
          </w:p>
        </w:tc>
        <w:tc>
          <w:tcPr>
            <w:tcW w:type="dxa" w:w="1584"/>
            <w:shd w:val="clear" w:color="auto" w:fill="EAF0EE"/>
          </w:tcPr>
          <w:p>
            <w:pPr>
              <w:spacing w:after="20"/>
            </w:pPr>
            <w:r>
              <w:rPr>
                <w:b/>
                <w:color w:val="1C3A36"/>
                <w:sz w:val="18"/>
              </w:rPr>
              <w:t>30%</w:t>
            </w:r>
          </w:p>
        </w:tc>
        <w:tc>
          <w:tcPr>
            <w:tcW w:type="dxa" w:w="1584"/>
            <w:shd w:val="clear" w:color="auto" w:fill="EAF0EE"/>
          </w:tcPr>
          <w:p>
            <w:pPr>
              <w:spacing w:after="20"/>
            </w:pPr>
            <w:r>
              <w:rPr>
                <w:b/>
                <w:color w:val="1C3A36"/>
                <w:sz w:val="18"/>
              </w:rPr>
              <w:t>50%</w:t>
            </w:r>
          </w:p>
        </w:tc>
      </w:tr>
      <w:tr>
        <w:tc>
          <w:tcPr>
            <w:tcW w:type="dxa" w:w="3744"/>
          </w:tcPr>
          <w:p>
            <w:pPr>
              <w:spacing w:after="20"/>
            </w:pPr>
            <w:r>
              <w:rPr>
                <w:color w:val="1C3A36"/>
                <w:sz w:val="18"/>
              </w:rPr>
              <w:t>Value per share (AED)</w:t>
            </w:r>
          </w:p>
        </w:tc>
        <w:tc>
          <w:tcPr>
            <w:tcW w:type="dxa" w:w="1584"/>
          </w:tcPr>
          <w:p>
            <w:pPr>
              <w:spacing w:after="20"/>
              <w:jc w:val="right"/>
            </w:pPr>
            <w:r>
              <w:rPr>
                <w:color w:val="1C3A36"/>
                <w:sz w:val="18"/>
              </w:rPr>
              <w:t>1.01</w:t>
            </w:r>
          </w:p>
        </w:tc>
        <w:tc>
          <w:tcPr>
            <w:tcW w:type="dxa" w:w="1584"/>
          </w:tcPr>
          <w:p>
            <w:pPr>
              <w:spacing w:after="20"/>
              <w:jc w:val="right"/>
            </w:pPr>
            <w:r>
              <w:rPr>
                <w:color w:val="1C3A36"/>
                <w:sz w:val="18"/>
              </w:rPr>
              <w:t>1.19</w:t>
            </w:r>
          </w:p>
        </w:tc>
        <w:tc>
          <w:tcPr>
            <w:tcW w:type="dxa" w:w="1584"/>
          </w:tcPr>
          <w:p>
            <w:pPr>
              <w:spacing w:after="20"/>
              <w:jc w:val="right"/>
            </w:pPr>
            <w:r>
              <w:rPr>
                <w:color w:val="1C3A36"/>
                <w:sz w:val="18"/>
              </w:rPr>
              <w:t>1.38</w:t>
            </w:r>
          </w:p>
        </w:tc>
        <w:tc>
          <w:tcPr>
            <w:tcW w:type="dxa" w:w="1584"/>
          </w:tcPr>
          <w:p>
            <w:pPr>
              <w:spacing w:after="20"/>
              <w:jc w:val="right"/>
            </w:pPr>
            <w:r>
              <w:rPr>
                <w:color w:val="1C3A36"/>
                <w:sz w:val="18"/>
              </w:rPr>
              <w:t>1.63</w:t>
            </w:r>
          </w:p>
        </w:tc>
      </w:tr>
    </w:tbl>
    <w:p>
      <w:pPr>
        <w:spacing w:after="40"/>
      </w:pPr>
    </w:p>
    <w:p>
      <w:pPr>
        <w:spacing w:after="120" w:before="0"/>
      </w:pPr>
      <w:r>
        <w:rPr>
          <w:b w:val="0"/>
          <w:i w:val="0"/>
          <w:color w:val="1C3A36"/>
          <w:sz w:val="21"/>
        </w:rPr>
        <w:t>Falsifier, stated in advance: A rig sale, or an impairment, at a price materially away from depreciated book. The company sold one rig for $36.0 million in 2025 against a carrying value that produced a $21.6 million disposal gain — that single observation supports the uplift. A future disposal at or below carrying value would falsify it.</w:t>
      </w:r>
    </w:p>
    <w:p>
      <w:pPr>
        <w:spacing w:after="80" w:before="200"/>
      </w:pPr>
      <w:r>
        <w:rPr>
          <w:b/>
          <w:i w:val="0"/>
          <w:color w:val="1C3A36"/>
          <w:sz w:val="24"/>
        </w:rPr>
        <w:t>C.2 Expert 2 — the contracted-cash-flow analyst</w:t>
      </w:r>
    </w:p>
    <w:p>
      <w:pPr>
        <w:spacing w:after="60" w:before="0"/>
      </w:pPr>
      <w:r>
        <w:rPr>
          <w:b w:val="0"/>
          <w:i w:val="0"/>
          <w:color w:val="1C3A36"/>
          <w:sz w:val="21"/>
        </w:rPr>
        <w:t>Worldview: this is not an equity, it is a bond with an equity tail. The near years are contracted to a state counterparty and should be discounted at something close to a corporate borrowing rate; the years beyond the window are not contracted at all and deserve a penalty on top of the ordinary cost of capital.</w:t>
      </w:r>
    </w:p>
    <w:p>
      <w:pPr>
        <w:spacing w:after="80" w:before="0"/>
      </w:pPr>
      <w:r>
        <w:rPr>
          <w:b w:val="0"/>
          <w:i w:val="0"/>
          <w:color w:val="1C3A36"/>
          <w:sz w:val="21"/>
        </w:rPr>
        <w:t>When it works: on infrastructure and long-contract assets where the counterparty is better credit than the company. When it fails: when the "contracted" book turns out to be cancellable, or when splitting the rate is used to make a number bigger rather than more honest.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89"/>
        <w:gridCol w:w="1358"/>
        <w:gridCol w:w="1358"/>
        <w:gridCol w:w="1358"/>
        <w:gridCol w:w="1358"/>
        <w:gridCol w:w="1358"/>
      </w:tblGrid>
      <w:tr>
        <w:tc>
          <w:tcPr>
            <w:tcW w:type="dxa" w:w="3289"/>
            <w:shd w:val="clear" w:color="auto" w:fill="EAF0EE"/>
          </w:tcPr>
          <w:p>
            <w:pPr>
              <w:spacing w:after="20"/>
            </w:pPr>
            <w:r>
              <w:rPr>
                <w:b/>
                <w:color w:val="1C3A36"/>
                <w:sz w:val="18"/>
              </w:rPr>
              <w:t>USD million</w:t>
            </w:r>
          </w:p>
        </w:tc>
        <w:tc>
          <w:tcPr>
            <w:tcW w:type="dxa" w:w="1358"/>
            <w:shd w:val="clear" w:color="auto" w:fill="EAF0EE"/>
          </w:tcPr>
          <w:p>
            <w:pPr>
              <w:spacing w:after="20"/>
            </w:pPr>
            <w:r>
              <w:rPr>
                <w:b/>
                <w:color w:val="1C3A36"/>
                <w:sz w:val="18"/>
              </w:rPr>
              <w:t>FY2026E</w:t>
            </w:r>
          </w:p>
        </w:tc>
        <w:tc>
          <w:tcPr>
            <w:tcW w:type="dxa" w:w="1358"/>
            <w:shd w:val="clear" w:color="auto" w:fill="EAF0EE"/>
          </w:tcPr>
          <w:p>
            <w:pPr>
              <w:spacing w:after="20"/>
            </w:pPr>
            <w:r>
              <w:rPr>
                <w:b/>
                <w:color w:val="1C3A36"/>
                <w:sz w:val="18"/>
              </w:rPr>
              <w:t>FY2027E</w:t>
            </w:r>
          </w:p>
        </w:tc>
        <w:tc>
          <w:tcPr>
            <w:tcW w:type="dxa" w:w="1358"/>
            <w:shd w:val="clear" w:color="auto" w:fill="EAF0EE"/>
          </w:tcPr>
          <w:p>
            <w:pPr>
              <w:spacing w:after="20"/>
            </w:pPr>
            <w:r>
              <w:rPr>
                <w:b/>
                <w:color w:val="1C3A36"/>
                <w:sz w:val="18"/>
              </w:rPr>
              <w:t>FY2028E</w:t>
            </w:r>
          </w:p>
        </w:tc>
        <w:tc>
          <w:tcPr>
            <w:tcW w:type="dxa" w:w="1358"/>
            <w:shd w:val="clear" w:color="auto" w:fill="EAF0EE"/>
          </w:tcPr>
          <w:p>
            <w:pPr>
              <w:spacing w:after="20"/>
            </w:pPr>
            <w:r>
              <w:rPr>
                <w:b/>
                <w:color w:val="1C3A36"/>
                <w:sz w:val="18"/>
              </w:rPr>
              <w:t>FY2029E</w:t>
            </w:r>
          </w:p>
        </w:tc>
        <w:tc>
          <w:tcPr>
            <w:tcW w:type="dxa" w:w="1358"/>
            <w:shd w:val="clear" w:color="auto" w:fill="EAF0EE"/>
          </w:tcPr>
          <w:p>
            <w:pPr>
              <w:spacing w:after="20"/>
            </w:pPr>
            <w:r>
              <w:rPr>
                <w:b/>
                <w:color w:val="1C3A36"/>
                <w:sz w:val="18"/>
              </w:rPr>
              <w:t>FY2030E</w:t>
            </w:r>
          </w:p>
        </w:tc>
      </w:tr>
      <w:tr>
        <w:tc>
          <w:tcPr>
            <w:tcW w:type="dxa" w:w="3289"/>
          </w:tcPr>
          <w:p>
            <w:pPr>
              <w:spacing w:after="20"/>
            </w:pPr>
            <w:r>
              <w:rPr>
                <w:color w:val="1C3A36"/>
                <w:sz w:val="18"/>
              </w:rPr>
              <w:t>Free cash flow to the firm</w:t>
            </w:r>
          </w:p>
        </w:tc>
        <w:tc>
          <w:tcPr>
            <w:tcW w:type="dxa" w:w="1358"/>
          </w:tcPr>
          <w:p>
            <w:pPr>
              <w:spacing w:after="20"/>
              <w:jc w:val="right"/>
            </w:pPr>
            <w:r>
              <w:rPr>
                <w:color w:val="1C3A36"/>
                <w:sz w:val="18"/>
              </w:rPr>
              <w:t>1,167</w:t>
            </w:r>
          </w:p>
        </w:tc>
        <w:tc>
          <w:tcPr>
            <w:tcW w:type="dxa" w:w="1358"/>
          </w:tcPr>
          <w:p>
            <w:pPr>
              <w:spacing w:after="20"/>
              <w:jc w:val="right"/>
            </w:pPr>
            <w:r>
              <w:rPr>
                <w:color w:val="1C3A36"/>
                <w:sz w:val="18"/>
              </w:rPr>
              <w:t>1,553</w:t>
            </w:r>
          </w:p>
        </w:tc>
        <w:tc>
          <w:tcPr>
            <w:tcW w:type="dxa" w:w="1358"/>
          </w:tcPr>
          <w:p>
            <w:pPr>
              <w:spacing w:after="20"/>
              <w:jc w:val="right"/>
            </w:pPr>
            <w:r>
              <w:rPr>
                <w:color w:val="1C3A36"/>
                <w:sz w:val="18"/>
              </w:rPr>
              <w:t>1,789</w:t>
            </w:r>
          </w:p>
        </w:tc>
        <w:tc>
          <w:tcPr>
            <w:tcW w:type="dxa" w:w="1358"/>
          </w:tcPr>
          <w:p>
            <w:pPr>
              <w:spacing w:after="20"/>
              <w:jc w:val="right"/>
            </w:pPr>
            <w:r>
              <w:rPr>
                <w:color w:val="1C3A36"/>
                <w:sz w:val="18"/>
              </w:rPr>
              <w:t>2,010</w:t>
            </w:r>
          </w:p>
        </w:tc>
        <w:tc>
          <w:tcPr>
            <w:tcW w:type="dxa" w:w="1358"/>
          </w:tcPr>
          <w:p>
            <w:pPr>
              <w:spacing w:after="20"/>
              <w:jc w:val="right"/>
            </w:pPr>
            <w:r>
              <w:rPr>
                <w:color w:val="1C3A36"/>
                <w:sz w:val="18"/>
              </w:rPr>
              <w:t>2,118</w:t>
            </w:r>
          </w:p>
        </w:tc>
      </w:tr>
      <w:tr>
        <w:tc>
          <w:tcPr>
            <w:tcW w:type="dxa" w:w="3289"/>
          </w:tcPr>
          <w:p>
            <w:pPr>
              <w:spacing w:after="20"/>
            </w:pPr>
            <w:r>
              <w:rPr>
                <w:color w:val="1C3A36"/>
                <w:sz w:val="18"/>
              </w:rPr>
              <w:t>Discount factor at 5.15%</w:t>
            </w:r>
          </w:p>
        </w:tc>
        <w:tc>
          <w:tcPr>
            <w:tcW w:type="dxa" w:w="1358"/>
          </w:tcPr>
          <w:p>
            <w:pPr>
              <w:spacing w:after="20"/>
              <w:jc w:val="right"/>
            </w:pPr>
            <w:r>
              <w:rPr>
                <w:color w:val="1C3A36"/>
                <w:sz w:val="18"/>
              </w:rPr>
              <w:t>0.951</w:t>
            </w:r>
          </w:p>
        </w:tc>
        <w:tc>
          <w:tcPr>
            <w:tcW w:type="dxa" w:w="1358"/>
          </w:tcPr>
          <w:p>
            <w:pPr>
              <w:spacing w:after="20"/>
              <w:jc w:val="right"/>
            </w:pPr>
            <w:r>
              <w:rPr>
                <w:color w:val="1C3A36"/>
                <w:sz w:val="18"/>
              </w:rPr>
              <w:t>0.904</w:t>
            </w:r>
          </w:p>
        </w:tc>
        <w:tc>
          <w:tcPr>
            <w:tcW w:type="dxa" w:w="1358"/>
          </w:tcPr>
          <w:p>
            <w:pPr>
              <w:spacing w:after="20"/>
              <w:jc w:val="right"/>
            </w:pPr>
            <w:r>
              <w:rPr>
                <w:color w:val="1C3A36"/>
                <w:sz w:val="18"/>
              </w:rPr>
              <w:t>0.860</w:t>
            </w:r>
          </w:p>
        </w:tc>
        <w:tc>
          <w:tcPr>
            <w:tcW w:type="dxa" w:w="1358"/>
          </w:tcPr>
          <w:p>
            <w:pPr>
              <w:spacing w:after="20"/>
              <w:jc w:val="right"/>
            </w:pPr>
            <w:r>
              <w:rPr>
                <w:color w:val="1C3A36"/>
                <w:sz w:val="18"/>
              </w:rPr>
              <w:t>0.818</w:t>
            </w:r>
          </w:p>
        </w:tc>
        <w:tc>
          <w:tcPr>
            <w:tcW w:type="dxa" w:w="1358"/>
          </w:tcPr>
          <w:p>
            <w:pPr>
              <w:spacing w:after="20"/>
              <w:jc w:val="right"/>
            </w:pPr>
            <w:r>
              <w:rPr>
                <w:color w:val="1C3A36"/>
                <w:sz w:val="18"/>
              </w:rPr>
              <w:t>0.778</w:t>
            </w:r>
          </w:p>
        </w:tc>
      </w:tr>
      <w:tr>
        <w:tc>
          <w:tcPr>
            <w:tcW w:type="dxa" w:w="3289"/>
            <w:shd w:val="clear" w:color="auto" w:fill="F6F1E6"/>
          </w:tcPr>
          <w:p>
            <w:pPr>
              <w:spacing w:after="20"/>
            </w:pPr>
            <w:r>
              <w:rPr>
                <w:b/>
                <w:color w:val="1C3A36"/>
                <w:sz w:val="18"/>
              </w:rPr>
              <w:t>Present value</w:t>
            </w:r>
          </w:p>
        </w:tc>
        <w:tc>
          <w:tcPr>
            <w:tcW w:type="dxa" w:w="1358"/>
            <w:shd w:val="clear" w:color="auto" w:fill="F6F1E6"/>
          </w:tcPr>
          <w:p>
            <w:pPr>
              <w:spacing w:after="20"/>
              <w:jc w:val="right"/>
            </w:pPr>
            <w:r>
              <w:rPr>
                <w:b/>
                <w:color w:val="1C3A36"/>
                <w:sz w:val="18"/>
              </w:rPr>
              <w:t>1,110</w:t>
            </w:r>
          </w:p>
        </w:tc>
        <w:tc>
          <w:tcPr>
            <w:tcW w:type="dxa" w:w="1358"/>
            <w:shd w:val="clear" w:color="auto" w:fill="F6F1E6"/>
          </w:tcPr>
          <w:p>
            <w:pPr>
              <w:spacing w:after="20"/>
              <w:jc w:val="right"/>
            </w:pPr>
            <w:r>
              <w:rPr>
                <w:b/>
                <w:color w:val="1C3A36"/>
                <w:sz w:val="18"/>
              </w:rPr>
              <w:t>1,404</w:t>
            </w:r>
          </w:p>
        </w:tc>
        <w:tc>
          <w:tcPr>
            <w:tcW w:type="dxa" w:w="1358"/>
            <w:shd w:val="clear" w:color="auto" w:fill="F6F1E6"/>
          </w:tcPr>
          <w:p>
            <w:pPr>
              <w:spacing w:after="20"/>
              <w:jc w:val="right"/>
            </w:pPr>
            <w:r>
              <w:rPr>
                <w:b/>
                <w:color w:val="1C3A36"/>
                <w:sz w:val="18"/>
              </w:rPr>
              <w:t>1,538</w:t>
            </w:r>
          </w:p>
        </w:tc>
        <w:tc>
          <w:tcPr>
            <w:tcW w:type="dxa" w:w="1358"/>
            <w:shd w:val="clear" w:color="auto" w:fill="F6F1E6"/>
          </w:tcPr>
          <w:p>
            <w:pPr>
              <w:spacing w:after="20"/>
              <w:jc w:val="right"/>
            </w:pPr>
            <w:r>
              <w:rPr>
                <w:b/>
                <w:color w:val="1C3A36"/>
                <w:sz w:val="18"/>
              </w:rPr>
              <w:t>1,644</w:t>
            </w:r>
          </w:p>
        </w:tc>
        <w:tc>
          <w:tcPr>
            <w:tcW w:type="dxa" w:w="1358"/>
            <w:shd w:val="clear" w:color="auto" w:fill="F6F1E6"/>
          </w:tcPr>
          <w:p>
            <w:pPr>
              <w:spacing w:after="20"/>
              <w:jc w:val="right"/>
            </w:pPr>
            <w:r>
              <w:rPr>
                <w:b/>
                <w:color w:val="1C3A36"/>
                <w:sz w:val="18"/>
              </w:rPr>
              <w:t>1,648</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96"/>
        <w:gridCol w:w="1814"/>
        <w:gridCol w:w="4570"/>
      </w:tblGrid>
      <w:tr>
        <w:tc>
          <w:tcPr>
            <w:tcW w:type="dxa" w:w="3696"/>
            <w:shd w:val="clear" w:color="auto" w:fill="EAF0EE"/>
          </w:tcPr>
          <w:p>
            <w:pPr>
              <w:spacing w:after="20"/>
            </w:pPr>
            <w:r>
              <w:rPr>
                <w:b/>
                <w:color w:val="1C3A36"/>
                <w:sz w:val="17"/>
              </w:rPr>
            </w:r>
          </w:p>
        </w:tc>
        <w:tc>
          <w:tcPr>
            <w:tcW w:type="dxa" w:w="1814"/>
            <w:shd w:val="clear" w:color="auto" w:fill="EAF0EE"/>
          </w:tcPr>
          <w:p>
            <w:pPr>
              <w:spacing w:after="20"/>
            </w:pPr>
            <w:r>
              <w:rPr>
                <w:b/>
                <w:color w:val="1C3A36"/>
                <w:sz w:val="17"/>
              </w:rPr>
              <w:t>USD million</w:t>
            </w:r>
          </w:p>
        </w:tc>
        <w:tc>
          <w:tcPr>
            <w:tcW w:type="dxa" w:w="4570"/>
            <w:shd w:val="clear" w:color="auto" w:fill="EAF0EE"/>
          </w:tcPr>
          <w:p>
            <w:pPr>
              <w:spacing w:after="20"/>
            </w:pPr>
            <w:r>
              <w:rPr>
                <w:b/>
                <w:color w:val="1C3A36"/>
                <w:sz w:val="17"/>
              </w:rPr>
              <w:t>Construction</w:t>
            </w:r>
          </w:p>
        </w:tc>
      </w:tr>
      <w:tr>
        <w:tc>
          <w:tcPr>
            <w:tcW w:type="dxa" w:w="3696"/>
          </w:tcPr>
          <w:p>
            <w:pPr>
              <w:spacing w:after="20"/>
            </w:pPr>
            <w:r>
              <w:rPr>
                <w:color w:val="1C3A36"/>
                <w:sz w:val="17"/>
              </w:rPr>
              <w:t>Present value of the contracted years</w:t>
            </w:r>
          </w:p>
        </w:tc>
        <w:tc>
          <w:tcPr>
            <w:tcW w:type="dxa" w:w="1814"/>
          </w:tcPr>
          <w:p>
            <w:pPr>
              <w:spacing w:after="20"/>
              <w:jc w:val="right"/>
            </w:pPr>
            <w:r>
              <w:rPr>
                <w:color w:val="1C3A36"/>
                <w:sz w:val="17"/>
              </w:rPr>
              <w:t>7,345</w:t>
            </w:r>
          </w:p>
        </w:tc>
        <w:tc>
          <w:tcPr>
            <w:tcW w:type="dxa" w:w="4570"/>
          </w:tcPr>
          <w:p>
            <w:pPr>
              <w:spacing w:after="20"/>
              <w:jc w:val="right"/>
            </w:pPr>
            <w:r>
              <w:rPr>
                <w:color w:val="1C3A36"/>
                <w:sz w:val="17"/>
              </w:rPr>
            </w:r>
          </w:p>
        </w:tc>
      </w:tr>
      <w:tr>
        <w:tc>
          <w:tcPr>
            <w:tcW w:type="dxa" w:w="3696"/>
          </w:tcPr>
          <w:p>
            <w:pPr>
              <w:spacing w:after="20"/>
            </w:pPr>
            <w:r>
              <w:rPr>
                <w:color w:val="1C3A36"/>
                <w:sz w:val="17"/>
              </w:rPr>
              <w:t>Terminal-year NOPAT</w:t>
            </w:r>
          </w:p>
        </w:tc>
        <w:tc>
          <w:tcPr>
            <w:tcW w:type="dxa" w:w="1814"/>
          </w:tcPr>
          <w:p>
            <w:pPr>
              <w:spacing w:after="20"/>
              <w:jc w:val="right"/>
            </w:pPr>
            <w:r>
              <w:rPr>
                <w:color w:val="1C3A36"/>
                <w:sz w:val="17"/>
              </w:rPr>
              <w:t>1,991</w:t>
            </w:r>
          </w:p>
        </w:tc>
        <w:tc>
          <w:tcPr>
            <w:tcW w:type="dxa" w:w="4570"/>
          </w:tcPr>
          <w:p>
            <w:pPr>
              <w:spacing w:after="20"/>
              <w:jc w:val="right"/>
            </w:pPr>
            <w:r>
              <w:rPr>
                <w:color w:val="1C3A36"/>
                <w:sz w:val="17"/>
              </w:rPr>
              <w:t>FY2030 NOPAT grown at 1.5%</w:t>
            </w:r>
          </w:p>
        </w:tc>
      </w:tr>
      <w:tr>
        <w:tc>
          <w:tcPr>
            <w:tcW w:type="dxa" w:w="3696"/>
          </w:tcPr>
          <w:p>
            <w:pPr>
              <w:spacing w:after="20"/>
            </w:pPr>
            <w:r>
              <w:rPr>
                <w:color w:val="1C3A36"/>
                <w:sz w:val="17"/>
              </w:rPr>
              <w:t>Reinvestment rate</w:t>
            </w:r>
          </w:p>
        </w:tc>
        <w:tc>
          <w:tcPr>
            <w:tcW w:type="dxa" w:w="1814"/>
          </w:tcPr>
          <w:p>
            <w:pPr>
              <w:spacing w:after="20"/>
              <w:jc w:val="right"/>
            </w:pPr>
            <w:r>
              <w:rPr>
                <w:color w:val="1C3A36"/>
                <w:sz w:val="17"/>
              </w:rPr>
              <w:t>8.3%</w:t>
            </w:r>
          </w:p>
        </w:tc>
        <w:tc>
          <w:tcPr>
            <w:tcW w:type="dxa" w:w="4570"/>
          </w:tcPr>
          <w:p>
            <w:pPr>
              <w:spacing w:after="20"/>
              <w:jc w:val="right"/>
            </w:pPr>
            <w:r>
              <w:rPr>
                <w:color w:val="1C3A36"/>
                <w:sz w:val="17"/>
              </w:rPr>
              <w:t>Growth over the terminal return on capital</w:t>
            </w:r>
          </w:p>
        </w:tc>
      </w:tr>
      <w:tr>
        <w:tc>
          <w:tcPr>
            <w:tcW w:type="dxa" w:w="3696"/>
          </w:tcPr>
          <w:p>
            <w:pPr>
              <w:spacing w:after="20"/>
            </w:pPr>
            <w:r>
              <w:rPr>
                <w:color w:val="1C3A36"/>
                <w:sz w:val="17"/>
              </w:rPr>
              <w:t>Tail discount rate</w:t>
            </w:r>
          </w:p>
        </w:tc>
        <w:tc>
          <w:tcPr>
            <w:tcW w:type="dxa" w:w="1814"/>
          </w:tcPr>
          <w:p>
            <w:pPr>
              <w:spacing w:after="20"/>
              <w:jc w:val="right"/>
            </w:pPr>
            <w:r>
              <w:rPr>
                <w:color w:val="1C3A36"/>
                <w:sz w:val="17"/>
              </w:rPr>
              <w:t>9.51%</w:t>
            </w:r>
          </w:p>
        </w:tc>
        <w:tc>
          <w:tcPr>
            <w:tcW w:type="dxa" w:w="4570"/>
          </w:tcPr>
          <w:p>
            <w:pPr>
              <w:spacing w:after="20"/>
              <w:jc w:val="right"/>
            </w:pPr>
            <w:r>
              <w:rPr>
                <w:color w:val="1C3A36"/>
                <w:sz w:val="17"/>
              </w:rPr>
              <w:t>The cost of capital plus a 150-basis-point renewal premium</w:t>
            </w:r>
          </w:p>
        </w:tc>
      </w:tr>
      <w:tr>
        <w:tc>
          <w:tcPr>
            <w:tcW w:type="dxa" w:w="3696"/>
          </w:tcPr>
          <w:p>
            <w:pPr>
              <w:spacing w:after="20"/>
            </w:pPr>
            <w:r>
              <w:rPr>
                <w:color w:val="1C3A36"/>
                <w:sz w:val="17"/>
              </w:rPr>
              <w:t>Terminal value</w:t>
            </w:r>
          </w:p>
        </w:tc>
        <w:tc>
          <w:tcPr>
            <w:tcW w:type="dxa" w:w="1814"/>
          </w:tcPr>
          <w:p>
            <w:pPr>
              <w:spacing w:after="20"/>
              <w:jc w:val="right"/>
            </w:pPr>
            <w:r>
              <w:rPr>
                <w:color w:val="1C3A36"/>
                <w:sz w:val="17"/>
              </w:rPr>
              <w:t>22,789</w:t>
            </w:r>
          </w:p>
        </w:tc>
        <w:tc>
          <w:tcPr>
            <w:tcW w:type="dxa" w:w="4570"/>
          </w:tcPr>
          <w:p>
            <w:pPr>
              <w:spacing w:after="20"/>
              <w:jc w:val="right"/>
            </w:pPr>
            <w:r>
              <w:rPr>
                <w:color w:val="1C3A36"/>
                <w:sz w:val="17"/>
              </w:rPr>
            </w:r>
          </w:p>
        </w:tc>
      </w:tr>
      <w:tr>
        <w:tc>
          <w:tcPr>
            <w:tcW w:type="dxa" w:w="3696"/>
          </w:tcPr>
          <w:p>
            <w:pPr>
              <w:spacing w:after="20"/>
            </w:pPr>
            <w:r>
              <w:rPr>
                <w:color w:val="1C3A36"/>
                <w:sz w:val="17"/>
              </w:rPr>
              <w:t>Present value of the terminal value</w:t>
            </w:r>
          </w:p>
        </w:tc>
        <w:tc>
          <w:tcPr>
            <w:tcW w:type="dxa" w:w="1814"/>
          </w:tcPr>
          <w:p>
            <w:pPr>
              <w:spacing w:after="20"/>
              <w:jc w:val="right"/>
            </w:pPr>
            <w:r>
              <w:rPr>
                <w:color w:val="1C3A36"/>
                <w:sz w:val="17"/>
              </w:rPr>
              <w:t>14,470</w:t>
            </w:r>
          </w:p>
        </w:tc>
        <w:tc>
          <w:tcPr>
            <w:tcW w:type="dxa" w:w="4570"/>
          </w:tcPr>
          <w:p>
            <w:pPr>
              <w:spacing w:after="20"/>
              <w:jc w:val="right"/>
            </w:pPr>
            <w:r>
              <w:rPr>
                <w:color w:val="1C3A36"/>
                <w:sz w:val="17"/>
              </w:rPr>
            </w:r>
          </w:p>
        </w:tc>
      </w:tr>
      <w:tr>
        <w:tc>
          <w:tcPr>
            <w:tcW w:type="dxa" w:w="3696"/>
          </w:tcPr>
          <w:p>
            <w:pPr>
              <w:spacing w:after="20"/>
            </w:pPr>
            <w:r>
              <w:rPr>
                <w:color w:val="1C3A36"/>
                <w:sz w:val="17"/>
              </w:rPr>
              <w:t>Enterprise value</w:t>
            </w:r>
          </w:p>
        </w:tc>
        <w:tc>
          <w:tcPr>
            <w:tcW w:type="dxa" w:w="1814"/>
          </w:tcPr>
          <w:p>
            <w:pPr>
              <w:spacing w:after="20"/>
              <w:jc w:val="right"/>
            </w:pPr>
            <w:r>
              <w:rPr>
                <w:color w:val="1C3A36"/>
                <w:sz w:val="17"/>
              </w:rPr>
              <w:t>21,816</w:t>
            </w:r>
          </w:p>
        </w:tc>
        <w:tc>
          <w:tcPr>
            <w:tcW w:type="dxa" w:w="4570"/>
          </w:tcPr>
          <w:p>
            <w:pPr>
              <w:spacing w:after="20"/>
              <w:jc w:val="right"/>
            </w:pPr>
            <w:r>
              <w:rPr>
                <w:color w:val="1C3A36"/>
                <w:sz w:val="17"/>
              </w:rPr>
            </w:r>
          </w:p>
        </w:tc>
      </w:tr>
      <w:tr>
        <w:tc>
          <w:tcPr>
            <w:tcW w:type="dxa" w:w="3696"/>
            <w:shd w:val="clear" w:color="auto" w:fill="F6F1E6"/>
          </w:tcPr>
          <w:p>
            <w:pPr>
              <w:spacing w:after="20"/>
            </w:pPr>
            <w:r>
              <w:rPr>
                <w:b/>
                <w:color w:val="1C3A36"/>
                <w:sz w:val="17"/>
              </w:rPr>
              <w:t>of which terminal</w:t>
            </w:r>
          </w:p>
        </w:tc>
        <w:tc>
          <w:tcPr>
            <w:tcW w:type="dxa" w:w="1814"/>
            <w:shd w:val="clear" w:color="auto" w:fill="F6F1E6"/>
          </w:tcPr>
          <w:p>
            <w:pPr>
              <w:spacing w:after="20"/>
              <w:jc w:val="right"/>
            </w:pPr>
            <w:r>
              <w:rPr>
                <w:b/>
                <w:color w:val="1C3A36"/>
                <w:sz w:val="17"/>
              </w:rPr>
              <w:t>66.3%</w:t>
            </w:r>
          </w:p>
        </w:tc>
        <w:tc>
          <w:tcPr>
            <w:tcW w:type="dxa" w:w="4570"/>
            <w:shd w:val="clear" w:color="auto" w:fill="F6F1E6"/>
          </w:tcPr>
          <w:p>
            <w:pPr>
              <w:spacing w:after="20"/>
              <w:jc w:val="right"/>
            </w:pPr>
            <w:r>
              <w:rPr>
                <w:b/>
                <w:color w:val="1C3A36"/>
                <w:sz w:val="17"/>
              </w:rPr>
            </w:r>
          </w:p>
        </w:tc>
      </w:tr>
      <w:tr>
        <w:tc>
          <w:tcPr>
            <w:tcW w:type="dxa" w:w="3696"/>
          </w:tcPr>
          <w:p>
            <w:pPr>
              <w:spacing w:after="20"/>
            </w:pPr>
            <w:r>
              <w:rPr>
                <w:color w:val="1C3A36"/>
                <w:sz w:val="17"/>
              </w:rPr>
              <w:t>Equity value after the bridge</w:t>
            </w:r>
          </w:p>
        </w:tc>
        <w:tc>
          <w:tcPr>
            <w:tcW w:type="dxa" w:w="1814"/>
          </w:tcPr>
          <w:p>
            <w:pPr>
              <w:spacing w:after="20"/>
              <w:jc w:val="right"/>
            </w:pPr>
            <w:r>
              <w:rPr>
                <w:color w:val="1C3A36"/>
                <w:sz w:val="17"/>
              </w:rPr>
              <w:t>20,003</w:t>
            </w:r>
          </w:p>
        </w:tc>
        <w:tc>
          <w:tcPr>
            <w:tcW w:type="dxa" w:w="4570"/>
          </w:tcPr>
          <w:p>
            <w:pPr>
              <w:spacing w:after="20"/>
              <w:jc w:val="right"/>
            </w:pPr>
            <w:r>
              <w:rPr>
                <w:color w:val="1C3A36"/>
                <w:sz w:val="17"/>
              </w:rPr>
            </w:r>
          </w:p>
        </w:tc>
      </w:tr>
      <w:tr>
        <w:tc>
          <w:tcPr>
            <w:tcW w:type="dxa" w:w="3696"/>
          </w:tcPr>
          <w:p>
            <w:pPr>
              <w:spacing w:after="20"/>
            </w:pPr>
            <w:r>
              <w:rPr>
                <w:color w:val="1C3A36"/>
                <w:sz w:val="17"/>
              </w:rPr>
              <w:t>Value per share (AED)</w:t>
            </w:r>
          </w:p>
        </w:tc>
        <w:tc>
          <w:tcPr>
            <w:tcW w:type="dxa" w:w="1814"/>
          </w:tcPr>
          <w:p>
            <w:pPr>
              <w:spacing w:after="20"/>
              <w:jc w:val="right"/>
            </w:pPr>
            <w:r>
              <w:rPr>
                <w:color w:val="1C3A36"/>
                <w:sz w:val="17"/>
              </w:rPr>
              <w:t>4.59</w:t>
            </w:r>
          </w:p>
        </w:tc>
        <w:tc>
          <w:tcPr>
            <w:tcW w:type="dxa" w:w="4570"/>
          </w:tcPr>
          <w:p>
            <w:pPr>
              <w:spacing w:after="20"/>
              <w:jc w:val="right"/>
            </w:pPr>
            <w:r>
              <w:rPr>
                <w:color w:val="1C3A36"/>
                <w:sz w:val="17"/>
              </w:rPr>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91"/>
        <w:gridCol w:w="1278"/>
        <w:gridCol w:w="1278"/>
        <w:gridCol w:w="1278"/>
        <w:gridCol w:w="1278"/>
        <w:gridCol w:w="1278"/>
      </w:tblGrid>
      <w:tr>
        <w:tc>
          <w:tcPr>
            <w:tcW w:type="dxa" w:w="3691"/>
            <w:shd w:val="clear" w:color="auto" w:fill="EAF0EE"/>
          </w:tcPr>
          <w:p>
            <w:pPr>
              <w:spacing w:after="20"/>
            </w:pPr>
            <w:r>
              <w:rPr>
                <w:b/>
                <w:color w:val="1C3A36"/>
                <w:sz w:val="18"/>
              </w:rPr>
              <w:t>Renewal premium over the cost of capital</w:t>
            </w:r>
          </w:p>
        </w:tc>
        <w:tc>
          <w:tcPr>
            <w:tcW w:type="dxa" w:w="1278"/>
            <w:shd w:val="clear" w:color="auto" w:fill="EAF0EE"/>
          </w:tcPr>
          <w:p>
            <w:pPr>
              <w:spacing w:after="20"/>
            </w:pPr>
            <w:r>
              <w:rPr>
                <w:b/>
                <w:color w:val="1C3A36"/>
                <w:sz w:val="18"/>
              </w:rPr>
              <w:t>0.5%</w:t>
            </w:r>
          </w:p>
        </w:tc>
        <w:tc>
          <w:tcPr>
            <w:tcW w:type="dxa" w:w="1278"/>
            <w:shd w:val="clear" w:color="auto" w:fill="EAF0EE"/>
          </w:tcPr>
          <w:p>
            <w:pPr>
              <w:spacing w:after="20"/>
            </w:pPr>
            <w:r>
              <w:rPr>
                <w:b/>
                <w:color w:val="1C3A36"/>
                <w:sz w:val="18"/>
              </w:rPr>
              <w:t>1.0%</w:t>
            </w:r>
          </w:p>
        </w:tc>
        <w:tc>
          <w:tcPr>
            <w:tcW w:type="dxa" w:w="1278"/>
            <w:shd w:val="clear" w:color="auto" w:fill="EAF0EE"/>
          </w:tcPr>
          <w:p>
            <w:pPr>
              <w:spacing w:after="20"/>
            </w:pPr>
            <w:r>
              <w:rPr>
                <w:b/>
                <w:color w:val="1C3A36"/>
                <w:sz w:val="18"/>
              </w:rPr>
              <w:t>1.5%</w:t>
            </w:r>
          </w:p>
        </w:tc>
        <w:tc>
          <w:tcPr>
            <w:tcW w:type="dxa" w:w="1278"/>
            <w:shd w:val="clear" w:color="auto" w:fill="EAF0EE"/>
          </w:tcPr>
          <w:p>
            <w:pPr>
              <w:spacing w:after="20"/>
            </w:pPr>
            <w:r>
              <w:rPr>
                <w:b/>
                <w:color w:val="1C3A36"/>
                <w:sz w:val="18"/>
              </w:rPr>
              <w:t>2.5%</w:t>
            </w:r>
          </w:p>
        </w:tc>
        <w:tc>
          <w:tcPr>
            <w:tcW w:type="dxa" w:w="1278"/>
            <w:shd w:val="clear" w:color="auto" w:fill="EAF0EE"/>
          </w:tcPr>
          <w:p>
            <w:pPr>
              <w:spacing w:after="20"/>
            </w:pPr>
            <w:r>
              <w:rPr>
                <w:b/>
                <w:color w:val="1C3A36"/>
                <w:sz w:val="18"/>
              </w:rPr>
              <w:t>3.5%</w:t>
            </w:r>
          </w:p>
        </w:tc>
      </w:tr>
      <w:tr>
        <w:tc>
          <w:tcPr>
            <w:tcW w:type="dxa" w:w="3691"/>
          </w:tcPr>
          <w:p>
            <w:pPr>
              <w:spacing w:after="20"/>
            </w:pPr>
            <w:r>
              <w:rPr>
                <w:color w:val="1C3A36"/>
                <w:sz w:val="18"/>
              </w:rPr>
              <w:t>Value per share (AED)</w:t>
            </w:r>
          </w:p>
        </w:tc>
        <w:tc>
          <w:tcPr>
            <w:tcW w:type="dxa" w:w="1278"/>
          </w:tcPr>
          <w:p>
            <w:pPr>
              <w:spacing w:after="20"/>
              <w:jc w:val="right"/>
            </w:pPr>
            <w:r>
              <w:rPr>
                <w:color w:val="1C3A36"/>
                <w:sz w:val="18"/>
              </w:rPr>
              <w:t>5.25</w:t>
            </w:r>
          </w:p>
        </w:tc>
        <w:tc>
          <w:tcPr>
            <w:tcW w:type="dxa" w:w="1278"/>
          </w:tcPr>
          <w:p>
            <w:pPr>
              <w:spacing w:after="20"/>
              <w:jc w:val="right"/>
            </w:pPr>
            <w:r>
              <w:rPr>
                <w:color w:val="1C3A36"/>
                <w:sz w:val="18"/>
              </w:rPr>
              <w:t>4.90</w:t>
            </w:r>
          </w:p>
        </w:tc>
        <w:tc>
          <w:tcPr>
            <w:tcW w:type="dxa" w:w="1278"/>
          </w:tcPr>
          <w:p>
            <w:pPr>
              <w:spacing w:after="20"/>
              <w:jc w:val="right"/>
            </w:pPr>
            <w:r>
              <w:rPr>
                <w:color w:val="1C3A36"/>
                <w:sz w:val="18"/>
              </w:rPr>
              <w:t>4.59</w:t>
            </w:r>
          </w:p>
        </w:tc>
        <w:tc>
          <w:tcPr>
            <w:tcW w:type="dxa" w:w="1278"/>
          </w:tcPr>
          <w:p>
            <w:pPr>
              <w:spacing w:after="20"/>
              <w:jc w:val="right"/>
            </w:pPr>
            <w:r>
              <w:rPr>
                <w:color w:val="1C3A36"/>
                <w:sz w:val="18"/>
              </w:rPr>
              <w:t>4.09</w:t>
            </w:r>
          </w:p>
        </w:tc>
        <w:tc>
          <w:tcPr>
            <w:tcW w:type="dxa" w:w="1278"/>
          </w:tcPr>
          <w:p>
            <w:pPr>
              <w:spacing w:after="20"/>
              <w:jc w:val="right"/>
            </w:pPr>
            <w:r>
              <w:rPr>
                <w:color w:val="1C3A36"/>
                <w:sz w:val="18"/>
              </w:rPr>
              <w:t>3.70</w:t>
            </w:r>
          </w:p>
        </w:tc>
      </w:tr>
    </w:tbl>
    <w:p>
      <w:pPr>
        <w:spacing w:after="40"/>
      </w:pPr>
    </w:p>
    <w:p>
      <w:pPr>
        <w:spacing w:after="120" w:before="0"/>
      </w:pPr>
      <w:r>
        <w:rPr>
          <w:b w:val="0"/>
          <w:i w:val="0"/>
          <w:color w:val="1C3A36"/>
          <w:sz w:val="21"/>
        </w:rPr>
        <w:t>Falsifier, stated in advance: The 2027 guidance the company has said it will publish once rig and oilfield-services phasing is fixed. If the guided 2027 revenue lands below this model's $5.16 billion, the contracted book is thinner than assumed and the near-year discount rate is too generous.</w:t>
      </w:r>
    </w:p>
    <w:p>
      <w:pPr>
        <w:spacing w:after="80" w:before="200"/>
      </w:pPr>
      <w:r>
        <w:rPr>
          <w:b/>
          <w:i w:val="0"/>
          <w:color w:val="1C3A36"/>
          <w:sz w:val="24"/>
        </w:rPr>
        <w:t>C.3 Expert 3 — the distribution investor</w:t>
      </w:r>
    </w:p>
    <w:p>
      <w:pPr>
        <w:spacing w:after="60" w:before="0"/>
      </w:pPr>
      <w:r>
        <w:rPr>
          <w:b w:val="0"/>
          <w:i w:val="0"/>
          <w:color w:val="1C3A36"/>
          <w:sz w:val="21"/>
        </w:rPr>
        <w:t>Worldview: a minority shareholder in a state-controlled company owns the distribution, not the enterprise. Value what actually leaves the company, discounted at the cost of equity — not at a cost of capital that blends in debt the shareholder does not own.</w:t>
      </w:r>
    </w:p>
    <w:p>
      <w:pPr>
        <w:spacing w:after="80" w:before="0"/>
      </w:pPr>
      <w:r>
        <w:rPr>
          <w:b w:val="0"/>
          <w:i w:val="0"/>
          <w:color w:val="1C3A36"/>
          <w:sz w:val="21"/>
        </w:rPr>
        <w:t>When it works: on mature, high-payout, majority-controlled companies. When it fails: when the payout is a policy that can be withdrawn, and whenever retained cash is genuinely being reinvested at a high return — as some of it is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89"/>
        <w:gridCol w:w="1358"/>
        <w:gridCol w:w="1358"/>
        <w:gridCol w:w="1358"/>
        <w:gridCol w:w="1358"/>
        <w:gridCol w:w="1358"/>
      </w:tblGrid>
      <w:tr>
        <w:tc>
          <w:tcPr>
            <w:tcW w:type="dxa" w:w="3289"/>
            <w:shd w:val="clear" w:color="auto" w:fill="EAF0EE"/>
          </w:tcPr>
          <w:p>
            <w:pPr>
              <w:spacing w:after="20"/>
            </w:pPr>
            <w:r>
              <w:rPr>
                <w:b/>
                <w:color w:val="1C3A36"/>
                <w:sz w:val="18"/>
              </w:rPr>
            </w:r>
          </w:p>
        </w:tc>
        <w:tc>
          <w:tcPr>
            <w:tcW w:type="dxa" w:w="1358"/>
            <w:shd w:val="clear" w:color="auto" w:fill="EAF0EE"/>
          </w:tcPr>
          <w:p>
            <w:pPr>
              <w:spacing w:after="20"/>
            </w:pPr>
            <w:r>
              <w:rPr>
                <w:b/>
                <w:color w:val="1C3A36"/>
                <w:sz w:val="18"/>
              </w:rPr>
              <w:t>FY2026E</w:t>
            </w:r>
          </w:p>
        </w:tc>
        <w:tc>
          <w:tcPr>
            <w:tcW w:type="dxa" w:w="1358"/>
            <w:shd w:val="clear" w:color="auto" w:fill="EAF0EE"/>
          </w:tcPr>
          <w:p>
            <w:pPr>
              <w:spacing w:after="20"/>
            </w:pPr>
            <w:r>
              <w:rPr>
                <w:b/>
                <w:color w:val="1C3A36"/>
                <w:sz w:val="18"/>
              </w:rPr>
              <w:t>FY2027E</w:t>
            </w:r>
          </w:p>
        </w:tc>
        <w:tc>
          <w:tcPr>
            <w:tcW w:type="dxa" w:w="1358"/>
            <w:shd w:val="clear" w:color="auto" w:fill="EAF0EE"/>
          </w:tcPr>
          <w:p>
            <w:pPr>
              <w:spacing w:after="20"/>
            </w:pPr>
            <w:r>
              <w:rPr>
                <w:b/>
                <w:color w:val="1C3A36"/>
                <w:sz w:val="18"/>
              </w:rPr>
              <w:t>FY2028E</w:t>
            </w:r>
          </w:p>
        </w:tc>
        <w:tc>
          <w:tcPr>
            <w:tcW w:type="dxa" w:w="1358"/>
            <w:shd w:val="clear" w:color="auto" w:fill="EAF0EE"/>
          </w:tcPr>
          <w:p>
            <w:pPr>
              <w:spacing w:after="20"/>
            </w:pPr>
            <w:r>
              <w:rPr>
                <w:b/>
                <w:color w:val="1C3A36"/>
                <w:sz w:val="18"/>
              </w:rPr>
              <w:t>FY2029E</w:t>
            </w:r>
          </w:p>
        </w:tc>
        <w:tc>
          <w:tcPr>
            <w:tcW w:type="dxa" w:w="1358"/>
            <w:shd w:val="clear" w:color="auto" w:fill="EAF0EE"/>
          </w:tcPr>
          <w:p>
            <w:pPr>
              <w:spacing w:after="20"/>
            </w:pPr>
            <w:r>
              <w:rPr>
                <w:b/>
                <w:color w:val="1C3A36"/>
                <w:sz w:val="18"/>
              </w:rPr>
              <w:t>FY2030E</w:t>
            </w:r>
          </w:p>
        </w:tc>
      </w:tr>
      <w:tr>
        <w:tc>
          <w:tcPr>
            <w:tcW w:type="dxa" w:w="3289"/>
          </w:tcPr>
          <w:p>
            <w:pPr>
              <w:spacing w:after="20"/>
            </w:pPr>
            <w:r>
              <w:rPr>
                <w:color w:val="1C3A36"/>
                <w:sz w:val="18"/>
              </w:rPr>
              <w:t>Dividend (USD million)</w:t>
            </w:r>
          </w:p>
        </w:tc>
        <w:tc>
          <w:tcPr>
            <w:tcW w:type="dxa" w:w="1358"/>
          </w:tcPr>
          <w:p>
            <w:pPr>
              <w:spacing w:after="20"/>
              <w:jc w:val="right"/>
            </w:pPr>
            <w:r>
              <w:rPr>
                <w:color w:val="1C3A36"/>
                <w:sz w:val="18"/>
              </w:rPr>
              <w:t>1,050</w:t>
            </w:r>
          </w:p>
        </w:tc>
        <w:tc>
          <w:tcPr>
            <w:tcW w:type="dxa" w:w="1358"/>
          </w:tcPr>
          <w:p>
            <w:pPr>
              <w:spacing w:after="20"/>
              <w:jc w:val="right"/>
            </w:pPr>
            <w:r>
              <w:rPr>
                <w:color w:val="1C3A36"/>
                <w:sz w:val="18"/>
              </w:rPr>
              <w:t>1,102</w:t>
            </w:r>
          </w:p>
        </w:tc>
        <w:tc>
          <w:tcPr>
            <w:tcW w:type="dxa" w:w="1358"/>
          </w:tcPr>
          <w:p>
            <w:pPr>
              <w:spacing w:after="20"/>
              <w:jc w:val="right"/>
            </w:pPr>
            <w:r>
              <w:rPr>
                <w:color w:val="1C3A36"/>
                <w:sz w:val="18"/>
              </w:rPr>
              <w:t>1,158</w:t>
            </w:r>
          </w:p>
        </w:tc>
        <w:tc>
          <w:tcPr>
            <w:tcW w:type="dxa" w:w="1358"/>
          </w:tcPr>
          <w:p>
            <w:pPr>
              <w:spacing w:after="20"/>
              <w:jc w:val="right"/>
            </w:pPr>
            <w:r>
              <w:rPr>
                <w:color w:val="1C3A36"/>
                <w:sz w:val="18"/>
              </w:rPr>
              <w:t>1,216</w:t>
            </w:r>
          </w:p>
        </w:tc>
        <w:tc>
          <w:tcPr>
            <w:tcW w:type="dxa" w:w="1358"/>
          </w:tcPr>
          <w:p>
            <w:pPr>
              <w:spacing w:after="20"/>
              <w:jc w:val="right"/>
            </w:pPr>
            <w:r>
              <w:rPr>
                <w:color w:val="1C3A36"/>
                <w:sz w:val="18"/>
              </w:rPr>
              <w:t>1,276</w:t>
            </w:r>
          </w:p>
        </w:tc>
      </w:tr>
      <w:tr>
        <w:tc>
          <w:tcPr>
            <w:tcW w:type="dxa" w:w="3289"/>
          </w:tcPr>
          <w:p>
            <w:pPr>
              <w:spacing w:after="20"/>
            </w:pPr>
            <w:r>
              <w:rPr>
                <w:color w:val="1C3A36"/>
                <w:sz w:val="18"/>
              </w:rPr>
              <w:t>Discount factor at 8.33%</w:t>
            </w:r>
          </w:p>
        </w:tc>
        <w:tc>
          <w:tcPr>
            <w:tcW w:type="dxa" w:w="1358"/>
          </w:tcPr>
          <w:p>
            <w:pPr>
              <w:spacing w:after="20"/>
              <w:jc w:val="right"/>
            </w:pPr>
            <w:r>
              <w:rPr>
                <w:color w:val="1C3A36"/>
                <w:sz w:val="18"/>
              </w:rPr>
              <w:t>0.923</w:t>
            </w:r>
          </w:p>
        </w:tc>
        <w:tc>
          <w:tcPr>
            <w:tcW w:type="dxa" w:w="1358"/>
          </w:tcPr>
          <w:p>
            <w:pPr>
              <w:spacing w:after="20"/>
              <w:jc w:val="right"/>
            </w:pPr>
            <w:r>
              <w:rPr>
                <w:color w:val="1C3A36"/>
                <w:sz w:val="18"/>
              </w:rPr>
              <w:t>0.852</w:t>
            </w:r>
          </w:p>
        </w:tc>
        <w:tc>
          <w:tcPr>
            <w:tcW w:type="dxa" w:w="1358"/>
          </w:tcPr>
          <w:p>
            <w:pPr>
              <w:spacing w:after="20"/>
              <w:jc w:val="right"/>
            </w:pPr>
            <w:r>
              <w:rPr>
                <w:color w:val="1C3A36"/>
                <w:sz w:val="18"/>
              </w:rPr>
              <w:t>0.787</w:t>
            </w:r>
          </w:p>
        </w:tc>
        <w:tc>
          <w:tcPr>
            <w:tcW w:type="dxa" w:w="1358"/>
          </w:tcPr>
          <w:p>
            <w:pPr>
              <w:spacing w:after="20"/>
              <w:jc w:val="right"/>
            </w:pPr>
            <w:r>
              <w:rPr>
                <w:color w:val="1C3A36"/>
                <w:sz w:val="18"/>
              </w:rPr>
              <w:t>0.726</w:t>
            </w:r>
          </w:p>
        </w:tc>
        <w:tc>
          <w:tcPr>
            <w:tcW w:type="dxa" w:w="1358"/>
          </w:tcPr>
          <w:p>
            <w:pPr>
              <w:spacing w:after="20"/>
              <w:jc w:val="right"/>
            </w:pPr>
            <w:r>
              <w:rPr>
                <w:color w:val="1C3A36"/>
                <w:sz w:val="18"/>
              </w:rPr>
              <w:t>0.670</w:t>
            </w:r>
          </w:p>
        </w:tc>
      </w:tr>
      <w:tr>
        <w:tc>
          <w:tcPr>
            <w:tcW w:type="dxa" w:w="3289"/>
            <w:shd w:val="clear" w:color="auto" w:fill="F6F1E6"/>
          </w:tcPr>
          <w:p>
            <w:pPr>
              <w:spacing w:after="20"/>
            </w:pPr>
            <w:r>
              <w:rPr>
                <w:b/>
                <w:color w:val="1C3A36"/>
                <w:sz w:val="18"/>
              </w:rPr>
              <w:t>Present value</w:t>
            </w:r>
          </w:p>
        </w:tc>
        <w:tc>
          <w:tcPr>
            <w:tcW w:type="dxa" w:w="1358"/>
            <w:shd w:val="clear" w:color="auto" w:fill="F6F1E6"/>
          </w:tcPr>
          <w:p>
            <w:pPr>
              <w:spacing w:after="20"/>
              <w:jc w:val="right"/>
            </w:pPr>
            <w:r>
              <w:rPr>
                <w:b/>
                <w:color w:val="1C3A36"/>
                <w:sz w:val="18"/>
              </w:rPr>
              <w:t>969</w:t>
            </w:r>
          </w:p>
        </w:tc>
        <w:tc>
          <w:tcPr>
            <w:tcW w:type="dxa" w:w="1358"/>
            <w:shd w:val="clear" w:color="auto" w:fill="F6F1E6"/>
          </w:tcPr>
          <w:p>
            <w:pPr>
              <w:spacing w:after="20"/>
              <w:jc w:val="right"/>
            </w:pPr>
            <w:r>
              <w:rPr>
                <w:b/>
                <w:color w:val="1C3A36"/>
                <w:sz w:val="18"/>
              </w:rPr>
              <w:t>939</w:t>
            </w:r>
          </w:p>
        </w:tc>
        <w:tc>
          <w:tcPr>
            <w:tcW w:type="dxa" w:w="1358"/>
            <w:shd w:val="clear" w:color="auto" w:fill="F6F1E6"/>
          </w:tcPr>
          <w:p>
            <w:pPr>
              <w:spacing w:after="20"/>
              <w:jc w:val="right"/>
            </w:pPr>
            <w:r>
              <w:rPr>
                <w:b/>
                <w:color w:val="1C3A36"/>
                <w:sz w:val="18"/>
              </w:rPr>
              <w:t>911</w:t>
            </w:r>
          </w:p>
        </w:tc>
        <w:tc>
          <w:tcPr>
            <w:tcW w:type="dxa" w:w="1358"/>
            <w:shd w:val="clear" w:color="auto" w:fill="F6F1E6"/>
          </w:tcPr>
          <w:p>
            <w:pPr>
              <w:spacing w:after="20"/>
              <w:jc w:val="right"/>
            </w:pPr>
            <w:r>
              <w:rPr>
                <w:b/>
                <w:color w:val="1C3A36"/>
                <w:sz w:val="18"/>
              </w:rPr>
              <w:t>883</w:t>
            </w:r>
          </w:p>
        </w:tc>
        <w:tc>
          <w:tcPr>
            <w:tcW w:type="dxa" w:w="1358"/>
            <w:shd w:val="clear" w:color="auto" w:fill="F6F1E6"/>
          </w:tcPr>
          <w:p>
            <w:pPr>
              <w:spacing w:after="20"/>
              <w:jc w:val="right"/>
            </w:pPr>
            <w:r>
              <w:rPr>
                <w:b/>
                <w:color w:val="1C3A36"/>
                <w:sz w:val="18"/>
              </w:rPr>
              <w:t>855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96"/>
        <w:gridCol w:w="1814"/>
        <w:gridCol w:w="4570"/>
      </w:tblGrid>
      <w:tr>
        <w:tc>
          <w:tcPr>
            <w:tcW w:type="dxa" w:w="3696"/>
            <w:shd w:val="clear" w:color="auto" w:fill="EAF0EE"/>
          </w:tcPr>
          <w:p>
            <w:pPr>
              <w:spacing w:after="20"/>
            </w:pPr>
            <w:r>
              <w:rPr>
                <w:b/>
                <w:color w:val="1C3A36"/>
                <w:sz w:val="17"/>
              </w:rPr>
            </w:r>
          </w:p>
        </w:tc>
        <w:tc>
          <w:tcPr>
            <w:tcW w:type="dxa" w:w="1814"/>
            <w:shd w:val="clear" w:color="auto" w:fill="EAF0EE"/>
          </w:tcPr>
          <w:p>
            <w:pPr>
              <w:spacing w:after="20"/>
            </w:pPr>
            <w:r>
              <w:rPr>
                <w:b/>
                <w:color w:val="1C3A36"/>
                <w:sz w:val="17"/>
              </w:rPr>
              <w:t>USD million</w:t>
            </w:r>
          </w:p>
        </w:tc>
        <w:tc>
          <w:tcPr>
            <w:tcW w:type="dxa" w:w="4570"/>
            <w:shd w:val="clear" w:color="auto" w:fill="EAF0EE"/>
          </w:tcPr>
          <w:p>
            <w:pPr>
              <w:spacing w:after="20"/>
            </w:pPr>
            <w:r>
              <w:rPr>
                <w:b/>
                <w:color w:val="1C3A36"/>
                <w:sz w:val="17"/>
              </w:rPr>
              <w:t>Construction</w:t>
            </w:r>
          </w:p>
        </w:tc>
      </w:tr>
      <w:tr>
        <w:tc>
          <w:tcPr>
            <w:tcW w:type="dxa" w:w="3696"/>
          </w:tcPr>
          <w:p>
            <w:pPr>
              <w:spacing w:after="20"/>
            </w:pPr>
            <w:r>
              <w:rPr>
                <w:color w:val="1C3A36"/>
                <w:sz w:val="17"/>
              </w:rPr>
              <w:t>Present value of the five guided years</w:t>
            </w:r>
          </w:p>
        </w:tc>
        <w:tc>
          <w:tcPr>
            <w:tcW w:type="dxa" w:w="1814"/>
          </w:tcPr>
          <w:p>
            <w:pPr>
              <w:spacing w:after="20"/>
              <w:jc w:val="right"/>
            </w:pPr>
            <w:r>
              <w:rPr>
                <w:color w:val="1C3A36"/>
                <w:sz w:val="17"/>
              </w:rPr>
              <w:t>4,557</w:t>
            </w:r>
          </w:p>
        </w:tc>
        <w:tc>
          <w:tcPr>
            <w:tcW w:type="dxa" w:w="4570"/>
          </w:tcPr>
          <w:p>
            <w:pPr>
              <w:spacing w:after="20"/>
              <w:jc w:val="right"/>
            </w:pPr>
            <w:r>
              <w:rPr>
                <w:color w:val="1C3A36"/>
                <w:sz w:val="17"/>
              </w:rPr>
            </w:r>
          </w:p>
        </w:tc>
      </w:tr>
      <w:tr>
        <w:tc>
          <w:tcPr>
            <w:tcW w:type="dxa" w:w="3696"/>
          </w:tcPr>
          <w:p>
            <w:pPr>
              <w:spacing w:after="20"/>
            </w:pPr>
            <w:r>
              <w:rPr>
                <w:color w:val="1C3A36"/>
                <w:sz w:val="17"/>
              </w:rPr>
              <w:t>Terminal dividend</w:t>
            </w:r>
          </w:p>
        </w:tc>
        <w:tc>
          <w:tcPr>
            <w:tcW w:type="dxa" w:w="1814"/>
          </w:tcPr>
          <w:p>
            <w:pPr>
              <w:spacing w:after="20"/>
              <w:jc w:val="right"/>
            </w:pPr>
            <w:r>
              <w:rPr>
                <w:color w:val="1C3A36"/>
                <w:sz w:val="17"/>
              </w:rPr>
              <w:t>1,308</w:t>
            </w:r>
          </w:p>
        </w:tc>
        <w:tc>
          <w:tcPr>
            <w:tcW w:type="dxa" w:w="4570"/>
          </w:tcPr>
          <w:p>
            <w:pPr>
              <w:spacing w:after="20"/>
              <w:jc w:val="right"/>
            </w:pPr>
            <w:r>
              <w:rPr>
                <w:color w:val="1C3A36"/>
                <w:sz w:val="17"/>
              </w:rPr>
              <w:t>FY2030 dividend grown at 2.5%</w:t>
            </w:r>
          </w:p>
        </w:tc>
      </w:tr>
      <w:tr>
        <w:tc>
          <w:tcPr>
            <w:tcW w:type="dxa" w:w="3696"/>
          </w:tcPr>
          <w:p>
            <w:pPr>
              <w:spacing w:after="20"/>
            </w:pPr>
            <w:r>
              <w:rPr>
                <w:color w:val="1C3A36"/>
                <w:sz w:val="17"/>
              </w:rPr>
              <w:t>Terminal value</w:t>
            </w:r>
          </w:p>
        </w:tc>
        <w:tc>
          <w:tcPr>
            <w:tcW w:type="dxa" w:w="1814"/>
          </w:tcPr>
          <w:p>
            <w:pPr>
              <w:spacing w:after="20"/>
              <w:jc w:val="right"/>
            </w:pPr>
            <w:r>
              <w:rPr>
                <w:color w:val="1C3A36"/>
                <w:sz w:val="17"/>
              </w:rPr>
              <w:t>22,433</w:t>
            </w:r>
          </w:p>
        </w:tc>
        <w:tc>
          <w:tcPr>
            <w:tcW w:type="dxa" w:w="4570"/>
          </w:tcPr>
          <w:p>
            <w:pPr>
              <w:spacing w:after="20"/>
              <w:jc w:val="right"/>
            </w:pPr>
            <w:r>
              <w:rPr>
                <w:color w:val="1C3A36"/>
                <w:sz w:val="17"/>
              </w:rPr>
            </w:r>
          </w:p>
        </w:tc>
      </w:tr>
      <w:tr>
        <w:tc>
          <w:tcPr>
            <w:tcW w:type="dxa" w:w="3696"/>
          </w:tcPr>
          <w:p>
            <w:pPr>
              <w:spacing w:after="20"/>
            </w:pPr>
            <w:r>
              <w:rPr>
                <w:color w:val="1C3A36"/>
                <w:sz w:val="17"/>
              </w:rPr>
              <w:t>Present value of the terminal value</w:t>
            </w:r>
          </w:p>
        </w:tc>
        <w:tc>
          <w:tcPr>
            <w:tcW w:type="dxa" w:w="1814"/>
          </w:tcPr>
          <w:p>
            <w:pPr>
              <w:spacing w:after="20"/>
              <w:jc w:val="right"/>
            </w:pPr>
            <w:r>
              <w:rPr>
                <w:color w:val="1C3A36"/>
                <w:sz w:val="17"/>
              </w:rPr>
              <w:t>15,035</w:t>
            </w:r>
          </w:p>
        </w:tc>
        <w:tc>
          <w:tcPr>
            <w:tcW w:type="dxa" w:w="4570"/>
          </w:tcPr>
          <w:p>
            <w:pPr>
              <w:spacing w:after="20"/>
              <w:jc w:val="right"/>
            </w:pPr>
            <w:r>
              <w:rPr>
                <w:color w:val="1C3A36"/>
                <w:sz w:val="17"/>
              </w:rPr>
            </w:r>
          </w:p>
        </w:tc>
      </w:tr>
      <w:tr>
        <w:tc>
          <w:tcPr>
            <w:tcW w:type="dxa" w:w="3696"/>
          </w:tcPr>
          <w:p>
            <w:pPr>
              <w:spacing w:after="20"/>
            </w:pPr>
            <w:r>
              <w:rPr>
                <w:color w:val="1C3A36"/>
                <w:sz w:val="17"/>
              </w:rPr>
              <w:t>Equity value</w:t>
            </w:r>
          </w:p>
        </w:tc>
        <w:tc>
          <w:tcPr>
            <w:tcW w:type="dxa" w:w="1814"/>
          </w:tcPr>
          <w:p>
            <w:pPr>
              <w:spacing w:after="20"/>
              <w:jc w:val="right"/>
            </w:pPr>
            <w:r>
              <w:rPr>
                <w:color w:val="1C3A36"/>
                <w:sz w:val="17"/>
              </w:rPr>
              <w:t>19,592</w:t>
            </w:r>
          </w:p>
        </w:tc>
        <w:tc>
          <w:tcPr>
            <w:tcW w:type="dxa" w:w="4570"/>
          </w:tcPr>
          <w:p>
            <w:pPr>
              <w:spacing w:after="20"/>
              <w:jc w:val="right"/>
            </w:pPr>
            <w:r>
              <w:rPr>
                <w:color w:val="1C3A36"/>
                <w:sz w:val="17"/>
              </w:rPr>
            </w:r>
          </w:p>
        </w:tc>
      </w:tr>
      <w:tr>
        <w:tc>
          <w:tcPr>
            <w:tcW w:type="dxa" w:w="3696"/>
            <w:shd w:val="clear" w:color="auto" w:fill="F6F1E6"/>
          </w:tcPr>
          <w:p>
            <w:pPr>
              <w:spacing w:after="20"/>
            </w:pPr>
            <w:r>
              <w:rPr>
                <w:b/>
                <w:color w:val="1C3A36"/>
                <w:sz w:val="17"/>
              </w:rPr>
              <w:t>Value per share (AED)</w:t>
            </w:r>
          </w:p>
        </w:tc>
        <w:tc>
          <w:tcPr>
            <w:tcW w:type="dxa" w:w="1814"/>
            <w:shd w:val="clear" w:color="auto" w:fill="F6F1E6"/>
          </w:tcPr>
          <w:p>
            <w:pPr>
              <w:spacing w:after="20"/>
              <w:jc w:val="right"/>
            </w:pPr>
            <w:r>
              <w:rPr>
                <w:b/>
                <w:color w:val="1C3A36"/>
                <w:sz w:val="17"/>
              </w:rPr>
              <w:t>4.50</w:t>
            </w:r>
          </w:p>
        </w:tc>
        <w:tc>
          <w:tcPr>
            <w:tcW w:type="dxa" w:w="4570"/>
            <w:shd w:val="clear" w:color="auto" w:fill="F6F1E6"/>
          </w:tcPr>
          <w:p>
            <w:pPr>
              <w:spacing w:after="20"/>
              <w:jc w:val="right"/>
            </w:pPr>
            <w:r>
              <w:rPr>
                <w:b/>
                <w:color w:val="1C3A36"/>
                <w:sz w:val="17"/>
              </w:rPr>
            </w:r>
          </w:p>
        </w:tc>
      </w:tr>
      <w:tr>
        <w:tc>
          <w:tcPr>
            <w:tcW w:type="dxa" w:w="3696"/>
            <w:shd w:val="clear" w:color="auto" w:fill="F6F1E6"/>
          </w:tcPr>
          <w:p>
            <w:pPr>
              <w:spacing w:after="20"/>
            </w:pPr>
            <w:r>
              <w:rPr>
                <w:b/>
                <w:color w:val="1C3A36"/>
                <w:sz w:val="17"/>
              </w:rPr>
              <w:t>Payout as a share of forecast profit, 2026</w:t>
            </w:r>
          </w:p>
        </w:tc>
        <w:tc>
          <w:tcPr>
            <w:tcW w:type="dxa" w:w="1814"/>
            <w:shd w:val="clear" w:color="auto" w:fill="F6F1E6"/>
          </w:tcPr>
          <w:p>
            <w:pPr>
              <w:spacing w:after="20"/>
              <w:jc w:val="right"/>
            </w:pPr>
            <w:r>
              <w:rPr>
                <w:b/>
                <w:color w:val="1C3A36"/>
                <w:sz w:val="17"/>
              </w:rPr>
              <w:t>76.4%</w:t>
            </w:r>
          </w:p>
        </w:tc>
        <w:tc>
          <w:tcPr>
            <w:tcW w:type="dxa" w:w="4570"/>
            <w:shd w:val="clear" w:color="auto" w:fill="F6F1E6"/>
          </w:tcPr>
          <w:p>
            <w:pPr>
              <w:spacing w:after="20"/>
              <w:jc w:val="right"/>
            </w:pPr>
            <w:r>
              <w:rPr>
                <w:b/>
                <w:color w:val="1C3A36"/>
                <w:sz w:val="17"/>
              </w:rPr>
              <w:t>The floor is covered by earnings with room to spare</w:t>
            </w:r>
          </w:p>
        </w:tc>
      </w:tr>
      <w:tr>
        <w:tc>
          <w:tcPr>
            <w:tcW w:type="dxa" w:w="3696"/>
          </w:tcPr>
          <w:p>
            <w:pPr>
              <w:spacing w:after="20"/>
            </w:pPr>
            <w:r>
              <w:rPr>
                <w:color w:val="1C3A36"/>
                <w:sz w:val="17"/>
              </w:rPr>
              <w:t>Payout as a share of forecast profit, 2030</w:t>
            </w:r>
          </w:p>
        </w:tc>
        <w:tc>
          <w:tcPr>
            <w:tcW w:type="dxa" w:w="1814"/>
          </w:tcPr>
          <w:p>
            <w:pPr>
              <w:spacing w:after="20"/>
              <w:jc w:val="right"/>
            </w:pPr>
            <w:r>
              <w:rPr>
                <w:color w:val="1C3A36"/>
                <w:sz w:val="17"/>
              </w:rPr>
              <w:t>65.8%</w:t>
            </w:r>
          </w:p>
        </w:tc>
        <w:tc>
          <w:tcPr>
            <w:tcW w:type="dxa" w:w="4570"/>
          </w:tcPr>
          <w:p>
            <w:pPr>
              <w:spacing w:after="20"/>
              <w:jc w:val="right"/>
            </w:pPr>
            <w:r>
              <w:rPr>
                <w:color w:val="1C3A36"/>
                <w:sz w:val="17"/>
              </w:rPr>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91"/>
        <w:gridCol w:w="1278"/>
        <w:gridCol w:w="1278"/>
        <w:gridCol w:w="1278"/>
        <w:gridCol w:w="1278"/>
        <w:gridCol w:w="1278"/>
      </w:tblGrid>
      <w:tr>
        <w:tc>
          <w:tcPr>
            <w:tcW w:type="dxa" w:w="3691"/>
            <w:shd w:val="clear" w:color="auto" w:fill="EAF0EE"/>
          </w:tcPr>
          <w:p>
            <w:pPr>
              <w:spacing w:after="20"/>
            </w:pPr>
            <w:r>
              <w:rPr>
                <w:b/>
                <w:color w:val="1C3A36"/>
                <w:sz w:val="18"/>
              </w:rPr>
              <w:t>Terminal growth of the distribution</w:t>
            </w:r>
          </w:p>
        </w:tc>
        <w:tc>
          <w:tcPr>
            <w:tcW w:type="dxa" w:w="1278"/>
            <w:shd w:val="clear" w:color="auto" w:fill="EAF0EE"/>
          </w:tcPr>
          <w:p>
            <w:pPr>
              <w:spacing w:after="20"/>
            </w:pPr>
            <w:r>
              <w:rPr>
                <w:b/>
                <w:color w:val="1C3A36"/>
                <w:sz w:val="18"/>
              </w:rPr>
              <w:t>1.0%</w:t>
            </w:r>
          </w:p>
        </w:tc>
        <w:tc>
          <w:tcPr>
            <w:tcW w:type="dxa" w:w="1278"/>
            <w:shd w:val="clear" w:color="auto" w:fill="EAF0EE"/>
          </w:tcPr>
          <w:p>
            <w:pPr>
              <w:spacing w:after="20"/>
            </w:pPr>
            <w:r>
              <w:rPr>
                <w:b/>
                <w:color w:val="1C3A36"/>
                <w:sz w:val="18"/>
              </w:rPr>
              <w:t>1.5%</w:t>
            </w:r>
          </w:p>
        </w:tc>
        <w:tc>
          <w:tcPr>
            <w:tcW w:type="dxa" w:w="1278"/>
            <w:shd w:val="clear" w:color="auto" w:fill="EAF0EE"/>
          </w:tcPr>
          <w:p>
            <w:pPr>
              <w:spacing w:after="20"/>
            </w:pPr>
            <w:r>
              <w:rPr>
                <w:b/>
                <w:color w:val="1C3A36"/>
                <w:sz w:val="18"/>
              </w:rPr>
              <w:t>2.0%</w:t>
            </w:r>
          </w:p>
        </w:tc>
        <w:tc>
          <w:tcPr>
            <w:tcW w:type="dxa" w:w="1278"/>
            <w:shd w:val="clear" w:color="auto" w:fill="EAF0EE"/>
          </w:tcPr>
          <w:p>
            <w:pPr>
              <w:spacing w:after="20"/>
            </w:pPr>
            <w:r>
              <w:rPr>
                <w:b/>
                <w:color w:val="1C3A36"/>
                <w:sz w:val="18"/>
              </w:rPr>
              <w:t>2.5%</w:t>
            </w:r>
          </w:p>
        </w:tc>
        <w:tc>
          <w:tcPr>
            <w:tcW w:type="dxa" w:w="1278"/>
            <w:shd w:val="clear" w:color="auto" w:fill="EAF0EE"/>
          </w:tcPr>
          <w:p>
            <w:pPr>
              <w:spacing w:after="20"/>
            </w:pPr>
            <w:r>
              <w:rPr>
                <w:b/>
                <w:color w:val="1C3A36"/>
                <w:sz w:val="18"/>
              </w:rPr>
              <w:t>3.0%</w:t>
            </w:r>
          </w:p>
        </w:tc>
      </w:tr>
      <w:tr>
        <w:tc>
          <w:tcPr>
            <w:tcW w:type="dxa" w:w="3691"/>
          </w:tcPr>
          <w:p>
            <w:pPr>
              <w:spacing w:after="20"/>
            </w:pPr>
            <w:r>
              <w:rPr>
                <w:color w:val="1C3A36"/>
                <w:sz w:val="18"/>
              </w:rPr>
              <w:t>Value per share (AED)</w:t>
            </w:r>
          </w:p>
        </w:tc>
        <w:tc>
          <w:tcPr>
            <w:tcW w:type="dxa" w:w="1278"/>
          </w:tcPr>
          <w:p>
            <w:pPr>
              <w:spacing w:after="20"/>
              <w:jc w:val="right"/>
            </w:pPr>
            <w:r>
              <w:rPr>
                <w:color w:val="1C3A36"/>
                <w:sz w:val="18"/>
              </w:rPr>
              <w:t>3.75</w:t>
            </w:r>
          </w:p>
        </w:tc>
        <w:tc>
          <w:tcPr>
            <w:tcW w:type="dxa" w:w="1278"/>
          </w:tcPr>
          <w:p>
            <w:pPr>
              <w:spacing w:after="20"/>
              <w:jc w:val="right"/>
            </w:pPr>
            <w:r>
              <w:rPr>
                <w:color w:val="1C3A36"/>
                <w:sz w:val="18"/>
              </w:rPr>
              <w:t>3.96</w:t>
            </w:r>
          </w:p>
        </w:tc>
        <w:tc>
          <w:tcPr>
            <w:tcW w:type="dxa" w:w="1278"/>
          </w:tcPr>
          <w:p>
            <w:pPr>
              <w:spacing w:after="20"/>
              <w:jc w:val="right"/>
            </w:pPr>
            <w:r>
              <w:rPr>
                <w:color w:val="1C3A36"/>
                <w:sz w:val="18"/>
              </w:rPr>
              <w:t>4.21</w:t>
            </w:r>
          </w:p>
        </w:tc>
        <w:tc>
          <w:tcPr>
            <w:tcW w:type="dxa" w:w="1278"/>
          </w:tcPr>
          <w:p>
            <w:pPr>
              <w:spacing w:after="20"/>
              <w:jc w:val="right"/>
            </w:pPr>
            <w:r>
              <w:rPr>
                <w:color w:val="1C3A36"/>
                <w:sz w:val="18"/>
              </w:rPr>
              <w:t>4.50</w:t>
            </w:r>
          </w:p>
        </w:tc>
        <w:tc>
          <w:tcPr>
            <w:tcW w:type="dxa" w:w="1278"/>
          </w:tcPr>
          <w:p>
            <w:pPr>
              <w:spacing w:after="20"/>
              <w:jc w:val="right"/>
            </w:pPr>
            <w:r>
              <w:rPr>
                <w:color w:val="1C3A36"/>
                <w:sz w:val="18"/>
              </w:rPr>
              <w:t>4.84</w:t>
            </w:r>
          </w:p>
        </w:tc>
      </w:tr>
    </w:tbl>
    <w:p>
      <w:pPr>
        <w:spacing w:after="40"/>
      </w:pPr>
    </w:p>
    <w:p>
      <w:pPr>
        <w:spacing w:after="120" w:before="0"/>
      </w:pPr>
      <w:r>
        <w:rPr>
          <w:b w:val="0"/>
          <w:i w:val="0"/>
          <w:color w:val="1C3A36"/>
          <w:sz w:val="21"/>
        </w:rPr>
        <w:t>Falsifier, stated in advance: Any distribution below the guided floor, or a capital raise. Either would break the premise that the payout is the residual the shareholder actually receives.</w:t>
      </w:r>
    </w:p>
    <w:p>
      <w:pPr>
        <w:spacing w:after="80" w:before="200"/>
      </w:pPr>
      <w:r>
        <w:rPr>
          <w:b/>
          <w:i w:val="0"/>
          <w:color w:val="1C3A36"/>
          <w:sz w:val="24"/>
        </w:rPr>
        <w:t>C.4 Cross-examination</w:t>
      </w:r>
    </w:p>
    <w:p>
      <w:pPr>
        <w:spacing w:after="40" w:before="0"/>
      </w:pPr>
      <w:r>
        <w:rPr>
          <w:b/>
          <w:i w:val="0"/>
          <w:color w:val="1C3A36"/>
          <w:sz w:val="19"/>
        </w:rPr>
        <w:t>Expert 1 to Expert 3: the dividend floor is a board policy, not a contract. In the year the six island rigs and a regional acquisition land together, the floor is the first thing to go.</w:t>
      </w:r>
    </w:p>
    <w:p>
      <w:pPr>
        <w:spacing w:after="40" w:before="0"/>
      </w:pPr>
      <w:r>
        <w:rPr>
          <w:b w:val="0"/>
          <w:i w:val="0"/>
          <w:color w:val="1C3A36"/>
          <w:sz w:val="19"/>
        </w:rPr>
        <w:t>Conceded in part. The guided floor is 76% of the profit this model forecasts for 2026 and 66% by 2030, so it is covered by earnings with room to spare, and the company funded a 52% increase in dividends paid in 2025 out of operating cash flow while capital expenditure ran at $815 million on the audited cash-flow statement. But the challenge stands where it matters: the floor is uncontracted, and the valuation of a promise is not the valuation of an obligation. Expert 3 is the widest of the three for exactly that reason.</w:t>
      </w:r>
    </w:p>
    <w:p>
      <w:pPr>
        <w:spacing w:after="160" w:before="0"/>
      </w:pPr>
      <w:r>
        <w:rPr>
          <w:b w:val="0"/>
          <w:i/>
          <w:color w:val="896F36"/>
          <w:sz w:val="19"/>
        </w:rPr>
        <w:t>Verdict: Partly conceded.</w:t>
      </w:r>
    </w:p>
    <w:p>
      <w:pPr>
        <w:spacing w:after="40" w:before="0"/>
      </w:pPr>
      <w:r>
        <w:rPr>
          <w:b/>
          <w:i w:val="0"/>
          <w:color w:val="1C3A36"/>
          <w:sz w:val="19"/>
        </w:rPr>
        <w:t>Expert 3 to Expert 1: replacement cost values a rig at what it costs, not at what it earns. This fleet earns a 23% return on capital employed. Valuing it at book plus a fifteen-point uplift prices it as scrap.</w:t>
      </w:r>
    </w:p>
    <w:p>
      <w:pPr>
        <w:spacing w:after="40" w:before="0"/>
      </w:pPr>
      <w:r>
        <w:rPr>
          <w:b w:val="0"/>
          <w:i w:val="0"/>
          <w:color w:val="1C3A36"/>
          <w:sz w:val="19"/>
        </w:rPr>
        <w:t>Rejected as a criticism, accepted as a description. Expert 1 is not claiming to be the fair value; it is claiming to be the floor. The gap between the replacement-cost answer of AED 1.19 and the market price of AED 5.94 is the market's price for the contract, and putting a number on that gap is the point of running the lens at all.</w:t>
      </w:r>
    </w:p>
    <w:p>
      <w:pPr>
        <w:spacing w:after="160" w:before="0"/>
      </w:pPr>
      <w:r>
        <w:rPr>
          <w:b w:val="0"/>
          <w:i/>
          <w:color w:val="896F36"/>
          <w:sz w:val="19"/>
        </w:rPr>
        <w:t>Verdict: Rejected.</w:t>
      </w:r>
    </w:p>
    <w:p>
      <w:pPr>
        <w:spacing w:after="40" w:before="0"/>
      </w:pPr>
      <w:r>
        <w:rPr>
          <w:b/>
          <w:i w:val="0"/>
          <w:color w:val="1C3A36"/>
          <w:sz w:val="19"/>
        </w:rPr>
        <w:t>Expert 2 to Expert 3: discounting dividends at the cost of equity while the company runs net cash by 2030 double-counts the balance sheet. The undistributed cash is not risky.</w:t>
      </w:r>
    </w:p>
    <w:p>
      <w:pPr>
        <w:spacing w:after="40" w:before="0"/>
      </w:pPr>
      <w:r>
        <w:rPr>
          <w:b w:val="0"/>
          <w:i w:val="0"/>
          <w:color w:val="1C3A36"/>
          <w:sz w:val="19"/>
        </w:rPr>
        <w:t>Conceded. Under the model's flat-debt, floor-dividend policy the company accumulates roughly $2.5 billion of cash by 2030 and net debt turns negative. Expert 3 does not credit that cash, so its answer is conservative by construction — the correction would raise it, not lower it. The reason it is left uncorrected is that a board holding that much idle cash would in practice have raised the distribution, which is the same thing seen from the other end.</w:t>
      </w:r>
    </w:p>
    <w:p>
      <w:pPr>
        <w:spacing w:after="160" w:before="0"/>
      </w:pPr>
      <w:r>
        <w:rPr>
          <w:b w:val="0"/>
          <w:i/>
          <w:color w:val="896F36"/>
          <w:sz w:val="19"/>
        </w:rPr>
        <w:t>Verdict: Conceded.</w:t>
      </w:r>
    </w:p>
    <w:p>
      <w:pPr>
        <w:spacing w:after="40" w:before="0"/>
      </w:pPr>
      <w:r>
        <w:rPr>
          <w:b/>
          <w:i w:val="0"/>
          <w:color w:val="1C3A36"/>
          <w:sz w:val="19"/>
        </w:rPr>
        <w:t>Expert 1 to Expert 2: a 150-basis-point premium on the tail is a number chosen to look prudent. The tail is 70% of your answer.</w:t>
      </w:r>
    </w:p>
    <w:p>
      <w:pPr>
        <w:spacing w:after="40" w:before="0"/>
      </w:pPr>
      <w:r>
        <w:rPr>
          <w:b w:val="0"/>
          <w:i w:val="0"/>
          <w:color w:val="1C3A36"/>
          <w:sz w:val="19"/>
        </w:rPr>
        <w:t>Conceded on the arbitrariness, and the sensitivity is published rather than buried: moving the premium from 50 to 350 basis points moves the answer from AED 5.25 to AED 3.70. That spread is wider than the gap between any two of the three experts, which is the honest summary of how much of this valuation is a judgement about a period nobody has contracted for.</w:t>
      </w:r>
    </w:p>
    <w:p>
      <w:pPr>
        <w:spacing w:after="160" w:before="0"/>
      </w:pPr>
      <w:r>
        <w:rPr>
          <w:b w:val="0"/>
          <w:i/>
          <w:color w:val="896F36"/>
          <w:sz w:val="19"/>
        </w:rPr>
        <w:t>Verdict: Conceded.</w:t>
      </w:r>
    </w:p>
    <w:p>
      <w:pPr>
        <w:spacing w:after="80" w:before="200"/>
      </w:pPr>
      <w:r>
        <w:rPr>
          <w:b/>
          <w:i w:val="0"/>
          <w:color w:val="1C3A36"/>
          <w:sz w:val="24"/>
        </w:rPr>
        <w:t>C.5 The three in one room</w:t>
      </w:r>
    </w:p>
    <w:p>
      <w:pPr>
        <w:spacing w:after="120" w:before="0"/>
      </w:pPr>
      <w:r>
        <w:rPr>
          <w:b w:val="0"/>
          <w:i w:val="0"/>
          <w:color w:val="1C3A36"/>
          <w:sz w:val="21"/>
        </w:rPr>
        <w:t>Put in one room, the three do not disagree about the company — they agree on the fleet, on the customer, and on the 2026 numbers, because all three read the same filings. They disagree about what a single-customer contract is worth. Expert 1 will not pay for it at all and lands at AED 1.19. Expert 2 pays for the part that is written down and charges a premium for the part that is not, landing at AED 4.59. Expert 3 pays for the part that reaches the bank account and lands at AED 4.50. The spread between them, AED 3.40, is not measurement error. It is the price of the question none of them can answer from the filings: what happens to a rig fleet whose only customer is also its controlling shareholder, once that shareholder's capacity target is met.</w:t>
      </w:r>
    </w:p>
    <w:p>
      <w:pPr>
        <w:spacing w:after="40"/>
        <w:jc w:val="center"/>
      </w:pPr>
      <w:r>
        <w:drawing>
          <wp:inline xmlns:a="http://schemas.openxmlformats.org/drawingml/2006/main" xmlns:pic="http://schemas.openxmlformats.org/drawingml/2006/picture">
            <wp:extent cx="6035040" cy="2311292"/>
            <wp:docPr id="6" name="Picture 6"/>
            <wp:cNvGraphicFramePr>
              <a:graphicFrameLocks noChangeAspect="1"/>
            </wp:cNvGraphicFramePr>
            <a:graphic>
              <a:graphicData uri="http://schemas.openxmlformats.org/drawingml/2006/picture">
                <pic:pic>
                  <pic:nvPicPr>
                    <pic:cNvPr id="0" name="figD1_experts.png"/>
                    <pic:cNvPicPr/>
                  </pic:nvPicPr>
                  <pic:blipFill>
                    <a:blip r:embed="rId14"/>
                    <a:stretch>
                      <a:fillRect/>
                    </a:stretch>
                  </pic:blipFill>
                  <pic:spPr>
                    <a:xfrm>
                      <a:off x="0" y="0"/>
                      <a:ext cx="6035040" cy="2311292"/>
                    </a:xfrm>
                    <a:prstGeom prst="rect"/>
                  </pic:spPr>
                </pic:pic>
              </a:graphicData>
            </a:graphic>
          </wp:inline>
        </w:drawing>
      </w:r>
    </w:p>
    <w:p>
      <w:pPr>
        <w:spacing w:after="200" w:before="0"/>
      </w:pPr>
      <w:r>
        <w:rPr>
          <w:b w:val="0"/>
          <w:i/>
          <w:color w:val="6E7B77"/>
          <w:sz w:val="17"/>
        </w:rPr>
        <w:t>The three valuations against the market price. The bar is each expert's own published sensitivity range; the brass tick is the base case.</w:t>
      </w:r>
    </w:p>
    <w:p>
      <w:pPr>
        <w:spacing w:after="80" w:before="200"/>
      </w:pPr>
      <w:r>
        <w:rPr>
          <w:b/>
          <w:i w:val="0"/>
          <w:color w:val="1C3A36"/>
          <w:sz w:val="24"/>
        </w:rPr>
        <w:t>C.6 Divergence — which assumption drives which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46"/>
        <w:gridCol w:w="2083"/>
        <w:gridCol w:w="2083"/>
        <w:gridCol w:w="2083"/>
        <w:gridCol w:w="2285"/>
      </w:tblGrid>
      <w:tr>
        <w:tc>
          <w:tcPr>
            <w:tcW w:type="dxa" w:w="1546"/>
            <w:shd w:val="clear" w:color="auto" w:fill="EAF0EE"/>
          </w:tcPr>
          <w:p>
            <w:pPr>
              <w:spacing w:after="20"/>
            </w:pPr>
            <w:r>
              <w:rPr>
                <w:b/>
                <w:color w:val="1C3A36"/>
                <w:sz w:val="16"/>
              </w:rPr>
              <w:t>Assumption</w:t>
            </w:r>
          </w:p>
        </w:tc>
        <w:tc>
          <w:tcPr>
            <w:tcW w:type="dxa" w:w="2083"/>
            <w:shd w:val="clear" w:color="auto" w:fill="EAF0EE"/>
          </w:tcPr>
          <w:p>
            <w:pPr>
              <w:spacing w:after="20"/>
            </w:pPr>
            <w:r>
              <w:rPr>
                <w:b/>
                <w:color w:val="1C3A36"/>
                <w:sz w:val="16"/>
              </w:rPr>
              <w:t>Expert 1</w:t>
            </w:r>
          </w:p>
        </w:tc>
        <w:tc>
          <w:tcPr>
            <w:tcW w:type="dxa" w:w="2083"/>
            <w:shd w:val="clear" w:color="auto" w:fill="EAF0EE"/>
          </w:tcPr>
          <w:p>
            <w:pPr>
              <w:spacing w:after="20"/>
            </w:pPr>
            <w:r>
              <w:rPr>
                <w:b/>
                <w:color w:val="1C3A36"/>
                <w:sz w:val="16"/>
              </w:rPr>
              <w:t>Expert 2</w:t>
            </w:r>
          </w:p>
        </w:tc>
        <w:tc>
          <w:tcPr>
            <w:tcW w:type="dxa" w:w="2083"/>
            <w:shd w:val="clear" w:color="auto" w:fill="EAF0EE"/>
          </w:tcPr>
          <w:p>
            <w:pPr>
              <w:spacing w:after="20"/>
            </w:pPr>
            <w:r>
              <w:rPr>
                <w:b/>
                <w:color w:val="1C3A36"/>
                <w:sz w:val="16"/>
              </w:rPr>
              <w:t>Expert 3</w:t>
            </w:r>
          </w:p>
        </w:tc>
        <w:tc>
          <w:tcPr>
            <w:tcW w:type="dxa" w:w="2285"/>
            <w:shd w:val="clear" w:color="auto" w:fill="EAF0EE"/>
          </w:tcPr>
          <w:p>
            <w:pPr>
              <w:spacing w:after="20"/>
            </w:pPr>
            <w:r>
              <w:rPr>
                <w:b/>
                <w:color w:val="1C3A36"/>
                <w:sz w:val="16"/>
              </w:rPr>
              <w:t>What it drives</w:t>
            </w:r>
          </w:p>
        </w:tc>
      </w:tr>
      <w:tr>
        <w:tc>
          <w:tcPr>
            <w:tcW w:type="dxa" w:w="1546"/>
          </w:tcPr>
          <w:p>
            <w:pPr>
              <w:spacing w:after="20"/>
            </w:pPr>
            <w:r>
              <w:rPr>
                <w:color w:val="1C3A36"/>
                <w:sz w:val="16"/>
              </w:rPr>
              <w:t>What is being valued</w:t>
            </w:r>
          </w:p>
        </w:tc>
        <w:tc>
          <w:tcPr>
            <w:tcW w:type="dxa" w:w="2083"/>
          </w:tcPr>
          <w:p>
            <w:pPr>
              <w:spacing w:after="20"/>
              <w:jc w:val="right"/>
            </w:pPr>
            <w:r>
              <w:rPr>
                <w:color w:val="1C3A36"/>
                <w:sz w:val="16"/>
              </w:rPr>
              <w:t>The steel. The fleet at what it would cost to rebuild, and nothing else.</w:t>
            </w:r>
          </w:p>
        </w:tc>
        <w:tc>
          <w:tcPr>
            <w:tcW w:type="dxa" w:w="2083"/>
          </w:tcPr>
          <w:p>
            <w:pPr>
              <w:spacing w:after="20"/>
              <w:jc w:val="right"/>
            </w:pPr>
            <w:r>
              <w:rPr>
                <w:color w:val="1C3A36"/>
                <w:sz w:val="16"/>
              </w:rPr>
              <w:t>The cash the contracted book throws off, plus a discounted tail.</w:t>
            </w:r>
          </w:p>
        </w:tc>
        <w:tc>
          <w:tcPr>
            <w:tcW w:type="dxa" w:w="2083"/>
          </w:tcPr>
          <w:p>
            <w:pPr>
              <w:spacing w:after="20"/>
              <w:jc w:val="right"/>
            </w:pPr>
            <w:r>
              <w:rPr>
                <w:color w:val="1C3A36"/>
                <w:sz w:val="16"/>
              </w:rPr>
              <w:t>The cash that actually reaches the shareholder.</w:t>
            </w:r>
          </w:p>
        </w:tc>
        <w:tc>
          <w:tcPr>
            <w:tcW w:type="dxa" w:w="2285"/>
          </w:tcPr>
          <w:p>
            <w:pPr>
              <w:spacing w:after="20"/>
              <w:jc w:val="right"/>
            </w:pPr>
            <w:r>
              <w:rPr>
                <w:color w:val="1C3A36"/>
                <w:sz w:val="16"/>
              </w:rPr>
              <w:t>Expert 1 is structurally the lowest because it refuses to pay for the contract that makes the steel earn 23% on capital.</w:t>
            </w:r>
          </w:p>
        </w:tc>
      </w:tr>
      <w:tr>
        <w:tc>
          <w:tcPr>
            <w:tcW w:type="dxa" w:w="1546"/>
          </w:tcPr>
          <w:p>
            <w:pPr>
              <w:spacing w:after="20"/>
            </w:pPr>
            <w:r>
              <w:rPr>
                <w:color w:val="1C3A36"/>
                <w:sz w:val="16"/>
              </w:rPr>
              <w:t>Discount rate</w:t>
            </w:r>
          </w:p>
        </w:tc>
        <w:tc>
          <w:tcPr>
            <w:tcW w:type="dxa" w:w="2083"/>
          </w:tcPr>
          <w:p>
            <w:pPr>
              <w:spacing w:after="20"/>
              <w:jc w:val="right"/>
            </w:pPr>
            <w:r>
              <w:rPr>
                <w:color w:val="1C3A36"/>
                <w:sz w:val="16"/>
              </w:rPr>
              <w:t>None. An asset value is not discounted.</w:t>
            </w:r>
          </w:p>
        </w:tc>
        <w:tc>
          <w:tcPr>
            <w:tcW w:type="dxa" w:w="2083"/>
          </w:tcPr>
          <w:p>
            <w:pPr>
              <w:spacing w:after="20"/>
              <w:jc w:val="right"/>
            </w:pPr>
            <w:r>
              <w:rPr>
                <w:color w:val="1C3A36"/>
                <w:sz w:val="16"/>
              </w:rPr>
              <w:t>5.15% on the contracted years, 9.51% on the tail.</w:t>
            </w:r>
          </w:p>
        </w:tc>
        <w:tc>
          <w:tcPr>
            <w:tcW w:type="dxa" w:w="2083"/>
          </w:tcPr>
          <w:p>
            <w:pPr>
              <w:spacing w:after="20"/>
              <w:jc w:val="right"/>
            </w:pPr>
            <w:r>
              <w:rPr>
                <w:color w:val="1C3A36"/>
                <w:sz w:val="16"/>
              </w:rPr>
              <w:t>8.33% throughout — the cost of equity, not of capital.</w:t>
            </w:r>
          </w:p>
        </w:tc>
        <w:tc>
          <w:tcPr>
            <w:tcW w:type="dxa" w:w="2285"/>
          </w:tcPr>
          <w:p>
            <w:pPr>
              <w:spacing w:after="20"/>
              <w:jc w:val="right"/>
            </w:pPr>
            <w:r>
              <w:rPr>
                <w:color w:val="1C3A36"/>
                <w:sz w:val="16"/>
              </w:rPr>
              <w:t>Expert 2 discounts the near years more cheaply than the study does and the far years more dearly; the two effects partly cancel, which is why its answer lands close to the study despite a very different construction.</w:t>
            </w:r>
          </w:p>
        </w:tc>
      </w:tr>
      <w:tr>
        <w:tc>
          <w:tcPr>
            <w:tcW w:type="dxa" w:w="1546"/>
          </w:tcPr>
          <w:p>
            <w:pPr>
              <w:spacing w:after="20"/>
            </w:pPr>
            <w:r>
              <w:rPr>
                <w:color w:val="1C3A36"/>
                <w:sz w:val="16"/>
              </w:rPr>
              <w:t>Treatment of growth</w:t>
            </w:r>
          </w:p>
        </w:tc>
        <w:tc>
          <w:tcPr>
            <w:tcW w:type="dxa" w:w="2083"/>
          </w:tcPr>
          <w:p>
            <w:pPr>
              <w:spacing w:after="20"/>
              <w:jc w:val="right"/>
            </w:pPr>
            <w:r>
              <w:rPr>
                <w:color w:val="1C3A36"/>
                <w:sz w:val="16"/>
              </w:rPr>
              <w:t>Ignored entirely.</w:t>
            </w:r>
          </w:p>
        </w:tc>
        <w:tc>
          <w:tcPr>
            <w:tcW w:type="dxa" w:w="2083"/>
          </w:tcPr>
          <w:p>
            <w:pPr>
              <w:spacing w:after="20"/>
              <w:jc w:val="right"/>
            </w:pPr>
            <w:r>
              <w:rPr>
                <w:color w:val="1C3A36"/>
                <w:sz w:val="16"/>
              </w:rPr>
              <w:t>1.5% in the tail, with the fleet build inside the explicit years.</w:t>
            </w:r>
          </w:p>
        </w:tc>
        <w:tc>
          <w:tcPr>
            <w:tcW w:type="dxa" w:w="2083"/>
          </w:tcPr>
          <w:p>
            <w:pPr>
              <w:spacing w:after="20"/>
              <w:jc w:val="right"/>
            </w:pPr>
            <w:r>
              <w:rPr>
                <w:color w:val="1C3A36"/>
                <w:sz w:val="16"/>
              </w:rPr>
              <w:t>5% for five guided years, then 2.5%.</w:t>
            </w:r>
          </w:p>
        </w:tc>
        <w:tc>
          <w:tcPr>
            <w:tcW w:type="dxa" w:w="2285"/>
          </w:tcPr>
          <w:p>
            <w:pPr>
              <w:spacing w:after="20"/>
              <w:jc w:val="right"/>
            </w:pPr>
            <w:r>
              <w:rPr>
                <w:color w:val="1C3A36"/>
                <w:sz w:val="16"/>
              </w:rPr>
              <w:t>The dividend step is the single largest source of Expert 3's premium over Expert 1: five years of guided 5% growth compounds before the fade begins.</w:t>
            </w:r>
          </w:p>
        </w:tc>
      </w:tr>
      <w:tr>
        <w:tc>
          <w:tcPr>
            <w:tcW w:type="dxa" w:w="1546"/>
          </w:tcPr>
          <w:p>
            <w:pPr>
              <w:spacing w:after="20"/>
            </w:pPr>
            <w:r>
              <w:rPr>
                <w:color w:val="1C3A36"/>
                <w:sz w:val="16"/>
              </w:rPr>
              <w:t>Where the risk sits</w:t>
            </w:r>
          </w:p>
        </w:tc>
        <w:tc>
          <w:tcPr>
            <w:tcW w:type="dxa" w:w="2083"/>
          </w:tcPr>
          <w:p>
            <w:pPr>
              <w:spacing w:after="20"/>
              <w:jc w:val="right"/>
            </w:pPr>
            <w:r>
              <w:rPr>
                <w:color w:val="1C3A36"/>
                <w:sz w:val="16"/>
              </w:rPr>
              <w:t>In whether the rigs can be redeployed if the customer walks.</w:t>
            </w:r>
          </w:p>
        </w:tc>
        <w:tc>
          <w:tcPr>
            <w:tcW w:type="dxa" w:w="2083"/>
          </w:tcPr>
          <w:p>
            <w:pPr>
              <w:spacing w:after="20"/>
              <w:jc w:val="right"/>
            </w:pPr>
            <w:r>
              <w:rPr>
                <w:color w:val="1C3A36"/>
                <w:sz w:val="16"/>
              </w:rPr>
              <w:t>In the renewal of the uncontracted tail, priced as an explicit premium.</w:t>
            </w:r>
          </w:p>
        </w:tc>
        <w:tc>
          <w:tcPr>
            <w:tcW w:type="dxa" w:w="2083"/>
          </w:tcPr>
          <w:p>
            <w:pPr>
              <w:spacing w:after="20"/>
              <w:jc w:val="right"/>
            </w:pPr>
            <w:r>
              <w:rPr>
                <w:color w:val="1C3A36"/>
                <w:sz w:val="16"/>
              </w:rPr>
              <w:t>In whether the dividend floor survives a capital-expenditure cycle.</w:t>
            </w:r>
          </w:p>
        </w:tc>
        <w:tc>
          <w:tcPr>
            <w:tcW w:type="dxa" w:w="2285"/>
          </w:tcPr>
          <w:p>
            <w:pPr>
              <w:spacing w:after="20"/>
              <w:jc w:val="right"/>
            </w:pPr>
            <w:r>
              <w:rPr>
                <w:color w:val="1C3A36"/>
                <w:sz w:val="16"/>
              </w:rPr>
              <w:t>All three risks are the same risk seen from three sides: the durability of one customer relationship.</w:t>
            </w:r>
          </w:p>
        </w:tc>
      </w:tr>
    </w:tbl>
    <w:p>
      <w:pPr>
        <w:spacing w:after="40"/>
      </w:pPr>
    </w:p>
    <w:p>
      <w:r>
        <w:br w:type="page"/>
      </w:r>
    </w:p>
    <w:p>
      <w:pPr>
        <w:spacing w:after="120" w:before="280"/>
      </w:pPr>
      <w:r>
        <w:rPr>
          <w:b/>
          <w:i w:val="0"/>
          <w:color w:val="1C3A36"/>
          <w:sz w:val="30"/>
        </w:rPr>
        <w:t>About this study</w:t>
      </w:r>
    </w:p>
    <w:p>
      <w:pPr>
        <w:spacing w:after="120" w:before="0"/>
      </w:pPr>
      <w:r>
        <w:rPr>
          <w:b w:val="0"/>
          <w:i w:val="0"/>
          <w:color w:val="1C3A36"/>
          <w:sz w:val="21"/>
        </w:rPr>
        <w:t>Testahil publishes independent valuation studies and calibrated probability maps, with a public record of how they turned out. Every study is built from the subject company's own issued financial statements, read from an official source. The delivered workbook calculates: change a driver and the valuation moves. Every formula in it has been checked against the model that produced it, and every input has been perturbed to prove the chain from driver to answer is live.</w:t>
      </w:r>
    </w:p>
    <w:p>
      <w:pPr>
        <w:spacing w:after="120" w:before="0"/>
      </w:pPr>
      <w:r>
        <w:rPr>
          <w:b w:val="0"/>
          <w:i w:val="0"/>
          <w:color w:val="1C3A36"/>
          <w:sz w:val="21"/>
        </w:rPr>
        <w:t>This study values ADNOC Drilling Company P.J.S.C. as an operating company, using a discounted cash flow as the primary lens with relative multiples, normalised earnings power and a book-and-return lens alongside it. Its most consequential judgement is computed both ways and published both ways.</w:t>
      </w:r>
    </w:p>
    <w:p>
      <w:pPr>
        <w:spacing w:after="120" w:before="280"/>
      </w:pPr>
      <w:r>
        <w:rPr>
          <w:b/>
          <w:i w:val="0"/>
          <w:color w:val="1C3A36"/>
          <w:sz w:val="30"/>
        </w:rPr>
        <w:t>Disclosure</w:t>
      </w:r>
    </w:p>
    <w:p>
      <w:pPr>
        <w:spacing w:after="120" w:before="0"/>
      </w:pPr>
      <w:r>
        <w:rPr>
          <w:b w:val="0"/>
          <w:i w:val="0"/>
          <w:color w:val="1C3A36"/>
          <w:sz w:val="21"/>
        </w:rPr>
        <w:t>This document is educational analysis. It is not investment advice, not a recommendation, and not an offer or solicitation to buy or sell any security. It contains no rating and no price target. Fair-value ranges and probability distributions are estimates that depend on assumptions stated throughout the document, and reasonable people applying the same evidence will reach different numbers.</w:t>
      </w:r>
    </w:p>
    <w:p>
      <w:pPr>
        <w:spacing w:after="120" w:before="0"/>
      </w:pPr>
      <w:r>
        <w:rPr>
          <w:b w:val="0"/>
          <w:i w:val="0"/>
          <w:color w:val="1C3A36"/>
          <w:sz w:val="21"/>
        </w:rPr>
        <w:t>The historical financial information is taken from ADNOC Drilling Company P.J.S.C.'s own published financial statements and disclosures. Third-party market data is used only for peer comparison and is identified as such wherever it appears. Prices and market data are as at 7 August 2026 and go stale immediately.</w:t>
      </w:r>
    </w:p>
    <w:p>
      <w:pPr>
        <w:spacing w:after="120" w:before="0"/>
      </w:pPr>
      <w:r>
        <w:rPr>
          <w:b w:val="0"/>
          <w:i w:val="0"/>
          <w:color w:val="1C3A36"/>
          <w:sz w:val="21"/>
        </w:rPr>
        <w:t>Past performance and past accuracy are not guarantees of future results. Readers should form their own view and, where appropriate, take professional advice.</w:t>
      </w:r>
    </w:p>
    <w:p>
      <w:pPr>
        <w:spacing w:after="120" w:before="0"/>
      </w:pPr>
      <w:r>
        <w:rPr>
          <w:b w:val="0"/>
          <w:i w:val="0"/>
          <w:color w:val="6E7B77"/>
          <w:sz w:val="18"/>
        </w:rPr>
        <w:t>© 2026 Testahil. All rights reserved.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