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10" w:type="dxa"/>
          <w:bottom w:w="90" w:type="dxa"/>
          <w:right w:w="110" w:type="dxa"/>
        </w:tblCellMar>
      </w:tblPr>
      <w:tblGrid>
        <w:gridCol w:w="10224"/>
      </w:tblGrid>
      <w:tr>
        <w:tc>
          <w:tcPr>
            <w:tcW w:type="dxa" w:w="10224"/>
            <w:shd w:val="clear" w:color="auto" w:fill="1C3A36"/>
          </w:tcPr>
          <w:p>
            <w:r>
              <w:rPr>
                <w:b/>
                <w:color w:val="FFFFFF"/>
                <w:sz w:val="21"/>
              </w:rPr>
              <w:t>Testahil · Independent Valuation Study — Educational Analysis</w:t>
            </w:r>
            <w:r>
              <w:rPr>
                <w:color w:val="9FB0AC"/>
                <w:sz w:val="18"/>
              </w:rPr>
              <w:t xml:space="preserve">   Not investment advice</w:t>
            </w:r>
          </w:p>
        </w:tc>
      </w:tr>
    </w:tbl>
    <w:p>
      <w:pPr>
        <w:spacing w:after="0"/>
      </w:pPr>
    </w:p>
    <w:p>
      <w:pPr>
        <w:spacing w:after="100" w:before="260"/>
      </w:pPr>
      <w:r>
        <w:rPr>
          <w:b/>
          <w:i w:val="0"/>
          <w:color w:val="1C3A36"/>
          <w:sz w:val="28"/>
        </w:rPr>
        <w:t>ADNOC Logistics &amp; Services plc (Abu Dhabi Securities Exchange: ADNOCLS) — Bibliography and Source Register</w:t>
      </w:r>
    </w:p>
    <w:p>
      <w:pPr>
        <w:spacing w:after="100" w:before="0"/>
      </w:pPr>
      <w:r>
        <w:rPr>
          <w:b w:val="0"/>
          <w:i w:val="0"/>
          <w:color w:val="6E7B77"/>
          <w:sz w:val="19"/>
        </w:rPr>
        <w:t>Companion document to the valuation study dated 9 August 2026. It records where every number in that study came from, and what was decided rather than read.</w:t>
      </w:r>
    </w:p>
    <w:p>
      <w:pPr>
        <w:spacing w:after="60" w:before="180"/>
      </w:pPr>
      <w:r>
        <w:rPr>
          <w:b/>
          <w:i w:val="0"/>
          <w:color w:val="1C3A36"/>
          <w:sz w:val="22"/>
        </w:rPr>
        <w:t>READ FIRST</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10" w:type="dxa"/>
          <w:left w:w="150" w:type="dxa"/>
          <w:bottom w:w="110" w:type="dxa"/>
          <w:right w:w="150" w:type="dxa"/>
        </w:tblCellMar>
      </w:tblPr>
      <w:tblGrid>
        <w:gridCol w:w="10224"/>
      </w:tblGrid>
      <w:tr>
        <w:tc>
          <w:tcPr>
            <w:tcW w:type="dxa" w:w="10224"/>
            <w:shd w:val="clear" w:color="auto" w:fill="F6F1E6"/>
          </w:tcPr>
          <w:p>
            <w:pPr>
              <w:spacing w:after="80" w:line="252" w:lineRule="auto"/>
            </w:pPr>
            <w:r>
              <w:rPr>
                <w:b/>
                <w:color w:val="1C3A36"/>
                <w:sz w:val="19"/>
              </w:rPr>
              <w:t xml:space="preserve">What this is. </w:t>
            </w:r>
            <w:r>
              <w:rPr>
                <w:color w:val="1C3A36"/>
                <w:sz w:val="19"/>
              </w:rPr>
              <w:t>A complete list of the 778 inputs the valuation model uses. Each carries its value, the date the source itself bears, and the source with the construction that produced it. Nothing in the study is computed from a figure that does not appear here, so a reader can check the work rather than trust it.</w:t>
            </w:r>
          </w:p>
          <w:p>
            <w:pPr>
              <w:spacing w:after="80" w:line="252" w:lineRule="auto"/>
            </w:pPr>
            <w:r>
              <w:rPr>
                <w:b/>
                <w:color w:val="1C3A36"/>
                <w:sz w:val="19"/>
              </w:rPr>
              <w:t xml:space="preserve">How to use it. </w:t>
            </w:r>
            <w:r>
              <w:rPr>
                <w:color w:val="1C3A36"/>
                <w:sz w:val="19"/>
              </w:rPr>
              <w:t>Read the guide to the research layers first, then the list of documents actually read. The input register is the body of the document and is meant to be searched, not read front to back: find the figure you want to test, and the row tells you where it came from and how it was built. The tables after it are the short ones that matter most — what the study judged rather than observed, what it looked for and could not find, and where two readings of the same figure disagreed.</w:t>
            </w:r>
          </w:p>
          <w:p>
            <w:pPr>
              <w:spacing w:after="80" w:line="252" w:lineRule="auto"/>
            </w:pPr>
            <w:r>
              <w:rPr>
                <w:b/>
                <w:color w:val="1C3A36"/>
                <w:sz w:val="19"/>
              </w:rPr>
              <w:t xml:space="preserve">What is not here. </w:t>
            </w:r>
            <w:r>
              <w:rPr>
                <w:color w:val="1C3A36"/>
                <w:sz w:val="19"/>
              </w:rPr>
              <w:t>Nothing is summarised out. Where a figure is derived, solved or assumed, the row says so in its own words rather than presenting it as a disclosure. Where a search came back empty, it is written down as an empty search.</w:t>
            </w:r>
          </w:p>
          <w:p>
            <w:pPr>
              <w:spacing w:after="80" w:line="252" w:lineRule="auto"/>
            </w:pPr>
            <w:r>
              <w:rPr>
                <w:b/>
                <w:color w:val="1C3A36"/>
                <w:sz w:val="19"/>
              </w:rPr>
              <w:t xml:space="preserve">The reporting unit. </w:t>
            </w:r>
            <w:r>
              <w:rPr>
                <w:color w:val="1C3A36"/>
                <w:sz w:val="19"/>
              </w:rPr>
              <w:t>The company reports in US dollars and this study values it in US dollars, converting to dirhams at the fixed peg of 3.6725 only to compare with the quoted price. Unless a row shows another unit, every figure in the register is in THOUSANDS of US dollars.</w:t>
            </w:r>
          </w:p>
        </w:tc>
      </w:tr>
    </w:tbl>
    <w:p>
      <w:pPr>
        <w:spacing w:after="40"/>
      </w:pPr>
    </w:p>
    <w:p>
      <w:pPr>
        <w:spacing w:after="100" w:before="260"/>
      </w:pPr>
      <w:r>
        <w:rPr>
          <w:b/>
          <w:i w:val="0"/>
          <w:color w:val="1C3A36"/>
          <w:sz w:val="28"/>
        </w:rPr>
        <w:t>The research layers</w:t>
      </w:r>
    </w:p>
    <w:p>
      <w:pPr>
        <w:spacing w:after="100" w:before="0"/>
      </w:pPr>
      <w:r>
        <w:rPr>
          <w:b w:val="0"/>
          <w:i w:val="0"/>
          <w:color w:val="1C3A36"/>
          <w:sz w:val="19"/>
        </w:rPr>
        <w:t>Every input is tagged with the layer of evidence it belongs to. The layers run from the company outwards, and they are not interchangeable: what a layer is allowed to be the source of is as much a part of the method as the figure itself.</w:t>
      </w:r>
    </w:p>
    <w:tbl>
      <w:tblPr>
        <w:tblW w:type="auto" w:w="0"/>
        <w:jc w:val="center"/>
        <w:tblLook w:firstColumn="1" w:firstRow="1" w:lastColumn="0" w:lastRow="0" w:noHBand="0" w:noVBand="1" w:val="04A0"/>
        <w:tblLayout w:type="fixed"/>
        <w:tblCellMar>
          <w:top w:w="34" w:type="dxa"/>
          <w:left w:w="70" w:type="dxa"/>
          <w:bottom w:w="34" w:type="dxa"/>
          <w:right w:w="7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008"/>
        <w:gridCol w:w="7560"/>
      </w:tblGrid>
      <w:tr>
        <w:trPr>
          <w:cantSplit w:val="true"/>
          <w:tblHeader w:val="true"/>
        </w:trPr>
        <w:tc>
          <w:tcPr>
            <w:tcW w:type="dxa" w:w="1656"/>
            <w:shd w:val="clear" w:color="auto" w:fill="EAF0EE"/>
          </w:tcPr>
          <w:p>
            <w:pPr>
              <w:spacing w:after="20" w:before="0" w:line="240" w:lineRule="auto"/>
            </w:pPr>
            <w:r>
              <w:rPr>
                <w:b/>
                <w:color w:val="1C3A36"/>
                <w:sz w:val="16"/>
              </w:rPr>
              <w:t>Layer</w:t>
            </w:r>
          </w:p>
        </w:tc>
        <w:tc>
          <w:tcPr>
            <w:tcW w:type="dxa" w:w="1008"/>
            <w:shd w:val="clear" w:color="auto" w:fill="EAF0EE"/>
          </w:tcPr>
          <w:p>
            <w:pPr>
              <w:spacing w:after="20" w:before="0" w:line="240" w:lineRule="auto"/>
            </w:pPr>
            <w:r>
              <w:rPr>
                <w:b/>
                <w:color w:val="1C3A36"/>
                <w:sz w:val="16"/>
              </w:rPr>
              <w:t>Inputs</w:t>
            </w:r>
          </w:p>
        </w:tc>
        <w:tc>
          <w:tcPr>
            <w:tcW w:type="dxa" w:w="7560"/>
            <w:shd w:val="clear" w:color="auto" w:fill="EAF0EE"/>
          </w:tcPr>
          <w:p>
            <w:pPr>
              <w:spacing w:after="20" w:before="0" w:line="240" w:lineRule="auto"/>
            </w:pPr>
            <w:r>
              <w:rPr>
                <w:b/>
                <w:color w:val="1C3A36"/>
                <w:sz w:val="16"/>
              </w:rPr>
              <w:t>What sits in it, and what it may be the source of</w:t>
            </w:r>
          </w:p>
        </w:tc>
      </w:tr>
      <w:tr>
        <w:trPr>
          <w:cantSplit w:val="true"/>
        </w:trPr>
        <w:tc>
          <w:tcPr>
            <w:tcW w:type="dxa" w:w="1656"/>
          </w:tcPr>
          <w:p>
            <w:pPr>
              <w:spacing w:after="20" w:before="0" w:line="240" w:lineRule="auto"/>
            </w:pPr>
            <w:r>
              <w:rPr>
                <w:color w:val="1C3A36"/>
                <w:sz w:val="16"/>
              </w:rPr>
              <w:t>Company</w:t>
            </w:r>
          </w:p>
        </w:tc>
        <w:tc>
          <w:tcPr>
            <w:tcW w:type="dxa" w:w="1008"/>
          </w:tcPr>
          <w:p>
            <w:pPr>
              <w:spacing w:after="20" w:before="0" w:line="240" w:lineRule="auto"/>
              <w:jc w:val="right"/>
            </w:pPr>
            <w:r>
              <w:rPr>
                <w:color w:val="1C3A36"/>
                <w:sz w:val="16"/>
              </w:rPr>
              <w:t>744</w:t>
            </w:r>
          </w:p>
        </w:tc>
        <w:tc>
          <w:tcPr>
            <w:tcW w:type="dxa" w:w="7560"/>
          </w:tcPr>
          <w:p>
            <w:pPr>
              <w:spacing w:after="20" w:before="0" w:line="240" w:lineRule="auto"/>
            </w:pPr>
            <w:r>
              <w:rPr>
                <w:color w:val="1C3A36"/>
                <w:sz w:val="16"/>
              </w:rPr>
              <w:t>The company's own issued documents — audited consolidated financial statements, reviewed interim financial information, the annual report and accounts, management commentary, investor presentations and earnings-call transcripts. Every reported historical figure in the study comes from this layer and from nowhere else. It is also where the unit drivers live: vessel counts, the rates each vessel class earned, the contract table, the order book and the guided spending path.</w:t>
            </w:r>
          </w:p>
        </w:tc>
      </w:tr>
      <w:tr>
        <w:trPr>
          <w:cantSplit w:val="true"/>
        </w:trPr>
        <w:tc>
          <w:tcPr>
            <w:tcW w:type="dxa" w:w="1656"/>
          </w:tcPr>
          <w:p>
            <w:pPr>
              <w:spacing w:after="20" w:before="0" w:line="240" w:lineRule="auto"/>
            </w:pPr>
            <w:r>
              <w:rPr>
                <w:color w:val="1C3A36"/>
                <w:sz w:val="16"/>
              </w:rPr>
              <w:t>Industry</w:t>
            </w:r>
          </w:p>
        </w:tc>
        <w:tc>
          <w:tcPr>
            <w:tcW w:type="dxa" w:w="1008"/>
          </w:tcPr>
          <w:p>
            <w:pPr>
              <w:spacing w:after="20" w:before="0" w:line="240" w:lineRule="auto"/>
              <w:jc w:val="right"/>
            </w:pPr>
            <w:r>
              <w:rPr>
                <w:color w:val="1C3A36"/>
                <w:sz w:val="16"/>
              </w:rPr>
              <w:t>6</w:t>
            </w:r>
          </w:p>
        </w:tc>
        <w:tc>
          <w:tcPr>
            <w:tcW w:type="dxa" w:w="7560"/>
          </w:tcPr>
          <w:p>
            <w:pPr>
              <w:spacing w:after="20" w:before="0" w:line="240" w:lineRule="auto"/>
            </w:pPr>
            <w:r>
              <w:rPr>
                <w:color w:val="1C3A36"/>
                <w:sz w:val="16"/>
              </w:rPr>
              <w:t>Marine transport and energy logistics: the tanker order book as a share of the trading fleet, broker prints of prevailing rates, one-year charter levels fixed by other owners, and the enterprise multiples of comparable listed operators. Used for context, for cross-checks and for the comparison lens — never as the source of a figure the company itself reports.</w:t>
            </w:r>
          </w:p>
        </w:tc>
      </w:tr>
      <w:tr>
        <w:trPr>
          <w:cantSplit w:val="true"/>
        </w:trPr>
        <w:tc>
          <w:tcPr>
            <w:tcW w:type="dxa" w:w="1656"/>
          </w:tcPr>
          <w:p>
            <w:pPr>
              <w:spacing w:after="20" w:before="0" w:line="240" w:lineRule="auto"/>
            </w:pPr>
            <w:r>
              <w:rPr>
                <w:color w:val="1C3A36"/>
                <w:sz w:val="16"/>
              </w:rPr>
              <w:t>Country</w:t>
            </w:r>
          </w:p>
        </w:tc>
        <w:tc>
          <w:tcPr>
            <w:tcW w:type="dxa" w:w="1008"/>
          </w:tcPr>
          <w:p>
            <w:pPr>
              <w:spacing w:after="20" w:before="0" w:line="240" w:lineRule="auto"/>
              <w:jc w:val="right"/>
            </w:pPr>
            <w:r>
              <w:rPr>
                <w:color w:val="1C3A36"/>
                <w:sz w:val="16"/>
              </w:rPr>
              <w:t>17</w:t>
            </w:r>
          </w:p>
        </w:tc>
        <w:tc>
          <w:tcPr>
            <w:tcW w:type="dxa" w:w="7560"/>
          </w:tcPr>
          <w:p>
            <w:pPr>
              <w:spacing w:after="20" w:before="0" w:line="240" w:lineRule="auto"/>
            </w:pPr>
            <w:r>
              <w:rPr>
                <w:color w:val="1C3A36"/>
                <w:sz w:val="16"/>
              </w:rPr>
              <w:t>The United Arab Emirates: the dirham government bond yield, the sovereign default spread and equity risk premium, the currency's fixed parity to the dollar, the corporate tax regime and the minimum top-up rate, and projected growth and inflation. This is where the cost of capital and the tax treatment come from.</w:t>
            </w:r>
          </w:p>
        </w:tc>
      </w:tr>
      <w:tr>
        <w:trPr>
          <w:cantSplit w:val="true"/>
        </w:trPr>
        <w:tc>
          <w:tcPr>
            <w:tcW w:type="dxa" w:w="1656"/>
          </w:tcPr>
          <w:p>
            <w:pPr>
              <w:spacing w:after="20" w:before="0" w:line="240" w:lineRule="auto"/>
            </w:pPr>
            <w:r>
              <w:rPr>
                <w:color w:val="1C3A36"/>
                <w:sz w:val="16"/>
              </w:rPr>
              <w:t>Global</w:t>
            </w:r>
          </w:p>
        </w:tc>
        <w:tc>
          <w:tcPr>
            <w:tcW w:type="dxa" w:w="1008"/>
          </w:tcPr>
          <w:p>
            <w:pPr>
              <w:spacing w:after="20" w:before="0" w:line="240" w:lineRule="auto"/>
              <w:jc w:val="right"/>
            </w:pPr>
            <w:r>
              <w:rPr>
                <w:color w:val="1C3A36"/>
                <w:sz w:val="16"/>
              </w:rPr>
              <w:t>2</w:t>
            </w:r>
          </w:p>
        </w:tc>
        <w:tc>
          <w:tcPr>
            <w:tcW w:type="dxa" w:w="7560"/>
          </w:tcPr>
          <w:p>
            <w:pPr>
              <w:spacing w:after="20" w:before="0" w:line="240" w:lineRule="auto"/>
            </w:pPr>
            <w:r>
              <w:rPr>
                <w:color w:val="1C3A36"/>
                <w:sz w:val="16"/>
              </w:rPr>
              <w:t>Conditions common to every market rather than to this one: the dollar overnight financing rate that every one of the group's debt instruments is priced off, the mature-market equity risk premium, and the long-run nominal anchor behind the terminal discount rate.</w:t>
            </w:r>
          </w:p>
        </w:tc>
      </w:tr>
      <w:tr>
        <w:trPr>
          <w:cantSplit w:val="true"/>
        </w:trPr>
        <w:tc>
          <w:tcPr>
            <w:tcW w:type="dxa" w:w="1656"/>
          </w:tcPr>
          <w:p>
            <w:pPr>
              <w:spacing w:after="20" w:before="0" w:line="240" w:lineRule="auto"/>
            </w:pPr>
            <w:r>
              <w:rPr>
                <w:color w:val="1C3A36"/>
                <w:sz w:val="16"/>
              </w:rPr>
              <w:t>Market</w:t>
            </w:r>
          </w:p>
        </w:tc>
        <w:tc>
          <w:tcPr>
            <w:tcW w:type="dxa" w:w="1008"/>
          </w:tcPr>
          <w:p>
            <w:pPr>
              <w:spacing w:after="20" w:before="0" w:line="240" w:lineRule="auto"/>
              <w:jc w:val="right"/>
            </w:pPr>
            <w:r>
              <w:rPr>
                <w:color w:val="1C3A36"/>
                <w:sz w:val="16"/>
              </w:rPr>
              <w:t>9</w:t>
            </w:r>
          </w:p>
        </w:tc>
        <w:tc>
          <w:tcPr>
            <w:tcW w:type="dxa" w:w="7560"/>
          </w:tcPr>
          <w:p>
            <w:pPr>
              <w:spacing w:after="20" w:before="0" w:line="240" w:lineRule="auto"/>
            </w:pPr>
            <w:r>
              <w:rPr>
                <w:color w:val="1C3A36"/>
                <w:sz w:val="16"/>
              </w:rPr>
              <w:t>The security itself: the last close used throughout the study, and the statistics estimated from its own price history — the slope of its weekly returns against the published index of the exchange it trades on, the standard error and fit of that regression, the two bounds of the interval around the slope, the lead-lag variant, and the slope the same returns give when they are measured against an equal-weight composite of that exchange's own names instead of the published index.</w:t>
            </w:r>
          </w:p>
        </w:tc>
      </w:tr>
    </w:tbl>
    <w:p>
      <w:pPr>
        <w:spacing w:after="40"/>
      </w:pPr>
    </w:p>
    <w:p>
      <w:pPr>
        <w:spacing w:after="60" w:before="180"/>
      </w:pPr>
      <w:r>
        <w:rPr>
          <w:b/>
          <w:i w:val="0"/>
          <w:color w:val="1C3A36"/>
          <w:sz w:val="22"/>
        </w:rPr>
        <w:t>Why the company's own statements are the only admissible source for its own history</w:t>
      </w:r>
    </w:p>
    <w:p>
      <w:pPr>
        <w:spacing w:after="100" w:before="0"/>
      </w:pPr>
      <w:r>
        <w:rPr>
          <w:b w:val="0"/>
          <w:i w:val="0"/>
          <w:color w:val="1C3A36"/>
          <w:sz w:val="19"/>
        </w:rPr>
        <w:t>A valuation is only as good as the base year it starts from, and a base year assembled from second-hand numbers is not a base year at all. Data vendors, brokers and press coverage all restate: they blend segments that the company reports separately, carry figures forward from an earlier year, apply their own definitions of earnings and net debt, and correct silently. None of that is visible downstream. So the rule applied here admits nothing but the company's own issued and audited documents as the source of the company's own reported figures.</w:t>
      </w:r>
    </w:p>
    <w:p>
      <w:pPr>
        <w:spacing w:after="100" w:before="0"/>
      </w:pPr>
      <w:r>
        <w:rPr>
          <w:b w:val="0"/>
          <w:i w:val="0"/>
          <w:color w:val="1C3A36"/>
          <w:sz w:val="19"/>
        </w:rPr>
        <w:t>That rule was met in full for this study. Four complete audited financial years were obtained — FY2022, FY2023, FY2024, FY2025 — against a floor of two, together with the reviewed interim information for the one quarter of the study year disclosed so far. Every historical income-statement, balance-sheet, cash-flow and segment figure in the register below is read from those filings. External sources appear for the cost of capital, the tax regime, sector context and the comparison lens, and are labelled as such wherever they are used.</w:t>
      </w:r>
    </w:p>
    <w:p>
      <w:pPr>
        <w:spacing w:after="100" w:before="260"/>
      </w:pPr>
      <w:r>
        <w:rPr>
          <w:b/>
          <w:i w:val="0"/>
          <w:color w:val="1C3A36"/>
          <w:sz w:val="28"/>
        </w:rPr>
        <w:t>The documents actually read</w:t>
      </w:r>
    </w:p>
    <w:p>
      <w:pPr>
        <w:spacing w:after="100" w:before="0"/>
      </w:pPr>
      <w:r>
        <w:rPr>
          <w:b w:val="0"/>
          <w:i w:val="0"/>
          <w:color w:val="1C3A36"/>
          <w:sz w:val="19"/>
        </w:rPr>
        <w:t>Every document below was downloaded from the company's own investor pages and read from the filing itself. All of them are held as PDF copies alongside the model, and the file held is named in each row so that a reader can ask for the same document rather than a description of it. The publisher of every document in the first table is ADNOC Logistics &amp; Services plc; the audited statements were audited by PricewaterhouseCoopers.</w:t>
      </w:r>
    </w:p>
    <w:p>
      <w:pPr>
        <w:spacing w:after="60" w:before="180"/>
      </w:pPr>
      <w:r>
        <w:rPr>
          <w:b/>
          <w:i w:val="0"/>
          <w:color w:val="1C3A36"/>
          <w:sz w:val="22"/>
        </w:rPr>
        <w:t>The company's own documents</w:t>
      </w:r>
    </w:p>
    <w:tbl>
      <w:tblPr>
        <w:tblW w:type="auto" w:w="0"/>
        <w:jc w:val="center"/>
        <w:tblLook w:firstColumn="1" w:firstRow="1" w:lastColumn="0" w:lastRow="0" w:noHBand="0" w:noVBand="1" w:val="04A0"/>
        <w:tblLayout w:type="fixed"/>
        <w:tblCellMar>
          <w:top w:w="34" w:type="dxa"/>
          <w:left w:w="70" w:type="dxa"/>
          <w:bottom w:w="34" w:type="dxa"/>
          <w:right w:w="7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080"/>
        <w:gridCol w:w="1656"/>
        <w:gridCol w:w="5155"/>
      </w:tblGrid>
      <w:tr>
        <w:trPr>
          <w:cantSplit w:val="true"/>
          <w:tblHeader w:val="true"/>
        </w:trPr>
        <w:tc>
          <w:tcPr>
            <w:tcW w:type="dxa" w:w="2333"/>
            <w:shd w:val="clear" w:color="auto" w:fill="EAF0EE"/>
          </w:tcPr>
          <w:p>
            <w:pPr>
              <w:spacing w:after="20" w:before="0" w:line="240" w:lineRule="auto"/>
            </w:pPr>
            <w:r>
              <w:rPr>
                <w:b/>
                <w:color w:val="1C3A36"/>
                <w:sz w:val="15"/>
              </w:rPr>
              <w:t>Document</w:t>
            </w:r>
          </w:p>
        </w:tc>
        <w:tc>
          <w:tcPr>
            <w:tcW w:type="dxa" w:w="1080"/>
            <w:shd w:val="clear" w:color="auto" w:fill="EAF0EE"/>
          </w:tcPr>
          <w:p>
            <w:pPr>
              <w:spacing w:after="20" w:before="0" w:line="240" w:lineRule="auto"/>
            </w:pPr>
            <w:r>
              <w:rPr>
                <w:b/>
                <w:color w:val="1C3A36"/>
                <w:sz w:val="15"/>
              </w:rPr>
              <w:t>Date</w:t>
            </w:r>
          </w:p>
        </w:tc>
        <w:tc>
          <w:tcPr>
            <w:tcW w:type="dxa" w:w="1656"/>
            <w:shd w:val="clear" w:color="auto" w:fill="EAF0EE"/>
          </w:tcPr>
          <w:p>
            <w:pPr>
              <w:spacing w:after="20" w:before="0" w:line="240" w:lineRule="auto"/>
            </w:pPr>
            <w:r>
              <w:rPr>
                <w:b/>
                <w:color w:val="1C3A36"/>
                <w:sz w:val="15"/>
              </w:rPr>
              <w:t>File held</w:t>
            </w:r>
          </w:p>
        </w:tc>
        <w:tc>
          <w:tcPr>
            <w:tcW w:type="dxa" w:w="5155"/>
            <w:shd w:val="clear" w:color="auto" w:fill="EAF0EE"/>
          </w:tcPr>
          <w:p>
            <w:pPr>
              <w:spacing w:after="20" w:before="0" w:line="240" w:lineRule="auto"/>
            </w:pPr>
            <w:r>
              <w:rPr>
                <w:b/>
                <w:color w:val="1C3A36"/>
                <w:sz w:val="15"/>
              </w:rPr>
              <w:t>What was taken from it</w:t>
            </w:r>
          </w:p>
        </w:tc>
      </w:tr>
      <w:tr>
        <w:trPr>
          <w:cantSplit w:val="true"/>
        </w:trPr>
        <w:tc>
          <w:tcPr>
            <w:tcW w:type="dxa" w:w="2333"/>
          </w:tcPr>
          <w:p>
            <w:pPr>
              <w:spacing w:after="20" w:before="0" w:line="240" w:lineRule="auto"/>
            </w:pPr>
            <w:r>
              <w:rPr>
                <w:color w:val="1C3A36"/>
                <w:sz w:val="15"/>
              </w:rPr>
              <w:t>Consolidated financial statements for the year ended 31 December 2025, audited</w:t>
            </w:r>
          </w:p>
        </w:tc>
        <w:tc>
          <w:tcPr>
            <w:tcW w:type="dxa" w:w="1080"/>
          </w:tcPr>
          <w:p>
            <w:pPr>
              <w:spacing w:after="20" w:before="0" w:line="240" w:lineRule="auto"/>
            </w:pPr>
            <w:r>
              <w:rPr>
                <w:color w:val="1C3A36"/>
                <w:sz w:val="15"/>
              </w:rPr>
              <w:t>10 Feb 2026</w:t>
            </w:r>
          </w:p>
        </w:tc>
        <w:tc>
          <w:tcPr>
            <w:tcW w:type="dxa" w:w="1656"/>
          </w:tcPr>
          <w:p>
            <w:pPr>
              <w:spacing w:after="20" w:before="0" w:line="240" w:lineRule="auto"/>
            </w:pPr>
            <w:r>
              <w:rPr>
                <w:color w:val="1C3A36"/>
                <w:sz w:val="15"/>
              </w:rPr>
              <w:t>FS_FY2025.pdf</w:t>
            </w:r>
          </w:p>
        </w:tc>
        <w:tc>
          <w:tcPr>
            <w:tcW w:type="dxa" w:w="5155"/>
          </w:tcPr>
          <w:p>
            <w:pPr>
              <w:spacing w:after="20" w:before="0" w:line="240" w:lineRule="auto"/>
            </w:pPr>
            <w:r>
              <w:rPr>
                <w:color w:val="1C3A36"/>
                <w:sz w:val="15"/>
              </w:rPr>
              <w:t>The 2025 income statement, balance sheet and cash flow statement with the 2024 comparatives; the operating-segment schedule by business unit including segment earnings, depreciation and property; the revenue-by-service and cost-by-nature notes; borrowings, leases and their rates; the business-combination note for the tanker acquisition; the perpetual capital securities; the goodwill test that the terminal growth rate is taken from; share capital and treasury. Supplies 178 of the figures below.</w:t>
            </w:r>
          </w:p>
        </w:tc>
      </w:tr>
      <w:tr>
        <w:trPr>
          <w:cantSplit w:val="true"/>
        </w:trPr>
        <w:tc>
          <w:tcPr>
            <w:tcW w:type="dxa" w:w="2333"/>
          </w:tcPr>
          <w:p>
            <w:pPr>
              <w:spacing w:after="20" w:before="0" w:line="240" w:lineRule="auto"/>
            </w:pPr>
            <w:r>
              <w:rPr>
                <w:color w:val="1C3A36"/>
                <w:sz w:val="15"/>
              </w:rPr>
              <w:t>Consolidated financial statements for the year ended 31 December 2024, audited</w:t>
            </w:r>
          </w:p>
        </w:tc>
        <w:tc>
          <w:tcPr>
            <w:tcW w:type="dxa" w:w="1080"/>
          </w:tcPr>
          <w:p>
            <w:pPr>
              <w:spacing w:after="20" w:before="0" w:line="240" w:lineRule="auto"/>
            </w:pPr>
            <w:r>
              <w:rPr>
                <w:color w:val="1C3A36"/>
                <w:sz w:val="15"/>
              </w:rPr>
              <w:t>11 Feb 2025</w:t>
            </w:r>
          </w:p>
        </w:tc>
        <w:tc>
          <w:tcPr>
            <w:tcW w:type="dxa" w:w="1656"/>
          </w:tcPr>
          <w:p>
            <w:pPr>
              <w:spacing w:after="20" w:before="0" w:line="240" w:lineRule="auto"/>
            </w:pPr>
            <w:r>
              <w:rPr>
                <w:color w:val="1C3A36"/>
                <w:sz w:val="15"/>
              </w:rPr>
              <w:t>FS_FY2024.pdf</w:t>
            </w:r>
          </w:p>
        </w:tc>
        <w:tc>
          <w:tcPr>
            <w:tcW w:type="dxa" w:w="5155"/>
          </w:tcPr>
          <w:p>
            <w:pPr>
              <w:spacing w:after="20" w:before="0" w:line="240" w:lineRule="auto"/>
            </w:pPr>
            <w:r>
              <w:rPr>
                <w:color w:val="1C3A36"/>
                <w:sz w:val="15"/>
              </w:rPr>
              <w:t>The 2024 statements and the 2023 comparatives they carry — the second and third historical years of the income statement, balance sheet and cash flow, and the segment schedule under the reporting structure then in force. Supplies 122 of the figures below.</w:t>
            </w:r>
          </w:p>
        </w:tc>
      </w:tr>
      <w:tr>
        <w:trPr>
          <w:cantSplit w:val="true"/>
        </w:trPr>
        <w:tc>
          <w:tcPr>
            <w:tcW w:type="dxa" w:w="2333"/>
          </w:tcPr>
          <w:p>
            <w:pPr>
              <w:spacing w:after="20" w:before="0" w:line="240" w:lineRule="auto"/>
            </w:pPr>
            <w:r>
              <w:rPr>
                <w:color w:val="1C3A36"/>
                <w:sz w:val="15"/>
              </w:rPr>
              <w:t>Consolidated financial statements for the year ended 31 December 2023, audited</w:t>
            </w:r>
          </w:p>
        </w:tc>
        <w:tc>
          <w:tcPr>
            <w:tcW w:type="dxa" w:w="1080"/>
          </w:tcPr>
          <w:p>
            <w:pPr>
              <w:spacing w:after="20" w:before="0" w:line="240" w:lineRule="auto"/>
            </w:pPr>
            <w:r>
              <w:rPr>
                <w:color w:val="1C3A36"/>
                <w:sz w:val="15"/>
              </w:rPr>
              <w:t>1 Feb 2024</w:t>
            </w:r>
          </w:p>
        </w:tc>
        <w:tc>
          <w:tcPr>
            <w:tcW w:type="dxa" w:w="1656"/>
          </w:tcPr>
          <w:p>
            <w:pPr>
              <w:spacing w:after="20" w:before="0" w:line="240" w:lineRule="auto"/>
            </w:pPr>
            <w:r>
              <w:rPr>
                <w:color w:val="1C3A36"/>
                <w:sz w:val="15"/>
              </w:rPr>
              <w:t>FS_FY2023.pdf</w:t>
            </w:r>
          </w:p>
        </w:tc>
        <w:tc>
          <w:tcPr>
            <w:tcW w:type="dxa" w:w="5155"/>
          </w:tcPr>
          <w:p>
            <w:pPr>
              <w:spacing w:after="20" w:before="0" w:line="240" w:lineRule="auto"/>
            </w:pPr>
            <w:r>
              <w:rPr>
                <w:color w:val="1C3A36"/>
                <w:sz w:val="15"/>
              </w:rPr>
              <w:t>The third historical year, and the segment schedule that makes the later reclassification visible. Supplies 57 of the figures below.</w:t>
            </w:r>
          </w:p>
        </w:tc>
      </w:tr>
      <w:tr>
        <w:trPr>
          <w:cantSplit w:val="true"/>
        </w:trPr>
        <w:tc>
          <w:tcPr>
            <w:tcW w:type="dxa" w:w="2333"/>
          </w:tcPr>
          <w:p>
            <w:pPr>
              <w:spacing w:after="20" w:before="0" w:line="240" w:lineRule="auto"/>
            </w:pPr>
            <w:r>
              <w:rPr>
                <w:color w:val="1C3A36"/>
                <w:sz w:val="15"/>
              </w:rPr>
              <w:t>Consolidated financial statements for the year ended 31 December 2022, audited</w:t>
            </w:r>
          </w:p>
        </w:tc>
        <w:tc>
          <w:tcPr>
            <w:tcW w:type="dxa" w:w="1080"/>
          </w:tcPr>
          <w:p>
            <w:pPr>
              <w:spacing w:after="20" w:before="0" w:line="240" w:lineRule="auto"/>
            </w:pPr>
            <w:r>
              <w:rPr>
                <w:color w:val="1C3A36"/>
                <w:sz w:val="15"/>
              </w:rPr>
              <w:t>1 Feb 2023</w:t>
            </w:r>
          </w:p>
        </w:tc>
        <w:tc>
          <w:tcPr>
            <w:tcW w:type="dxa" w:w="1656"/>
          </w:tcPr>
          <w:p>
            <w:pPr>
              <w:spacing w:after="20" w:before="0" w:line="240" w:lineRule="auto"/>
            </w:pPr>
            <w:r>
              <w:rPr>
                <w:color w:val="1C3A36"/>
                <w:sz w:val="15"/>
              </w:rPr>
              <w:t>FS_FY2022.pdf</w:t>
            </w:r>
          </w:p>
        </w:tc>
        <w:tc>
          <w:tcPr>
            <w:tcW w:type="dxa" w:w="5155"/>
          </w:tcPr>
          <w:p>
            <w:pPr>
              <w:spacing w:after="20" w:before="0" w:line="240" w:lineRule="auto"/>
            </w:pPr>
            <w:r>
              <w:rPr>
                <w:color w:val="1C3A36"/>
                <w:sz w:val="15"/>
              </w:rPr>
              <w:t>Completes the four-year audited record and carries the segment schedule from before the group was reorganised, which is the evidence that the segment series is not comparable across the whole span. No figure is cited to it directly; it is the evidence behind the statements that are.</w:t>
            </w:r>
          </w:p>
        </w:tc>
      </w:tr>
      <w:tr>
        <w:trPr>
          <w:cantSplit w:val="true"/>
        </w:trPr>
        <w:tc>
          <w:tcPr>
            <w:tcW w:type="dxa" w:w="2333"/>
          </w:tcPr>
          <w:p>
            <w:pPr>
              <w:spacing w:after="20" w:before="0" w:line="240" w:lineRule="auto"/>
            </w:pPr>
            <w:r>
              <w:rPr>
                <w:color w:val="1C3A36"/>
                <w:sz w:val="15"/>
              </w:rPr>
              <w:t>Annual Report and Accounts 2025</w:t>
            </w:r>
          </w:p>
        </w:tc>
        <w:tc>
          <w:tcPr>
            <w:tcW w:type="dxa" w:w="1080"/>
          </w:tcPr>
          <w:p>
            <w:pPr>
              <w:spacing w:after="20" w:before="0" w:line="240" w:lineRule="auto"/>
            </w:pPr>
            <w:r>
              <w:rPr>
                <w:color w:val="1C3A36"/>
                <w:sz w:val="15"/>
              </w:rPr>
              <w:t>10 Feb 2026</w:t>
            </w:r>
          </w:p>
        </w:tc>
        <w:tc>
          <w:tcPr>
            <w:tcW w:type="dxa" w:w="1656"/>
          </w:tcPr>
          <w:p>
            <w:pPr>
              <w:spacing w:after="20" w:before="0" w:line="240" w:lineRule="auto"/>
            </w:pPr>
            <w:r>
              <w:rPr>
                <w:color w:val="1C3A36"/>
                <w:sz w:val="15"/>
              </w:rPr>
              <w:t>AR2025.pdf</w:t>
            </w:r>
          </w:p>
        </w:tc>
        <w:tc>
          <w:tcPr>
            <w:tcW w:type="dxa" w:w="5155"/>
          </w:tcPr>
          <w:p>
            <w:pPr>
              <w:spacing w:after="20" w:before="0" w:line="240" w:lineRule="auto"/>
            </w:pPr>
            <w:r>
              <w:rPr>
                <w:color w:val="1C3A36"/>
                <w:sz w:val="15"/>
              </w:rPr>
              <w:t>The audited statements as machine-readable text where the standalone filing is an image, plus the fleet, order-book and operating review. Supplies one of the figures below.</w:t>
            </w:r>
          </w:p>
        </w:tc>
      </w:tr>
      <w:tr>
        <w:trPr>
          <w:cantSplit w:val="true"/>
        </w:trPr>
        <w:tc>
          <w:tcPr>
            <w:tcW w:type="dxa" w:w="2333"/>
          </w:tcPr>
          <w:p>
            <w:pPr>
              <w:spacing w:after="20" w:before="0" w:line="240" w:lineRule="auto"/>
            </w:pPr>
            <w:r>
              <w:rPr>
                <w:color w:val="1C3A36"/>
                <w:sz w:val="15"/>
              </w:rPr>
              <w:t>Annual Report and Accounts 2024</w:t>
            </w:r>
          </w:p>
        </w:tc>
        <w:tc>
          <w:tcPr>
            <w:tcW w:type="dxa" w:w="1080"/>
          </w:tcPr>
          <w:p>
            <w:pPr>
              <w:spacing w:after="20" w:before="0" w:line="240" w:lineRule="auto"/>
            </w:pPr>
            <w:r>
              <w:rPr>
                <w:color w:val="1C3A36"/>
                <w:sz w:val="15"/>
              </w:rPr>
              <w:t>11 Feb 2025</w:t>
            </w:r>
          </w:p>
        </w:tc>
        <w:tc>
          <w:tcPr>
            <w:tcW w:type="dxa" w:w="1656"/>
          </w:tcPr>
          <w:p>
            <w:pPr>
              <w:spacing w:after="20" w:before="0" w:line="240" w:lineRule="auto"/>
            </w:pPr>
            <w:r>
              <w:rPr>
                <w:color w:val="1C3A36"/>
                <w:sz w:val="15"/>
              </w:rPr>
              <w:t>AR2024.pdf</w:t>
            </w:r>
          </w:p>
        </w:tc>
        <w:tc>
          <w:tcPr>
            <w:tcW w:type="dxa" w:w="5155"/>
          </w:tcPr>
          <w:p>
            <w:pPr>
              <w:spacing w:after="20" w:before="0" w:line="240" w:lineRule="auto"/>
            </w:pPr>
            <w:r>
              <w:rPr>
                <w:color w:val="1C3A36"/>
                <w:sz w:val="15"/>
              </w:rPr>
              <w:t>The same for the 2024 statements and their 2023 comparatives; this is the volume the 2023 figures were read from.</w:t>
            </w:r>
          </w:p>
        </w:tc>
      </w:tr>
      <w:tr>
        <w:trPr>
          <w:cantSplit w:val="true"/>
        </w:trPr>
        <w:tc>
          <w:tcPr>
            <w:tcW w:type="dxa" w:w="2333"/>
          </w:tcPr>
          <w:p>
            <w:pPr>
              <w:spacing w:after="20" w:before="0" w:line="240" w:lineRule="auto"/>
            </w:pPr>
            <w:r>
              <w:rPr>
                <w:color w:val="1C3A36"/>
                <w:sz w:val="15"/>
              </w:rPr>
              <w:t>Annual Report and Accounts 2023</w:t>
            </w:r>
          </w:p>
        </w:tc>
        <w:tc>
          <w:tcPr>
            <w:tcW w:type="dxa" w:w="1080"/>
          </w:tcPr>
          <w:p>
            <w:pPr>
              <w:spacing w:after="20" w:before="0" w:line="240" w:lineRule="auto"/>
            </w:pPr>
            <w:r>
              <w:rPr>
                <w:color w:val="1C3A36"/>
                <w:sz w:val="15"/>
              </w:rPr>
              <w:t>1 Feb 2024</w:t>
            </w:r>
          </w:p>
        </w:tc>
        <w:tc>
          <w:tcPr>
            <w:tcW w:type="dxa" w:w="1656"/>
          </w:tcPr>
          <w:p>
            <w:pPr>
              <w:spacing w:after="20" w:before="0" w:line="240" w:lineRule="auto"/>
            </w:pPr>
            <w:r>
              <w:rPr>
                <w:color w:val="1C3A36"/>
                <w:sz w:val="15"/>
              </w:rPr>
              <w:t>NOT HELD</w:t>
            </w:r>
          </w:p>
        </w:tc>
        <w:tc>
          <w:tcPr>
            <w:tcW w:type="dxa" w:w="5155"/>
          </w:tcPr>
          <w:p>
            <w:pPr>
              <w:spacing w:after="20" w:before="0" w:line="240" w:lineRule="auto"/>
            </w:pPr>
            <w:r>
              <w:rPr>
                <w:color w:val="1C3A36"/>
                <w:sz w:val="15"/>
              </w:rPr>
              <w:t>NOT HELD as a separate volume. The 2023 audited statements themselves are held and were read directly, and the 2024 volume carries the 2023 comparatives, so no figure depends on it. Recorded rather than quietly dropped.</w:t>
            </w:r>
          </w:p>
        </w:tc>
      </w:tr>
      <w:tr>
        <w:trPr>
          <w:cantSplit w:val="true"/>
        </w:trPr>
        <w:tc>
          <w:tcPr>
            <w:tcW w:type="dxa" w:w="2333"/>
          </w:tcPr>
          <w:p>
            <w:pPr>
              <w:spacing w:after="20" w:before="0" w:line="240" w:lineRule="auto"/>
            </w:pPr>
            <w:r>
              <w:rPr>
                <w:color w:val="1C3A36"/>
                <w:sz w:val="15"/>
              </w:rPr>
              <w:t>Condensed consolidated interim financial information for the three months ended 31 March 2026, reviewed</w:t>
            </w:r>
          </w:p>
        </w:tc>
        <w:tc>
          <w:tcPr>
            <w:tcW w:type="dxa" w:w="1080"/>
          </w:tcPr>
          <w:p>
            <w:pPr>
              <w:spacing w:after="20" w:before="0" w:line="240" w:lineRule="auto"/>
            </w:pPr>
            <w:r>
              <w:rPr>
                <w:color w:val="1C3A36"/>
                <w:sz w:val="15"/>
              </w:rPr>
              <w:t>14 May 2026</w:t>
            </w:r>
          </w:p>
        </w:tc>
        <w:tc>
          <w:tcPr>
            <w:tcW w:type="dxa" w:w="1656"/>
          </w:tcPr>
          <w:p>
            <w:pPr>
              <w:spacing w:after="20" w:before="0" w:line="240" w:lineRule="auto"/>
            </w:pPr>
            <w:r>
              <w:rPr>
                <w:color w:val="1C3A36"/>
                <w:sz w:val="15"/>
              </w:rPr>
              <w:t>FS_Q1_2026.pdf</w:t>
            </w:r>
          </w:p>
        </w:tc>
        <w:tc>
          <w:tcPr>
            <w:tcW w:type="dxa" w:w="5155"/>
          </w:tcPr>
          <w:p>
            <w:pPr>
              <w:spacing w:after="20" w:before="0" w:line="240" w:lineRule="auto"/>
            </w:pPr>
            <w:r>
              <w:rPr>
                <w:color w:val="1C3A36"/>
                <w:sz w:val="15"/>
              </w:rPr>
              <w:t>The first-quarter income statement with 2025 comparatives, the balance sheet at the valuation date, the full segment schedule, the cash flow, the borrowings and related-party rates, and the events-after-reporting note. Supplies 146 of the figures below.</w:t>
            </w:r>
          </w:p>
        </w:tc>
      </w:tr>
      <w:tr>
        <w:trPr>
          <w:cantSplit w:val="true"/>
        </w:trPr>
        <w:tc>
          <w:tcPr>
            <w:tcW w:type="dxa" w:w="2333"/>
          </w:tcPr>
          <w:p>
            <w:pPr>
              <w:spacing w:after="20" w:before="0" w:line="240" w:lineRule="auto"/>
            </w:pPr>
            <w:r>
              <w:rPr>
                <w:color w:val="1C3A36"/>
                <w:sz w:val="15"/>
              </w:rPr>
              <w:t>Management commentary on the first quarter of 2026</w:t>
            </w:r>
          </w:p>
        </w:tc>
        <w:tc>
          <w:tcPr>
            <w:tcW w:type="dxa" w:w="1080"/>
          </w:tcPr>
          <w:p>
            <w:pPr>
              <w:spacing w:after="20" w:before="0" w:line="240" w:lineRule="auto"/>
            </w:pPr>
            <w:r>
              <w:rPr>
                <w:color w:val="1C3A36"/>
                <w:sz w:val="15"/>
              </w:rPr>
              <w:t>11 Aug 2026</w:t>
            </w:r>
          </w:p>
        </w:tc>
        <w:tc>
          <w:tcPr>
            <w:tcW w:type="dxa" w:w="1656"/>
          </w:tcPr>
          <w:p>
            <w:pPr>
              <w:spacing w:after="20" w:before="0" w:line="240" w:lineRule="auto"/>
            </w:pPr>
            <w:r>
              <w:rPr>
                <w:color w:val="1C3A36"/>
                <w:sz w:val="15"/>
              </w:rPr>
              <w:t>MDA_Q1_2026.pdf</w:t>
            </w:r>
          </w:p>
        </w:tc>
        <w:tc>
          <w:tcPr>
            <w:tcW w:type="dxa" w:w="5155"/>
          </w:tcPr>
          <w:p>
            <w:pPr>
              <w:spacing w:after="20" w:before="0" w:line="240" w:lineRule="auto"/>
            </w:pPr>
            <w:r>
              <w:rPr>
                <w:color w:val="1C3A36"/>
                <w:sz w:val="15"/>
              </w:rPr>
              <w:t>The raised guidance for 2026 by line and by business unit, the distribution policy, the medium-term leverage target, net debt and free cash flow, and the segment revenue and earnings table the quarterly build is anchored on. Supplies 43 of the figures below.</w:t>
            </w:r>
          </w:p>
        </w:tc>
      </w:tr>
      <w:tr>
        <w:trPr>
          <w:cantSplit w:val="true"/>
        </w:trPr>
        <w:tc>
          <w:tcPr>
            <w:tcW w:type="dxa" w:w="2333"/>
          </w:tcPr>
          <w:p>
            <w:pPr>
              <w:spacing w:after="20" w:before="0" w:line="240" w:lineRule="auto"/>
            </w:pPr>
            <w:r>
              <w:rPr>
                <w:color w:val="1C3A36"/>
                <w:sz w:val="15"/>
              </w:rPr>
              <w:t>Management commentary on the 2025 full year</w:t>
            </w:r>
          </w:p>
        </w:tc>
        <w:tc>
          <w:tcPr>
            <w:tcW w:type="dxa" w:w="1080"/>
          </w:tcPr>
          <w:p>
            <w:pPr>
              <w:spacing w:after="20" w:before="0" w:line="240" w:lineRule="auto"/>
            </w:pPr>
            <w:r>
              <w:rPr>
                <w:color w:val="1C3A36"/>
                <w:sz w:val="15"/>
              </w:rPr>
              <w:t>11 Feb 2026</w:t>
            </w:r>
          </w:p>
        </w:tc>
        <w:tc>
          <w:tcPr>
            <w:tcW w:type="dxa" w:w="1656"/>
          </w:tcPr>
          <w:p>
            <w:pPr>
              <w:spacing w:after="20" w:before="0" w:line="240" w:lineRule="auto"/>
            </w:pPr>
            <w:r>
              <w:rPr>
                <w:color w:val="1C3A36"/>
                <w:sz w:val="15"/>
              </w:rPr>
              <w:t>MDA_FY2025.pdf</w:t>
            </w:r>
          </w:p>
        </w:tc>
        <w:tc>
          <w:tcPr>
            <w:tcW w:type="dxa" w:w="5155"/>
          </w:tcPr>
          <w:p>
            <w:pPr>
              <w:spacing w:after="20" w:before="0" w:line="240" w:lineRule="auto"/>
            </w:pPr>
            <w:r>
              <w:rPr>
                <w:color w:val="1C3A36"/>
                <w:sz w:val="15"/>
              </w:rPr>
              <w:t>The full-year and fourth-quarter bridge, the company's own definition of net debt and of earnings, and the re-presentation note on tanker revenue. No figure is cited to it directly; it is the evidence behind the statements that are.</w:t>
            </w:r>
          </w:p>
        </w:tc>
      </w:tr>
      <w:tr>
        <w:trPr>
          <w:cantSplit w:val="true"/>
        </w:trPr>
        <w:tc>
          <w:tcPr>
            <w:tcW w:type="dxa" w:w="2333"/>
          </w:tcPr>
          <w:p>
            <w:pPr>
              <w:spacing w:after="20" w:before="0" w:line="240" w:lineRule="auto"/>
            </w:pPr>
            <w:r>
              <w:rPr>
                <w:color w:val="1C3A36"/>
                <w:sz w:val="15"/>
              </w:rPr>
              <w:t>Management commentary on the 2024 full year</w:t>
            </w:r>
          </w:p>
        </w:tc>
        <w:tc>
          <w:tcPr>
            <w:tcW w:type="dxa" w:w="1080"/>
          </w:tcPr>
          <w:p>
            <w:pPr>
              <w:spacing w:after="20" w:before="0" w:line="240" w:lineRule="auto"/>
            </w:pPr>
            <w:r>
              <w:rPr>
                <w:color w:val="1C3A36"/>
                <w:sz w:val="15"/>
              </w:rPr>
              <w:t>12 Feb 2025</w:t>
            </w:r>
          </w:p>
        </w:tc>
        <w:tc>
          <w:tcPr>
            <w:tcW w:type="dxa" w:w="1656"/>
          </w:tcPr>
          <w:p>
            <w:pPr>
              <w:spacing w:after="20" w:before="0" w:line="240" w:lineRule="auto"/>
            </w:pPr>
            <w:r>
              <w:rPr>
                <w:color w:val="1C3A36"/>
                <w:sz w:val="15"/>
              </w:rPr>
              <w:t>MDA_FY2024.pdf</w:t>
            </w:r>
          </w:p>
        </w:tc>
        <w:tc>
          <w:tcPr>
            <w:tcW w:type="dxa" w:w="5155"/>
          </w:tcPr>
          <w:p>
            <w:pPr>
              <w:spacing w:after="20" w:before="0" w:line="240" w:lineRule="auto"/>
            </w:pPr>
            <w:r>
              <w:rPr>
                <w:color w:val="1C3A36"/>
                <w:sz w:val="15"/>
              </w:rPr>
              <w:t>The 2024 comparative basis for the same tables, used to check that the 2025 presentation change is a presentation change and not a restatement of profit.</w:t>
            </w:r>
          </w:p>
        </w:tc>
      </w:tr>
      <w:tr>
        <w:trPr>
          <w:cantSplit w:val="true"/>
        </w:trPr>
        <w:tc>
          <w:tcPr>
            <w:tcW w:type="dxa" w:w="2333"/>
          </w:tcPr>
          <w:p>
            <w:pPr>
              <w:spacing w:after="20" w:before="0" w:line="240" w:lineRule="auto"/>
            </w:pPr>
            <w:r>
              <w:rPr>
                <w:color w:val="1C3A36"/>
                <w:sz w:val="15"/>
              </w:rPr>
              <w:t>Investor presentation, April 2026</w:t>
            </w:r>
          </w:p>
        </w:tc>
        <w:tc>
          <w:tcPr>
            <w:tcW w:type="dxa" w:w="1080"/>
          </w:tcPr>
          <w:p>
            <w:pPr>
              <w:spacing w:after="20" w:before="0" w:line="240" w:lineRule="auto"/>
            </w:pPr>
            <w:r>
              <w:rPr>
                <w:color w:val="1C3A36"/>
                <w:sz w:val="15"/>
              </w:rPr>
              <w:t>30 Apr 2026</w:t>
            </w:r>
          </w:p>
        </w:tc>
        <w:tc>
          <w:tcPr>
            <w:tcW w:type="dxa" w:w="1656"/>
          </w:tcPr>
          <w:p>
            <w:pPr>
              <w:spacing w:after="20" w:before="0" w:line="240" w:lineRule="auto"/>
            </w:pPr>
            <w:r>
              <w:rPr>
                <w:color w:val="1C3A36"/>
                <w:sz w:val="15"/>
              </w:rPr>
              <w:t>IP_Apr2026.pdf</w:t>
            </w:r>
          </w:p>
        </w:tc>
        <w:tc>
          <w:tcPr>
            <w:tcW w:type="dxa" w:w="5155"/>
          </w:tcPr>
          <w:p>
            <w:pPr>
              <w:spacing w:after="20" w:before="0" w:line="240" w:lineRule="auto"/>
            </w:pPr>
            <w:r>
              <w:rPr>
                <w:color w:val="1C3A36"/>
                <w:sz w:val="15"/>
              </w:rPr>
              <w:t>The unit drivers: owned fleet by vessel class, the twelve vessels chartered out with each rate and expiry, the gas contract table quarter by quarter to 2029, the order book and remaining committed spending, the guided capital-expenditure path, long-term contracted revenue and its run-off, the share of earnings exposed to spot rates, and the disclosed sensitivity of earnings to a change of USD 1,000 a day. Supplies 30 of the figures below.</w:t>
            </w:r>
          </w:p>
        </w:tc>
      </w:tr>
      <w:tr>
        <w:trPr>
          <w:cantSplit w:val="true"/>
        </w:trPr>
        <w:tc>
          <w:tcPr>
            <w:tcW w:type="dxa" w:w="2333"/>
          </w:tcPr>
          <w:p>
            <w:pPr>
              <w:spacing w:after="20" w:before="0" w:line="240" w:lineRule="auto"/>
            </w:pPr>
            <w:r>
              <w:rPr>
                <w:color w:val="1C3A36"/>
                <w:sz w:val="15"/>
              </w:rPr>
              <w:t>Investor presentation, 2025 full year</w:t>
            </w:r>
          </w:p>
        </w:tc>
        <w:tc>
          <w:tcPr>
            <w:tcW w:type="dxa" w:w="1080"/>
          </w:tcPr>
          <w:p>
            <w:pPr>
              <w:spacing w:after="20" w:before="0" w:line="240" w:lineRule="auto"/>
            </w:pPr>
            <w:r>
              <w:rPr>
                <w:color w:val="1C3A36"/>
                <w:sz w:val="15"/>
              </w:rPr>
              <w:t>11 Feb 2026</w:t>
            </w:r>
          </w:p>
        </w:tc>
        <w:tc>
          <w:tcPr>
            <w:tcW w:type="dxa" w:w="1656"/>
          </w:tcPr>
          <w:p>
            <w:pPr>
              <w:spacing w:after="20" w:before="0" w:line="240" w:lineRule="auto"/>
            </w:pPr>
            <w:r>
              <w:rPr>
                <w:color w:val="1C3A36"/>
                <w:sz w:val="15"/>
              </w:rPr>
              <w:t>IP_FY2025.pdf</w:t>
            </w:r>
          </w:p>
        </w:tc>
        <w:tc>
          <w:tcPr>
            <w:tcW w:type="dxa" w:w="5155"/>
          </w:tcPr>
          <w:p>
            <w:pPr>
              <w:spacing w:after="20" w:before="0" w:line="240" w:lineRule="auto"/>
            </w:pPr>
            <w:r>
              <w:rPr>
                <w:color w:val="1C3A36"/>
                <w:sz w:val="15"/>
              </w:rPr>
              <w:t>The quarterly time-charter equivalents by vessel class back to the start of 2024, the jack-up barge and support-vessel counts, and the contracted share of 2026 revenue. Supplies 31 of the figures below.</w:t>
            </w:r>
          </w:p>
        </w:tc>
      </w:tr>
      <w:tr>
        <w:trPr>
          <w:cantSplit w:val="true"/>
        </w:trPr>
        <w:tc>
          <w:tcPr>
            <w:tcW w:type="dxa" w:w="2333"/>
          </w:tcPr>
          <w:p>
            <w:pPr>
              <w:spacing w:after="20" w:before="0" w:line="240" w:lineRule="auto"/>
            </w:pPr>
            <w:r>
              <w:rPr>
                <w:color w:val="1C3A36"/>
                <w:sz w:val="15"/>
              </w:rPr>
              <w:t>Earnings-call transcript, first quarter of 2026</w:t>
            </w:r>
          </w:p>
        </w:tc>
        <w:tc>
          <w:tcPr>
            <w:tcW w:type="dxa" w:w="1080"/>
          </w:tcPr>
          <w:p>
            <w:pPr>
              <w:spacing w:after="20" w:before="0" w:line="240" w:lineRule="auto"/>
            </w:pPr>
            <w:r>
              <w:rPr>
                <w:color w:val="1C3A36"/>
                <w:sz w:val="15"/>
              </w:rPr>
              <w:t>14 May 2026</w:t>
            </w:r>
          </w:p>
        </w:tc>
        <w:tc>
          <w:tcPr>
            <w:tcW w:type="dxa" w:w="1656"/>
          </w:tcPr>
          <w:p>
            <w:pPr>
              <w:spacing w:after="20" w:before="0" w:line="240" w:lineRule="auto"/>
            </w:pPr>
            <w:r>
              <w:rPr>
                <w:color w:val="1C3A36"/>
                <w:sz w:val="15"/>
              </w:rPr>
              <w:t>CALL_Q1_2026.pdf</w:t>
            </w:r>
          </w:p>
        </w:tc>
        <w:tc>
          <w:tcPr>
            <w:tcW w:type="dxa" w:w="5155"/>
          </w:tcPr>
          <w:p>
            <w:pPr>
              <w:spacing w:after="20" w:before="0" w:line="240" w:lineRule="auto"/>
            </w:pPr>
            <w:r>
              <w:rPr>
                <w:color w:val="1C3A36"/>
                <w:sz w:val="15"/>
              </w:rPr>
              <w:t>The rates achieved in the first quarter and the level the second quarter was crossing at the time of the call, and management’s own account of why. Supplies 9 of the figures below.</w:t>
            </w:r>
          </w:p>
        </w:tc>
      </w:tr>
      <w:tr>
        <w:trPr>
          <w:cantSplit w:val="true"/>
        </w:trPr>
        <w:tc>
          <w:tcPr>
            <w:tcW w:type="dxa" w:w="2333"/>
          </w:tcPr>
          <w:p>
            <w:pPr>
              <w:spacing w:after="20" w:before="0" w:line="240" w:lineRule="auto"/>
            </w:pPr>
            <w:r>
              <w:rPr>
                <w:color w:val="1C3A36"/>
                <w:sz w:val="15"/>
              </w:rPr>
              <w:t>Earnings-call transcript, 2025 full year</w:t>
            </w:r>
          </w:p>
        </w:tc>
        <w:tc>
          <w:tcPr>
            <w:tcW w:type="dxa" w:w="1080"/>
          </w:tcPr>
          <w:p>
            <w:pPr>
              <w:spacing w:after="20" w:before="0" w:line="240" w:lineRule="auto"/>
            </w:pPr>
            <w:r>
              <w:rPr>
                <w:color w:val="1C3A36"/>
                <w:sz w:val="15"/>
              </w:rPr>
              <w:t>11 Feb 2026</w:t>
            </w:r>
          </w:p>
        </w:tc>
        <w:tc>
          <w:tcPr>
            <w:tcW w:type="dxa" w:w="1656"/>
          </w:tcPr>
          <w:p>
            <w:pPr>
              <w:spacing w:after="20" w:before="0" w:line="240" w:lineRule="auto"/>
            </w:pPr>
            <w:r>
              <w:rPr>
                <w:color w:val="1C3A36"/>
                <w:sz w:val="15"/>
              </w:rPr>
              <w:t>CALL_FY2025.pdf</w:t>
            </w:r>
          </w:p>
        </w:tc>
        <w:tc>
          <w:tcPr>
            <w:tcW w:type="dxa" w:w="5155"/>
          </w:tcPr>
          <w:p>
            <w:pPr>
              <w:spacing w:after="20" w:before="0" w:line="240" w:lineRule="auto"/>
            </w:pPr>
            <w:r>
              <w:rPr>
                <w:color w:val="1C3A36"/>
                <w:sz w:val="15"/>
              </w:rPr>
              <w:t>Context for the acquisition, the newbuild programme and the distribution policy; read in full, and used to check the presentation figures rather than as a source of numbers.</w:t>
            </w:r>
          </w:p>
        </w:tc>
      </w:tr>
      <w:tr>
        <w:trPr>
          <w:cantSplit w:val="true"/>
        </w:trPr>
        <w:tc>
          <w:tcPr>
            <w:tcW w:type="dxa" w:w="2333"/>
          </w:tcPr>
          <w:p>
            <w:pPr>
              <w:spacing w:after="20" w:before="0" w:line="240" w:lineRule="auto"/>
            </w:pPr>
            <w:r>
              <w:rPr>
                <w:color w:val="1C3A36"/>
                <w:sz w:val="15"/>
              </w:rPr>
              <w:t>Earnings release, 2025 full year</w:t>
            </w:r>
          </w:p>
        </w:tc>
        <w:tc>
          <w:tcPr>
            <w:tcW w:type="dxa" w:w="1080"/>
          </w:tcPr>
          <w:p>
            <w:pPr>
              <w:spacing w:after="20" w:before="0" w:line="240" w:lineRule="auto"/>
            </w:pPr>
            <w:r>
              <w:rPr>
                <w:color w:val="1C3A36"/>
                <w:sz w:val="15"/>
              </w:rPr>
              <w:t>31 Jan 2026</w:t>
            </w:r>
          </w:p>
        </w:tc>
        <w:tc>
          <w:tcPr>
            <w:tcW w:type="dxa" w:w="1656"/>
          </w:tcPr>
          <w:p>
            <w:pPr>
              <w:spacing w:after="20" w:before="0" w:line="240" w:lineRule="auto"/>
            </w:pPr>
            <w:r>
              <w:rPr>
                <w:color w:val="1C3A36"/>
                <w:sz w:val="15"/>
              </w:rPr>
              <w:t>REL_FY2025.pdf</w:t>
            </w:r>
          </w:p>
        </w:tc>
        <w:tc>
          <w:tcPr>
            <w:tcW w:type="dxa" w:w="5155"/>
          </w:tcPr>
          <w:p>
            <w:pPr>
              <w:spacing w:after="20" w:before="0" w:line="240" w:lineRule="auto"/>
            </w:pPr>
            <w:r>
              <w:rPr>
                <w:color w:val="1C3A36"/>
                <w:sz w:val="15"/>
              </w:rPr>
              <w:t>The realised sale of a 2017-built very large crude carrier in January 2026, its carrying value and the gain — the only market evidence of what this fleet is worth secondhand. Supplies 4 of the figures below.</w:t>
            </w:r>
          </w:p>
        </w:tc>
      </w:tr>
      <w:tr>
        <w:trPr>
          <w:cantSplit w:val="true"/>
        </w:trPr>
        <w:tc>
          <w:tcPr>
            <w:tcW w:type="dxa" w:w="2333"/>
          </w:tcPr>
          <w:p>
            <w:pPr>
              <w:spacing w:after="20" w:before="0" w:line="240" w:lineRule="auto"/>
            </w:pPr>
            <w:r>
              <w:rPr>
                <w:color w:val="1C3A36"/>
                <w:sz w:val="15"/>
              </w:rPr>
              <w:t>Announcement of the purchase of eleven vessels</w:t>
            </w:r>
          </w:p>
        </w:tc>
        <w:tc>
          <w:tcPr>
            <w:tcW w:type="dxa" w:w="1080"/>
          </w:tcPr>
          <w:p>
            <w:pPr>
              <w:spacing w:after="20" w:before="0" w:line="240" w:lineRule="auto"/>
            </w:pPr>
            <w:r>
              <w:rPr>
                <w:color w:val="1C3A36"/>
                <w:sz w:val="15"/>
              </w:rPr>
              <w:t>7 Aug 2026</w:t>
            </w:r>
          </w:p>
        </w:tc>
        <w:tc>
          <w:tcPr>
            <w:tcW w:type="dxa" w:w="1656"/>
          </w:tcPr>
          <w:p>
            <w:pPr>
              <w:spacing w:after="20" w:before="0" w:line="240" w:lineRule="auto"/>
            </w:pPr>
            <w:r>
              <w:rPr>
                <w:color w:val="1C3A36"/>
                <w:sz w:val="15"/>
              </w:rPr>
              <w:t>announcement, not a filed document</w:t>
            </w:r>
          </w:p>
        </w:tc>
        <w:tc>
          <w:tcPr>
            <w:tcW w:type="dxa" w:w="5155"/>
          </w:tcPr>
          <w:p>
            <w:pPr>
              <w:spacing w:after="20" w:before="0" w:line="240" w:lineRule="auto"/>
            </w:pPr>
            <w:r>
              <w:rPr>
                <w:color w:val="1C3A36"/>
                <w:sz w:val="15"/>
              </w:rPr>
              <w:t>The single most consequential document in this edition, and it is dated the same day as the closing price the study is anchored on. It gives the number of vessels by class — 6 very large crude carriers and 5 gas carriers — the approximate consideration of USD 1,300m, the delivery quarters, and the fleet counts the company says the purchase takes it to. WHAT IT CHANGED: the first edition of the study did not carry the transaction at all, so a fair value that excluded the vessels was being compared with a market price that already included them. The vessels now join the model on their announced delivery dates and earn from those dates, and the consideration is added both to the debt-like deduction in the bridge and to the asset base that depreciates. It also confirms a correction the previous edition had already made from a different document: the company states the purchase takes the crude fleet to fourteen, and the corrected valuation-date count of 8 plus 6 is fourteen. Supplies 3 of the figures below.</w:t>
            </w:r>
          </w:p>
        </w:tc>
      </w:tr>
    </w:tbl>
    <w:p>
      <w:pPr>
        <w:spacing w:after="40"/>
      </w:pPr>
    </w:p>
    <w:p>
      <w:pPr>
        <w:spacing w:after="60" w:before="180"/>
      </w:pPr>
      <w:r>
        <w:rPr>
          <w:b/>
          <w:i w:val="0"/>
          <w:color w:val="1C3A36"/>
          <w:sz w:val="22"/>
        </w:rPr>
        <w:t>External documents</w:t>
      </w:r>
    </w:p>
    <w:tbl>
      <w:tblPr>
        <w:tblW w:type="auto" w:w="0"/>
        <w:jc w:val="center"/>
        <w:tblLook w:firstColumn="1" w:firstRow="1" w:lastColumn="0" w:lastRow="0" w:noHBand="0" w:noVBand="1" w:val="04A0"/>
        <w:tblLayout w:type="fixed"/>
        <w:tblCellMar>
          <w:top w:w="34" w:type="dxa"/>
          <w:left w:w="70" w:type="dxa"/>
          <w:bottom w:w="34" w:type="dxa"/>
          <w:right w:w="7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872"/>
        <w:gridCol w:w="979"/>
        <w:gridCol w:w="4896"/>
      </w:tblGrid>
      <w:tr>
        <w:trPr>
          <w:cantSplit w:val="true"/>
          <w:tblHeader w:val="true"/>
        </w:trPr>
        <w:tc>
          <w:tcPr>
            <w:tcW w:type="dxa" w:w="2477"/>
            <w:shd w:val="clear" w:color="auto" w:fill="EAF0EE"/>
          </w:tcPr>
          <w:p>
            <w:pPr>
              <w:spacing w:after="20" w:before="0" w:line="240" w:lineRule="auto"/>
            </w:pPr>
            <w:r>
              <w:rPr>
                <w:b/>
                <w:color w:val="1C3A36"/>
                <w:sz w:val="15"/>
              </w:rPr>
              <w:t>Document</w:t>
            </w:r>
          </w:p>
        </w:tc>
        <w:tc>
          <w:tcPr>
            <w:tcW w:type="dxa" w:w="1872"/>
            <w:shd w:val="clear" w:color="auto" w:fill="EAF0EE"/>
          </w:tcPr>
          <w:p>
            <w:pPr>
              <w:spacing w:after="20" w:before="0" w:line="240" w:lineRule="auto"/>
            </w:pPr>
            <w:r>
              <w:rPr>
                <w:b/>
                <w:color w:val="1C3A36"/>
                <w:sz w:val="15"/>
              </w:rPr>
              <w:t>Publisher</w:t>
            </w:r>
          </w:p>
        </w:tc>
        <w:tc>
          <w:tcPr>
            <w:tcW w:type="dxa" w:w="979"/>
            <w:shd w:val="clear" w:color="auto" w:fill="EAF0EE"/>
          </w:tcPr>
          <w:p>
            <w:pPr>
              <w:spacing w:after="20" w:before="0" w:line="240" w:lineRule="auto"/>
            </w:pPr>
            <w:r>
              <w:rPr>
                <w:b/>
                <w:color w:val="1C3A36"/>
                <w:sz w:val="15"/>
              </w:rPr>
              <w:t>Date</w:t>
            </w:r>
          </w:p>
        </w:tc>
        <w:tc>
          <w:tcPr>
            <w:tcW w:type="dxa" w:w="4896"/>
            <w:shd w:val="clear" w:color="auto" w:fill="EAF0EE"/>
          </w:tcPr>
          <w:p>
            <w:pPr>
              <w:spacing w:after="20" w:before="0" w:line="240" w:lineRule="auto"/>
            </w:pPr>
            <w:r>
              <w:rPr>
                <w:b/>
                <w:color w:val="1C3A36"/>
                <w:sz w:val="15"/>
              </w:rPr>
              <w:t>What was taken from it</w:t>
            </w:r>
          </w:p>
        </w:tc>
      </w:tr>
      <w:tr>
        <w:trPr>
          <w:cantSplit w:val="true"/>
        </w:trPr>
        <w:tc>
          <w:tcPr>
            <w:tcW w:type="dxa" w:w="2477"/>
          </w:tcPr>
          <w:p>
            <w:pPr>
              <w:spacing w:after="20" w:before="0" w:line="240" w:lineRule="auto"/>
            </w:pPr>
            <w:r>
              <w:rPr>
                <w:color w:val="1C3A36"/>
                <w:sz w:val="15"/>
              </w:rPr>
              <w:t>Dirham treasury bond auction result, the tranche maturing January 2031</w:t>
            </w:r>
          </w:p>
        </w:tc>
        <w:tc>
          <w:tcPr>
            <w:tcW w:type="dxa" w:w="1872"/>
          </w:tcPr>
          <w:p>
            <w:pPr>
              <w:spacing w:after="20" w:before="0" w:line="240" w:lineRule="auto"/>
            </w:pPr>
            <w:r>
              <w:rPr>
                <w:color w:val="1C3A36"/>
                <w:sz w:val="15"/>
              </w:rPr>
              <w:t>UAE Ministry of Finance, as reported by the Emirates News Agency</w:t>
            </w:r>
          </w:p>
        </w:tc>
        <w:tc>
          <w:tcPr>
            <w:tcW w:type="dxa" w:w="979"/>
          </w:tcPr>
          <w:p>
            <w:pPr>
              <w:spacing w:after="20" w:before="0" w:line="240" w:lineRule="auto"/>
            </w:pPr>
            <w:r>
              <w:rPr>
                <w:color w:val="1C3A36"/>
                <w:sz w:val="15"/>
              </w:rPr>
              <w:t>30 Jul 2026</w:t>
            </w:r>
          </w:p>
        </w:tc>
        <w:tc>
          <w:tcPr>
            <w:tcW w:type="dxa" w:w="4896"/>
          </w:tcPr>
          <w:p>
            <w:pPr>
              <w:spacing w:after="20" w:before="0" w:line="240" w:lineRule="auto"/>
            </w:pPr>
            <w:r>
              <w:rPr>
                <w:color w:val="1C3A36"/>
                <w:sz w:val="15"/>
              </w:rPr>
              <w:t>The observed government yield of 4.48%, which after deducting the sovereign's own default spread is the risk-free rate in the cost of equity.</w:t>
            </w:r>
          </w:p>
        </w:tc>
      </w:tr>
      <w:tr>
        <w:trPr>
          <w:cantSplit w:val="true"/>
        </w:trPr>
        <w:tc>
          <w:tcPr>
            <w:tcW w:type="dxa" w:w="2477"/>
          </w:tcPr>
          <w:p>
            <w:pPr>
              <w:spacing w:after="20" w:before="0" w:line="240" w:lineRule="auto"/>
            </w:pPr>
            <w:r>
              <w:rPr>
                <w:color w:val="1C3A36"/>
                <w:sz w:val="15"/>
              </w:rPr>
              <w:t>Country risk premium and default spread file, January 2026 edition</w:t>
            </w:r>
          </w:p>
        </w:tc>
        <w:tc>
          <w:tcPr>
            <w:tcW w:type="dxa" w:w="1872"/>
          </w:tcPr>
          <w:p>
            <w:pPr>
              <w:spacing w:after="20" w:before="0" w:line="240" w:lineRule="auto"/>
            </w:pPr>
            <w:r>
              <w:rPr>
                <w:color w:val="1C3A36"/>
                <w:sz w:val="15"/>
              </w:rPr>
              <w:t>Aswath Damodaran, NYU Stern</w:t>
            </w:r>
          </w:p>
        </w:tc>
        <w:tc>
          <w:tcPr>
            <w:tcW w:type="dxa" w:w="979"/>
          </w:tcPr>
          <w:p>
            <w:pPr>
              <w:spacing w:after="20" w:before="0" w:line="240" w:lineRule="auto"/>
            </w:pPr>
            <w:r>
              <w:rPr>
                <w:color w:val="1C3A36"/>
                <w:sz w:val="15"/>
              </w:rPr>
              <w:t>5 Jan 2026</w:t>
            </w:r>
          </w:p>
        </w:tc>
        <w:tc>
          <w:tcPr>
            <w:tcW w:type="dxa" w:w="4896"/>
          </w:tcPr>
          <w:p>
            <w:pPr>
              <w:spacing w:after="20" w:before="0" w:line="240" w:lineRule="auto"/>
            </w:pPr>
            <w:r>
              <w:rPr>
                <w:color w:val="1C3A36"/>
                <w:sz w:val="15"/>
              </w:rPr>
              <w:t>The sovereign default spread of 0.42%, the total equity risk premium of 4.87% and the mature-market premium of 4.23%. The original file only, read for this sovereign rather than borrowed from a regional figure.</w:t>
            </w:r>
          </w:p>
        </w:tc>
      </w:tr>
      <w:tr>
        <w:trPr>
          <w:cantSplit w:val="true"/>
        </w:trPr>
        <w:tc>
          <w:tcPr>
            <w:tcW w:type="dxa" w:w="2477"/>
          </w:tcPr>
          <w:p>
            <w:pPr>
              <w:spacing w:after="20" w:before="0" w:line="240" w:lineRule="auto"/>
            </w:pPr>
            <w:r>
              <w:rPr>
                <w:color w:val="1C3A36"/>
                <w:sz w:val="15"/>
              </w:rPr>
              <w:t>Published overnight financing rate</w:t>
            </w:r>
          </w:p>
        </w:tc>
        <w:tc>
          <w:tcPr>
            <w:tcW w:type="dxa" w:w="1872"/>
          </w:tcPr>
          <w:p>
            <w:pPr>
              <w:spacing w:after="20" w:before="0" w:line="240" w:lineRule="auto"/>
            </w:pPr>
            <w:r>
              <w:rPr>
                <w:color w:val="1C3A36"/>
                <w:sz w:val="15"/>
              </w:rPr>
              <w:t>Federal Reserve Bank of New York</w:t>
            </w:r>
          </w:p>
        </w:tc>
        <w:tc>
          <w:tcPr>
            <w:tcW w:type="dxa" w:w="979"/>
          </w:tcPr>
          <w:p>
            <w:pPr>
              <w:spacing w:after="20" w:before="0" w:line="240" w:lineRule="auto"/>
            </w:pPr>
            <w:r>
              <w:rPr>
                <w:color w:val="1C3A36"/>
                <w:sz w:val="15"/>
              </w:rPr>
              <w:t>6 Aug 2026</w:t>
            </w:r>
          </w:p>
        </w:tc>
        <w:tc>
          <w:tcPr>
            <w:tcW w:type="dxa" w:w="4896"/>
          </w:tcPr>
          <w:p>
            <w:pPr>
              <w:spacing w:after="20" w:before="0" w:line="240" w:lineRule="auto"/>
            </w:pPr>
            <w:r>
              <w:rPr>
                <w:color w:val="1C3A36"/>
                <w:sz w:val="15"/>
              </w:rPr>
              <w:t>The dollar base rate of 3.65% that every one of the group's debt instruments is contractually priced off, and the anchor for the marginal cost of debt.</w:t>
            </w:r>
          </w:p>
        </w:tc>
      </w:tr>
      <w:tr>
        <w:trPr>
          <w:cantSplit w:val="true"/>
        </w:trPr>
        <w:tc>
          <w:tcPr>
            <w:tcW w:type="dxa" w:w="2477"/>
          </w:tcPr>
          <w:p>
            <w:pPr>
              <w:spacing w:after="20" w:before="0" w:line="240" w:lineRule="auto"/>
            </w:pPr>
            <w:r>
              <w:rPr>
                <w:color w:val="1C3A36"/>
                <w:sz w:val="15"/>
              </w:rPr>
              <w:t>Federal Decree-Law 47 of 2022 on the taxation of corporations and businesses</w:t>
            </w:r>
          </w:p>
        </w:tc>
        <w:tc>
          <w:tcPr>
            <w:tcW w:type="dxa" w:w="1872"/>
          </w:tcPr>
          <w:p>
            <w:pPr>
              <w:spacing w:after="20" w:before="0" w:line="240" w:lineRule="auto"/>
            </w:pPr>
            <w:r>
              <w:rPr>
                <w:color w:val="1C3A36"/>
                <w:sz w:val="15"/>
              </w:rPr>
              <w:t>Government of the United Arab Emirates</w:t>
            </w:r>
          </w:p>
        </w:tc>
        <w:tc>
          <w:tcPr>
            <w:tcW w:type="dxa" w:w="979"/>
          </w:tcPr>
          <w:p>
            <w:pPr>
              <w:spacing w:after="20" w:before="0" w:line="240" w:lineRule="auto"/>
            </w:pPr>
            <w:r>
              <w:rPr>
                <w:color w:val="1C3A36"/>
                <w:sz w:val="15"/>
              </w:rPr>
              <w:t>1 Jun 2023</w:t>
            </w:r>
          </w:p>
        </w:tc>
        <w:tc>
          <w:tcPr>
            <w:tcW w:type="dxa" w:w="4896"/>
          </w:tcPr>
          <w:p>
            <w:pPr>
              <w:spacing w:after="20" w:before="0" w:line="240" w:lineRule="auto"/>
            </w:pPr>
            <w:r>
              <w:rPr>
                <w:color w:val="1C3A36"/>
                <w:sz w:val="15"/>
              </w:rPr>
              <w:t>The 9% standard corporate rate above the threshold, and the relief for income from the international transport of goods and passengers that the company's own segment tax disclosure shows the effect of.</w:t>
            </w:r>
          </w:p>
        </w:tc>
      </w:tr>
      <w:tr>
        <w:trPr>
          <w:cantSplit w:val="true"/>
        </w:trPr>
        <w:tc>
          <w:tcPr>
            <w:tcW w:type="dxa" w:w="2477"/>
          </w:tcPr>
          <w:p>
            <w:pPr>
              <w:spacing w:after="20" w:before="0" w:line="240" w:lineRule="auto"/>
            </w:pPr>
            <w:r>
              <w:rPr>
                <w:color w:val="1C3A36"/>
                <w:sz w:val="15"/>
              </w:rPr>
              <w:t>Base rate decision</w:t>
            </w:r>
          </w:p>
        </w:tc>
        <w:tc>
          <w:tcPr>
            <w:tcW w:type="dxa" w:w="1872"/>
          </w:tcPr>
          <w:p>
            <w:pPr>
              <w:spacing w:after="20" w:before="0" w:line="240" w:lineRule="auto"/>
            </w:pPr>
            <w:r>
              <w:rPr>
                <w:color w:val="1C3A36"/>
                <w:sz w:val="15"/>
              </w:rPr>
              <w:t>Central Bank of the UAE</w:t>
            </w:r>
          </w:p>
        </w:tc>
        <w:tc>
          <w:tcPr>
            <w:tcW w:type="dxa" w:w="979"/>
          </w:tcPr>
          <w:p>
            <w:pPr>
              <w:spacing w:after="20" w:before="0" w:line="240" w:lineRule="auto"/>
            </w:pPr>
            <w:r>
              <w:rPr>
                <w:color w:val="1C3A36"/>
                <w:sz w:val="15"/>
              </w:rPr>
              <w:t>29 Jul 2026</w:t>
            </w:r>
          </w:p>
        </w:tc>
        <w:tc>
          <w:tcPr>
            <w:tcW w:type="dxa" w:w="4896"/>
          </w:tcPr>
          <w:p>
            <w:pPr>
              <w:spacing w:after="20" w:before="0" w:line="240" w:lineRule="auto"/>
            </w:pPr>
            <w:r>
              <w:rPr>
                <w:color w:val="1C3A36"/>
                <w:sz w:val="15"/>
              </w:rPr>
              <w:t>The policy rate of 3.65% and the confirmation that the dirham peg is maintained.</w:t>
            </w:r>
          </w:p>
        </w:tc>
      </w:tr>
      <w:tr>
        <w:trPr>
          <w:cantSplit w:val="true"/>
        </w:trPr>
        <w:tc>
          <w:tcPr>
            <w:tcW w:type="dxa" w:w="2477"/>
          </w:tcPr>
          <w:p>
            <w:pPr>
              <w:spacing w:after="20" w:before="0" w:line="240" w:lineRule="auto"/>
            </w:pPr>
            <w:r>
              <w:rPr>
                <w:color w:val="1C3A36"/>
                <w:sz w:val="15"/>
              </w:rPr>
              <w:t>World Economic Outlook database, United Arab Emirates</w:t>
            </w:r>
          </w:p>
        </w:tc>
        <w:tc>
          <w:tcPr>
            <w:tcW w:type="dxa" w:w="1872"/>
          </w:tcPr>
          <w:p>
            <w:pPr>
              <w:spacing w:after="20" w:before="0" w:line="240" w:lineRule="auto"/>
            </w:pPr>
            <w:r>
              <w:rPr>
                <w:color w:val="1C3A36"/>
                <w:sz w:val="15"/>
              </w:rPr>
              <w:t>International Monetary Fund</w:t>
            </w:r>
          </w:p>
        </w:tc>
        <w:tc>
          <w:tcPr>
            <w:tcW w:type="dxa" w:w="979"/>
          </w:tcPr>
          <w:p>
            <w:pPr>
              <w:spacing w:after="20" w:before="0" w:line="240" w:lineRule="auto"/>
            </w:pPr>
            <w:r>
              <w:rPr>
                <w:color w:val="1C3A36"/>
                <w:sz w:val="15"/>
              </w:rPr>
              <w:t>30 Apr 2026</w:t>
            </w:r>
          </w:p>
        </w:tc>
        <w:tc>
          <w:tcPr>
            <w:tcW w:type="dxa" w:w="4896"/>
          </w:tcPr>
          <w:p>
            <w:pPr>
              <w:spacing w:after="20" w:before="0" w:line="240" w:lineRule="auto"/>
            </w:pPr>
            <w:r>
              <w:rPr>
                <w:color w:val="1C3A36"/>
                <w:sz w:val="15"/>
              </w:rPr>
              <w:t>Real growth of 3.10% and consumer price inflation of 2.50% for 2026, used as context for the terminal assumptions rather than as a forecast driver.</w:t>
            </w:r>
          </w:p>
        </w:tc>
      </w:tr>
      <w:tr>
        <w:trPr>
          <w:cantSplit w:val="true"/>
        </w:trPr>
        <w:tc>
          <w:tcPr>
            <w:tcW w:type="dxa" w:w="2477"/>
          </w:tcPr>
          <w:p>
            <w:pPr>
              <w:spacing w:after="20" w:before="0" w:line="240" w:lineRule="auto"/>
            </w:pPr>
            <w:r>
              <w:rPr>
                <w:color w:val="1C3A36"/>
                <w:sz w:val="15"/>
              </w:rPr>
              <w:t>Company statistics page, Qatar Gas Transport (Nakilat)</w:t>
            </w:r>
          </w:p>
        </w:tc>
        <w:tc>
          <w:tcPr>
            <w:tcW w:type="dxa" w:w="1872"/>
          </w:tcPr>
          <w:p>
            <w:pPr>
              <w:spacing w:after="20" w:before="0" w:line="240" w:lineRule="auto"/>
            </w:pPr>
            <w:r>
              <w:rPr>
                <w:color w:val="1C3A36"/>
                <w:sz w:val="15"/>
              </w:rPr>
              <w:t>stockanalysis.com</w:t>
            </w:r>
          </w:p>
        </w:tc>
        <w:tc>
          <w:tcPr>
            <w:tcW w:type="dxa" w:w="979"/>
          </w:tcPr>
          <w:p>
            <w:pPr>
              <w:spacing w:after="20" w:before="0" w:line="240" w:lineRule="auto"/>
            </w:pPr>
            <w:r>
              <w:rPr>
                <w:color w:val="1C3A36"/>
                <w:sz w:val="15"/>
              </w:rPr>
              <w:t>9 Aug 2026</w:t>
            </w:r>
          </w:p>
        </w:tc>
        <w:tc>
          <w:tcPr>
            <w:tcW w:type="dxa" w:w="4896"/>
          </w:tcPr>
          <w:p>
            <w:pPr>
              <w:spacing w:after="20" w:before="0" w:line="240" w:lineRule="auto"/>
            </w:pPr>
            <w:r>
              <w:rPr>
                <w:color w:val="1C3A36"/>
                <w:sz w:val="15"/>
              </w:rPr>
              <w:t>The enterprise-to-earnings multiple of 12.26x for the contracted-fleet comparator, with its price-to-earnings and price-to-book figures.</w:t>
            </w:r>
          </w:p>
        </w:tc>
      </w:tr>
      <w:tr>
        <w:trPr>
          <w:cantSplit w:val="true"/>
        </w:trPr>
        <w:tc>
          <w:tcPr>
            <w:tcW w:type="dxa" w:w="2477"/>
          </w:tcPr>
          <w:p>
            <w:pPr>
              <w:spacing w:after="20" w:before="0" w:line="240" w:lineRule="auto"/>
            </w:pPr>
            <w:r>
              <w:rPr>
                <w:color w:val="1C3A36"/>
                <w:sz w:val="15"/>
              </w:rPr>
              <w:t>Company statistics page, Frontline plc</w:t>
            </w:r>
          </w:p>
        </w:tc>
        <w:tc>
          <w:tcPr>
            <w:tcW w:type="dxa" w:w="1872"/>
          </w:tcPr>
          <w:p>
            <w:pPr>
              <w:spacing w:after="20" w:before="0" w:line="240" w:lineRule="auto"/>
            </w:pPr>
            <w:r>
              <w:rPr>
                <w:color w:val="1C3A36"/>
                <w:sz w:val="15"/>
              </w:rPr>
              <w:t>stockanalysis.com</w:t>
            </w:r>
          </w:p>
        </w:tc>
        <w:tc>
          <w:tcPr>
            <w:tcW w:type="dxa" w:w="979"/>
          </w:tcPr>
          <w:p>
            <w:pPr>
              <w:spacing w:after="20" w:before="0" w:line="240" w:lineRule="auto"/>
            </w:pPr>
            <w:r>
              <w:rPr>
                <w:color w:val="1C3A36"/>
                <w:sz w:val="15"/>
              </w:rPr>
              <w:t>9 Aug 2026</w:t>
            </w:r>
          </w:p>
        </w:tc>
        <w:tc>
          <w:tcPr>
            <w:tcW w:type="dxa" w:w="4896"/>
          </w:tcPr>
          <w:p>
            <w:pPr>
              <w:spacing w:after="20" w:before="0" w:line="240" w:lineRule="auto"/>
            </w:pPr>
            <w:r>
              <w:rPr>
                <w:color w:val="1C3A36"/>
                <w:sz w:val="15"/>
              </w:rPr>
              <w:t>The enterprise-to-earnings multiple of 8.96x for a fleet traded at spot.</w:t>
            </w:r>
          </w:p>
        </w:tc>
      </w:tr>
      <w:tr>
        <w:trPr>
          <w:cantSplit w:val="true"/>
        </w:trPr>
        <w:tc>
          <w:tcPr>
            <w:tcW w:type="dxa" w:w="2477"/>
          </w:tcPr>
          <w:p>
            <w:pPr>
              <w:spacing w:after="20" w:before="0" w:line="240" w:lineRule="auto"/>
            </w:pPr>
            <w:r>
              <w:rPr>
                <w:color w:val="1C3A36"/>
                <w:sz w:val="15"/>
              </w:rPr>
              <w:t>Enterprise-value-to-earnings page, International Seaways</w:t>
            </w:r>
          </w:p>
        </w:tc>
        <w:tc>
          <w:tcPr>
            <w:tcW w:type="dxa" w:w="1872"/>
          </w:tcPr>
          <w:p>
            <w:pPr>
              <w:spacing w:after="20" w:before="0" w:line="240" w:lineRule="auto"/>
            </w:pPr>
            <w:r>
              <w:rPr>
                <w:color w:val="1C3A36"/>
                <w:sz w:val="15"/>
              </w:rPr>
              <w:t>valueinvesting.io</w:t>
            </w:r>
          </w:p>
        </w:tc>
        <w:tc>
          <w:tcPr>
            <w:tcW w:type="dxa" w:w="979"/>
          </w:tcPr>
          <w:p>
            <w:pPr>
              <w:spacing w:after="20" w:before="0" w:line="240" w:lineRule="auto"/>
            </w:pPr>
            <w:r>
              <w:rPr>
                <w:color w:val="1C3A36"/>
                <w:sz w:val="15"/>
              </w:rPr>
              <w:t>26 Jul 2026</w:t>
            </w:r>
          </w:p>
        </w:tc>
        <w:tc>
          <w:tcPr>
            <w:tcW w:type="dxa" w:w="4896"/>
          </w:tcPr>
          <w:p>
            <w:pPr>
              <w:spacing w:after="20" w:before="0" w:line="240" w:lineRule="auto"/>
            </w:pPr>
            <w:r>
              <w:rPr>
                <w:color w:val="1C3A36"/>
                <w:sz w:val="15"/>
              </w:rPr>
              <w:t>The enterprise-to-earnings multiple of 8.10x for the second spot comparator. Aggregator figures appear only here, as a labelled cross-check in the comparison lens.</w:t>
            </w:r>
          </w:p>
        </w:tc>
      </w:tr>
      <w:tr>
        <w:trPr>
          <w:cantSplit w:val="true"/>
        </w:trPr>
        <w:tc>
          <w:tcPr>
            <w:tcW w:type="dxa" w:w="2477"/>
          </w:tcPr>
          <w:p>
            <w:pPr>
              <w:spacing w:after="20" w:before="0" w:line="240" w:lineRule="auto"/>
            </w:pPr>
            <w:r>
              <w:rPr>
                <w:color w:val="1C3A36"/>
                <w:sz w:val="15"/>
              </w:rPr>
              <w:t>Daily history of the FTSE ADX General Index</w:t>
            </w:r>
          </w:p>
        </w:tc>
        <w:tc>
          <w:tcPr>
            <w:tcW w:type="dxa" w:w="1872"/>
          </w:tcPr>
          <w:p>
            <w:pPr>
              <w:spacing w:after="20" w:before="0" w:line="240" w:lineRule="auto"/>
            </w:pPr>
            <w:r>
              <w:rPr>
                <w:color w:val="1C3A36"/>
                <w:sz w:val="15"/>
              </w:rPr>
              <w:t>Published by FTSE Russell with the Abu Dhabi Securities Exchange; the series obtained as a dated export</w:t>
            </w:r>
          </w:p>
        </w:tc>
        <w:tc>
          <w:tcPr>
            <w:tcW w:type="dxa" w:w="979"/>
          </w:tcPr>
          <w:p>
            <w:pPr>
              <w:spacing w:after="20" w:before="0" w:line="240" w:lineRule="auto"/>
            </w:pPr>
            <w:r>
              <w:rPr>
                <w:color w:val="1C3A36"/>
                <w:sz w:val="15"/>
              </w:rPr>
              <w:t>24 Jul 2026</w:t>
            </w:r>
          </w:p>
        </w:tc>
        <w:tc>
          <w:tcPr>
            <w:tcW w:type="dxa" w:w="4896"/>
          </w:tcPr>
          <w:p>
            <w:pPr>
              <w:spacing w:after="20" w:before="0" w:line="240" w:lineRule="auto"/>
            </w:pPr>
            <w:r>
              <w:rPr>
                <w:color w:val="1C3A36"/>
                <w:sz w:val="15"/>
              </w:rPr>
              <w:t>The market the beta is measured against, series code FADGI, taken as of 24 Jul 2026: 3,883 daily sessions from 2 Jan 2011 to 24 Jul 2026, checked session by session against the exchange's own trading calendar before use. This is the capitalisation-weighted index of the exchange the share is listed on, which is the market measurement the method calls for, and it is resolved from that listing rather than selected here. Regressed on it, the stock's weekly returns give a slope of 1.103. It is market data rather than company data, so it is not covered by the rule that admits only the company's own filings — that rule governs the company's own reported history, which an index level is not.</w:t>
            </w:r>
          </w:p>
        </w:tc>
      </w:tr>
      <w:tr>
        <w:trPr>
          <w:cantSplit w:val="true"/>
        </w:trPr>
        <w:tc>
          <w:tcPr>
            <w:tcW w:type="dxa" w:w="2477"/>
          </w:tcPr>
          <w:p>
            <w:pPr>
              <w:spacing w:after="20" w:before="0" w:line="240" w:lineRule="auto"/>
            </w:pPr>
            <w:r>
              <w:rPr>
                <w:color w:val="1C3A36"/>
                <w:sz w:val="15"/>
              </w:rPr>
              <w:t>Daily price history for the stock, and for the Abu Dhabi listed names held alongside it</w:t>
            </w:r>
          </w:p>
        </w:tc>
        <w:tc>
          <w:tcPr>
            <w:tcW w:type="dxa" w:w="1872"/>
          </w:tcPr>
          <w:p>
            <w:pPr>
              <w:spacing w:after="20" w:before="0" w:line="240" w:lineRule="auto"/>
            </w:pPr>
            <w:r>
              <w:rPr>
                <w:color w:val="1C3A36"/>
                <w:sz w:val="15"/>
              </w:rPr>
              <w:t>Abu Dhabi Securities Exchange</w:t>
            </w:r>
          </w:p>
        </w:tc>
        <w:tc>
          <w:tcPr>
            <w:tcW w:type="dxa" w:w="979"/>
          </w:tcPr>
          <w:p>
            <w:pPr>
              <w:spacing w:after="20" w:before="0" w:line="240" w:lineRule="auto"/>
            </w:pPr>
            <w:r>
              <w:rPr>
                <w:color w:val="1C3A36"/>
                <w:sz w:val="15"/>
              </w:rPr>
              <w:t>7 Sep 2026</w:t>
            </w:r>
          </w:p>
        </w:tc>
        <w:tc>
          <w:tcPr>
            <w:tcW w:type="dxa" w:w="4896"/>
          </w:tcPr>
          <w:p>
            <w:pPr>
              <w:spacing w:after="20" w:before="0" w:line="240" w:lineRule="auto"/>
            </w:pPr>
            <w:r>
              <w:rPr>
                <w:color w:val="1C3A36"/>
                <w:sz w:val="15"/>
              </w:rPr>
              <w:t>The last close of 6.80 AED used throughout; the 159 paired weekly observations behind the regression against the published index; and the equal-weight composite of 12 of the exchange's own names, which is the alternative measurement of the market the same regression is also run against.</w:t>
            </w:r>
          </w:p>
        </w:tc>
      </w:tr>
    </w:tbl>
    <w:p>
      <w:pPr>
        <w:spacing w:after="40"/>
      </w:pPr>
    </w:p>
    <w:p>
      <w:pPr>
        <w:spacing w:after="60" w:before="180"/>
      </w:pPr>
      <w:r>
        <w:rPr>
          <w:b/>
          <w:i w:val="0"/>
          <w:color w:val="1C3A36"/>
          <w:sz w:val="22"/>
        </w:rPr>
        <w:t>A quotation this study turns on</w:t>
      </w:r>
    </w:p>
    <w:p>
      <w:pPr>
        <w:spacing w:after="100" w:before="0"/>
      </w:pPr>
      <w:r>
        <w:rPr>
          <w:b w:val="0"/>
          <w:i w:val="0"/>
          <w:color w:val="1C3A36"/>
          <w:sz w:val="19"/>
        </w:rPr>
        <w:t>One sentence spoken on an earnings call changed the shape of the model more than any document in the tables above, so it is reproduced here in full with its context rather than cited. On the first-quarter 2026 call, an analyst asked how the reported rate for the largest tanker class squared with what the spot market was paying at the time. The chief financial officer answered:</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10" w:type="dxa"/>
          <w:left w:w="150" w:type="dxa"/>
          <w:bottom w:w="110" w:type="dxa"/>
          <w:right w:w="150" w:type="dxa"/>
        </w:tblCellMar>
      </w:tblPr>
      <w:tblGrid>
        <w:gridCol w:w="10224"/>
      </w:tblGrid>
      <w:tr>
        <w:tc>
          <w:tcPr>
            <w:tcW w:type="dxa" w:w="10224"/>
            <w:shd w:val="clear" w:color="auto" w:fill="F6F1E6"/>
          </w:tcPr>
          <w:p>
            <w:pPr>
              <w:spacing w:after="80" w:line="252" w:lineRule="auto"/>
            </w:pPr>
            <w:r>
              <w:rPr>
                <w:color w:val="1C3A36"/>
                <w:sz w:val="19"/>
              </w:rPr>
              <w:t>“… was related to our full fleet of 8, and it includes all the vessels on long-term charter as well … it's a blended rate that we give there, which is obviously less than the spot rate.”</w:t>
            </w:r>
          </w:p>
        </w:tc>
      </w:tr>
    </w:tbl>
    <w:p>
      <w:pPr>
        <w:spacing w:after="40"/>
      </w:pPr>
    </w:p>
    <w:tbl>
      <w:tblPr>
        <w:tblW w:type="auto" w:w="0"/>
        <w:jc w:val="center"/>
        <w:tblLook w:firstColumn="1" w:firstRow="1" w:lastColumn="0" w:lastRow="0" w:noHBand="0" w:noVBand="1" w:val="04A0"/>
        <w:tblLayout w:type="fixed"/>
        <w:tblCellMar>
          <w:top w:w="34" w:type="dxa"/>
          <w:left w:w="70" w:type="dxa"/>
          <w:bottom w:w="34" w:type="dxa"/>
          <w:right w:w="7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8712"/>
      </w:tblGrid>
      <w:tr>
        <w:trPr>
          <w:cantSplit w:val="true"/>
          <w:tblHeader w:val="true"/>
        </w:trPr>
        <w:tc>
          <w:tcPr>
            <w:tcW w:type="dxa" w:w="1512"/>
            <w:shd w:val="clear" w:color="auto" w:fill="EAF0EE"/>
          </w:tcPr>
          <w:p>
            <w:pPr>
              <w:spacing w:after="20" w:before="0" w:line="240" w:lineRule="auto"/>
            </w:pPr>
            <w:r>
              <w:rPr>
                <w:b/>
                <w:color w:val="1C3A36"/>
                <w:sz w:val="15"/>
              </w:rPr>
              <w:t>Field</w:t>
            </w:r>
          </w:p>
        </w:tc>
        <w:tc>
          <w:tcPr>
            <w:tcW w:type="dxa" w:w="8712"/>
            <w:shd w:val="clear" w:color="auto" w:fill="EAF0EE"/>
          </w:tcPr>
          <w:p>
            <w:pPr>
              <w:spacing w:after="20" w:before="0" w:line="240" w:lineRule="auto"/>
            </w:pPr>
            <w:r>
              <w:rPr>
                <w:b/>
                <w:color w:val="1C3A36"/>
                <w:sz w:val="15"/>
              </w:rPr>
              <w:t>Detail</w:t>
            </w:r>
          </w:p>
        </w:tc>
      </w:tr>
      <w:tr>
        <w:trPr>
          <w:cantSplit w:val="true"/>
        </w:trPr>
        <w:tc>
          <w:tcPr>
            <w:tcW w:type="dxa" w:w="1512"/>
          </w:tcPr>
          <w:p>
            <w:pPr>
              <w:spacing w:after="20" w:before="0" w:line="240" w:lineRule="auto"/>
            </w:pPr>
            <w:r>
              <w:rPr>
                <w:color w:val="1C3A36"/>
                <w:sz w:val="15"/>
              </w:rPr>
              <w:t>Source</w:t>
            </w:r>
          </w:p>
        </w:tc>
        <w:tc>
          <w:tcPr>
            <w:tcW w:type="dxa" w:w="8712"/>
          </w:tcPr>
          <w:p>
            <w:pPr>
              <w:spacing w:after="20" w:before="0" w:line="240" w:lineRule="auto"/>
            </w:pPr>
            <w:r>
              <w:rPr>
                <w:color w:val="1C3A36"/>
                <w:sz w:val="15"/>
              </w:rPr>
              <w:t>Q1 2026 earnings call transcript, ADNOC Logistics &amp; Services plc</w:t>
            </w:r>
          </w:p>
        </w:tc>
      </w:tr>
      <w:tr>
        <w:trPr>
          <w:cantSplit w:val="true"/>
        </w:trPr>
        <w:tc>
          <w:tcPr>
            <w:tcW w:type="dxa" w:w="1512"/>
          </w:tcPr>
          <w:p>
            <w:pPr>
              <w:spacing w:after="20" w:before="0" w:line="240" w:lineRule="auto"/>
            </w:pPr>
            <w:r>
              <w:rPr>
                <w:color w:val="1C3A36"/>
                <w:sz w:val="15"/>
              </w:rPr>
              <w:t>Date</w:t>
            </w:r>
          </w:p>
        </w:tc>
        <w:tc>
          <w:tcPr>
            <w:tcW w:type="dxa" w:w="8712"/>
          </w:tcPr>
          <w:p>
            <w:pPr>
              <w:spacing w:after="20" w:before="0" w:line="240" w:lineRule="auto"/>
            </w:pPr>
            <w:r>
              <w:rPr>
                <w:color w:val="1C3A36"/>
                <w:sz w:val="15"/>
              </w:rPr>
              <w:t>14 May 2026</w:t>
            </w:r>
          </w:p>
        </w:tc>
      </w:tr>
      <w:tr>
        <w:trPr>
          <w:cantSplit w:val="true"/>
        </w:trPr>
        <w:tc>
          <w:tcPr>
            <w:tcW w:type="dxa" w:w="1512"/>
          </w:tcPr>
          <w:p>
            <w:pPr>
              <w:spacing w:after="20" w:before="0" w:line="240" w:lineRule="auto"/>
            </w:pPr>
            <w:r>
              <w:rPr>
                <w:color w:val="1C3A36"/>
                <w:sz w:val="15"/>
              </w:rPr>
              <w:t>File held</w:t>
            </w:r>
          </w:p>
        </w:tc>
        <w:tc>
          <w:tcPr>
            <w:tcW w:type="dxa" w:w="8712"/>
          </w:tcPr>
          <w:p>
            <w:pPr>
              <w:spacing w:after="20" w:before="0" w:line="240" w:lineRule="auto"/>
            </w:pPr>
            <w:r>
              <w:rPr>
                <w:color w:val="1C3A36"/>
                <w:sz w:val="15"/>
              </w:rPr>
              <w:t>CALL_Q1_2026.pdf</w:t>
            </w:r>
          </w:p>
        </w:tc>
      </w:tr>
      <w:tr>
        <w:trPr>
          <w:cantSplit w:val="true"/>
        </w:trPr>
        <w:tc>
          <w:tcPr>
            <w:tcW w:type="dxa" w:w="1512"/>
          </w:tcPr>
          <w:p>
            <w:pPr>
              <w:spacing w:after="20" w:before="0" w:line="240" w:lineRule="auto"/>
            </w:pPr>
            <w:r>
              <w:rPr>
                <w:color w:val="1C3A36"/>
                <w:sz w:val="15"/>
              </w:rPr>
              <w:t>Speaker</w:t>
            </w:r>
          </w:p>
        </w:tc>
        <w:tc>
          <w:tcPr>
            <w:tcW w:type="dxa" w:w="8712"/>
          </w:tcPr>
          <w:p>
            <w:pPr>
              <w:spacing w:after="20" w:before="0" w:line="240" w:lineRule="auto"/>
            </w:pPr>
            <w:r>
              <w:rPr>
                <w:color w:val="1C3A36"/>
                <w:sz w:val="15"/>
              </w:rPr>
              <w:t>The chief financial officer, answering an analyst question on the rate reported for very large crude carriers in the first quarter</w:t>
            </w:r>
          </w:p>
        </w:tc>
      </w:tr>
      <w:tr>
        <w:trPr>
          <w:cantSplit w:val="true"/>
        </w:trPr>
        <w:tc>
          <w:tcPr>
            <w:tcW w:type="dxa" w:w="1512"/>
          </w:tcPr>
          <w:p>
            <w:pPr>
              <w:spacing w:after="20" w:before="0" w:line="240" w:lineRule="auto"/>
            </w:pPr>
            <w:r>
              <w:rPr>
                <w:color w:val="1C3A36"/>
                <w:sz w:val="15"/>
              </w:rPr>
              <w:t>What it establishes</w:t>
            </w:r>
          </w:p>
        </w:tc>
        <w:tc>
          <w:tcPr>
            <w:tcW w:type="dxa" w:w="8712"/>
          </w:tcPr>
          <w:p>
            <w:pPr>
              <w:spacing w:after="20" w:before="0" w:line="240" w:lineRule="auto"/>
            </w:pPr>
            <w:r>
              <w:rPr>
                <w:color w:val="1C3A36"/>
                <w:sz w:val="15"/>
              </w:rPr>
              <w:t>That the single rate the company publishes for each vessel class each quarter is an average across the whole class, taken over the vessels trading in the open market AND the vessels already committed on charters out at rates fixed earlier. It is therefore lower than what an uncommitted vessel earns, by an amount that depends on how many of the class are committed and at what rates.</w:t>
            </w:r>
          </w:p>
        </w:tc>
      </w:tr>
      <w:tr>
        <w:trPr>
          <w:cantSplit w:val="true"/>
        </w:trPr>
        <w:tc>
          <w:tcPr>
            <w:tcW w:type="dxa" w:w="1512"/>
          </w:tcPr>
          <w:p>
            <w:pPr>
              <w:spacing w:after="20" w:before="0" w:line="240" w:lineRule="auto"/>
            </w:pPr>
            <w:r>
              <w:rPr>
                <w:color w:val="1C3A36"/>
                <w:sz w:val="15"/>
              </w:rPr>
              <w:t>What it changed</w:t>
            </w:r>
          </w:p>
        </w:tc>
        <w:tc>
          <w:tcPr>
            <w:tcW w:type="dxa" w:w="8712"/>
          </w:tcPr>
          <w:p>
            <w:pPr>
              <w:spacing w:after="20" w:before="0" w:line="240" w:lineRule="auto"/>
            </w:pPr>
            <w:r>
              <w:rPr>
                <w:color w:val="1C3A36"/>
                <w:sz w:val="15"/>
              </w:rPr>
              <w:t>The first edition of the study read the published figure as the open-market rate and then added the chartered vessels beside it at their own, lower, disclosed rates — charging the same drag twice. The model now carries each of the 12 chartered vessels individually for exactly the days its own contract runs, and solves the open-market rate out of the published average instead of assuming it. For the largest class in the first quarter of 2026 the solved figure is 151,440/day against a published 145,000/day.</w:t>
            </w:r>
          </w:p>
        </w:tc>
      </w:tr>
      <w:tr>
        <w:trPr>
          <w:cantSplit w:val="true"/>
        </w:trPr>
        <w:tc>
          <w:tcPr>
            <w:tcW w:type="dxa" w:w="1512"/>
          </w:tcPr>
          <w:p>
            <w:pPr>
              <w:spacing w:after="20" w:before="0" w:line="240" w:lineRule="auto"/>
            </w:pPr>
            <w:r>
              <w:rPr>
                <w:color w:val="1C3A36"/>
                <w:sz w:val="15"/>
              </w:rPr>
              <w:t>How it is used</w:t>
            </w:r>
          </w:p>
        </w:tc>
        <w:tc>
          <w:tcPr>
            <w:tcW w:type="dxa" w:w="8712"/>
          </w:tcPr>
          <w:p>
            <w:pPr>
              <w:spacing w:after="20" w:before="0" w:line="240" w:lineRule="auto"/>
            </w:pPr>
            <w:r>
              <w:rPr>
                <w:color w:val="1C3A36"/>
                <w:sz w:val="15"/>
              </w:rPr>
              <w:t>As evidence about what a disclosed figure means, not as the source of a figure. Every rate in the model still comes from a published table; what the quotation changes is the arithmetic applied to those tables.</w:t>
            </w:r>
          </w:p>
        </w:tc>
      </w:tr>
    </w:tbl>
    <w:p>
      <w:pPr>
        <w:spacing w:after="40"/>
      </w:pPr>
    </w:p>
    <w:p>
      <w:pPr>
        <w:spacing w:after="100" w:before="0"/>
      </w:pPr>
      <w:r>
        <w:rPr>
          <w:b w:val="0"/>
          <w:i w:val="0"/>
          <w:color w:val="6E7B77"/>
          <w:sz w:val="18"/>
        </w:rPr>
        <w:t>The company site was reached for every company document. Of the three investor pages tried, two returned everything asked of them; one index page returned a server error from this environment and its documents were obtained through the other two, so nothing was lost. A failed attempt is still a fact about how the record was assembled, so it is recorded rather than omitted.</w:t>
      </w:r>
    </w:p>
    <w:p>
      <w:pPr>
        <w:pageBreakBefore/>
        <w:spacing w:after="100" w:before="260"/>
      </w:pPr>
      <w:r>
        <w:rPr>
          <w:b/>
          <w:i w:val="0"/>
          <w:color w:val="1C3A36"/>
          <w:sz w:val="28"/>
        </w:rPr>
        <w:t>The input register — every figure the model uses</w:t>
      </w:r>
    </w:p>
    <w:p>
      <w:pPr>
        <w:spacing w:after="100" w:before="0"/>
      </w:pPr>
      <w:r>
        <w:rPr>
          <w:b w:val="0"/>
          <w:i w:val="0"/>
          <w:color w:val="6E7B77"/>
          <w:sz w:val="19"/>
        </w:rPr>
        <w:t>All 778 inputs, grouped by research layer and, within a layer, in the order the model declares them — which follows the shape of the accounts: income statement, balance sheet, cash flow, the disclosed quarter, then segments, service lines, cost lines, the fleet, rates, guidance and the forecast drivers. Values are shown as the model holds them. Unless a row shows another unit, figures are in thousands of US dollars; rates and shares are shown as percentages, vessel earnings and running costs per vessel per day, cycle measures in days, and multiples with an x.</w:t>
      </w:r>
    </w:p>
    <w:p>
      <w:pPr>
        <w:spacing w:after="60" w:before="180"/>
      </w:pPr>
      <w:r>
        <w:rPr>
          <w:b/>
          <w:i w:val="0"/>
          <w:color w:val="1C3A36"/>
          <w:sz w:val="22"/>
        </w:rPr>
        <w:t>Company layer — 744 inputs</w:t>
      </w:r>
    </w:p>
    <w:tbl>
      <w:tblPr>
        <w:tblW w:type="auto" w:w="0"/>
        <w:jc w:val="center"/>
        <w:tblLook w:firstColumn="1" w:firstRow="1" w:lastColumn="0" w:lastRow="0" w:noHBand="0" w:noVBand="1" w:val="04A0"/>
        <w:tblLayout w:type="fixed"/>
        <w:tblCellMar>
          <w:top w:w="34" w:type="dxa"/>
          <w:left w:w="58" w:type="dxa"/>
          <w:bottom w:w="34" w:type="dxa"/>
          <w:right w:w="58"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238"/>
        <w:gridCol w:w="1022"/>
        <w:gridCol w:w="5875"/>
      </w:tblGrid>
      <w:tr>
        <w:trPr>
          <w:cantSplit w:val="true"/>
          <w:tblHeader w:val="true"/>
        </w:trPr>
        <w:tc>
          <w:tcPr>
            <w:tcW w:type="dxa" w:w="2088"/>
            <w:shd w:val="clear" w:color="auto" w:fill="EAF0EE"/>
          </w:tcPr>
          <w:p>
            <w:pPr>
              <w:spacing w:after="20" w:before="0" w:line="240" w:lineRule="auto"/>
            </w:pPr>
            <w:r>
              <w:rPr>
                <w:b/>
                <w:color w:val="1C3A36"/>
                <w:sz w:val="14"/>
              </w:rPr>
              <w:t>Input</w:t>
            </w:r>
          </w:p>
        </w:tc>
        <w:tc>
          <w:tcPr>
            <w:tcW w:type="dxa" w:w="1238"/>
            <w:shd w:val="clear" w:color="auto" w:fill="EAF0EE"/>
          </w:tcPr>
          <w:p>
            <w:pPr>
              <w:spacing w:after="20" w:before="0" w:line="240" w:lineRule="auto"/>
            </w:pPr>
            <w:r>
              <w:rPr>
                <w:b/>
                <w:color w:val="1C3A36"/>
                <w:sz w:val="14"/>
              </w:rPr>
              <w:t>Value</w:t>
            </w:r>
          </w:p>
        </w:tc>
        <w:tc>
          <w:tcPr>
            <w:tcW w:type="dxa" w:w="1022"/>
            <w:shd w:val="clear" w:color="auto" w:fill="EAF0EE"/>
          </w:tcPr>
          <w:p>
            <w:pPr>
              <w:spacing w:after="20" w:before="0" w:line="240" w:lineRule="auto"/>
            </w:pPr>
            <w:r>
              <w:rPr>
                <w:b/>
                <w:color w:val="1C3A36"/>
                <w:sz w:val="14"/>
              </w:rPr>
              <w:t>Date</w:t>
            </w:r>
          </w:p>
        </w:tc>
        <w:tc>
          <w:tcPr>
            <w:tcW w:type="dxa" w:w="5875"/>
            <w:shd w:val="clear" w:color="auto" w:fill="EAF0EE"/>
          </w:tcPr>
          <w:p>
            <w:pPr>
              <w:spacing w:after="20" w:before="0" w:line="240" w:lineRule="auto"/>
            </w:pPr>
            <w:r>
              <w:rPr>
                <w:b/>
                <w:color w:val="1C3A36"/>
                <w:sz w:val="14"/>
              </w:rPr>
              <w:t>Source and construction</w:t>
            </w:r>
          </w:p>
        </w:tc>
      </w:tr>
      <w:tr>
        <w:trPr>
          <w:cantSplit w:val="true"/>
        </w:trPr>
        <w:tc>
          <w:tcPr>
            <w:tcW w:type="dxa" w:w="2088"/>
          </w:tcPr>
          <w:p>
            <w:pPr>
              <w:spacing w:after="20" w:before="0" w:line="240" w:lineRule="auto"/>
            </w:pPr>
            <w:r>
              <w:rPr>
                <w:color w:val="1C3A36"/>
                <w:sz w:val="14"/>
              </w:rPr>
              <w:t>shares mn</w:t>
            </w:r>
          </w:p>
        </w:tc>
        <w:tc>
          <w:tcPr>
            <w:tcW w:type="dxa" w:w="1238"/>
          </w:tcPr>
          <w:p>
            <w:pPr>
              <w:spacing w:after="20" w:before="0" w:line="240" w:lineRule="auto"/>
              <w:jc w:val="right"/>
            </w:pPr>
            <w:r>
              <w:rPr>
                <w:color w:val="1C3A36"/>
                <w:sz w:val="14"/>
              </w:rPr>
              <w:t>7,398.499 mn</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Authorised, issued and fully paid ordinary shares of USD 0.54 each (share capital note)</w:t>
            </w:r>
          </w:p>
        </w:tc>
      </w:tr>
      <w:tr>
        <w:trPr>
          <w:cantSplit w:val="true"/>
        </w:trPr>
        <w:tc>
          <w:tcPr>
            <w:tcW w:type="dxa" w:w="2088"/>
          </w:tcPr>
          <w:p>
            <w:pPr>
              <w:spacing w:after="20" w:before="0" w:line="240" w:lineRule="auto"/>
            </w:pPr>
            <w:r>
              <w:rPr>
                <w:color w:val="1C3A36"/>
                <w:sz w:val="14"/>
              </w:rPr>
              <w:t>shares wavg mn</w:t>
            </w:r>
          </w:p>
        </w:tc>
        <w:tc>
          <w:tcPr>
            <w:tcW w:type="dxa" w:w="1238"/>
          </w:tcPr>
          <w:p>
            <w:pPr>
              <w:spacing w:after="20" w:before="0" w:line="240" w:lineRule="auto"/>
              <w:jc w:val="right"/>
            </w:pPr>
            <w:r>
              <w:rPr>
                <w:color w:val="1C3A36"/>
                <w:sz w:val="14"/>
              </w:rPr>
              <w:t>7,393.482 mn</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Weighted average shares used for earnings per share, after treasury purchases (earnings per share note)</w:t>
            </w:r>
          </w:p>
        </w:tc>
      </w:tr>
      <w:tr>
        <w:trPr>
          <w:cantSplit w:val="true"/>
        </w:trPr>
        <w:tc>
          <w:tcPr>
            <w:tcW w:type="dxa" w:w="2088"/>
          </w:tcPr>
          <w:p>
            <w:pPr>
              <w:spacing w:after="20" w:before="0" w:line="240" w:lineRule="auto"/>
            </w:pPr>
            <w:r>
              <w:rPr>
                <w:color w:val="1C3A36"/>
                <w:sz w:val="14"/>
              </w:rPr>
              <w:t>rev fy23</w:t>
            </w:r>
          </w:p>
        </w:tc>
        <w:tc>
          <w:tcPr>
            <w:tcW w:type="dxa" w:w="1238"/>
          </w:tcPr>
          <w:p>
            <w:pPr>
              <w:spacing w:after="20" w:before="0" w:line="240" w:lineRule="auto"/>
              <w:jc w:val="right"/>
            </w:pPr>
            <w:r>
              <w:rPr>
                <w:color w:val="1C3A36"/>
                <w:sz w:val="14"/>
              </w:rPr>
              <w:t>2,755,152</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rev fy24</w:t>
            </w:r>
          </w:p>
        </w:tc>
        <w:tc>
          <w:tcPr>
            <w:tcW w:type="dxa" w:w="1238"/>
          </w:tcPr>
          <w:p>
            <w:pPr>
              <w:spacing w:after="20" w:before="0" w:line="240" w:lineRule="auto"/>
              <w:jc w:val="right"/>
            </w:pPr>
            <w:r>
              <w:rPr>
                <w:color w:val="1C3A36"/>
                <w:sz w:val="14"/>
              </w:rPr>
              <w:t>3,549,330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rev fy25</w:t>
            </w:r>
          </w:p>
        </w:tc>
        <w:tc>
          <w:tcPr>
            <w:tcW w:type="dxa" w:w="1238"/>
          </w:tcPr>
          <w:p>
            <w:pPr>
              <w:spacing w:after="20" w:before="0" w:line="240" w:lineRule="auto"/>
              <w:jc w:val="right"/>
            </w:pPr>
            <w:r>
              <w:rPr>
                <w:color w:val="1C3A36"/>
                <w:sz w:val="14"/>
              </w:rPr>
              <w:t>5,016,112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dc fy23</w:t>
            </w:r>
          </w:p>
        </w:tc>
        <w:tc>
          <w:tcPr>
            <w:tcW w:type="dxa" w:w="1238"/>
          </w:tcPr>
          <w:p>
            <w:pPr>
              <w:spacing w:after="20" w:before="0" w:line="240" w:lineRule="auto"/>
              <w:jc w:val="right"/>
            </w:pPr>
            <w:r>
              <w:rPr>
                <w:color w:val="1C3A36"/>
                <w:sz w:val="14"/>
              </w:rPr>
              <w:t>-2,003,225</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dc fy24</w:t>
            </w:r>
          </w:p>
        </w:tc>
        <w:tc>
          <w:tcPr>
            <w:tcW w:type="dxa" w:w="1238"/>
          </w:tcPr>
          <w:p>
            <w:pPr>
              <w:spacing w:after="20" w:before="0" w:line="240" w:lineRule="auto"/>
              <w:jc w:val="right"/>
            </w:pPr>
            <w:r>
              <w:rPr>
                <w:color w:val="1C3A36"/>
                <w:sz w:val="14"/>
              </w:rPr>
              <w:t>-2,608,784</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dc fy25</w:t>
            </w:r>
          </w:p>
        </w:tc>
        <w:tc>
          <w:tcPr>
            <w:tcW w:type="dxa" w:w="1238"/>
          </w:tcPr>
          <w:p>
            <w:pPr>
              <w:spacing w:after="20" w:before="0" w:line="240" w:lineRule="auto"/>
              <w:jc w:val="right"/>
            </w:pPr>
            <w:r>
              <w:rPr>
                <w:color w:val="1C3A36"/>
                <w:sz w:val="14"/>
              </w:rPr>
              <w:t>-3,908,236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gp fy23</w:t>
            </w:r>
          </w:p>
        </w:tc>
        <w:tc>
          <w:tcPr>
            <w:tcW w:type="dxa" w:w="1238"/>
          </w:tcPr>
          <w:p>
            <w:pPr>
              <w:spacing w:after="20" w:before="0" w:line="240" w:lineRule="auto"/>
              <w:jc w:val="right"/>
            </w:pPr>
            <w:r>
              <w:rPr>
                <w:color w:val="1C3A36"/>
                <w:sz w:val="14"/>
              </w:rPr>
              <w:t>751,927</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gp fy24</w:t>
            </w:r>
          </w:p>
        </w:tc>
        <w:tc>
          <w:tcPr>
            <w:tcW w:type="dxa" w:w="1238"/>
          </w:tcPr>
          <w:p>
            <w:pPr>
              <w:spacing w:after="20" w:before="0" w:line="240" w:lineRule="auto"/>
              <w:jc w:val="right"/>
            </w:pPr>
            <w:r>
              <w:rPr>
                <w:color w:val="1C3A36"/>
                <w:sz w:val="14"/>
              </w:rPr>
              <w:t>940,546</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gp fy25</w:t>
            </w:r>
          </w:p>
        </w:tc>
        <w:tc>
          <w:tcPr>
            <w:tcW w:type="dxa" w:w="1238"/>
          </w:tcPr>
          <w:p>
            <w:pPr>
              <w:spacing w:after="20" w:before="0" w:line="240" w:lineRule="auto"/>
              <w:jc w:val="right"/>
            </w:pPr>
            <w:r>
              <w:rPr>
                <w:color w:val="1C3A36"/>
                <w:sz w:val="14"/>
              </w:rPr>
              <w:t>1,107,876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ga fy23</w:t>
            </w:r>
          </w:p>
        </w:tc>
        <w:tc>
          <w:tcPr>
            <w:tcW w:type="dxa" w:w="1238"/>
          </w:tcPr>
          <w:p>
            <w:pPr>
              <w:spacing w:after="20" w:before="0" w:line="240" w:lineRule="auto"/>
              <w:jc w:val="right"/>
            </w:pPr>
            <w:r>
              <w:rPr>
                <w:color w:val="1C3A36"/>
                <w:sz w:val="14"/>
              </w:rPr>
              <w:t>-146,436</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ga fy24</w:t>
            </w:r>
          </w:p>
        </w:tc>
        <w:tc>
          <w:tcPr>
            <w:tcW w:type="dxa" w:w="1238"/>
          </w:tcPr>
          <w:p>
            <w:pPr>
              <w:spacing w:after="20" w:before="0" w:line="240" w:lineRule="auto"/>
              <w:jc w:val="right"/>
            </w:pPr>
            <w:r>
              <w:rPr>
                <w:color w:val="1C3A36"/>
                <w:sz w:val="14"/>
              </w:rPr>
              <w:t>-141,522</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ga fy25</w:t>
            </w:r>
          </w:p>
        </w:tc>
        <w:tc>
          <w:tcPr>
            <w:tcW w:type="dxa" w:w="1238"/>
          </w:tcPr>
          <w:p>
            <w:pPr>
              <w:spacing w:after="20" w:before="0" w:line="240" w:lineRule="auto"/>
              <w:jc w:val="right"/>
            </w:pPr>
            <w:r>
              <w:rPr>
                <w:color w:val="1C3A36"/>
                <w:sz w:val="14"/>
              </w:rPr>
              <w:t>-204,983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ecl fy23</w:t>
            </w:r>
          </w:p>
        </w:tc>
        <w:tc>
          <w:tcPr>
            <w:tcW w:type="dxa" w:w="1238"/>
          </w:tcPr>
          <w:p>
            <w:pPr>
              <w:spacing w:after="20" w:before="0" w:line="240" w:lineRule="auto"/>
              <w:jc w:val="right"/>
            </w:pPr>
            <w:r>
              <w:rPr>
                <w:color w:val="1C3A36"/>
                <w:sz w:val="14"/>
              </w:rPr>
              <w:t>-2,672</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ecl fy24</w:t>
            </w:r>
          </w:p>
        </w:tc>
        <w:tc>
          <w:tcPr>
            <w:tcW w:type="dxa" w:w="1238"/>
          </w:tcPr>
          <w:p>
            <w:pPr>
              <w:spacing w:after="20" w:before="0" w:line="240" w:lineRule="auto"/>
              <w:jc w:val="right"/>
            </w:pPr>
            <w:r>
              <w:rPr>
                <w:color w:val="1C3A36"/>
                <w:sz w:val="14"/>
              </w:rPr>
              <w:t>2,649</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ecl fy25</w:t>
            </w:r>
          </w:p>
        </w:tc>
        <w:tc>
          <w:tcPr>
            <w:tcW w:type="dxa" w:w="1238"/>
          </w:tcPr>
          <w:p>
            <w:pPr>
              <w:spacing w:after="20" w:before="0" w:line="240" w:lineRule="auto"/>
              <w:jc w:val="right"/>
            </w:pPr>
            <w:r>
              <w:rPr>
                <w:color w:val="1C3A36"/>
                <w:sz w:val="14"/>
              </w:rPr>
              <w:t>-9,590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oi fy23</w:t>
            </w:r>
          </w:p>
        </w:tc>
        <w:tc>
          <w:tcPr>
            <w:tcW w:type="dxa" w:w="1238"/>
          </w:tcPr>
          <w:p>
            <w:pPr>
              <w:spacing w:after="20" w:before="0" w:line="240" w:lineRule="auto"/>
              <w:jc w:val="right"/>
            </w:pPr>
            <w:r>
              <w:rPr>
                <w:color w:val="1C3A36"/>
                <w:sz w:val="14"/>
              </w:rPr>
              <w:t>10,865</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oi fy24</w:t>
            </w:r>
          </w:p>
        </w:tc>
        <w:tc>
          <w:tcPr>
            <w:tcW w:type="dxa" w:w="1238"/>
          </w:tcPr>
          <w:p>
            <w:pPr>
              <w:spacing w:after="20" w:before="0" w:line="240" w:lineRule="auto"/>
              <w:jc w:val="right"/>
            </w:pPr>
            <w:r>
              <w:rPr>
                <w:color w:val="1C3A36"/>
                <w:sz w:val="14"/>
              </w:rPr>
              <w:t>19,896</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oi fy25</w:t>
            </w:r>
          </w:p>
        </w:tc>
        <w:tc>
          <w:tcPr>
            <w:tcW w:type="dxa" w:w="1238"/>
          </w:tcPr>
          <w:p>
            <w:pPr>
              <w:spacing w:after="20" w:before="0" w:line="240" w:lineRule="auto"/>
              <w:jc w:val="right"/>
            </w:pPr>
            <w:r>
              <w:rPr>
                <w:color w:val="1C3A36"/>
                <w:sz w:val="14"/>
              </w:rPr>
              <w:t>50,459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oe fy23</w:t>
            </w:r>
          </w:p>
        </w:tc>
        <w:tc>
          <w:tcPr>
            <w:tcW w:type="dxa" w:w="1238"/>
          </w:tcPr>
          <w:p>
            <w:pPr>
              <w:spacing w:after="20" w:before="0" w:line="240" w:lineRule="auto"/>
              <w:jc w:val="right"/>
            </w:pPr>
            <w:r>
              <w:rPr>
                <w:color w:val="1C3A36"/>
                <w:sz w:val="14"/>
              </w:rPr>
              <w:t>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oe fy24</w:t>
            </w:r>
          </w:p>
        </w:tc>
        <w:tc>
          <w:tcPr>
            <w:tcW w:type="dxa" w:w="1238"/>
          </w:tcPr>
          <w:p>
            <w:pPr>
              <w:spacing w:after="20" w:before="0" w:line="240" w:lineRule="auto"/>
              <w:jc w:val="right"/>
            </w:pPr>
            <w:r>
              <w:rPr>
                <w:color w:val="1C3A36"/>
                <w:sz w:val="14"/>
              </w:rPr>
              <w:t>-4,310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oe fy25</w:t>
            </w:r>
          </w:p>
        </w:tc>
        <w:tc>
          <w:tcPr>
            <w:tcW w:type="dxa" w:w="1238"/>
          </w:tcPr>
          <w:p>
            <w:pPr>
              <w:spacing w:after="20" w:before="0" w:line="240" w:lineRule="auto"/>
              <w:jc w:val="right"/>
            </w:pPr>
            <w:r>
              <w:rPr>
                <w:color w:val="1C3A36"/>
                <w:sz w:val="14"/>
              </w:rPr>
              <w:t>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op fy23</w:t>
            </w:r>
          </w:p>
        </w:tc>
        <w:tc>
          <w:tcPr>
            <w:tcW w:type="dxa" w:w="1238"/>
          </w:tcPr>
          <w:p>
            <w:pPr>
              <w:spacing w:after="20" w:before="0" w:line="240" w:lineRule="auto"/>
              <w:jc w:val="right"/>
            </w:pPr>
            <w:r>
              <w:rPr>
                <w:color w:val="1C3A36"/>
                <w:sz w:val="14"/>
              </w:rPr>
              <w:t>613,684</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op fy24</w:t>
            </w:r>
          </w:p>
        </w:tc>
        <w:tc>
          <w:tcPr>
            <w:tcW w:type="dxa" w:w="1238"/>
          </w:tcPr>
          <w:p>
            <w:pPr>
              <w:spacing w:after="20" w:before="0" w:line="240" w:lineRule="auto"/>
              <w:jc w:val="right"/>
            </w:pPr>
            <w:r>
              <w:rPr>
                <w:color w:val="1C3A36"/>
                <w:sz w:val="14"/>
              </w:rPr>
              <w:t>817,259</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op fy25</w:t>
            </w:r>
          </w:p>
        </w:tc>
        <w:tc>
          <w:tcPr>
            <w:tcW w:type="dxa" w:w="1238"/>
          </w:tcPr>
          <w:p>
            <w:pPr>
              <w:spacing w:after="20" w:before="0" w:line="240" w:lineRule="auto"/>
              <w:jc w:val="right"/>
            </w:pPr>
            <w:r>
              <w:rPr>
                <w:color w:val="1C3A36"/>
                <w:sz w:val="14"/>
              </w:rPr>
              <w:t>943,762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assoc fy23</w:t>
            </w:r>
          </w:p>
        </w:tc>
        <w:tc>
          <w:tcPr>
            <w:tcW w:type="dxa" w:w="1238"/>
          </w:tcPr>
          <w:p>
            <w:pPr>
              <w:spacing w:after="20" w:before="0" w:line="240" w:lineRule="auto"/>
              <w:jc w:val="right"/>
            </w:pPr>
            <w:r>
              <w:rPr>
                <w:color w:val="1C3A36"/>
                <w:sz w:val="14"/>
              </w:rPr>
              <w:t>14,071</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assoc fy24</w:t>
            </w:r>
          </w:p>
        </w:tc>
        <w:tc>
          <w:tcPr>
            <w:tcW w:type="dxa" w:w="1238"/>
          </w:tcPr>
          <w:p>
            <w:pPr>
              <w:spacing w:after="20" w:before="0" w:line="240" w:lineRule="auto"/>
              <w:jc w:val="right"/>
            </w:pPr>
            <w:r>
              <w:rPr>
                <w:color w:val="1C3A36"/>
                <w:sz w:val="14"/>
              </w:rPr>
              <w:t>14,198</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assoc fy25</w:t>
            </w:r>
          </w:p>
        </w:tc>
        <w:tc>
          <w:tcPr>
            <w:tcW w:type="dxa" w:w="1238"/>
          </w:tcPr>
          <w:p>
            <w:pPr>
              <w:spacing w:after="20" w:before="0" w:line="240" w:lineRule="auto"/>
              <w:jc w:val="right"/>
            </w:pPr>
            <w:r>
              <w:rPr>
                <w:color w:val="1C3A36"/>
                <w:sz w:val="14"/>
              </w:rPr>
              <w:t>37,392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bargain fy25</w:t>
            </w:r>
          </w:p>
        </w:tc>
        <w:tc>
          <w:tcPr>
            <w:tcW w:type="dxa" w:w="1238"/>
          </w:tcPr>
          <w:p>
            <w:pPr>
              <w:spacing w:after="20" w:before="0" w:line="240" w:lineRule="auto"/>
              <w:jc w:val="right"/>
            </w:pPr>
            <w:r>
              <w:rPr>
                <w:color w:val="1C3A36"/>
                <w:sz w:val="14"/>
              </w:rPr>
              <w:t>12,056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prevheld fy25</w:t>
            </w:r>
          </w:p>
        </w:tc>
        <w:tc>
          <w:tcPr>
            <w:tcW w:type="dxa" w:w="1238"/>
          </w:tcPr>
          <w:p>
            <w:pPr>
              <w:spacing w:after="20" w:before="0" w:line="240" w:lineRule="auto"/>
              <w:jc w:val="right"/>
            </w:pPr>
            <w:r>
              <w:rPr>
                <w:color w:val="1C3A36"/>
                <w:sz w:val="14"/>
              </w:rPr>
              <w:t>-3,398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finc fy23</w:t>
            </w:r>
          </w:p>
        </w:tc>
        <w:tc>
          <w:tcPr>
            <w:tcW w:type="dxa" w:w="1238"/>
          </w:tcPr>
          <w:p>
            <w:pPr>
              <w:spacing w:after="20" w:before="0" w:line="240" w:lineRule="auto"/>
              <w:jc w:val="right"/>
            </w:pPr>
            <w:r>
              <w:rPr>
                <w:color w:val="1C3A36"/>
                <w:sz w:val="14"/>
              </w:rPr>
              <w:t>9,785</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finc fy24</w:t>
            </w:r>
          </w:p>
        </w:tc>
        <w:tc>
          <w:tcPr>
            <w:tcW w:type="dxa" w:w="1238"/>
          </w:tcPr>
          <w:p>
            <w:pPr>
              <w:spacing w:after="20" w:before="0" w:line="240" w:lineRule="auto"/>
              <w:jc w:val="right"/>
            </w:pPr>
            <w:r>
              <w:rPr>
                <w:color w:val="1C3A36"/>
                <w:sz w:val="14"/>
              </w:rPr>
              <w:t>15,594</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finc fy25</w:t>
            </w:r>
          </w:p>
        </w:tc>
        <w:tc>
          <w:tcPr>
            <w:tcW w:type="dxa" w:w="1238"/>
          </w:tcPr>
          <w:p>
            <w:pPr>
              <w:spacing w:after="20" w:before="0" w:line="240" w:lineRule="auto"/>
              <w:jc w:val="right"/>
            </w:pPr>
            <w:r>
              <w:rPr>
                <w:color w:val="1C3A36"/>
                <w:sz w:val="14"/>
              </w:rPr>
              <w:t>18,959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fine fy23</w:t>
            </w:r>
          </w:p>
        </w:tc>
        <w:tc>
          <w:tcPr>
            <w:tcW w:type="dxa" w:w="1238"/>
          </w:tcPr>
          <w:p>
            <w:pPr>
              <w:spacing w:after="20" w:before="0" w:line="240" w:lineRule="auto"/>
              <w:jc w:val="right"/>
            </w:pPr>
            <w:r>
              <w:rPr>
                <w:color w:val="1C3A36"/>
                <w:sz w:val="14"/>
              </w:rPr>
              <w:t>-15,098</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fine fy24</w:t>
            </w:r>
          </w:p>
        </w:tc>
        <w:tc>
          <w:tcPr>
            <w:tcW w:type="dxa" w:w="1238"/>
          </w:tcPr>
          <w:p>
            <w:pPr>
              <w:spacing w:after="20" w:before="0" w:line="240" w:lineRule="auto"/>
              <w:jc w:val="right"/>
            </w:pPr>
            <w:r>
              <w:rPr>
                <w:color w:val="1C3A36"/>
                <w:sz w:val="14"/>
              </w:rPr>
              <w:t>-18,034</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fine fy25</w:t>
            </w:r>
          </w:p>
        </w:tc>
        <w:tc>
          <w:tcPr>
            <w:tcW w:type="dxa" w:w="1238"/>
          </w:tcPr>
          <w:p>
            <w:pPr>
              <w:spacing w:after="20" w:before="0" w:line="240" w:lineRule="auto"/>
              <w:jc w:val="right"/>
            </w:pPr>
            <w:r>
              <w:rPr>
                <w:color w:val="1C3A36"/>
                <w:sz w:val="14"/>
              </w:rPr>
              <w:t>-87,143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pbt fy23</w:t>
            </w:r>
          </w:p>
        </w:tc>
        <w:tc>
          <w:tcPr>
            <w:tcW w:type="dxa" w:w="1238"/>
          </w:tcPr>
          <w:p>
            <w:pPr>
              <w:spacing w:after="20" w:before="0" w:line="240" w:lineRule="auto"/>
              <w:jc w:val="right"/>
            </w:pPr>
            <w:r>
              <w:rPr>
                <w:color w:val="1C3A36"/>
                <w:sz w:val="14"/>
              </w:rPr>
              <w:t>622,442</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pbt fy24</w:t>
            </w:r>
          </w:p>
        </w:tc>
        <w:tc>
          <w:tcPr>
            <w:tcW w:type="dxa" w:w="1238"/>
          </w:tcPr>
          <w:p>
            <w:pPr>
              <w:spacing w:after="20" w:before="0" w:line="240" w:lineRule="auto"/>
              <w:jc w:val="right"/>
            </w:pPr>
            <w:r>
              <w:rPr>
                <w:color w:val="1C3A36"/>
                <w:sz w:val="14"/>
              </w:rPr>
              <w:t>829,017</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pbt fy25</w:t>
            </w:r>
          </w:p>
        </w:tc>
        <w:tc>
          <w:tcPr>
            <w:tcW w:type="dxa" w:w="1238"/>
          </w:tcPr>
          <w:p>
            <w:pPr>
              <w:spacing w:after="20" w:before="0" w:line="240" w:lineRule="auto"/>
              <w:jc w:val="right"/>
            </w:pPr>
            <w:r>
              <w:rPr>
                <w:color w:val="1C3A36"/>
                <w:sz w:val="14"/>
              </w:rPr>
              <w:t>921,628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tax fy23</w:t>
            </w:r>
          </w:p>
        </w:tc>
        <w:tc>
          <w:tcPr>
            <w:tcW w:type="dxa" w:w="1238"/>
          </w:tcPr>
          <w:p>
            <w:pPr>
              <w:spacing w:after="20" w:before="0" w:line="240" w:lineRule="auto"/>
              <w:jc w:val="right"/>
            </w:pPr>
            <w:r>
              <w:rPr>
                <w:color w:val="1C3A36"/>
                <w:sz w:val="14"/>
              </w:rPr>
              <w:t>-2,283</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(deferred credit 1,123 less current charge 3,406)</w:t>
            </w:r>
          </w:p>
        </w:tc>
      </w:tr>
      <w:tr>
        <w:trPr>
          <w:cantSplit w:val="true"/>
        </w:trPr>
        <w:tc>
          <w:tcPr>
            <w:tcW w:type="dxa" w:w="2088"/>
          </w:tcPr>
          <w:p>
            <w:pPr>
              <w:spacing w:after="20" w:before="0" w:line="240" w:lineRule="auto"/>
            </w:pPr>
            <w:r>
              <w:rPr>
                <w:color w:val="1C3A36"/>
                <w:sz w:val="14"/>
              </w:rPr>
              <w:t>tax fy24</w:t>
            </w:r>
          </w:p>
        </w:tc>
        <w:tc>
          <w:tcPr>
            <w:tcW w:type="dxa" w:w="1238"/>
          </w:tcPr>
          <w:p>
            <w:pPr>
              <w:spacing w:after="20" w:before="0" w:line="240" w:lineRule="auto"/>
              <w:jc w:val="right"/>
            </w:pPr>
            <w:r>
              <w:rPr>
                <w:color w:val="1C3A36"/>
                <w:sz w:val="14"/>
              </w:rPr>
              <w:t>-72,847</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(deferred credit 868, deferred charge 1,123, current charge 72,592)</w:t>
            </w:r>
          </w:p>
        </w:tc>
      </w:tr>
      <w:tr>
        <w:trPr>
          <w:cantSplit w:val="true"/>
        </w:trPr>
        <w:tc>
          <w:tcPr>
            <w:tcW w:type="dxa" w:w="2088"/>
          </w:tcPr>
          <w:p>
            <w:pPr>
              <w:spacing w:after="20" w:before="0" w:line="240" w:lineRule="auto"/>
            </w:pPr>
            <w:r>
              <w:rPr>
                <w:color w:val="1C3A36"/>
                <w:sz w:val="14"/>
              </w:rPr>
              <w:t>tax fy25</w:t>
            </w:r>
          </w:p>
        </w:tc>
        <w:tc>
          <w:tcPr>
            <w:tcW w:type="dxa" w:w="1238"/>
          </w:tcPr>
          <w:p>
            <w:pPr>
              <w:spacing w:after="20" w:before="0" w:line="240" w:lineRule="auto"/>
              <w:jc w:val="right"/>
            </w:pPr>
            <w:r>
              <w:rPr>
                <w:color w:val="1C3A36"/>
                <w:sz w:val="14"/>
              </w:rPr>
              <w:t>-58,781</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(deferred credit 898 less current charge 59,679)</w:t>
            </w:r>
          </w:p>
        </w:tc>
      </w:tr>
      <w:tr>
        <w:trPr>
          <w:cantSplit w:val="true"/>
        </w:trPr>
        <w:tc>
          <w:tcPr>
            <w:tcW w:type="dxa" w:w="2088"/>
          </w:tcPr>
          <w:p>
            <w:pPr>
              <w:spacing w:after="20" w:before="0" w:line="240" w:lineRule="auto"/>
            </w:pPr>
            <w:r>
              <w:rPr>
                <w:color w:val="1C3A36"/>
                <w:sz w:val="14"/>
              </w:rPr>
              <w:t>pat fy23</w:t>
            </w:r>
          </w:p>
        </w:tc>
        <w:tc>
          <w:tcPr>
            <w:tcW w:type="dxa" w:w="1238"/>
          </w:tcPr>
          <w:p>
            <w:pPr>
              <w:spacing w:after="20" w:before="0" w:line="240" w:lineRule="auto"/>
              <w:jc w:val="right"/>
            </w:pPr>
            <w:r>
              <w:rPr>
                <w:color w:val="1C3A36"/>
                <w:sz w:val="14"/>
              </w:rPr>
              <w:t>620,159</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pat fy24</w:t>
            </w:r>
          </w:p>
        </w:tc>
        <w:tc>
          <w:tcPr>
            <w:tcW w:type="dxa" w:w="1238"/>
          </w:tcPr>
          <w:p>
            <w:pPr>
              <w:spacing w:after="20" w:before="0" w:line="240" w:lineRule="auto"/>
              <w:jc w:val="right"/>
            </w:pPr>
            <w:r>
              <w:rPr>
                <w:color w:val="1C3A36"/>
                <w:sz w:val="14"/>
              </w:rPr>
              <w:t>756,170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pat fy25</w:t>
            </w:r>
          </w:p>
        </w:tc>
        <w:tc>
          <w:tcPr>
            <w:tcW w:type="dxa" w:w="1238"/>
          </w:tcPr>
          <w:p>
            <w:pPr>
              <w:spacing w:after="20" w:before="0" w:line="240" w:lineRule="auto"/>
              <w:jc w:val="right"/>
            </w:pPr>
            <w:r>
              <w:rPr>
                <w:color w:val="1C3A36"/>
                <w:sz w:val="14"/>
              </w:rPr>
              <w:t>862,847</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npa fy23</w:t>
            </w:r>
          </w:p>
        </w:tc>
        <w:tc>
          <w:tcPr>
            <w:tcW w:type="dxa" w:w="1238"/>
          </w:tcPr>
          <w:p>
            <w:pPr>
              <w:spacing w:after="20" w:before="0" w:line="240" w:lineRule="auto"/>
              <w:jc w:val="right"/>
            </w:pPr>
            <w:r>
              <w:rPr>
                <w:color w:val="1C3A36"/>
                <w:sz w:val="14"/>
              </w:rPr>
              <w:t>620,159</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attributable to equity holders</w:t>
            </w:r>
          </w:p>
        </w:tc>
      </w:tr>
      <w:tr>
        <w:trPr>
          <w:cantSplit w:val="true"/>
        </w:trPr>
        <w:tc>
          <w:tcPr>
            <w:tcW w:type="dxa" w:w="2088"/>
          </w:tcPr>
          <w:p>
            <w:pPr>
              <w:spacing w:after="20" w:before="0" w:line="240" w:lineRule="auto"/>
            </w:pPr>
            <w:r>
              <w:rPr>
                <w:color w:val="1C3A36"/>
                <w:sz w:val="14"/>
              </w:rPr>
              <w:t>npa fy24</w:t>
            </w:r>
          </w:p>
        </w:tc>
        <w:tc>
          <w:tcPr>
            <w:tcW w:type="dxa" w:w="1238"/>
          </w:tcPr>
          <w:p>
            <w:pPr>
              <w:spacing w:after="20" w:before="0" w:line="240" w:lineRule="auto"/>
              <w:jc w:val="right"/>
            </w:pPr>
            <w:r>
              <w:rPr>
                <w:color w:val="1C3A36"/>
                <w:sz w:val="14"/>
              </w:rPr>
              <w:t>756,170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attributable to equity holders</w:t>
            </w:r>
          </w:p>
        </w:tc>
      </w:tr>
      <w:tr>
        <w:trPr>
          <w:cantSplit w:val="true"/>
        </w:trPr>
        <w:tc>
          <w:tcPr>
            <w:tcW w:type="dxa" w:w="2088"/>
          </w:tcPr>
          <w:p>
            <w:pPr>
              <w:spacing w:after="20" w:before="0" w:line="240" w:lineRule="auto"/>
            </w:pPr>
            <w:r>
              <w:rPr>
                <w:color w:val="1C3A36"/>
                <w:sz w:val="14"/>
              </w:rPr>
              <w:t>npa fy25</w:t>
            </w:r>
          </w:p>
        </w:tc>
        <w:tc>
          <w:tcPr>
            <w:tcW w:type="dxa" w:w="1238"/>
          </w:tcPr>
          <w:p>
            <w:pPr>
              <w:spacing w:after="20" w:before="0" w:line="240" w:lineRule="auto"/>
              <w:jc w:val="right"/>
            </w:pPr>
            <w:r>
              <w:rPr>
                <w:color w:val="1C3A36"/>
                <w:sz w:val="14"/>
              </w:rPr>
              <w:t>838,541</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attributable to equity holders</w:t>
            </w:r>
          </w:p>
        </w:tc>
      </w:tr>
      <w:tr>
        <w:trPr>
          <w:cantSplit w:val="true"/>
        </w:trPr>
        <w:tc>
          <w:tcPr>
            <w:tcW w:type="dxa" w:w="2088"/>
          </w:tcPr>
          <w:p>
            <w:pPr>
              <w:spacing w:after="20" w:before="0" w:line="240" w:lineRule="auto"/>
            </w:pPr>
            <w:r>
              <w:rPr>
                <w:color w:val="1C3A36"/>
                <w:sz w:val="14"/>
              </w:rPr>
              <w:t>nci pl fy25</w:t>
            </w:r>
          </w:p>
        </w:tc>
        <w:tc>
          <w:tcPr>
            <w:tcW w:type="dxa" w:w="1238"/>
          </w:tcPr>
          <w:p>
            <w:pPr>
              <w:spacing w:after="20" w:before="0" w:line="240" w:lineRule="auto"/>
              <w:jc w:val="right"/>
            </w:pPr>
            <w:r>
              <w:rPr>
                <w:color w:val="1C3A36"/>
                <w:sz w:val="14"/>
              </w:rPr>
              <w:t>24,306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profit attributable to non-controlling interests</w:t>
            </w:r>
          </w:p>
        </w:tc>
      </w:tr>
      <w:tr>
        <w:trPr>
          <w:cantSplit w:val="true"/>
        </w:trPr>
        <w:tc>
          <w:tcPr>
            <w:tcW w:type="dxa" w:w="2088"/>
          </w:tcPr>
          <w:p>
            <w:pPr>
              <w:spacing w:after="20" w:before="0" w:line="240" w:lineRule="auto"/>
            </w:pPr>
            <w:r>
              <w:rPr>
                <w:color w:val="1C3A36"/>
                <w:sz w:val="14"/>
              </w:rPr>
              <w:t>eps fy23</w:t>
            </w:r>
          </w:p>
        </w:tc>
        <w:tc>
          <w:tcPr>
            <w:tcW w:type="dxa" w:w="1238"/>
          </w:tcPr>
          <w:p>
            <w:pPr>
              <w:spacing w:after="20" w:before="0" w:line="240" w:lineRule="auto"/>
              <w:jc w:val="right"/>
            </w:pPr>
            <w:r>
              <w:rPr>
                <w:color w:val="1C3A36"/>
                <w:sz w:val="14"/>
              </w:rPr>
              <w:t>0.08 USD</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eps fy24</w:t>
            </w:r>
          </w:p>
        </w:tc>
        <w:tc>
          <w:tcPr>
            <w:tcW w:type="dxa" w:w="1238"/>
          </w:tcPr>
          <w:p>
            <w:pPr>
              <w:spacing w:after="20" w:before="0" w:line="240" w:lineRule="auto"/>
              <w:jc w:val="right"/>
            </w:pPr>
            <w:r>
              <w:rPr>
                <w:color w:val="1C3A36"/>
                <w:sz w:val="14"/>
              </w:rPr>
              <w:t>0.10 USD</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eps fy25</w:t>
            </w:r>
          </w:p>
        </w:tc>
        <w:tc>
          <w:tcPr>
            <w:tcW w:type="dxa" w:w="1238"/>
          </w:tcPr>
          <w:p>
            <w:pPr>
              <w:spacing w:after="20" w:before="0" w:line="240" w:lineRule="auto"/>
              <w:jc w:val="right"/>
            </w:pPr>
            <w:r>
              <w:rPr>
                <w:color w:val="1C3A36"/>
                <w:sz w:val="14"/>
              </w:rPr>
              <w:t>0.11 USD</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dep ppe fy23</w:t>
            </w:r>
          </w:p>
        </w:tc>
        <w:tc>
          <w:tcPr>
            <w:tcW w:type="dxa" w:w="1238"/>
          </w:tcPr>
          <w:p>
            <w:pPr>
              <w:spacing w:after="20" w:before="0" w:line="240" w:lineRule="auto"/>
              <w:jc w:val="right"/>
            </w:pPr>
            <w:r>
              <w:rPr>
                <w:color w:val="1C3A36"/>
                <w:sz w:val="14"/>
              </w:rPr>
              <w:t>216,558</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cash flow statement</w:t>
            </w:r>
          </w:p>
        </w:tc>
      </w:tr>
      <w:tr>
        <w:trPr>
          <w:cantSplit w:val="true"/>
        </w:trPr>
        <w:tc>
          <w:tcPr>
            <w:tcW w:type="dxa" w:w="2088"/>
          </w:tcPr>
          <w:p>
            <w:pPr>
              <w:spacing w:after="20" w:before="0" w:line="240" w:lineRule="auto"/>
            </w:pPr>
            <w:r>
              <w:rPr>
                <w:color w:val="1C3A36"/>
                <w:sz w:val="14"/>
              </w:rPr>
              <w:t>dep ppe fy24</w:t>
            </w:r>
          </w:p>
        </w:tc>
        <w:tc>
          <w:tcPr>
            <w:tcW w:type="dxa" w:w="1238"/>
          </w:tcPr>
          <w:p>
            <w:pPr>
              <w:spacing w:after="20" w:before="0" w:line="240" w:lineRule="auto"/>
              <w:jc w:val="right"/>
            </w:pPr>
            <w:r>
              <w:rPr>
                <w:color w:val="1C3A36"/>
                <w:sz w:val="14"/>
              </w:rPr>
              <w:t>266,207</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cash flow statement</w:t>
            </w:r>
          </w:p>
        </w:tc>
      </w:tr>
      <w:tr>
        <w:trPr>
          <w:cantSplit w:val="true"/>
        </w:trPr>
        <w:tc>
          <w:tcPr>
            <w:tcW w:type="dxa" w:w="2088"/>
          </w:tcPr>
          <w:p>
            <w:pPr>
              <w:spacing w:after="20" w:before="0" w:line="240" w:lineRule="auto"/>
            </w:pPr>
            <w:r>
              <w:rPr>
                <w:color w:val="1C3A36"/>
                <w:sz w:val="14"/>
              </w:rPr>
              <w:t>dep ppe fy25</w:t>
            </w:r>
          </w:p>
        </w:tc>
        <w:tc>
          <w:tcPr>
            <w:tcW w:type="dxa" w:w="1238"/>
          </w:tcPr>
          <w:p>
            <w:pPr>
              <w:spacing w:after="20" w:before="0" w:line="240" w:lineRule="auto"/>
              <w:jc w:val="right"/>
            </w:pPr>
            <w:r>
              <w:rPr>
                <w:color w:val="1C3A36"/>
                <w:sz w:val="14"/>
              </w:rPr>
              <w:t>385,487</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cash flow statement</w:t>
            </w:r>
          </w:p>
        </w:tc>
      </w:tr>
      <w:tr>
        <w:trPr>
          <w:cantSplit w:val="true"/>
        </w:trPr>
        <w:tc>
          <w:tcPr>
            <w:tcW w:type="dxa" w:w="2088"/>
          </w:tcPr>
          <w:p>
            <w:pPr>
              <w:spacing w:after="20" w:before="0" w:line="240" w:lineRule="auto"/>
            </w:pPr>
            <w:r>
              <w:rPr>
                <w:color w:val="1C3A36"/>
                <w:sz w:val="14"/>
              </w:rPr>
              <w:t>dep ip fy23</w:t>
            </w:r>
          </w:p>
        </w:tc>
        <w:tc>
          <w:tcPr>
            <w:tcW w:type="dxa" w:w="1238"/>
          </w:tcPr>
          <w:p>
            <w:pPr>
              <w:spacing w:after="20" w:before="0" w:line="240" w:lineRule="auto"/>
              <w:jc w:val="right"/>
            </w:pPr>
            <w:r>
              <w:rPr>
                <w:color w:val="1C3A36"/>
                <w:sz w:val="14"/>
              </w:rPr>
              <w:t>5,165</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cash flow statement</w:t>
            </w:r>
          </w:p>
        </w:tc>
      </w:tr>
      <w:tr>
        <w:trPr>
          <w:cantSplit w:val="true"/>
        </w:trPr>
        <w:tc>
          <w:tcPr>
            <w:tcW w:type="dxa" w:w="2088"/>
          </w:tcPr>
          <w:p>
            <w:pPr>
              <w:spacing w:after="20" w:before="0" w:line="240" w:lineRule="auto"/>
            </w:pPr>
            <w:r>
              <w:rPr>
                <w:color w:val="1C3A36"/>
                <w:sz w:val="14"/>
              </w:rPr>
              <w:t>dep ip fy24</w:t>
            </w:r>
          </w:p>
        </w:tc>
        <w:tc>
          <w:tcPr>
            <w:tcW w:type="dxa" w:w="1238"/>
          </w:tcPr>
          <w:p>
            <w:pPr>
              <w:spacing w:after="20" w:before="0" w:line="240" w:lineRule="auto"/>
              <w:jc w:val="right"/>
            </w:pPr>
            <w:r>
              <w:rPr>
                <w:color w:val="1C3A36"/>
                <w:sz w:val="14"/>
              </w:rPr>
              <w:t>5,259</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cash flow statement</w:t>
            </w:r>
          </w:p>
        </w:tc>
      </w:tr>
      <w:tr>
        <w:trPr>
          <w:cantSplit w:val="true"/>
        </w:trPr>
        <w:tc>
          <w:tcPr>
            <w:tcW w:type="dxa" w:w="2088"/>
          </w:tcPr>
          <w:p>
            <w:pPr>
              <w:spacing w:after="20" w:before="0" w:line="240" w:lineRule="auto"/>
            </w:pPr>
            <w:r>
              <w:rPr>
                <w:color w:val="1C3A36"/>
                <w:sz w:val="14"/>
              </w:rPr>
              <w:t>dep ip fy25</w:t>
            </w:r>
          </w:p>
        </w:tc>
        <w:tc>
          <w:tcPr>
            <w:tcW w:type="dxa" w:w="1238"/>
          </w:tcPr>
          <w:p>
            <w:pPr>
              <w:spacing w:after="20" w:before="0" w:line="240" w:lineRule="auto"/>
              <w:jc w:val="right"/>
            </w:pPr>
            <w:r>
              <w:rPr>
                <w:color w:val="1C3A36"/>
                <w:sz w:val="14"/>
              </w:rPr>
              <w:t>5,436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cash flow statement</w:t>
            </w:r>
          </w:p>
        </w:tc>
      </w:tr>
      <w:tr>
        <w:trPr>
          <w:cantSplit w:val="true"/>
        </w:trPr>
        <w:tc>
          <w:tcPr>
            <w:tcW w:type="dxa" w:w="2088"/>
          </w:tcPr>
          <w:p>
            <w:pPr>
              <w:spacing w:after="20" w:before="0" w:line="240" w:lineRule="auto"/>
            </w:pPr>
            <w:r>
              <w:rPr>
                <w:color w:val="1C3A36"/>
                <w:sz w:val="14"/>
              </w:rPr>
              <w:t>dep rou fy23</w:t>
            </w:r>
          </w:p>
        </w:tc>
        <w:tc>
          <w:tcPr>
            <w:tcW w:type="dxa" w:w="1238"/>
          </w:tcPr>
          <w:p>
            <w:pPr>
              <w:spacing w:after="20" w:before="0" w:line="240" w:lineRule="auto"/>
              <w:jc w:val="right"/>
            </w:pPr>
            <w:r>
              <w:rPr>
                <w:color w:val="1C3A36"/>
                <w:sz w:val="14"/>
              </w:rPr>
              <w:t>19,650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cash flow statement</w:t>
            </w:r>
          </w:p>
        </w:tc>
      </w:tr>
      <w:tr>
        <w:trPr>
          <w:cantSplit w:val="true"/>
        </w:trPr>
        <w:tc>
          <w:tcPr>
            <w:tcW w:type="dxa" w:w="2088"/>
          </w:tcPr>
          <w:p>
            <w:pPr>
              <w:spacing w:after="20" w:before="0" w:line="240" w:lineRule="auto"/>
            </w:pPr>
            <w:r>
              <w:rPr>
                <w:color w:val="1C3A36"/>
                <w:sz w:val="14"/>
              </w:rPr>
              <w:t>dep rou fy24</w:t>
            </w:r>
          </w:p>
        </w:tc>
        <w:tc>
          <w:tcPr>
            <w:tcW w:type="dxa" w:w="1238"/>
          </w:tcPr>
          <w:p>
            <w:pPr>
              <w:spacing w:after="20" w:before="0" w:line="240" w:lineRule="auto"/>
              <w:jc w:val="right"/>
            </w:pPr>
            <w:r>
              <w:rPr>
                <w:color w:val="1C3A36"/>
                <w:sz w:val="14"/>
              </w:rPr>
              <w:t>39,062</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cash flow statement</w:t>
            </w:r>
          </w:p>
        </w:tc>
      </w:tr>
      <w:tr>
        <w:trPr>
          <w:cantSplit w:val="true"/>
        </w:trPr>
        <w:tc>
          <w:tcPr>
            <w:tcW w:type="dxa" w:w="2088"/>
          </w:tcPr>
          <w:p>
            <w:pPr>
              <w:spacing w:after="20" w:before="0" w:line="240" w:lineRule="auto"/>
            </w:pPr>
            <w:r>
              <w:rPr>
                <w:color w:val="1C3A36"/>
                <w:sz w:val="14"/>
              </w:rPr>
              <w:t>dep rou fy25</w:t>
            </w:r>
          </w:p>
        </w:tc>
        <w:tc>
          <w:tcPr>
            <w:tcW w:type="dxa" w:w="1238"/>
          </w:tcPr>
          <w:p>
            <w:pPr>
              <w:spacing w:after="20" w:before="0" w:line="240" w:lineRule="auto"/>
              <w:jc w:val="right"/>
            </w:pPr>
            <w:r>
              <w:rPr>
                <w:color w:val="1C3A36"/>
                <w:sz w:val="14"/>
              </w:rPr>
              <w:t>117,104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cash flow statement</w:t>
            </w:r>
          </w:p>
        </w:tc>
      </w:tr>
      <w:tr>
        <w:trPr>
          <w:cantSplit w:val="true"/>
        </w:trPr>
        <w:tc>
          <w:tcPr>
            <w:tcW w:type="dxa" w:w="2088"/>
          </w:tcPr>
          <w:p>
            <w:pPr>
              <w:spacing w:after="20" w:before="0" w:line="240" w:lineRule="auto"/>
            </w:pPr>
            <w:r>
              <w:rPr>
                <w:color w:val="1C3A36"/>
                <w:sz w:val="14"/>
              </w:rPr>
              <w:t>amort fy23</w:t>
            </w:r>
          </w:p>
        </w:tc>
        <w:tc>
          <w:tcPr>
            <w:tcW w:type="dxa" w:w="1238"/>
          </w:tcPr>
          <w:p>
            <w:pPr>
              <w:spacing w:after="20" w:before="0" w:line="240" w:lineRule="auto"/>
              <w:jc w:val="right"/>
            </w:pPr>
            <w:r>
              <w:rPr>
                <w:color w:val="1C3A36"/>
                <w:sz w:val="14"/>
              </w:rPr>
              <w:t>7,153</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cash flow statement</w:t>
            </w:r>
          </w:p>
        </w:tc>
      </w:tr>
      <w:tr>
        <w:trPr>
          <w:cantSplit w:val="true"/>
        </w:trPr>
        <w:tc>
          <w:tcPr>
            <w:tcW w:type="dxa" w:w="2088"/>
          </w:tcPr>
          <w:p>
            <w:pPr>
              <w:spacing w:after="20" w:before="0" w:line="240" w:lineRule="auto"/>
            </w:pPr>
            <w:r>
              <w:rPr>
                <w:color w:val="1C3A36"/>
                <w:sz w:val="14"/>
              </w:rPr>
              <w:t>amort fy24</w:t>
            </w:r>
          </w:p>
        </w:tc>
        <w:tc>
          <w:tcPr>
            <w:tcW w:type="dxa" w:w="1238"/>
          </w:tcPr>
          <w:p>
            <w:pPr>
              <w:spacing w:after="20" w:before="0" w:line="240" w:lineRule="auto"/>
              <w:jc w:val="right"/>
            </w:pPr>
            <w:r>
              <w:rPr>
                <w:color w:val="1C3A36"/>
                <w:sz w:val="14"/>
              </w:rPr>
              <w:t>6,811</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cash flow statement</w:t>
            </w:r>
          </w:p>
        </w:tc>
      </w:tr>
      <w:tr>
        <w:trPr>
          <w:cantSplit w:val="true"/>
        </w:trPr>
        <w:tc>
          <w:tcPr>
            <w:tcW w:type="dxa" w:w="2088"/>
          </w:tcPr>
          <w:p>
            <w:pPr>
              <w:spacing w:after="20" w:before="0" w:line="240" w:lineRule="auto"/>
            </w:pPr>
            <w:r>
              <w:rPr>
                <w:color w:val="1C3A36"/>
                <w:sz w:val="14"/>
              </w:rPr>
              <w:t>amort fy25</w:t>
            </w:r>
          </w:p>
        </w:tc>
        <w:tc>
          <w:tcPr>
            <w:tcW w:type="dxa" w:w="1238"/>
          </w:tcPr>
          <w:p>
            <w:pPr>
              <w:spacing w:after="20" w:before="0" w:line="240" w:lineRule="auto"/>
              <w:jc w:val="right"/>
            </w:pPr>
            <w:r>
              <w:rPr>
                <w:color w:val="1C3A36"/>
                <w:sz w:val="14"/>
              </w:rPr>
              <w:t>16,782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cash flow statement</w:t>
            </w:r>
          </w:p>
        </w:tc>
      </w:tr>
      <w:tr>
        <w:trPr>
          <w:cantSplit w:val="true"/>
        </w:trPr>
        <w:tc>
          <w:tcPr>
            <w:tcW w:type="dxa" w:w="2088"/>
          </w:tcPr>
          <w:p>
            <w:pPr>
              <w:spacing w:after="20" w:before="0" w:line="240" w:lineRule="auto"/>
            </w:pPr>
            <w:r>
              <w:rPr>
                <w:color w:val="1C3A36"/>
                <w:sz w:val="14"/>
              </w:rPr>
              <w:t>ppe fy23</w:t>
            </w:r>
          </w:p>
        </w:tc>
        <w:tc>
          <w:tcPr>
            <w:tcW w:type="dxa" w:w="1238"/>
          </w:tcPr>
          <w:p>
            <w:pPr>
              <w:spacing w:after="20" w:before="0" w:line="240" w:lineRule="auto"/>
              <w:jc w:val="right"/>
            </w:pPr>
            <w:r>
              <w:rPr>
                <w:color w:val="1C3A36"/>
                <w:sz w:val="14"/>
              </w:rPr>
              <w:t>3,806,543</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ppe fy24</w:t>
            </w:r>
          </w:p>
        </w:tc>
        <w:tc>
          <w:tcPr>
            <w:tcW w:type="dxa" w:w="1238"/>
          </w:tcPr>
          <w:p>
            <w:pPr>
              <w:spacing w:after="20" w:before="0" w:line="240" w:lineRule="auto"/>
              <w:jc w:val="right"/>
            </w:pPr>
            <w:r>
              <w:rPr>
                <w:color w:val="1C3A36"/>
                <w:sz w:val="14"/>
              </w:rPr>
              <w:t>4,543,335</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ppe fy25</w:t>
            </w:r>
          </w:p>
        </w:tc>
        <w:tc>
          <w:tcPr>
            <w:tcW w:type="dxa" w:w="1238"/>
          </w:tcPr>
          <w:p>
            <w:pPr>
              <w:spacing w:after="20" w:before="0" w:line="240" w:lineRule="auto"/>
              <w:jc w:val="right"/>
            </w:pPr>
            <w:r>
              <w:rPr>
                <w:color w:val="1C3A36"/>
                <w:sz w:val="14"/>
              </w:rPr>
              <w:t>6,884,178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rou fy23</w:t>
            </w:r>
          </w:p>
        </w:tc>
        <w:tc>
          <w:tcPr>
            <w:tcW w:type="dxa" w:w="1238"/>
          </w:tcPr>
          <w:p>
            <w:pPr>
              <w:spacing w:after="20" w:before="0" w:line="240" w:lineRule="auto"/>
              <w:jc w:val="right"/>
            </w:pPr>
            <w:r>
              <w:rPr>
                <w:color w:val="1C3A36"/>
                <w:sz w:val="14"/>
              </w:rPr>
              <w:t>148,146</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rou fy24</w:t>
            </w:r>
          </w:p>
        </w:tc>
        <w:tc>
          <w:tcPr>
            <w:tcW w:type="dxa" w:w="1238"/>
          </w:tcPr>
          <w:p>
            <w:pPr>
              <w:spacing w:after="20" w:before="0" w:line="240" w:lineRule="auto"/>
              <w:jc w:val="right"/>
            </w:pPr>
            <w:r>
              <w:rPr>
                <w:color w:val="1C3A36"/>
                <w:sz w:val="14"/>
              </w:rPr>
              <w:t>161,691</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rou fy25</w:t>
            </w:r>
          </w:p>
        </w:tc>
        <w:tc>
          <w:tcPr>
            <w:tcW w:type="dxa" w:w="1238"/>
          </w:tcPr>
          <w:p>
            <w:pPr>
              <w:spacing w:after="20" w:before="0" w:line="240" w:lineRule="auto"/>
              <w:jc w:val="right"/>
            </w:pPr>
            <w:r>
              <w:rPr>
                <w:color w:val="1C3A36"/>
                <w:sz w:val="14"/>
              </w:rPr>
              <w:t>225,292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intang fy23</w:t>
            </w:r>
          </w:p>
        </w:tc>
        <w:tc>
          <w:tcPr>
            <w:tcW w:type="dxa" w:w="1238"/>
          </w:tcPr>
          <w:p>
            <w:pPr>
              <w:spacing w:after="20" w:before="0" w:line="240" w:lineRule="auto"/>
              <w:jc w:val="right"/>
            </w:pPr>
            <w:r>
              <w:rPr>
                <w:color w:val="1C3A36"/>
                <w:sz w:val="14"/>
              </w:rPr>
              <w:t>11,440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intang fy24</w:t>
            </w:r>
          </w:p>
        </w:tc>
        <w:tc>
          <w:tcPr>
            <w:tcW w:type="dxa" w:w="1238"/>
          </w:tcPr>
          <w:p>
            <w:pPr>
              <w:spacing w:after="20" w:before="0" w:line="240" w:lineRule="auto"/>
              <w:jc w:val="right"/>
            </w:pPr>
            <w:r>
              <w:rPr>
                <w:color w:val="1C3A36"/>
                <w:sz w:val="14"/>
              </w:rPr>
              <w:t>11,078</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intang fy25</w:t>
            </w:r>
          </w:p>
        </w:tc>
        <w:tc>
          <w:tcPr>
            <w:tcW w:type="dxa" w:w="1238"/>
          </w:tcPr>
          <w:p>
            <w:pPr>
              <w:spacing w:after="20" w:before="0" w:line="240" w:lineRule="auto"/>
              <w:jc w:val="right"/>
            </w:pPr>
            <w:r>
              <w:rPr>
                <w:color w:val="1C3A36"/>
                <w:sz w:val="14"/>
              </w:rPr>
              <w:t>19,434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invprop fy23</w:t>
            </w:r>
          </w:p>
        </w:tc>
        <w:tc>
          <w:tcPr>
            <w:tcW w:type="dxa" w:w="1238"/>
          </w:tcPr>
          <w:p>
            <w:pPr>
              <w:spacing w:after="20" w:before="0" w:line="240" w:lineRule="auto"/>
              <w:jc w:val="right"/>
            </w:pPr>
            <w:r>
              <w:rPr>
                <w:color w:val="1C3A36"/>
                <w:sz w:val="14"/>
              </w:rPr>
              <w:t>95,269</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invprop fy24</w:t>
            </w:r>
          </w:p>
        </w:tc>
        <w:tc>
          <w:tcPr>
            <w:tcW w:type="dxa" w:w="1238"/>
          </w:tcPr>
          <w:p>
            <w:pPr>
              <w:spacing w:after="20" w:before="0" w:line="240" w:lineRule="auto"/>
              <w:jc w:val="right"/>
            </w:pPr>
            <w:r>
              <w:rPr>
                <w:color w:val="1C3A36"/>
                <w:sz w:val="14"/>
              </w:rPr>
              <w:t>92,501</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invprop fy25</w:t>
            </w:r>
          </w:p>
        </w:tc>
        <w:tc>
          <w:tcPr>
            <w:tcW w:type="dxa" w:w="1238"/>
          </w:tcPr>
          <w:p>
            <w:pPr>
              <w:spacing w:after="20" w:before="0" w:line="240" w:lineRule="auto"/>
              <w:jc w:val="right"/>
            </w:pPr>
            <w:r>
              <w:rPr>
                <w:color w:val="1C3A36"/>
                <w:sz w:val="14"/>
              </w:rPr>
              <w:t>89,154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jv fy23</w:t>
            </w:r>
          </w:p>
        </w:tc>
        <w:tc>
          <w:tcPr>
            <w:tcW w:type="dxa" w:w="1238"/>
          </w:tcPr>
          <w:p>
            <w:pPr>
              <w:spacing w:after="20" w:before="0" w:line="240" w:lineRule="auto"/>
              <w:jc w:val="right"/>
            </w:pPr>
            <w:r>
              <w:rPr>
                <w:color w:val="1C3A36"/>
                <w:sz w:val="14"/>
              </w:rPr>
              <w:t>76,712</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jv fy24</w:t>
            </w:r>
          </w:p>
        </w:tc>
        <w:tc>
          <w:tcPr>
            <w:tcW w:type="dxa" w:w="1238"/>
          </w:tcPr>
          <w:p>
            <w:pPr>
              <w:spacing w:after="20" w:before="0" w:line="240" w:lineRule="auto"/>
              <w:jc w:val="right"/>
            </w:pPr>
            <w:r>
              <w:rPr>
                <w:color w:val="1C3A36"/>
                <w:sz w:val="14"/>
              </w:rPr>
              <w:t>267,775</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jv fy25</w:t>
            </w:r>
          </w:p>
        </w:tc>
        <w:tc>
          <w:tcPr>
            <w:tcW w:type="dxa" w:w="1238"/>
          </w:tcPr>
          <w:p>
            <w:pPr>
              <w:spacing w:after="20" w:before="0" w:line="240" w:lineRule="auto"/>
              <w:jc w:val="right"/>
            </w:pPr>
            <w:r>
              <w:rPr>
                <w:color w:val="1C3A36"/>
                <w:sz w:val="14"/>
              </w:rPr>
              <w:t>577,769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gw fy23</w:t>
            </w:r>
          </w:p>
        </w:tc>
        <w:tc>
          <w:tcPr>
            <w:tcW w:type="dxa" w:w="1238"/>
          </w:tcPr>
          <w:p>
            <w:pPr>
              <w:spacing w:after="20" w:before="0" w:line="240" w:lineRule="auto"/>
              <w:jc w:val="right"/>
            </w:pPr>
            <w:r>
              <w:rPr>
                <w:color w:val="1C3A36"/>
                <w:sz w:val="14"/>
              </w:rPr>
              <w:t>51,368</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gw fy24</w:t>
            </w:r>
          </w:p>
        </w:tc>
        <w:tc>
          <w:tcPr>
            <w:tcW w:type="dxa" w:w="1238"/>
          </w:tcPr>
          <w:p>
            <w:pPr>
              <w:spacing w:after="20" w:before="0" w:line="240" w:lineRule="auto"/>
              <w:jc w:val="right"/>
            </w:pPr>
            <w:r>
              <w:rPr>
                <w:color w:val="1C3A36"/>
                <w:sz w:val="14"/>
              </w:rPr>
              <w:t>51,368</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gw fy25</w:t>
            </w:r>
          </w:p>
        </w:tc>
        <w:tc>
          <w:tcPr>
            <w:tcW w:type="dxa" w:w="1238"/>
          </w:tcPr>
          <w:p>
            <w:pPr>
              <w:spacing w:after="20" w:before="0" w:line="240" w:lineRule="auto"/>
              <w:jc w:val="right"/>
            </w:pPr>
            <w:r>
              <w:rPr>
                <w:color w:val="1C3A36"/>
                <w:sz w:val="14"/>
              </w:rPr>
              <w:t>51,368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adv yard fy23</w:t>
            </w:r>
          </w:p>
        </w:tc>
        <w:tc>
          <w:tcPr>
            <w:tcW w:type="dxa" w:w="1238"/>
          </w:tcPr>
          <w:p>
            <w:pPr>
              <w:spacing w:after="20" w:before="0" w:line="240" w:lineRule="auto"/>
              <w:jc w:val="right"/>
            </w:pPr>
            <w:r>
              <w:rPr>
                <w:color w:val="1C3A36"/>
                <w:sz w:val="14"/>
              </w:rPr>
              <w:t>38,884</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adv yard fy24</w:t>
            </w:r>
          </w:p>
        </w:tc>
        <w:tc>
          <w:tcPr>
            <w:tcW w:type="dxa" w:w="1238"/>
          </w:tcPr>
          <w:p>
            <w:pPr>
              <w:spacing w:after="20" w:before="0" w:line="240" w:lineRule="auto"/>
              <w:jc w:val="right"/>
            </w:pPr>
            <w:r>
              <w:rPr>
                <w:color w:val="1C3A36"/>
                <w:sz w:val="14"/>
              </w:rPr>
              <w:t>229,882</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adv yard fy25</w:t>
            </w:r>
          </w:p>
        </w:tc>
        <w:tc>
          <w:tcPr>
            <w:tcW w:type="dxa" w:w="1238"/>
          </w:tcPr>
          <w:p>
            <w:pPr>
              <w:spacing w:after="20" w:before="0" w:line="240" w:lineRule="auto"/>
              <w:jc w:val="right"/>
            </w:pPr>
            <w:r>
              <w:rPr>
                <w:color w:val="1C3A36"/>
                <w:sz w:val="14"/>
              </w:rPr>
              <w:t>137,600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subl nc fy23</w:t>
            </w:r>
          </w:p>
        </w:tc>
        <w:tc>
          <w:tcPr>
            <w:tcW w:type="dxa" w:w="1238"/>
          </w:tcPr>
          <w:p>
            <w:pPr>
              <w:spacing w:after="20" w:before="0" w:line="240" w:lineRule="auto"/>
              <w:jc w:val="right"/>
            </w:pPr>
            <w:r>
              <w:rPr>
                <w:color w:val="1C3A36"/>
                <w:sz w:val="14"/>
              </w:rPr>
              <w:t>29,201</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subl nc fy24</w:t>
            </w:r>
          </w:p>
        </w:tc>
        <w:tc>
          <w:tcPr>
            <w:tcW w:type="dxa" w:w="1238"/>
          </w:tcPr>
          <w:p>
            <w:pPr>
              <w:spacing w:after="20" w:before="0" w:line="240" w:lineRule="auto"/>
              <w:jc w:val="right"/>
            </w:pPr>
            <w:r>
              <w:rPr>
                <w:color w:val="1C3A36"/>
                <w:sz w:val="14"/>
              </w:rPr>
              <w:t>12,842</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subl nc fy25</w:t>
            </w:r>
          </w:p>
        </w:tc>
        <w:tc>
          <w:tcPr>
            <w:tcW w:type="dxa" w:w="1238"/>
          </w:tcPr>
          <w:p>
            <w:pPr>
              <w:spacing w:after="20" w:before="0" w:line="240" w:lineRule="auto"/>
              <w:jc w:val="right"/>
            </w:pPr>
            <w:r>
              <w:rPr>
                <w:color w:val="1C3A36"/>
                <w:sz w:val="14"/>
              </w:rPr>
              <w:t>11,149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dta fy23</w:t>
            </w:r>
          </w:p>
        </w:tc>
        <w:tc>
          <w:tcPr>
            <w:tcW w:type="dxa" w:w="1238"/>
          </w:tcPr>
          <w:p>
            <w:pPr>
              <w:spacing w:after="20" w:before="0" w:line="240" w:lineRule="auto"/>
              <w:jc w:val="right"/>
            </w:pPr>
            <w:r>
              <w:rPr>
                <w:color w:val="1C3A36"/>
                <w:sz w:val="14"/>
              </w:rPr>
              <w:t>1,123</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nca fy23</w:t>
            </w:r>
          </w:p>
        </w:tc>
        <w:tc>
          <w:tcPr>
            <w:tcW w:type="dxa" w:w="1238"/>
          </w:tcPr>
          <w:p>
            <w:pPr>
              <w:spacing w:after="20" w:before="0" w:line="240" w:lineRule="auto"/>
              <w:jc w:val="right"/>
            </w:pPr>
            <w:r>
              <w:rPr>
                <w:color w:val="1C3A36"/>
                <w:sz w:val="14"/>
              </w:rPr>
              <w:t>4,258,686</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nca fy24</w:t>
            </w:r>
          </w:p>
        </w:tc>
        <w:tc>
          <w:tcPr>
            <w:tcW w:type="dxa" w:w="1238"/>
          </w:tcPr>
          <w:p>
            <w:pPr>
              <w:spacing w:after="20" w:before="0" w:line="240" w:lineRule="auto"/>
              <w:jc w:val="right"/>
            </w:pPr>
            <w:r>
              <w:rPr>
                <w:color w:val="1C3A36"/>
                <w:sz w:val="14"/>
              </w:rPr>
              <w:t>5,370,472</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nca fy25</w:t>
            </w:r>
          </w:p>
        </w:tc>
        <w:tc>
          <w:tcPr>
            <w:tcW w:type="dxa" w:w="1238"/>
          </w:tcPr>
          <w:p>
            <w:pPr>
              <w:spacing w:after="20" w:before="0" w:line="240" w:lineRule="auto"/>
              <w:jc w:val="right"/>
            </w:pPr>
            <w:r>
              <w:rPr>
                <w:color w:val="1C3A36"/>
                <w:sz w:val="14"/>
              </w:rPr>
              <w:t>7,995,944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inv fy23</w:t>
            </w:r>
          </w:p>
        </w:tc>
        <w:tc>
          <w:tcPr>
            <w:tcW w:type="dxa" w:w="1238"/>
          </w:tcPr>
          <w:p>
            <w:pPr>
              <w:spacing w:after="20" w:before="0" w:line="240" w:lineRule="auto"/>
              <w:jc w:val="right"/>
            </w:pPr>
            <w:r>
              <w:rPr>
                <w:color w:val="1C3A36"/>
                <w:sz w:val="14"/>
              </w:rPr>
              <w:t>120,720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inv fy24</w:t>
            </w:r>
          </w:p>
        </w:tc>
        <w:tc>
          <w:tcPr>
            <w:tcW w:type="dxa" w:w="1238"/>
          </w:tcPr>
          <w:p>
            <w:pPr>
              <w:spacing w:after="20" w:before="0" w:line="240" w:lineRule="auto"/>
              <w:jc w:val="right"/>
            </w:pPr>
            <w:r>
              <w:rPr>
                <w:color w:val="1C3A36"/>
                <w:sz w:val="14"/>
              </w:rPr>
              <w:t>132,687</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inv fy25</w:t>
            </w:r>
          </w:p>
        </w:tc>
        <w:tc>
          <w:tcPr>
            <w:tcW w:type="dxa" w:w="1238"/>
          </w:tcPr>
          <w:p>
            <w:pPr>
              <w:spacing w:after="20" w:before="0" w:line="240" w:lineRule="auto"/>
              <w:jc w:val="right"/>
            </w:pPr>
            <w:r>
              <w:rPr>
                <w:color w:val="1C3A36"/>
                <w:sz w:val="14"/>
              </w:rPr>
              <w:t>137,108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recv fy23</w:t>
            </w:r>
          </w:p>
        </w:tc>
        <w:tc>
          <w:tcPr>
            <w:tcW w:type="dxa" w:w="1238"/>
          </w:tcPr>
          <w:p>
            <w:pPr>
              <w:spacing w:after="20" w:before="0" w:line="240" w:lineRule="auto"/>
              <w:jc w:val="right"/>
            </w:pPr>
            <w:r>
              <w:rPr>
                <w:color w:val="1C3A36"/>
                <w:sz w:val="14"/>
              </w:rPr>
              <w:t>388,320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recv fy24</w:t>
            </w:r>
          </w:p>
        </w:tc>
        <w:tc>
          <w:tcPr>
            <w:tcW w:type="dxa" w:w="1238"/>
          </w:tcPr>
          <w:p>
            <w:pPr>
              <w:spacing w:after="20" w:before="0" w:line="240" w:lineRule="auto"/>
              <w:jc w:val="right"/>
            </w:pPr>
            <w:r>
              <w:rPr>
                <w:color w:val="1C3A36"/>
                <w:sz w:val="14"/>
              </w:rPr>
              <w:t>420,479</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recv fy25</w:t>
            </w:r>
          </w:p>
        </w:tc>
        <w:tc>
          <w:tcPr>
            <w:tcW w:type="dxa" w:w="1238"/>
          </w:tcPr>
          <w:p>
            <w:pPr>
              <w:spacing w:after="20" w:before="0" w:line="240" w:lineRule="auto"/>
              <w:jc w:val="right"/>
            </w:pPr>
            <w:r>
              <w:rPr>
                <w:color w:val="1C3A36"/>
                <w:sz w:val="14"/>
              </w:rPr>
              <w:t>813,285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dfr fy23</w:t>
            </w:r>
          </w:p>
        </w:tc>
        <w:tc>
          <w:tcPr>
            <w:tcW w:type="dxa" w:w="1238"/>
          </w:tcPr>
          <w:p>
            <w:pPr>
              <w:spacing w:after="20" w:before="0" w:line="240" w:lineRule="auto"/>
              <w:jc w:val="right"/>
            </w:pPr>
            <w:r>
              <w:rPr>
                <w:color w:val="1C3A36"/>
                <w:sz w:val="14"/>
              </w:rPr>
              <w:t>742,847</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due from related parties</w:t>
            </w:r>
          </w:p>
        </w:tc>
      </w:tr>
      <w:tr>
        <w:trPr>
          <w:cantSplit w:val="true"/>
        </w:trPr>
        <w:tc>
          <w:tcPr>
            <w:tcW w:type="dxa" w:w="2088"/>
          </w:tcPr>
          <w:p>
            <w:pPr>
              <w:spacing w:after="20" w:before="0" w:line="240" w:lineRule="auto"/>
            </w:pPr>
            <w:r>
              <w:rPr>
                <w:color w:val="1C3A36"/>
                <w:sz w:val="14"/>
              </w:rPr>
              <w:t>dfr fy24</w:t>
            </w:r>
          </w:p>
        </w:tc>
        <w:tc>
          <w:tcPr>
            <w:tcW w:type="dxa" w:w="1238"/>
          </w:tcPr>
          <w:p>
            <w:pPr>
              <w:spacing w:after="20" w:before="0" w:line="240" w:lineRule="auto"/>
              <w:jc w:val="right"/>
            </w:pPr>
            <w:r>
              <w:rPr>
                <w:color w:val="1C3A36"/>
                <w:sz w:val="14"/>
              </w:rPr>
              <w:t>864,410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due from related parties</w:t>
            </w:r>
          </w:p>
        </w:tc>
      </w:tr>
      <w:tr>
        <w:trPr>
          <w:cantSplit w:val="true"/>
        </w:trPr>
        <w:tc>
          <w:tcPr>
            <w:tcW w:type="dxa" w:w="2088"/>
          </w:tcPr>
          <w:p>
            <w:pPr>
              <w:spacing w:after="20" w:before="0" w:line="240" w:lineRule="auto"/>
            </w:pPr>
            <w:r>
              <w:rPr>
                <w:color w:val="1C3A36"/>
                <w:sz w:val="14"/>
              </w:rPr>
              <w:t>dfr fy25</w:t>
            </w:r>
          </w:p>
        </w:tc>
        <w:tc>
          <w:tcPr>
            <w:tcW w:type="dxa" w:w="1238"/>
          </w:tcPr>
          <w:p>
            <w:pPr>
              <w:spacing w:after="20" w:before="0" w:line="240" w:lineRule="auto"/>
              <w:jc w:val="right"/>
            </w:pPr>
            <w:r>
              <w:rPr>
                <w:color w:val="1C3A36"/>
                <w:sz w:val="14"/>
              </w:rPr>
              <w:t>676,383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due from related parties</w:t>
            </w:r>
          </w:p>
        </w:tc>
      </w:tr>
      <w:tr>
        <w:trPr>
          <w:cantSplit w:val="true"/>
        </w:trPr>
        <w:tc>
          <w:tcPr>
            <w:tcW w:type="dxa" w:w="2088"/>
          </w:tcPr>
          <w:p>
            <w:pPr>
              <w:spacing w:after="20" w:before="0" w:line="240" w:lineRule="auto"/>
            </w:pPr>
            <w:r>
              <w:rPr>
                <w:color w:val="1C3A36"/>
                <w:sz w:val="14"/>
              </w:rPr>
              <w:t>subl c fy23</w:t>
            </w:r>
          </w:p>
        </w:tc>
        <w:tc>
          <w:tcPr>
            <w:tcW w:type="dxa" w:w="1238"/>
          </w:tcPr>
          <w:p>
            <w:pPr>
              <w:spacing w:after="20" w:before="0" w:line="240" w:lineRule="auto"/>
              <w:jc w:val="right"/>
            </w:pPr>
            <w:r>
              <w:rPr>
                <w:color w:val="1C3A36"/>
                <w:sz w:val="14"/>
              </w:rPr>
              <w:t>19,386</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subl c fy24</w:t>
            </w:r>
          </w:p>
        </w:tc>
        <w:tc>
          <w:tcPr>
            <w:tcW w:type="dxa" w:w="1238"/>
          </w:tcPr>
          <w:p>
            <w:pPr>
              <w:spacing w:after="20" w:before="0" w:line="240" w:lineRule="auto"/>
              <w:jc w:val="right"/>
            </w:pPr>
            <w:r>
              <w:rPr>
                <w:color w:val="1C3A36"/>
                <w:sz w:val="14"/>
              </w:rPr>
              <w:t>16,359</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subl c fy25</w:t>
            </w:r>
          </w:p>
        </w:tc>
        <w:tc>
          <w:tcPr>
            <w:tcW w:type="dxa" w:w="1238"/>
          </w:tcPr>
          <w:p>
            <w:pPr>
              <w:spacing w:after="20" w:before="0" w:line="240" w:lineRule="auto"/>
              <w:jc w:val="right"/>
            </w:pPr>
            <w:r>
              <w:rPr>
                <w:color w:val="1C3A36"/>
                <w:sz w:val="14"/>
              </w:rPr>
              <w:t>4,639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cash fy23</w:t>
            </w:r>
          </w:p>
        </w:tc>
        <w:tc>
          <w:tcPr>
            <w:tcW w:type="dxa" w:w="1238"/>
          </w:tcPr>
          <w:p>
            <w:pPr>
              <w:spacing w:after="20" w:before="0" w:line="240" w:lineRule="auto"/>
              <w:jc w:val="right"/>
            </w:pPr>
            <w:r>
              <w:rPr>
                <w:color w:val="1C3A36"/>
                <w:sz w:val="14"/>
              </w:rPr>
              <w:t>215,709</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cash fy24</w:t>
            </w:r>
          </w:p>
        </w:tc>
        <w:tc>
          <w:tcPr>
            <w:tcW w:type="dxa" w:w="1238"/>
          </w:tcPr>
          <w:p>
            <w:pPr>
              <w:spacing w:after="20" w:before="0" w:line="240" w:lineRule="auto"/>
              <w:jc w:val="right"/>
            </w:pPr>
            <w:r>
              <w:rPr>
                <w:color w:val="1C3A36"/>
                <w:sz w:val="14"/>
              </w:rPr>
              <w:t>198,919</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cash fy25</w:t>
            </w:r>
          </w:p>
        </w:tc>
        <w:tc>
          <w:tcPr>
            <w:tcW w:type="dxa" w:w="1238"/>
          </w:tcPr>
          <w:p>
            <w:pPr>
              <w:spacing w:after="20" w:before="0" w:line="240" w:lineRule="auto"/>
              <w:jc w:val="right"/>
            </w:pPr>
            <w:r>
              <w:rPr>
                <w:color w:val="1C3A36"/>
                <w:sz w:val="14"/>
              </w:rPr>
              <w:t>337,794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ca fy23</w:t>
            </w:r>
          </w:p>
        </w:tc>
        <w:tc>
          <w:tcPr>
            <w:tcW w:type="dxa" w:w="1238"/>
          </w:tcPr>
          <w:p>
            <w:pPr>
              <w:spacing w:after="20" w:before="0" w:line="240" w:lineRule="auto"/>
              <w:jc w:val="right"/>
            </w:pPr>
            <w:r>
              <w:rPr>
                <w:color w:val="1C3A36"/>
                <w:sz w:val="14"/>
              </w:rPr>
              <w:t>1,486,982</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ca fy24</w:t>
            </w:r>
          </w:p>
        </w:tc>
        <w:tc>
          <w:tcPr>
            <w:tcW w:type="dxa" w:w="1238"/>
          </w:tcPr>
          <w:p>
            <w:pPr>
              <w:spacing w:after="20" w:before="0" w:line="240" w:lineRule="auto"/>
              <w:jc w:val="right"/>
            </w:pPr>
            <w:r>
              <w:rPr>
                <w:color w:val="1C3A36"/>
                <w:sz w:val="14"/>
              </w:rPr>
              <w:t>1,632,854</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ca fy25</w:t>
            </w:r>
          </w:p>
        </w:tc>
        <w:tc>
          <w:tcPr>
            <w:tcW w:type="dxa" w:w="1238"/>
          </w:tcPr>
          <w:p>
            <w:pPr>
              <w:spacing w:after="20" w:before="0" w:line="240" w:lineRule="auto"/>
              <w:jc w:val="right"/>
            </w:pPr>
            <w:r>
              <w:rPr>
                <w:color w:val="1C3A36"/>
                <w:sz w:val="14"/>
              </w:rPr>
              <w:t>1,969,209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ta fy23</w:t>
            </w:r>
          </w:p>
        </w:tc>
        <w:tc>
          <w:tcPr>
            <w:tcW w:type="dxa" w:w="1238"/>
          </w:tcPr>
          <w:p>
            <w:pPr>
              <w:spacing w:after="20" w:before="0" w:line="240" w:lineRule="auto"/>
              <w:jc w:val="right"/>
            </w:pPr>
            <w:r>
              <w:rPr>
                <w:color w:val="1C3A36"/>
                <w:sz w:val="14"/>
              </w:rPr>
              <w:t>5,745,668</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ta fy24</w:t>
            </w:r>
          </w:p>
        </w:tc>
        <w:tc>
          <w:tcPr>
            <w:tcW w:type="dxa" w:w="1238"/>
          </w:tcPr>
          <w:p>
            <w:pPr>
              <w:spacing w:after="20" w:before="0" w:line="240" w:lineRule="auto"/>
              <w:jc w:val="right"/>
            </w:pPr>
            <w:r>
              <w:rPr>
                <w:color w:val="1C3A36"/>
                <w:sz w:val="14"/>
              </w:rPr>
              <w:t>7,003,326</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ta fy25</w:t>
            </w:r>
          </w:p>
        </w:tc>
        <w:tc>
          <w:tcPr>
            <w:tcW w:type="dxa" w:w="1238"/>
          </w:tcPr>
          <w:p>
            <w:pPr>
              <w:spacing w:after="20" w:before="0" w:line="240" w:lineRule="auto"/>
              <w:jc w:val="right"/>
            </w:pPr>
            <w:r>
              <w:rPr>
                <w:color w:val="1C3A36"/>
                <w:sz w:val="14"/>
              </w:rPr>
              <w:t>9,965,153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sc fy23</w:t>
            </w:r>
          </w:p>
        </w:tc>
        <w:tc>
          <w:tcPr>
            <w:tcW w:type="dxa" w:w="1238"/>
          </w:tcPr>
          <w:p>
            <w:pPr>
              <w:spacing w:after="20" w:before="0" w:line="240" w:lineRule="auto"/>
              <w:jc w:val="right"/>
            </w:pPr>
            <w:r>
              <w:rPr>
                <w:color w:val="1C3A36"/>
                <w:sz w:val="14"/>
              </w:rPr>
              <w:t>3,995,189</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share capital</w:t>
            </w:r>
          </w:p>
        </w:tc>
      </w:tr>
      <w:tr>
        <w:trPr>
          <w:cantSplit w:val="true"/>
        </w:trPr>
        <w:tc>
          <w:tcPr>
            <w:tcW w:type="dxa" w:w="2088"/>
          </w:tcPr>
          <w:p>
            <w:pPr>
              <w:spacing w:after="20" w:before="0" w:line="240" w:lineRule="auto"/>
            </w:pPr>
            <w:r>
              <w:rPr>
                <w:color w:val="1C3A36"/>
                <w:sz w:val="14"/>
              </w:rPr>
              <w:t>sc fy24</w:t>
            </w:r>
          </w:p>
        </w:tc>
        <w:tc>
          <w:tcPr>
            <w:tcW w:type="dxa" w:w="1238"/>
          </w:tcPr>
          <w:p>
            <w:pPr>
              <w:spacing w:after="20" w:before="0" w:line="240" w:lineRule="auto"/>
              <w:jc w:val="right"/>
            </w:pPr>
            <w:r>
              <w:rPr>
                <w:color w:val="1C3A36"/>
                <w:sz w:val="14"/>
              </w:rPr>
              <w:t>3,995,189</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share capital</w:t>
            </w:r>
          </w:p>
        </w:tc>
      </w:tr>
      <w:tr>
        <w:trPr>
          <w:cantSplit w:val="true"/>
        </w:trPr>
        <w:tc>
          <w:tcPr>
            <w:tcW w:type="dxa" w:w="2088"/>
          </w:tcPr>
          <w:p>
            <w:pPr>
              <w:spacing w:after="20" w:before="0" w:line="240" w:lineRule="auto"/>
            </w:pPr>
            <w:r>
              <w:rPr>
                <w:color w:val="1C3A36"/>
                <w:sz w:val="14"/>
              </w:rPr>
              <w:t>sc fy25</w:t>
            </w:r>
          </w:p>
        </w:tc>
        <w:tc>
          <w:tcPr>
            <w:tcW w:type="dxa" w:w="1238"/>
          </w:tcPr>
          <w:p>
            <w:pPr>
              <w:spacing w:after="20" w:before="0" w:line="240" w:lineRule="auto"/>
              <w:jc w:val="right"/>
            </w:pPr>
            <w:r>
              <w:rPr>
                <w:color w:val="1C3A36"/>
                <w:sz w:val="14"/>
              </w:rPr>
              <w:t>3,995,189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share capital</w:t>
            </w:r>
          </w:p>
        </w:tc>
      </w:tr>
      <w:tr>
        <w:trPr>
          <w:cantSplit w:val="true"/>
        </w:trPr>
        <w:tc>
          <w:tcPr>
            <w:tcW w:type="dxa" w:w="2088"/>
          </w:tcPr>
          <w:p>
            <w:pPr>
              <w:spacing w:after="20" w:before="0" w:line="240" w:lineRule="auto"/>
            </w:pPr>
            <w:r>
              <w:rPr>
                <w:color w:val="1C3A36"/>
                <w:sz w:val="14"/>
              </w:rPr>
              <w:t>treas fy25</w:t>
            </w:r>
          </w:p>
        </w:tc>
        <w:tc>
          <w:tcPr>
            <w:tcW w:type="dxa" w:w="1238"/>
          </w:tcPr>
          <w:p>
            <w:pPr>
              <w:spacing w:after="20" w:before="0" w:line="240" w:lineRule="auto"/>
              <w:jc w:val="right"/>
            </w:pPr>
            <w:r>
              <w:rPr>
                <w:color w:val="1C3A36"/>
                <w:sz w:val="14"/>
              </w:rPr>
              <w:t>-8,805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treasury shares</w:t>
            </w:r>
          </w:p>
        </w:tc>
      </w:tr>
      <w:tr>
        <w:trPr>
          <w:cantSplit w:val="true"/>
        </w:trPr>
        <w:tc>
          <w:tcPr>
            <w:tcW w:type="dxa" w:w="2088"/>
          </w:tcPr>
          <w:p>
            <w:pPr>
              <w:spacing w:after="20" w:before="0" w:line="240" w:lineRule="auto"/>
            </w:pPr>
            <w:r>
              <w:rPr>
                <w:color w:val="1C3A36"/>
                <w:sz w:val="14"/>
              </w:rPr>
              <w:t>invres fy25</w:t>
            </w:r>
          </w:p>
        </w:tc>
        <w:tc>
          <w:tcPr>
            <w:tcW w:type="dxa" w:w="1238"/>
          </w:tcPr>
          <w:p>
            <w:pPr>
              <w:spacing w:after="20" w:before="0" w:line="240" w:lineRule="auto"/>
              <w:jc w:val="right"/>
            </w:pPr>
            <w:r>
              <w:rPr>
                <w:color w:val="1C3A36"/>
                <w:sz w:val="14"/>
              </w:rPr>
              <w:t>-298,626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investment reserve</w:t>
            </w:r>
          </w:p>
        </w:tc>
      </w:tr>
      <w:tr>
        <w:trPr>
          <w:cantSplit w:val="true"/>
        </w:trPr>
        <w:tc>
          <w:tcPr>
            <w:tcW w:type="dxa" w:w="2088"/>
          </w:tcPr>
          <w:p>
            <w:pPr>
              <w:spacing w:after="20" w:before="0" w:line="240" w:lineRule="auto"/>
            </w:pPr>
            <w:r>
              <w:rPr>
                <w:color w:val="1C3A36"/>
                <w:sz w:val="14"/>
              </w:rPr>
              <w:t>re fy23</w:t>
            </w:r>
          </w:p>
        </w:tc>
        <w:tc>
          <w:tcPr>
            <w:tcW w:type="dxa" w:w="1238"/>
          </w:tcPr>
          <w:p>
            <w:pPr>
              <w:spacing w:after="20" w:before="0" w:line="240" w:lineRule="auto"/>
              <w:jc w:val="right"/>
            </w:pPr>
            <w:r>
              <w:rPr>
                <w:color w:val="1C3A36"/>
                <w:sz w:val="14"/>
              </w:rPr>
              <w:t>410,793</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retained earnings</w:t>
            </w:r>
          </w:p>
        </w:tc>
      </w:tr>
      <w:tr>
        <w:trPr>
          <w:cantSplit w:val="true"/>
        </w:trPr>
        <w:tc>
          <w:tcPr>
            <w:tcW w:type="dxa" w:w="2088"/>
          </w:tcPr>
          <w:p>
            <w:pPr>
              <w:spacing w:after="20" w:before="0" w:line="240" w:lineRule="auto"/>
            </w:pPr>
            <w:r>
              <w:rPr>
                <w:color w:val="1C3A36"/>
                <w:sz w:val="14"/>
              </w:rPr>
              <w:t>re fy24</w:t>
            </w:r>
          </w:p>
        </w:tc>
        <w:tc>
          <w:tcPr>
            <w:tcW w:type="dxa" w:w="1238"/>
          </w:tcPr>
          <w:p>
            <w:pPr>
              <w:spacing w:after="20" w:before="0" w:line="240" w:lineRule="auto"/>
              <w:jc w:val="right"/>
            </w:pPr>
            <w:r>
              <w:rPr>
                <w:color w:val="1C3A36"/>
                <w:sz w:val="14"/>
              </w:rPr>
              <w:t>899,438</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retained earnings</w:t>
            </w:r>
          </w:p>
        </w:tc>
      </w:tr>
      <w:tr>
        <w:trPr>
          <w:cantSplit w:val="true"/>
        </w:trPr>
        <w:tc>
          <w:tcPr>
            <w:tcW w:type="dxa" w:w="2088"/>
          </w:tcPr>
          <w:p>
            <w:pPr>
              <w:spacing w:after="20" w:before="0" w:line="240" w:lineRule="auto"/>
            </w:pPr>
            <w:r>
              <w:rPr>
                <w:color w:val="1C3A36"/>
                <w:sz w:val="14"/>
              </w:rPr>
              <w:t>re fy25</w:t>
            </w:r>
          </w:p>
        </w:tc>
        <w:tc>
          <w:tcPr>
            <w:tcW w:type="dxa" w:w="1238"/>
          </w:tcPr>
          <w:p>
            <w:pPr>
              <w:spacing w:after="20" w:before="0" w:line="240" w:lineRule="auto"/>
              <w:jc w:val="right"/>
            </w:pPr>
            <w:r>
              <w:rPr>
                <w:color w:val="1C3A36"/>
                <w:sz w:val="14"/>
              </w:rPr>
              <w:t>1,294,229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retained earnings</w:t>
            </w:r>
          </w:p>
        </w:tc>
      </w:tr>
      <w:tr>
        <w:trPr>
          <w:cantSplit w:val="true"/>
        </w:trPr>
        <w:tc>
          <w:tcPr>
            <w:tcW w:type="dxa" w:w="2088"/>
          </w:tcPr>
          <w:p>
            <w:pPr>
              <w:spacing w:after="20" w:before="0" w:line="240" w:lineRule="auto"/>
            </w:pPr>
            <w:r>
              <w:rPr>
                <w:color w:val="1C3A36"/>
                <w:sz w:val="14"/>
              </w:rPr>
              <w:t>eqp fy23</w:t>
            </w:r>
          </w:p>
        </w:tc>
        <w:tc>
          <w:tcPr>
            <w:tcW w:type="dxa" w:w="1238"/>
          </w:tcPr>
          <w:p>
            <w:pPr>
              <w:spacing w:after="20" w:before="0" w:line="240" w:lineRule="auto"/>
              <w:jc w:val="right"/>
            </w:pPr>
            <w:r>
              <w:rPr>
                <w:color w:val="1C3A36"/>
                <w:sz w:val="14"/>
              </w:rPr>
              <w:t>4,405,982</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equity attributable to owners</w:t>
            </w:r>
          </w:p>
        </w:tc>
      </w:tr>
      <w:tr>
        <w:trPr>
          <w:cantSplit w:val="true"/>
        </w:trPr>
        <w:tc>
          <w:tcPr>
            <w:tcW w:type="dxa" w:w="2088"/>
          </w:tcPr>
          <w:p>
            <w:pPr>
              <w:spacing w:after="20" w:before="0" w:line="240" w:lineRule="auto"/>
            </w:pPr>
            <w:r>
              <w:rPr>
                <w:color w:val="1C3A36"/>
                <w:sz w:val="14"/>
              </w:rPr>
              <w:t>eqp fy24</w:t>
            </w:r>
          </w:p>
        </w:tc>
        <w:tc>
          <w:tcPr>
            <w:tcW w:type="dxa" w:w="1238"/>
          </w:tcPr>
          <w:p>
            <w:pPr>
              <w:spacing w:after="20" w:before="0" w:line="240" w:lineRule="auto"/>
              <w:jc w:val="right"/>
            </w:pPr>
            <w:r>
              <w:rPr>
                <w:color w:val="1C3A36"/>
                <w:sz w:val="14"/>
              </w:rPr>
              <w:t>4,894,627</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equity attributable to owners</w:t>
            </w:r>
          </w:p>
        </w:tc>
      </w:tr>
      <w:tr>
        <w:trPr>
          <w:cantSplit w:val="true"/>
        </w:trPr>
        <w:tc>
          <w:tcPr>
            <w:tcW w:type="dxa" w:w="2088"/>
          </w:tcPr>
          <w:p>
            <w:pPr>
              <w:spacing w:after="20" w:before="0" w:line="240" w:lineRule="auto"/>
            </w:pPr>
            <w:r>
              <w:rPr>
                <w:color w:val="1C3A36"/>
                <w:sz w:val="14"/>
              </w:rPr>
              <w:t>eqp fy25</w:t>
            </w:r>
          </w:p>
        </w:tc>
        <w:tc>
          <w:tcPr>
            <w:tcW w:type="dxa" w:w="1238"/>
          </w:tcPr>
          <w:p>
            <w:pPr>
              <w:spacing w:after="20" w:before="0" w:line="240" w:lineRule="auto"/>
              <w:jc w:val="right"/>
            </w:pPr>
            <w:r>
              <w:rPr>
                <w:color w:val="1C3A36"/>
                <w:sz w:val="14"/>
              </w:rPr>
              <w:t>4,981,987</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equity attributable to owners</w:t>
            </w:r>
          </w:p>
        </w:tc>
      </w:tr>
      <w:tr>
        <w:trPr>
          <w:cantSplit w:val="true"/>
        </w:trPr>
        <w:tc>
          <w:tcPr>
            <w:tcW w:type="dxa" w:w="2088"/>
          </w:tcPr>
          <w:p>
            <w:pPr>
              <w:spacing w:after="20" w:before="0" w:line="240" w:lineRule="auto"/>
            </w:pPr>
            <w:r>
              <w:rPr>
                <w:color w:val="1C3A36"/>
                <w:sz w:val="14"/>
              </w:rPr>
              <w:t>hybrid fy25</w:t>
            </w:r>
          </w:p>
        </w:tc>
        <w:tc>
          <w:tcPr>
            <w:tcW w:type="dxa" w:w="1238"/>
          </w:tcPr>
          <w:p>
            <w:pPr>
              <w:spacing w:after="20" w:before="0" w:line="240" w:lineRule="auto"/>
              <w:jc w:val="right"/>
            </w:pPr>
            <w:r>
              <w:rPr>
                <w:color w:val="1C3A36"/>
                <w:sz w:val="14"/>
              </w:rPr>
              <w:t>1,978,619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hybrid equity instrument</w:t>
            </w:r>
          </w:p>
        </w:tc>
      </w:tr>
      <w:tr>
        <w:trPr>
          <w:cantSplit w:val="true"/>
        </w:trPr>
        <w:tc>
          <w:tcPr>
            <w:tcW w:type="dxa" w:w="2088"/>
          </w:tcPr>
          <w:p>
            <w:pPr>
              <w:spacing w:after="20" w:before="0" w:line="240" w:lineRule="auto"/>
            </w:pPr>
            <w:r>
              <w:rPr>
                <w:color w:val="1C3A36"/>
                <w:sz w:val="14"/>
              </w:rPr>
              <w:t>nci fy25</w:t>
            </w:r>
          </w:p>
        </w:tc>
        <w:tc>
          <w:tcPr>
            <w:tcW w:type="dxa" w:w="1238"/>
          </w:tcPr>
          <w:p>
            <w:pPr>
              <w:spacing w:after="20" w:before="0" w:line="240" w:lineRule="auto"/>
              <w:jc w:val="right"/>
            </w:pPr>
            <w:r>
              <w:rPr>
                <w:color w:val="1C3A36"/>
                <w:sz w:val="14"/>
              </w:rPr>
              <w:t>264,512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non-controlling interests</w:t>
            </w:r>
          </w:p>
        </w:tc>
      </w:tr>
      <w:tr>
        <w:trPr>
          <w:cantSplit w:val="true"/>
        </w:trPr>
        <w:tc>
          <w:tcPr>
            <w:tcW w:type="dxa" w:w="2088"/>
          </w:tcPr>
          <w:p>
            <w:pPr>
              <w:spacing w:after="20" w:before="0" w:line="240" w:lineRule="auto"/>
            </w:pPr>
            <w:r>
              <w:rPr>
                <w:color w:val="1C3A36"/>
                <w:sz w:val="14"/>
              </w:rPr>
              <w:t>teq fy23</w:t>
            </w:r>
          </w:p>
        </w:tc>
        <w:tc>
          <w:tcPr>
            <w:tcW w:type="dxa" w:w="1238"/>
          </w:tcPr>
          <w:p>
            <w:pPr>
              <w:spacing w:after="20" w:before="0" w:line="240" w:lineRule="auto"/>
              <w:jc w:val="right"/>
            </w:pPr>
            <w:r>
              <w:rPr>
                <w:color w:val="1C3A36"/>
                <w:sz w:val="14"/>
              </w:rPr>
              <w:t>4,405,982</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total equity</w:t>
            </w:r>
          </w:p>
        </w:tc>
      </w:tr>
      <w:tr>
        <w:trPr>
          <w:cantSplit w:val="true"/>
        </w:trPr>
        <w:tc>
          <w:tcPr>
            <w:tcW w:type="dxa" w:w="2088"/>
          </w:tcPr>
          <w:p>
            <w:pPr>
              <w:spacing w:after="20" w:before="0" w:line="240" w:lineRule="auto"/>
            </w:pPr>
            <w:r>
              <w:rPr>
                <w:color w:val="1C3A36"/>
                <w:sz w:val="14"/>
              </w:rPr>
              <w:t>teq fy24</w:t>
            </w:r>
          </w:p>
        </w:tc>
        <w:tc>
          <w:tcPr>
            <w:tcW w:type="dxa" w:w="1238"/>
          </w:tcPr>
          <w:p>
            <w:pPr>
              <w:spacing w:after="20" w:before="0" w:line="240" w:lineRule="auto"/>
              <w:jc w:val="right"/>
            </w:pPr>
            <w:r>
              <w:rPr>
                <w:color w:val="1C3A36"/>
                <w:sz w:val="14"/>
              </w:rPr>
              <w:t>4,894,627</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total equity</w:t>
            </w:r>
          </w:p>
        </w:tc>
      </w:tr>
      <w:tr>
        <w:trPr>
          <w:cantSplit w:val="true"/>
        </w:trPr>
        <w:tc>
          <w:tcPr>
            <w:tcW w:type="dxa" w:w="2088"/>
          </w:tcPr>
          <w:p>
            <w:pPr>
              <w:spacing w:after="20" w:before="0" w:line="240" w:lineRule="auto"/>
            </w:pPr>
            <w:r>
              <w:rPr>
                <w:color w:val="1C3A36"/>
                <w:sz w:val="14"/>
              </w:rPr>
              <w:t>teq fy25</w:t>
            </w:r>
          </w:p>
        </w:tc>
        <w:tc>
          <w:tcPr>
            <w:tcW w:type="dxa" w:w="1238"/>
          </w:tcPr>
          <w:p>
            <w:pPr>
              <w:spacing w:after="20" w:before="0" w:line="240" w:lineRule="auto"/>
              <w:jc w:val="right"/>
            </w:pPr>
            <w:r>
              <w:rPr>
                <w:color w:val="1C3A36"/>
                <w:sz w:val="14"/>
              </w:rPr>
              <w:t>7,225,118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total equity</w:t>
            </w:r>
          </w:p>
        </w:tc>
      </w:tr>
      <w:tr>
        <w:trPr>
          <w:cantSplit w:val="true"/>
        </w:trPr>
        <w:tc>
          <w:tcPr>
            <w:tcW w:type="dxa" w:w="2088"/>
          </w:tcPr>
          <w:p>
            <w:pPr>
              <w:spacing w:after="20" w:before="0" w:line="240" w:lineRule="auto"/>
            </w:pPr>
            <w:r>
              <w:rPr>
                <w:color w:val="1C3A36"/>
                <w:sz w:val="14"/>
              </w:rPr>
              <w:t>shldr nc fy23</w:t>
            </w:r>
          </w:p>
        </w:tc>
        <w:tc>
          <w:tcPr>
            <w:tcW w:type="dxa" w:w="1238"/>
          </w:tcPr>
          <w:p>
            <w:pPr>
              <w:spacing w:after="20" w:before="0" w:line="240" w:lineRule="auto"/>
              <w:jc w:val="right"/>
            </w:pPr>
            <w:r>
              <w:rPr>
                <w:color w:val="1C3A36"/>
                <w:sz w:val="14"/>
              </w:rPr>
              <w:t>100,000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shareholder loan, non-current</w:t>
            </w:r>
          </w:p>
        </w:tc>
      </w:tr>
      <w:tr>
        <w:trPr>
          <w:cantSplit w:val="true"/>
        </w:trPr>
        <w:tc>
          <w:tcPr>
            <w:tcW w:type="dxa" w:w="2088"/>
          </w:tcPr>
          <w:p>
            <w:pPr>
              <w:spacing w:after="20" w:before="0" w:line="240" w:lineRule="auto"/>
            </w:pPr>
            <w:r>
              <w:rPr>
                <w:color w:val="1C3A36"/>
                <w:sz w:val="14"/>
              </w:rPr>
              <w:t>shldr nc fy24</w:t>
            </w:r>
          </w:p>
        </w:tc>
        <w:tc>
          <w:tcPr>
            <w:tcW w:type="dxa" w:w="1238"/>
          </w:tcPr>
          <w:p>
            <w:pPr>
              <w:spacing w:after="20" w:before="0" w:line="240" w:lineRule="auto"/>
              <w:jc w:val="right"/>
            </w:pPr>
            <w:r>
              <w:rPr>
                <w:color w:val="1C3A36"/>
                <w:sz w:val="14"/>
              </w:rPr>
              <w:t>550,000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shareholder loan, non-current</w:t>
            </w:r>
          </w:p>
        </w:tc>
      </w:tr>
      <w:tr>
        <w:trPr>
          <w:cantSplit w:val="true"/>
        </w:trPr>
        <w:tc>
          <w:tcPr>
            <w:tcW w:type="dxa" w:w="2088"/>
          </w:tcPr>
          <w:p>
            <w:pPr>
              <w:spacing w:after="20" w:before="0" w:line="240" w:lineRule="auto"/>
            </w:pPr>
            <w:r>
              <w:rPr>
                <w:color w:val="1C3A36"/>
                <w:sz w:val="14"/>
              </w:rPr>
              <w:t>shldr nc fy25</w:t>
            </w:r>
          </w:p>
        </w:tc>
        <w:tc>
          <w:tcPr>
            <w:tcW w:type="dxa" w:w="1238"/>
          </w:tcPr>
          <w:p>
            <w:pPr>
              <w:spacing w:after="20" w:before="0" w:line="240" w:lineRule="auto"/>
              <w:jc w:val="right"/>
            </w:pPr>
            <w:r>
              <w:rPr>
                <w:color w:val="1C3A36"/>
                <w:sz w:val="14"/>
              </w:rPr>
              <w:t>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shareholder loan, non-current</w:t>
            </w:r>
          </w:p>
        </w:tc>
      </w:tr>
      <w:tr>
        <w:trPr>
          <w:cantSplit w:val="true"/>
        </w:trPr>
        <w:tc>
          <w:tcPr>
            <w:tcW w:type="dxa" w:w="2088"/>
          </w:tcPr>
          <w:p>
            <w:pPr>
              <w:spacing w:after="20" w:before="0" w:line="240" w:lineRule="auto"/>
            </w:pPr>
            <w:r>
              <w:rPr>
                <w:color w:val="1C3A36"/>
                <w:sz w:val="14"/>
              </w:rPr>
              <w:t>shldr c fy25</w:t>
            </w:r>
          </w:p>
        </w:tc>
        <w:tc>
          <w:tcPr>
            <w:tcW w:type="dxa" w:w="1238"/>
          </w:tcPr>
          <w:p>
            <w:pPr>
              <w:spacing w:after="20" w:before="0" w:line="240" w:lineRule="auto"/>
              <w:jc w:val="right"/>
            </w:pPr>
            <w:r>
              <w:rPr>
                <w:color w:val="1C3A36"/>
                <w:sz w:val="14"/>
              </w:rPr>
              <w:t>400,000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shareholder loan, current</w:t>
            </w:r>
          </w:p>
        </w:tc>
      </w:tr>
      <w:tr>
        <w:trPr>
          <w:cantSplit w:val="true"/>
        </w:trPr>
        <w:tc>
          <w:tcPr>
            <w:tcW w:type="dxa" w:w="2088"/>
          </w:tcPr>
          <w:p>
            <w:pPr>
              <w:spacing w:after="20" w:before="0" w:line="240" w:lineRule="auto"/>
            </w:pPr>
            <w:r>
              <w:rPr>
                <w:color w:val="1C3A36"/>
                <w:sz w:val="14"/>
              </w:rPr>
              <w:t>borr nc fy25</w:t>
            </w:r>
          </w:p>
        </w:tc>
        <w:tc>
          <w:tcPr>
            <w:tcW w:type="dxa" w:w="1238"/>
          </w:tcPr>
          <w:p>
            <w:pPr>
              <w:spacing w:after="20" w:before="0" w:line="240" w:lineRule="auto"/>
              <w:jc w:val="right"/>
            </w:pPr>
            <w:r>
              <w:rPr>
                <w:color w:val="1C3A36"/>
                <w:sz w:val="14"/>
              </w:rPr>
              <w:t>328,795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loans and other borrowings, non-current</w:t>
            </w:r>
          </w:p>
        </w:tc>
      </w:tr>
      <w:tr>
        <w:trPr>
          <w:cantSplit w:val="true"/>
        </w:trPr>
        <w:tc>
          <w:tcPr>
            <w:tcW w:type="dxa" w:w="2088"/>
          </w:tcPr>
          <w:p>
            <w:pPr>
              <w:spacing w:after="20" w:before="0" w:line="240" w:lineRule="auto"/>
            </w:pPr>
            <w:r>
              <w:rPr>
                <w:color w:val="1C3A36"/>
                <w:sz w:val="14"/>
              </w:rPr>
              <w:t>borr c fy25</w:t>
            </w:r>
          </w:p>
        </w:tc>
        <w:tc>
          <w:tcPr>
            <w:tcW w:type="dxa" w:w="1238"/>
          </w:tcPr>
          <w:p>
            <w:pPr>
              <w:spacing w:after="20" w:before="0" w:line="240" w:lineRule="auto"/>
              <w:jc w:val="right"/>
            </w:pPr>
            <w:r>
              <w:rPr>
                <w:color w:val="1C3A36"/>
                <w:sz w:val="14"/>
              </w:rPr>
              <w:t>79,931</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loans and other borrowings, current</w:t>
            </w:r>
          </w:p>
        </w:tc>
      </w:tr>
      <w:tr>
        <w:trPr>
          <w:cantSplit w:val="true"/>
        </w:trPr>
        <w:tc>
          <w:tcPr>
            <w:tcW w:type="dxa" w:w="2088"/>
          </w:tcPr>
          <w:p>
            <w:pPr>
              <w:spacing w:after="20" w:before="0" w:line="240" w:lineRule="auto"/>
            </w:pPr>
            <w:r>
              <w:rPr>
                <w:color w:val="1C3A36"/>
                <w:sz w:val="14"/>
              </w:rPr>
              <w:t>pcp fy25</w:t>
            </w:r>
          </w:p>
        </w:tc>
        <w:tc>
          <w:tcPr>
            <w:tcW w:type="dxa" w:w="1238"/>
          </w:tcPr>
          <w:p>
            <w:pPr>
              <w:spacing w:after="20" w:before="0" w:line="240" w:lineRule="auto"/>
              <w:jc w:val="right"/>
            </w:pPr>
            <w:r>
              <w:rPr>
                <w:color w:val="1C3A36"/>
                <w:sz w:val="14"/>
              </w:rPr>
              <w:t>298,626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purchase consideration payable</w:t>
            </w:r>
          </w:p>
        </w:tc>
      </w:tr>
      <w:tr>
        <w:trPr>
          <w:cantSplit w:val="true"/>
        </w:trPr>
        <w:tc>
          <w:tcPr>
            <w:tcW w:type="dxa" w:w="2088"/>
          </w:tcPr>
          <w:p>
            <w:pPr>
              <w:spacing w:after="20" w:before="0" w:line="240" w:lineRule="auto"/>
            </w:pPr>
            <w:r>
              <w:rPr>
                <w:color w:val="1C3A36"/>
                <w:sz w:val="14"/>
              </w:rPr>
              <w:t>lease nc fy23</w:t>
            </w:r>
          </w:p>
        </w:tc>
        <w:tc>
          <w:tcPr>
            <w:tcW w:type="dxa" w:w="1238"/>
          </w:tcPr>
          <w:p>
            <w:pPr>
              <w:spacing w:after="20" w:before="0" w:line="240" w:lineRule="auto"/>
              <w:jc w:val="right"/>
            </w:pPr>
            <w:r>
              <w:rPr>
                <w:color w:val="1C3A36"/>
                <w:sz w:val="14"/>
              </w:rPr>
              <w:t>145,241</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lease liabilities, non-current</w:t>
            </w:r>
          </w:p>
        </w:tc>
      </w:tr>
      <w:tr>
        <w:trPr>
          <w:cantSplit w:val="true"/>
        </w:trPr>
        <w:tc>
          <w:tcPr>
            <w:tcW w:type="dxa" w:w="2088"/>
          </w:tcPr>
          <w:p>
            <w:pPr>
              <w:spacing w:after="20" w:before="0" w:line="240" w:lineRule="auto"/>
            </w:pPr>
            <w:r>
              <w:rPr>
                <w:color w:val="1C3A36"/>
                <w:sz w:val="14"/>
              </w:rPr>
              <w:t>lease nc fy24</w:t>
            </w:r>
          </w:p>
        </w:tc>
        <w:tc>
          <w:tcPr>
            <w:tcW w:type="dxa" w:w="1238"/>
          </w:tcPr>
          <w:p>
            <w:pPr>
              <w:spacing w:after="20" w:before="0" w:line="240" w:lineRule="auto"/>
              <w:jc w:val="right"/>
            </w:pPr>
            <w:r>
              <w:rPr>
                <w:color w:val="1C3A36"/>
                <w:sz w:val="14"/>
              </w:rPr>
              <w:t>130,171</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lease liabilities, non-current</w:t>
            </w:r>
          </w:p>
        </w:tc>
      </w:tr>
      <w:tr>
        <w:trPr>
          <w:cantSplit w:val="true"/>
        </w:trPr>
        <w:tc>
          <w:tcPr>
            <w:tcW w:type="dxa" w:w="2088"/>
          </w:tcPr>
          <w:p>
            <w:pPr>
              <w:spacing w:after="20" w:before="0" w:line="240" w:lineRule="auto"/>
            </w:pPr>
            <w:r>
              <w:rPr>
                <w:color w:val="1C3A36"/>
                <w:sz w:val="14"/>
              </w:rPr>
              <w:t>lease nc fy25</w:t>
            </w:r>
          </w:p>
        </w:tc>
        <w:tc>
          <w:tcPr>
            <w:tcW w:type="dxa" w:w="1238"/>
          </w:tcPr>
          <w:p>
            <w:pPr>
              <w:spacing w:after="20" w:before="0" w:line="240" w:lineRule="auto"/>
              <w:jc w:val="right"/>
            </w:pPr>
            <w:r>
              <w:rPr>
                <w:color w:val="1C3A36"/>
                <w:sz w:val="14"/>
              </w:rPr>
              <w:t>141,150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lease liabilities, non-current</w:t>
            </w:r>
          </w:p>
        </w:tc>
      </w:tr>
      <w:tr>
        <w:trPr>
          <w:cantSplit w:val="true"/>
        </w:trPr>
        <w:tc>
          <w:tcPr>
            <w:tcW w:type="dxa" w:w="2088"/>
          </w:tcPr>
          <w:p>
            <w:pPr>
              <w:spacing w:after="20" w:before="0" w:line="240" w:lineRule="auto"/>
            </w:pPr>
            <w:r>
              <w:rPr>
                <w:color w:val="1C3A36"/>
                <w:sz w:val="14"/>
              </w:rPr>
              <w:t>lease c fy23</w:t>
            </w:r>
          </w:p>
        </w:tc>
        <w:tc>
          <w:tcPr>
            <w:tcW w:type="dxa" w:w="1238"/>
          </w:tcPr>
          <w:p>
            <w:pPr>
              <w:spacing w:after="20" w:before="0" w:line="240" w:lineRule="auto"/>
              <w:jc w:val="right"/>
            </w:pPr>
            <w:r>
              <w:rPr>
                <w:color w:val="1C3A36"/>
                <w:sz w:val="14"/>
              </w:rPr>
              <w:t>44,313</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lease liabilities, current</w:t>
            </w:r>
          </w:p>
        </w:tc>
      </w:tr>
      <w:tr>
        <w:trPr>
          <w:cantSplit w:val="true"/>
        </w:trPr>
        <w:tc>
          <w:tcPr>
            <w:tcW w:type="dxa" w:w="2088"/>
          </w:tcPr>
          <w:p>
            <w:pPr>
              <w:spacing w:after="20" w:before="0" w:line="240" w:lineRule="auto"/>
            </w:pPr>
            <w:r>
              <w:rPr>
                <w:color w:val="1C3A36"/>
                <w:sz w:val="14"/>
              </w:rPr>
              <w:t>lease c fy24</w:t>
            </w:r>
          </w:p>
        </w:tc>
        <w:tc>
          <w:tcPr>
            <w:tcW w:type="dxa" w:w="1238"/>
          </w:tcPr>
          <w:p>
            <w:pPr>
              <w:spacing w:after="20" w:before="0" w:line="240" w:lineRule="auto"/>
              <w:jc w:val="right"/>
            </w:pPr>
            <w:r>
              <w:rPr>
                <w:color w:val="1C3A36"/>
                <w:sz w:val="14"/>
              </w:rPr>
              <w:t>59,130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lease liabilities, current</w:t>
            </w:r>
          </w:p>
        </w:tc>
      </w:tr>
      <w:tr>
        <w:trPr>
          <w:cantSplit w:val="true"/>
        </w:trPr>
        <w:tc>
          <w:tcPr>
            <w:tcW w:type="dxa" w:w="2088"/>
          </w:tcPr>
          <w:p>
            <w:pPr>
              <w:spacing w:after="20" w:before="0" w:line="240" w:lineRule="auto"/>
            </w:pPr>
            <w:r>
              <w:rPr>
                <w:color w:val="1C3A36"/>
                <w:sz w:val="14"/>
              </w:rPr>
              <w:t>lease c fy25</w:t>
            </w:r>
          </w:p>
        </w:tc>
        <w:tc>
          <w:tcPr>
            <w:tcW w:type="dxa" w:w="1238"/>
          </w:tcPr>
          <w:p>
            <w:pPr>
              <w:spacing w:after="20" w:before="0" w:line="240" w:lineRule="auto"/>
              <w:jc w:val="right"/>
            </w:pPr>
            <w:r>
              <w:rPr>
                <w:color w:val="1C3A36"/>
                <w:sz w:val="14"/>
              </w:rPr>
              <w:t>82,003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lease liabilities, current</w:t>
            </w:r>
          </w:p>
        </w:tc>
      </w:tr>
      <w:tr>
        <w:trPr>
          <w:cantSplit w:val="true"/>
        </w:trPr>
        <w:tc>
          <w:tcPr>
            <w:tcW w:type="dxa" w:w="2088"/>
          </w:tcPr>
          <w:p>
            <w:pPr>
              <w:spacing w:after="20" w:before="0" w:line="240" w:lineRule="auto"/>
            </w:pPr>
            <w:r>
              <w:rPr>
                <w:color w:val="1C3A36"/>
                <w:sz w:val="14"/>
              </w:rPr>
              <w:t>dism fy23</w:t>
            </w:r>
          </w:p>
        </w:tc>
        <w:tc>
          <w:tcPr>
            <w:tcW w:type="dxa" w:w="1238"/>
          </w:tcPr>
          <w:p>
            <w:pPr>
              <w:spacing w:after="20" w:before="0" w:line="240" w:lineRule="auto"/>
              <w:jc w:val="right"/>
            </w:pPr>
            <w:r>
              <w:rPr>
                <w:color w:val="1C3A36"/>
                <w:sz w:val="14"/>
              </w:rPr>
              <w:t>1,873</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dism fy24</w:t>
            </w:r>
          </w:p>
        </w:tc>
        <w:tc>
          <w:tcPr>
            <w:tcW w:type="dxa" w:w="1238"/>
          </w:tcPr>
          <w:p>
            <w:pPr>
              <w:spacing w:after="20" w:before="0" w:line="240" w:lineRule="auto"/>
              <w:jc w:val="right"/>
            </w:pPr>
            <w:r>
              <w:rPr>
                <w:color w:val="1C3A36"/>
                <w:sz w:val="14"/>
              </w:rPr>
              <w:t>2,009</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dism fy25</w:t>
            </w:r>
          </w:p>
        </w:tc>
        <w:tc>
          <w:tcPr>
            <w:tcW w:type="dxa" w:w="1238"/>
          </w:tcPr>
          <w:p>
            <w:pPr>
              <w:spacing w:after="20" w:before="0" w:line="240" w:lineRule="auto"/>
              <w:jc w:val="right"/>
            </w:pPr>
            <w:r>
              <w:rPr>
                <w:color w:val="1C3A36"/>
                <w:sz w:val="14"/>
              </w:rPr>
              <w:t>2,154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dtl fy23</w:t>
            </w:r>
          </w:p>
        </w:tc>
        <w:tc>
          <w:tcPr>
            <w:tcW w:type="dxa" w:w="1238"/>
          </w:tcPr>
          <w:p>
            <w:pPr>
              <w:spacing w:after="20" w:before="0" w:line="240" w:lineRule="auto"/>
              <w:jc w:val="right"/>
            </w:pPr>
            <w:r>
              <w:rPr>
                <w:color w:val="1C3A36"/>
                <w:sz w:val="14"/>
              </w:rPr>
              <w:t>35,671</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dtl fy24</w:t>
            </w:r>
          </w:p>
        </w:tc>
        <w:tc>
          <w:tcPr>
            <w:tcW w:type="dxa" w:w="1238"/>
          </w:tcPr>
          <w:p>
            <w:pPr>
              <w:spacing w:after="20" w:before="0" w:line="240" w:lineRule="auto"/>
              <w:jc w:val="right"/>
            </w:pPr>
            <w:r>
              <w:rPr>
                <w:color w:val="1C3A36"/>
                <w:sz w:val="14"/>
              </w:rPr>
              <w:t>34,803</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dtl fy25</w:t>
            </w:r>
          </w:p>
        </w:tc>
        <w:tc>
          <w:tcPr>
            <w:tcW w:type="dxa" w:w="1238"/>
          </w:tcPr>
          <w:p>
            <w:pPr>
              <w:spacing w:after="20" w:before="0" w:line="240" w:lineRule="auto"/>
              <w:jc w:val="right"/>
            </w:pPr>
            <w:r>
              <w:rPr>
                <w:color w:val="1C3A36"/>
                <w:sz w:val="14"/>
              </w:rPr>
              <w:t>33,905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eosb fy23</w:t>
            </w:r>
          </w:p>
        </w:tc>
        <w:tc>
          <w:tcPr>
            <w:tcW w:type="dxa" w:w="1238"/>
          </w:tcPr>
          <w:p>
            <w:pPr>
              <w:spacing w:after="20" w:before="0" w:line="240" w:lineRule="auto"/>
              <w:jc w:val="right"/>
            </w:pPr>
            <w:r>
              <w:rPr>
                <w:color w:val="1C3A36"/>
                <w:sz w:val="14"/>
              </w:rPr>
              <w:t>32,631</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eosb fy24</w:t>
            </w:r>
          </w:p>
        </w:tc>
        <w:tc>
          <w:tcPr>
            <w:tcW w:type="dxa" w:w="1238"/>
          </w:tcPr>
          <w:p>
            <w:pPr>
              <w:spacing w:after="20" w:before="0" w:line="240" w:lineRule="auto"/>
              <w:jc w:val="right"/>
            </w:pPr>
            <w:r>
              <w:rPr>
                <w:color w:val="1C3A36"/>
                <w:sz w:val="14"/>
              </w:rPr>
              <w:t>39,515</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eosb fy25</w:t>
            </w:r>
          </w:p>
        </w:tc>
        <w:tc>
          <w:tcPr>
            <w:tcW w:type="dxa" w:w="1238"/>
          </w:tcPr>
          <w:p>
            <w:pPr>
              <w:spacing w:after="20" w:before="0" w:line="240" w:lineRule="auto"/>
              <w:jc w:val="right"/>
            </w:pPr>
            <w:r>
              <w:rPr>
                <w:color w:val="1C3A36"/>
                <w:sz w:val="14"/>
              </w:rPr>
              <w:t>38,819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dtr nc fy23</w:t>
            </w:r>
          </w:p>
        </w:tc>
        <w:tc>
          <w:tcPr>
            <w:tcW w:type="dxa" w:w="1238"/>
          </w:tcPr>
          <w:p>
            <w:pPr>
              <w:spacing w:after="20" w:before="0" w:line="240" w:lineRule="auto"/>
              <w:jc w:val="right"/>
            </w:pPr>
            <w:r>
              <w:rPr>
                <w:color w:val="1C3A36"/>
                <w:sz w:val="14"/>
              </w:rPr>
              <w:t>17,909</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due to related parties, non-current</w:t>
            </w:r>
          </w:p>
        </w:tc>
      </w:tr>
      <w:tr>
        <w:trPr>
          <w:cantSplit w:val="true"/>
        </w:trPr>
        <w:tc>
          <w:tcPr>
            <w:tcW w:type="dxa" w:w="2088"/>
          </w:tcPr>
          <w:p>
            <w:pPr>
              <w:spacing w:after="20" w:before="0" w:line="240" w:lineRule="auto"/>
            </w:pPr>
            <w:r>
              <w:rPr>
                <w:color w:val="1C3A36"/>
                <w:sz w:val="14"/>
              </w:rPr>
              <w:t>ncl fy23</w:t>
            </w:r>
          </w:p>
        </w:tc>
        <w:tc>
          <w:tcPr>
            <w:tcW w:type="dxa" w:w="1238"/>
          </w:tcPr>
          <w:p>
            <w:pPr>
              <w:spacing w:after="20" w:before="0" w:line="240" w:lineRule="auto"/>
              <w:jc w:val="right"/>
            </w:pPr>
            <w:r>
              <w:rPr>
                <w:color w:val="1C3A36"/>
                <w:sz w:val="14"/>
              </w:rPr>
              <w:t>333,325</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ncl fy24</w:t>
            </w:r>
          </w:p>
        </w:tc>
        <w:tc>
          <w:tcPr>
            <w:tcW w:type="dxa" w:w="1238"/>
          </w:tcPr>
          <w:p>
            <w:pPr>
              <w:spacing w:after="20" w:before="0" w:line="240" w:lineRule="auto"/>
              <w:jc w:val="right"/>
            </w:pPr>
            <w:r>
              <w:rPr>
                <w:color w:val="1C3A36"/>
                <w:sz w:val="14"/>
              </w:rPr>
              <w:t>756,498</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ncl fy25</w:t>
            </w:r>
          </w:p>
        </w:tc>
        <w:tc>
          <w:tcPr>
            <w:tcW w:type="dxa" w:w="1238"/>
          </w:tcPr>
          <w:p>
            <w:pPr>
              <w:spacing w:after="20" w:before="0" w:line="240" w:lineRule="auto"/>
              <w:jc w:val="right"/>
            </w:pPr>
            <w:r>
              <w:rPr>
                <w:color w:val="1C3A36"/>
                <w:sz w:val="14"/>
              </w:rPr>
              <w:t>843,449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pay fy23</w:t>
            </w:r>
          </w:p>
        </w:tc>
        <w:tc>
          <w:tcPr>
            <w:tcW w:type="dxa" w:w="1238"/>
          </w:tcPr>
          <w:p>
            <w:pPr>
              <w:spacing w:after="20" w:before="0" w:line="240" w:lineRule="auto"/>
              <w:jc w:val="right"/>
            </w:pPr>
            <w:r>
              <w:rPr>
                <w:color w:val="1C3A36"/>
                <w:sz w:val="14"/>
              </w:rPr>
              <w:t>708,927</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trade and other payables</w:t>
            </w:r>
          </w:p>
        </w:tc>
      </w:tr>
      <w:tr>
        <w:trPr>
          <w:cantSplit w:val="true"/>
        </w:trPr>
        <w:tc>
          <w:tcPr>
            <w:tcW w:type="dxa" w:w="2088"/>
          </w:tcPr>
          <w:p>
            <w:pPr>
              <w:spacing w:after="20" w:before="0" w:line="240" w:lineRule="auto"/>
            </w:pPr>
            <w:r>
              <w:rPr>
                <w:color w:val="1C3A36"/>
                <w:sz w:val="14"/>
              </w:rPr>
              <w:t>pay fy24</w:t>
            </w:r>
          </w:p>
        </w:tc>
        <w:tc>
          <w:tcPr>
            <w:tcW w:type="dxa" w:w="1238"/>
          </w:tcPr>
          <w:p>
            <w:pPr>
              <w:spacing w:after="20" w:before="0" w:line="240" w:lineRule="auto"/>
              <w:jc w:val="right"/>
            </w:pPr>
            <w:r>
              <w:rPr>
                <w:color w:val="1C3A36"/>
                <w:sz w:val="14"/>
              </w:rPr>
              <w:t>956,307</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trade and other payables</w:t>
            </w:r>
          </w:p>
        </w:tc>
      </w:tr>
      <w:tr>
        <w:trPr>
          <w:cantSplit w:val="true"/>
        </w:trPr>
        <w:tc>
          <w:tcPr>
            <w:tcW w:type="dxa" w:w="2088"/>
          </w:tcPr>
          <w:p>
            <w:pPr>
              <w:spacing w:after="20" w:before="0" w:line="240" w:lineRule="auto"/>
            </w:pPr>
            <w:r>
              <w:rPr>
                <w:color w:val="1C3A36"/>
                <w:sz w:val="14"/>
              </w:rPr>
              <w:t>pay fy25</w:t>
            </w:r>
          </w:p>
        </w:tc>
        <w:tc>
          <w:tcPr>
            <w:tcW w:type="dxa" w:w="1238"/>
          </w:tcPr>
          <w:p>
            <w:pPr>
              <w:spacing w:after="20" w:before="0" w:line="240" w:lineRule="auto"/>
              <w:jc w:val="right"/>
            </w:pPr>
            <w:r>
              <w:rPr>
                <w:color w:val="1C3A36"/>
                <w:sz w:val="14"/>
              </w:rPr>
              <w:t>1,054,455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trade and other payables</w:t>
            </w:r>
          </w:p>
        </w:tc>
      </w:tr>
      <w:tr>
        <w:trPr>
          <w:cantSplit w:val="true"/>
        </w:trPr>
        <w:tc>
          <w:tcPr>
            <w:tcW w:type="dxa" w:w="2088"/>
          </w:tcPr>
          <w:p>
            <w:pPr>
              <w:spacing w:after="20" w:before="0" w:line="240" w:lineRule="auto"/>
            </w:pPr>
            <w:r>
              <w:rPr>
                <w:color w:val="1C3A36"/>
                <w:sz w:val="14"/>
              </w:rPr>
              <w:t>taxpay fy24</w:t>
            </w:r>
          </w:p>
        </w:tc>
        <w:tc>
          <w:tcPr>
            <w:tcW w:type="dxa" w:w="1238"/>
          </w:tcPr>
          <w:p>
            <w:pPr>
              <w:spacing w:after="20" w:before="0" w:line="240" w:lineRule="auto"/>
              <w:jc w:val="right"/>
            </w:pPr>
            <w:r>
              <w:rPr>
                <w:color w:val="1C3A36"/>
                <w:sz w:val="14"/>
              </w:rPr>
              <w:t>65,391</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income tax payable</w:t>
            </w:r>
          </w:p>
        </w:tc>
      </w:tr>
      <w:tr>
        <w:trPr>
          <w:cantSplit w:val="true"/>
        </w:trPr>
        <w:tc>
          <w:tcPr>
            <w:tcW w:type="dxa" w:w="2088"/>
          </w:tcPr>
          <w:p>
            <w:pPr>
              <w:spacing w:after="20" w:before="0" w:line="240" w:lineRule="auto"/>
            </w:pPr>
            <w:r>
              <w:rPr>
                <w:color w:val="1C3A36"/>
                <w:sz w:val="14"/>
              </w:rPr>
              <w:t>taxpay fy25</w:t>
            </w:r>
          </w:p>
        </w:tc>
        <w:tc>
          <w:tcPr>
            <w:tcW w:type="dxa" w:w="1238"/>
          </w:tcPr>
          <w:p>
            <w:pPr>
              <w:spacing w:after="20" w:before="0" w:line="240" w:lineRule="auto"/>
              <w:jc w:val="right"/>
            </w:pPr>
            <w:r>
              <w:rPr>
                <w:color w:val="1C3A36"/>
                <w:sz w:val="14"/>
              </w:rPr>
              <w:t>54,291</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income tax payable</w:t>
            </w:r>
          </w:p>
        </w:tc>
      </w:tr>
      <w:tr>
        <w:trPr>
          <w:cantSplit w:val="true"/>
        </w:trPr>
        <w:tc>
          <w:tcPr>
            <w:tcW w:type="dxa" w:w="2088"/>
          </w:tcPr>
          <w:p>
            <w:pPr>
              <w:spacing w:after="20" w:before="0" w:line="240" w:lineRule="auto"/>
            </w:pPr>
            <w:r>
              <w:rPr>
                <w:color w:val="1C3A36"/>
                <w:sz w:val="14"/>
              </w:rPr>
              <w:t>dtr c fy23</w:t>
            </w:r>
          </w:p>
        </w:tc>
        <w:tc>
          <w:tcPr>
            <w:tcW w:type="dxa" w:w="1238"/>
          </w:tcPr>
          <w:p>
            <w:pPr>
              <w:spacing w:after="20" w:before="0" w:line="240" w:lineRule="auto"/>
              <w:jc w:val="right"/>
            </w:pPr>
            <w:r>
              <w:rPr>
                <w:color w:val="1C3A36"/>
                <w:sz w:val="14"/>
              </w:rPr>
              <w:t>253,121</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due to related parties, current</w:t>
            </w:r>
          </w:p>
        </w:tc>
      </w:tr>
      <w:tr>
        <w:trPr>
          <w:cantSplit w:val="true"/>
        </w:trPr>
        <w:tc>
          <w:tcPr>
            <w:tcW w:type="dxa" w:w="2088"/>
          </w:tcPr>
          <w:p>
            <w:pPr>
              <w:spacing w:after="20" w:before="0" w:line="240" w:lineRule="auto"/>
            </w:pPr>
            <w:r>
              <w:rPr>
                <w:color w:val="1C3A36"/>
                <w:sz w:val="14"/>
              </w:rPr>
              <w:t>dtr c fy24</w:t>
            </w:r>
          </w:p>
        </w:tc>
        <w:tc>
          <w:tcPr>
            <w:tcW w:type="dxa" w:w="1238"/>
          </w:tcPr>
          <w:p>
            <w:pPr>
              <w:spacing w:after="20" w:before="0" w:line="240" w:lineRule="auto"/>
              <w:jc w:val="right"/>
            </w:pPr>
            <w:r>
              <w:rPr>
                <w:color w:val="1C3A36"/>
                <w:sz w:val="14"/>
              </w:rPr>
              <w:t>271,373</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due to related parties, current</w:t>
            </w:r>
          </w:p>
        </w:tc>
      </w:tr>
      <w:tr>
        <w:trPr>
          <w:cantSplit w:val="true"/>
        </w:trPr>
        <w:tc>
          <w:tcPr>
            <w:tcW w:type="dxa" w:w="2088"/>
          </w:tcPr>
          <w:p>
            <w:pPr>
              <w:spacing w:after="20" w:before="0" w:line="240" w:lineRule="auto"/>
            </w:pPr>
            <w:r>
              <w:rPr>
                <w:color w:val="1C3A36"/>
                <w:sz w:val="14"/>
              </w:rPr>
              <w:t>dtr c fy25</w:t>
            </w:r>
          </w:p>
        </w:tc>
        <w:tc>
          <w:tcPr>
            <w:tcW w:type="dxa" w:w="1238"/>
          </w:tcPr>
          <w:p>
            <w:pPr>
              <w:spacing w:after="20" w:before="0" w:line="240" w:lineRule="auto"/>
              <w:jc w:val="right"/>
            </w:pPr>
            <w:r>
              <w:rPr>
                <w:color w:val="1C3A36"/>
                <w:sz w:val="14"/>
              </w:rPr>
              <w:t>225,906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due to related parties, current</w:t>
            </w:r>
          </w:p>
        </w:tc>
      </w:tr>
      <w:tr>
        <w:trPr>
          <w:cantSplit w:val="true"/>
        </w:trPr>
        <w:tc>
          <w:tcPr>
            <w:tcW w:type="dxa" w:w="2088"/>
          </w:tcPr>
          <w:p>
            <w:pPr>
              <w:spacing w:after="20" w:before="0" w:line="240" w:lineRule="auto"/>
            </w:pPr>
            <w:r>
              <w:rPr>
                <w:color w:val="1C3A36"/>
                <w:sz w:val="14"/>
              </w:rPr>
              <w:t>cl fy23</w:t>
            </w:r>
          </w:p>
        </w:tc>
        <w:tc>
          <w:tcPr>
            <w:tcW w:type="dxa" w:w="1238"/>
          </w:tcPr>
          <w:p>
            <w:pPr>
              <w:spacing w:after="20" w:before="0" w:line="240" w:lineRule="auto"/>
              <w:jc w:val="right"/>
            </w:pPr>
            <w:r>
              <w:rPr>
                <w:color w:val="1C3A36"/>
                <w:sz w:val="14"/>
              </w:rPr>
              <w:t>1,006,361</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cl fy24</w:t>
            </w:r>
          </w:p>
        </w:tc>
        <w:tc>
          <w:tcPr>
            <w:tcW w:type="dxa" w:w="1238"/>
          </w:tcPr>
          <w:p>
            <w:pPr>
              <w:spacing w:after="20" w:before="0" w:line="240" w:lineRule="auto"/>
              <w:jc w:val="right"/>
            </w:pPr>
            <w:r>
              <w:rPr>
                <w:color w:val="1C3A36"/>
                <w:sz w:val="14"/>
              </w:rPr>
              <w:t>1,352,201</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cl fy25</w:t>
            </w:r>
          </w:p>
        </w:tc>
        <w:tc>
          <w:tcPr>
            <w:tcW w:type="dxa" w:w="1238"/>
          </w:tcPr>
          <w:p>
            <w:pPr>
              <w:spacing w:after="20" w:before="0" w:line="240" w:lineRule="auto"/>
              <w:jc w:val="right"/>
            </w:pPr>
            <w:r>
              <w:rPr>
                <w:color w:val="1C3A36"/>
                <w:sz w:val="14"/>
              </w:rPr>
              <w:t>1,896,586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tl fy23</w:t>
            </w:r>
          </w:p>
        </w:tc>
        <w:tc>
          <w:tcPr>
            <w:tcW w:type="dxa" w:w="1238"/>
          </w:tcPr>
          <w:p>
            <w:pPr>
              <w:spacing w:after="20" w:before="0" w:line="240" w:lineRule="auto"/>
              <w:jc w:val="right"/>
            </w:pPr>
            <w:r>
              <w:rPr>
                <w:color w:val="1C3A36"/>
                <w:sz w:val="14"/>
              </w:rPr>
              <w:t>1,339,686</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w:t>
            </w:r>
          </w:p>
        </w:tc>
      </w:tr>
      <w:tr>
        <w:trPr>
          <w:cantSplit w:val="true"/>
        </w:trPr>
        <w:tc>
          <w:tcPr>
            <w:tcW w:type="dxa" w:w="2088"/>
          </w:tcPr>
          <w:p>
            <w:pPr>
              <w:spacing w:after="20" w:before="0" w:line="240" w:lineRule="auto"/>
            </w:pPr>
            <w:r>
              <w:rPr>
                <w:color w:val="1C3A36"/>
                <w:sz w:val="14"/>
              </w:rPr>
              <w:t>tl fy24</w:t>
            </w:r>
          </w:p>
        </w:tc>
        <w:tc>
          <w:tcPr>
            <w:tcW w:type="dxa" w:w="1238"/>
          </w:tcPr>
          <w:p>
            <w:pPr>
              <w:spacing w:after="20" w:before="0" w:line="240" w:lineRule="auto"/>
              <w:jc w:val="right"/>
            </w:pPr>
            <w:r>
              <w:rPr>
                <w:color w:val="1C3A36"/>
                <w:sz w:val="14"/>
              </w:rPr>
              <w:t>2,108,699</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w:t>
            </w:r>
          </w:p>
        </w:tc>
      </w:tr>
      <w:tr>
        <w:trPr>
          <w:cantSplit w:val="true"/>
        </w:trPr>
        <w:tc>
          <w:tcPr>
            <w:tcW w:type="dxa" w:w="2088"/>
          </w:tcPr>
          <w:p>
            <w:pPr>
              <w:spacing w:after="20" w:before="0" w:line="240" w:lineRule="auto"/>
            </w:pPr>
            <w:r>
              <w:rPr>
                <w:color w:val="1C3A36"/>
                <w:sz w:val="14"/>
              </w:rPr>
              <w:t>tl fy25</w:t>
            </w:r>
          </w:p>
        </w:tc>
        <w:tc>
          <w:tcPr>
            <w:tcW w:type="dxa" w:w="1238"/>
          </w:tcPr>
          <w:p>
            <w:pPr>
              <w:spacing w:after="20" w:before="0" w:line="240" w:lineRule="auto"/>
              <w:jc w:val="right"/>
            </w:pPr>
            <w:r>
              <w:rPr>
                <w:color w:val="1C3A36"/>
                <w:sz w:val="14"/>
              </w:rPr>
              <w:t>2,740,035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w:t>
            </w:r>
          </w:p>
        </w:tc>
      </w:tr>
      <w:tr>
        <w:trPr>
          <w:cantSplit w:val="true"/>
        </w:trPr>
        <w:tc>
          <w:tcPr>
            <w:tcW w:type="dxa" w:w="2088"/>
          </w:tcPr>
          <w:p>
            <w:pPr>
              <w:spacing w:after="20" w:before="0" w:line="240" w:lineRule="auto"/>
            </w:pPr>
            <w:r>
              <w:rPr>
                <w:color w:val="1C3A36"/>
                <w:sz w:val="14"/>
              </w:rPr>
              <w:t>ocf fy23</w:t>
            </w:r>
          </w:p>
        </w:tc>
        <w:tc>
          <w:tcPr>
            <w:tcW w:type="dxa" w:w="1238"/>
          </w:tcPr>
          <w:p>
            <w:pPr>
              <w:spacing w:after="20" w:before="0" w:line="240" w:lineRule="auto"/>
              <w:jc w:val="right"/>
            </w:pPr>
            <w:r>
              <w:rPr>
                <w:color w:val="1C3A36"/>
                <w:sz w:val="14"/>
              </w:rPr>
              <w:t>822,648</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net cash generated from operating activities</w:t>
            </w:r>
          </w:p>
        </w:tc>
      </w:tr>
      <w:tr>
        <w:trPr>
          <w:cantSplit w:val="true"/>
        </w:trPr>
        <w:tc>
          <w:tcPr>
            <w:tcW w:type="dxa" w:w="2088"/>
          </w:tcPr>
          <w:p>
            <w:pPr>
              <w:spacing w:after="20" w:before="0" w:line="240" w:lineRule="auto"/>
            </w:pPr>
            <w:r>
              <w:rPr>
                <w:color w:val="1C3A36"/>
                <w:sz w:val="14"/>
              </w:rPr>
              <w:t>ocf fy24</w:t>
            </w:r>
          </w:p>
        </w:tc>
        <w:tc>
          <w:tcPr>
            <w:tcW w:type="dxa" w:w="1238"/>
          </w:tcPr>
          <w:p>
            <w:pPr>
              <w:spacing w:after="20" w:before="0" w:line="240" w:lineRule="auto"/>
              <w:jc w:val="right"/>
            </w:pPr>
            <w:r>
              <w:rPr>
                <w:color w:val="1C3A36"/>
                <w:sz w:val="14"/>
              </w:rPr>
              <w:t>1,068,865</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net cash generated from operating activities</w:t>
            </w:r>
          </w:p>
        </w:tc>
      </w:tr>
      <w:tr>
        <w:trPr>
          <w:cantSplit w:val="true"/>
        </w:trPr>
        <w:tc>
          <w:tcPr>
            <w:tcW w:type="dxa" w:w="2088"/>
          </w:tcPr>
          <w:p>
            <w:pPr>
              <w:spacing w:after="20" w:before="0" w:line="240" w:lineRule="auto"/>
            </w:pPr>
            <w:r>
              <w:rPr>
                <w:color w:val="1C3A36"/>
                <w:sz w:val="14"/>
              </w:rPr>
              <w:t>ocf fy25</w:t>
            </w:r>
          </w:p>
        </w:tc>
        <w:tc>
          <w:tcPr>
            <w:tcW w:type="dxa" w:w="1238"/>
          </w:tcPr>
          <w:p>
            <w:pPr>
              <w:spacing w:after="20" w:before="0" w:line="240" w:lineRule="auto"/>
              <w:jc w:val="right"/>
            </w:pPr>
            <w:r>
              <w:rPr>
                <w:color w:val="1C3A36"/>
                <w:sz w:val="14"/>
              </w:rPr>
              <w:t>1,370,729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net cash generated from operating activities</w:t>
            </w:r>
          </w:p>
        </w:tc>
      </w:tr>
      <w:tr>
        <w:trPr>
          <w:cantSplit w:val="true"/>
        </w:trPr>
        <w:tc>
          <w:tcPr>
            <w:tcW w:type="dxa" w:w="2088"/>
          </w:tcPr>
          <w:p>
            <w:pPr>
              <w:spacing w:after="20" w:before="0" w:line="240" w:lineRule="auto"/>
            </w:pPr>
            <w:r>
              <w:rPr>
                <w:color w:val="1C3A36"/>
                <w:sz w:val="14"/>
              </w:rPr>
              <w:t>capex fy23</w:t>
            </w:r>
          </w:p>
        </w:tc>
        <w:tc>
          <w:tcPr>
            <w:tcW w:type="dxa" w:w="1238"/>
          </w:tcPr>
          <w:p>
            <w:pPr>
              <w:spacing w:after="20" w:before="0" w:line="240" w:lineRule="auto"/>
              <w:jc w:val="right"/>
            </w:pPr>
            <w:r>
              <w:rPr>
                <w:color w:val="1C3A36"/>
                <w:sz w:val="14"/>
              </w:rPr>
              <w:t>774,015</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purchase of property, plant and equipment</w:t>
            </w:r>
          </w:p>
        </w:tc>
      </w:tr>
      <w:tr>
        <w:trPr>
          <w:cantSplit w:val="true"/>
        </w:trPr>
        <w:tc>
          <w:tcPr>
            <w:tcW w:type="dxa" w:w="2088"/>
          </w:tcPr>
          <w:p>
            <w:pPr>
              <w:spacing w:after="20" w:before="0" w:line="240" w:lineRule="auto"/>
            </w:pPr>
            <w:r>
              <w:rPr>
                <w:color w:val="1C3A36"/>
                <w:sz w:val="14"/>
              </w:rPr>
              <w:t>capex fy24</w:t>
            </w:r>
          </w:p>
        </w:tc>
        <w:tc>
          <w:tcPr>
            <w:tcW w:type="dxa" w:w="1238"/>
          </w:tcPr>
          <w:p>
            <w:pPr>
              <w:spacing w:after="20" w:before="0" w:line="240" w:lineRule="auto"/>
              <w:jc w:val="right"/>
            </w:pPr>
            <w:r>
              <w:rPr>
                <w:color w:val="1C3A36"/>
                <w:sz w:val="14"/>
              </w:rPr>
              <w:t>810,851</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purchase of property, plant and equipment</w:t>
            </w:r>
          </w:p>
        </w:tc>
      </w:tr>
      <w:tr>
        <w:trPr>
          <w:cantSplit w:val="true"/>
        </w:trPr>
        <w:tc>
          <w:tcPr>
            <w:tcW w:type="dxa" w:w="2088"/>
          </w:tcPr>
          <w:p>
            <w:pPr>
              <w:spacing w:after="20" w:before="0" w:line="240" w:lineRule="auto"/>
            </w:pPr>
            <w:r>
              <w:rPr>
                <w:color w:val="1C3A36"/>
                <w:sz w:val="14"/>
              </w:rPr>
              <w:t>capex fy25</w:t>
            </w:r>
          </w:p>
        </w:tc>
        <w:tc>
          <w:tcPr>
            <w:tcW w:type="dxa" w:w="1238"/>
          </w:tcPr>
          <w:p>
            <w:pPr>
              <w:spacing w:after="20" w:before="0" w:line="240" w:lineRule="auto"/>
              <w:jc w:val="right"/>
            </w:pPr>
            <w:r>
              <w:rPr>
                <w:color w:val="1C3A36"/>
                <w:sz w:val="14"/>
              </w:rPr>
              <w:t>1,106,529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purchase of property, plant and equipment</w:t>
            </w:r>
          </w:p>
        </w:tc>
      </w:tr>
      <w:tr>
        <w:trPr>
          <w:cantSplit w:val="true"/>
        </w:trPr>
        <w:tc>
          <w:tcPr>
            <w:tcW w:type="dxa" w:w="2088"/>
          </w:tcPr>
          <w:p>
            <w:pPr>
              <w:spacing w:after="20" w:before="0" w:line="240" w:lineRule="auto"/>
            </w:pPr>
            <w:r>
              <w:rPr>
                <w:color w:val="1C3A36"/>
                <w:sz w:val="14"/>
              </w:rPr>
              <w:t>capex noncash fy24</w:t>
            </w:r>
          </w:p>
        </w:tc>
        <w:tc>
          <w:tcPr>
            <w:tcW w:type="dxa" w:w="1238"/>
          </w:tcPr>
          <w:p>
            <w:pPr>
              <w:spacing w:after="20" w:before="0" w:line="240" w:lineRule="auto"/>
              <w:jc w:val="right"/>
            </w:pPr>
            <w:r>
              <w:rPr>
                <w:color w:val="1C3A36"/>
                <w:sz w:val="14"/>
              </w:rPr>
              <w:t>145,297</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non-cash additions to property, plant and equipment disclosed below the cash flow statement</w:t>
            </w:r>
          </w:p>
        </w:tc>
      </w:tr>
      <w:tr>
        <w:trPr>
          <w:cantSplit w:val="true"/>
        </w:trPr>
        <w:tc>
          <w:tcPr>
            <w:tcW w:type="dxa" w:w="2088"/>
          </w:tcPr>
          <w:p>
            <w:pPr>
              <w:spacing w:after="20" w:before="0" w:line="240" w:lineRule="auto"/>
            </w:pPr>
            <w:r>
              <w:rPr>
                <w:color w:val="1C3A36"/>
                <w:sz w:val="14"/>
              </w:rPr>
              <w:t>capex noncash fy25</w:t>
            </w:r>
          </w:p>
        </w:tc>
        <w:tc>
          <w:tcPr>
            <w:tcW w:type="dxa" w:w="1238"/>
          </w:tcPr>
          <w:p>
            <w:pPr>
              <w:spacing w:after="20" w:before="0" w:line="240" w:lineRule="auto"/>
              <w:jc w:val="right"/>
            </w:pPr>
            <w:r>
              <w:rPr>
                <w:color w:val="1C3A36"/>
                <w:sz w:val="14"/>
              </w:rPr>
              <w:t>89,098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non-cash additions to property, plant and equipment disclosed below the cash flow statement</w:t>
            </w:r>
          </w:p>
        </w:tc>
      </w:tr>
      <w:tr>
        <w:trPr>
          <w:cantSplit w:val="true"/>
        </w:trPr>
        <w:tc>
          <w:tcPr>
            <w:tcW w:type="dxa" w:w="2088"/>
          </w:tcPr>
          <w:p>
            <w:pPr>
              <w:spacing w:after="20" w:before="0" w:line="240" w:lineRule="auto"/>
            </w:pPr>
            <w:r>
              <w:rPr>
                <w:color w:val="1C3A36"/>
                <w:sz w:val="14"/>
              </w:rPr>
              <w:t>icf fy23</w:t>
            </w:r>
          </w:p>
        </w:tc>
        <w:tc>
          <w:tcPr>
            <w:tcW w:type="dxa" w:w="1238"/>
          </w:tcPr>
          <w:p>
            <w:pPr>
              <w:spacing w:after="20" w:before="0" w:line="240" w:lineRule="auto"/>
              <w:jc w:val="right"/>
            </w:pPr>
            <w:r>
              <w:rPr>
                <w:color w:val="1C3A36"/>
                <w:sz w:val="14"/>
              </w:rPr>
              <w:t>-762,604</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net cash used in investing activities</w:t>
            </w:r>
          </w:p>
        </w:tc>
      </w:tr>
      <w:tr>
        <w:trPr>
          <w:cantSplit w:val="true"/>
        </w:trPr>
        <w:tc>
          <w:tcPr>
            <w:tcW w:type="dxa" w:w="2088"/>
          </w:tcPr>
          <w:p>
            <w:pPr>
              <w:spacing w:after="20" w:before="0" w:line="240" w:lineRule="auto"/>
            </w:pPr>
            <w:r>
              <w:rPr>
                <w:color w:val="1C3A36"/>
                <w:sz w:val="14"/>
              </w:rPr>
              <w:t>icf fy24</w:t>
            </w:r>
          </w:p>
        </w:tc>
        <w:tc>
          <w:tcPr>
            <w:tcW w:type="dxa" w:w="1238"/>
          </w:tcPr>
          <w:p>
            <w:pPr>
              <w:spacing w:after="20" w:before="0" w:line="240" w:lineRule="auto"/>
              <w:jc w:val="right"/>
            </w:pPr>
            <w:r>
              <w:rPr>
                <w:color w:val="1C3A36"/>
                <w:sz w:val="14"/>
              </w:rPr>
              <w:t>-1,201,046</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net cash used in investing activities</w:t>
            </w:r>
          </w:p>
        </w:tc>
      </w:tr>
      <w:tr>
        <w:trPr>
          <w:cantSplit w:val="true"/>
        </w:trPr>
        <w:tc>
          <w:tcPr>
            <w:tcW w:type="dxa" w:w="2088"/>
          </w:tcPr>
          <w:p>
            <w:pPr>
              <w:spacing w:after="20" w:before="0" w:line="240" w:lineRule="auto"/>
            </w:pPr>
            <w:r>
              <w:rPr>
                <w:color w:val="1C3A36"/>
                <w:sz w:val="14"/>
              </w:rPr>
              <w:t>icf fy25</w:t>
            </w:r>
          </w:p>
        </w:tc>
        <w:tc>
          <w:tcPr>
            <w:tcW w:type="dxa" w:w="1238"/>
          </w:tcPr>
          <w:p>
            <w:pPr>
              <w:spacing w:after="20" w:before="0" w:line="240" w:lineRule="auto"/>
              <w:jc w:val="right"/>
            </w:pPr>
            <w:r>
              <w:rPr>
                <w:color w:val="1C3A36"/>
                <w:sz w:val="14"/>
              </w:rPr>
              <w:t>-1,937,944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net cash used in investing activities</w:t>
            </w:r>
          </w:p>
        </w:tc>
      </w:tr>
      <w:tr>
        <w:trPr>
          <w:cantSplit w:val="true"/>
        </w:trPr>
        <w:tc>
          <w:tcPr>
            <w:tcW w:type="dxa" w:w="2088"/>
          </w:tcPr>
          <w:p>
            <w:pPr>
              <w:spacing w:after="20" w:before="0" w:line="240" w:lineRule="auto"/>
            </w:pPr>
            <w:r>
              <w:rPr>
                <w:color w:val="1C3A36"/>
                <w:sz w:val="14"/>
              </w:rPr>
              <w:t>div paid fy23</w:t>
            </w:r>
          </w:p>
        </w:tc>
        <w:tc>
          <w:tcPr>
            <w:tcW w:type="dxa" w:w="1238"/>
          </w:tcPr>
          <w:p>
            <w:pPr>
              <w:spacing w:after="20" w:before="0" w:line="240" w:lineRule="auto"/>
              <w:jc w:val="right"/>
            </w:pPr>
            <w:r>
              <w:rPr>
                <w:color w:val="1C3A36"/>
                <w:sz w:val="14"/>
              </w:rPr>
              <w:t>64,999</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FY2023 (PwC-audited) / Annual Report and Accounts 2024 comparatives — dividends paid</w:t>
            </w:r>
          </w:p>
        </w:tc>
      </w:tr>
      <w:tr>
        <w:trPr>
          <w:cantSplit w:val="true"/>
        </w:trPr>
        <w:tc>
          <w:tcPr>
            <w:tcW w:type="dxa" w:w="2088"/>
          </w:tcPr>
          <w:p>
            <w:pPr>
              <w:spacing w:after="20" w:before="0" w:line="240" w:lineRule="auto"/>
            </w:pPr>
            <w:r>
              <w:rPr>
                <w:color w:val="1C3A36"/>
                <w:sz w:val="14"/>
              </w:rPr>
              <w:t>div paid fy24</w:t>
            </w:r>
          </w:p>
        </w:tc>
        <w:tc>
          <w:tcPr>
            <w:tcW w:type="dxa" w:w="1238"/>
          </w:tcPr>
          <w:p>
            <w:pPr>
              <w:spacing w:after="20" w:before="0" w:line="240" w:lineRule="auto"/>
              <w:jc w:val="right"/>
            </w:pPr>
            <w:r>
              <w:rPr>
                <w:color w:val="1C3A36"/>
                <w:sz w:val="14"/>
              </w:rPr>
              <w:t>266,500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dividends paid</w:t>
            </w:r>
          </w:p>
        </w:tc>
      </w:tr>
      <w:tr>
        <w:trPr>
          <w:cantSplit w:val="true"/>
        </w:trPr>
        <w:tc>
          <w:tcPr>
            <w:tcW w:type="dxa" w:w="2088"/>
          </w:tcPr>
          <w:p>
            <w:pPr>
              <w:spacing w:after="20" w:before="0" w:line="240" w:lineRule="auto"/>
            </w:pPr>
            <w:r>
              <w:rPr>
                <w:color w:val="1C3A36"/>
                <w:sz w:val="14"/>
              </w:rPr>
              <w:t>div paid fy25</w:t>
            </w:r>
          </w:p>
        </w:tc>
        <w:tc>
          <w:tcPr>
            <w:tcW w:type="dxa" w:w="1238"/>
          </w:tcPr>
          <w:p>
            <w:pPr>
              <w:spacing w:after="20" w:before="0" w:line="240" w:lineRule="auto"/>
              <w:jc w:val="right"/>
            </w:pPr>
            <w:r>
              <w:rPr>
                <w:color w:val="1C3A36"/>
                <w:sz w:val="14"/>
              </w:rPr>
              <w:t>380,250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dividends paid</w:t>
            </w:r>
          </w:p>
        </w:tc>
      </w:tr>
      <w:tr>
        <w:trPr>
          <w:cantSplit w:val="true"/>
        </w:trPr>
        <w:tc>
          <w:tcPr>
            <w:tcW w:type="dxa" w:w="2088"/>
          </w:tcPr>
          <w:p>
            <w:pPr>
              <w:spacing w:after="20" w:before="0" w:line="240" w:lineRule="auto"/>
            </w:pPr>
            <w:r>
              <w:rPr>
                <w:color w:val="1C3A36"/>
                <w:sz w:val="14"/>
              </w:rPr>
              <w:t>taxpaid fy25</w:t>
            </w:r>
          </w:p>
        </w:tc>
        <w:tc>
          <w:tcPr>
            <w:tcW w:type="dxa" w:w="1238"/>
          </w:tcPr>
          <w:p>
            <w:pPr>
              <w:spacing w:after="20" w:before="0" w:line="240" w:lineRule="auto"/>
              <w:jc w:val="right"/>
            </w:pPr>
            <w:r>
              <w:rPr>
                <w:color w:val="1C3A36"/>
                <w:sz w:val="14"/>
              </w:rPr>
              <w:t>70,779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tax paid</w:t>
            </w:r>
          </w:p>
        </w:tc>
      </w:tr>
      <w:tr>
        <w:trPr>
          <w:cantSplit w:val="true"/>
        </w:trPr>
        <w:tc>
          <w:tcPr>
            <w:tcW w:type="dxa" w:w="2088"/>
          </w:tcPr>
          <w:p>
            <w:pPr>
              <w:spacing w:after="20" w:before="0" w:line="240" w:lineRule="auto"/>
            </w:pPr>
            <w:r>
              <w:rPr>
                <w:color w:val="1C3A36"/>
                <w:sz w:val="14"/>
              </w:rPr>
              <w:t>intpaid lease fy25</w:t>
            </w:r>
          </w:p>
        </w:tc>
        <w:tc>
          <w:tcPr>
            <w:tcW w:type="dxa" w:w="1238"/>
          </w:tcPr>
          <w:p>
            <w:pPr>
              <w:spacing w:after="20" w:before="0" w:line="240" w:lineRule="auto"/>
              <w:jc w:val="right"/>
            </w:pPr>
            <w:r>
              <w:rPr>
                <w:color w:val="1C3A36"/>
                <w:sz w:val="14"/>
              </w:rPr>
              <w:t>12,719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interest portion on lease liabilities</w:t>
            </w:r>
          </w:p>
        </w:tc>
      </w:tr>
      <w:tr>
        <w:trPr>
          <w:cantSplit w:val="true"/>
        </w:trPr>
        <w:tc>
          <w:tcPr>
            <w:tcW w:type="dxa" w:w="2088"/>
          </w:tcPr>
          <w:p>
            <w:pPr>
              <w:spacing w:after="20" w:before="0" w:line="240" w:lineRule="auto"/>
            </w:pPr>
            <w:r>
              <w:rPr>
                <w:color w:val="1C3A36"/>
                <w:sz w:val="14"/>
              </w:rPr>
              <w:t>intpaid shldr fy25</w:t>
            </w:r>
          </w:p>
        </w:tc>
        <w:tc>
          <w:tcPr>
            <w:tcW w:type="dxa" w:w="1238"/>
          </w:tcPr>
          <w:p>
            <w:pPr>
              <w:spacing w:after="20" w:before="0" w:line="240" w:lineRule="auto"/>
              <w:jc w:val="right"/>
            </w:pPr>
            <w:r>
              <w:rPr>
                <w:color w:val="1C3A36"/>
                <w:sz w:val="14"/>
              </w:rPr>
              <w:t>43,891</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interest paid on shareholder loans</w:t>
            </w:r>
          </w:p>
        </w:tc>
      </w:tr>
      <w:tr>
        <w:trPr>
          <w:cantSplit w:val="true"/>
        </w:trPr>
        <w:tc>
          <w:tcPr>
            <w:tcW w:type="dxa" w:w="2088"/>
          </w:tcPr>
          <w:p>
            <w:pPr>
              <w:spacing w:after="20" w:before="0" w:line="240" w:lineRule="auto"/>
            </w:pPr>
            <w:r>
              <w:rPr>
                <w:color w:val="1C3A36"/>
                <w:sz w:val="14"/>
              </w:rPr>
              <w:t>intpaid borr fy25</w:t>
            </w:r>
          </w:p>
        </w:tc>
        <w:tc>
          <w:tcPr>
            <w:tcW w:type="dxa" w:w="1238"/>
          </w:tcPr>
          <w:p>
            <w:pPr>
              <w:spacing w:after="20" w:before="0" w:line="240" w:lineRule="auto"/>
              <w:jc w:val="right"/>
            </w:pPr>
            <w:r>
              <w:rPr>
                <w:color w:val="1C3A36"/>
                <w:sz w:val="14"/>
              </w:rPr>
              <w:t>39,258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interest on loans and other borrowings</w:t>
            </w:r>
          </w:p>
        </w:tc>
      </w:tr>
      <w:tr>
        <w:trPr>
          <w:cantSplit w:val="true"/>
        </w:trPr>
        <w:tc>
          <w:tcPr>
            <w:tcW w:type="dxa" w:w="2088"/>
          </w:tcPr>
          <w:p>
            <w:pPr>
              <w:spacing w:after="20" w:before="0" w:line="240" w:lineRule="auto"/>
            </w:pPr>
            <w:r>
              <w:rPr>
                <w:color w:val="1C3A36"/>
                <w:sz w:val="14"/>
              </w:rPr>
              <w:t>hybrid coupon fy25</w:t>
            </w:r>
          </w:p>
        </w:tc>
        <w:tc>
          <w:tcPr>
            <w:tcW w:type="dxa" w:w="1238"/>
          </w:tcPr>
          <w:p>
            <w:pPr>
              <w:spacing w:after="20" w:before="0" w:line="240" w:lineRule="auto"/>
              <w:jc w:val="right"/>
            </w:pPr>
            <w:r>
              <w:rPr>
                <w:color w:val="1C3A36"/>
                <w:sz w:val="14"/>
              </w:rPr>
              <w:t>61,333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coupons paid on the hybrid equity instrument</w:t>
            </w:r>
          </w:p>
        </w:tc>
      </w:tr>
      <w:tr>
        <w:trPr>
          <w:cantSplit w:val="true"/>
        </w:trPr>
        <w:tc>
          <w:tcPr>
            <w:tcW w:type="dxa" w:w="2088"/>
          </w:tcPr>
          <w:p>
            <w:pPr>
              <w:spacing w:after="20" w:before="0" w:line="240" w:lineRule="auto"/>
            </w:pPr>
            <w:r>
              <w:rPr>
                <w:color w:val="1C3A36"/>
                <w:sz w:val="14"/>
              </w:rPr>
              <w:t>q1 26 rev</w:t>
            </w:r>
          </w:p>
        </w:tc>
        <w:tc>
          <w:tcPr>
            <w:tcW w:type="dxa" w:w="1238"/>
          </w:tcPr>
          <w:p>
            <w:pPr>
              <w:spacing w:after="20" w:before="0" w:line="240" w:lineRule="auto"/>
              <w:jc w:val="right"/>
            </w:pPr>
            <w:r>
              <w:rPr>
                <w:color w:val="1C3A36"/>
                <w:sz w:val="14"/>
              </w:rPr>
              <w:t>1,082,675</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w:t>
            </w:r>
          </w:p>
        </w:tc>
      </w:tr>
      <w:tr>
        <w:trPr>
          <w:cantSplit w:val="true"/>
        </w:trPr>
        <w:tc>
          <w:tcPr>
            <w:tcW w:type="dxa" w:w="2088"/>
          </w:tcPr>
          <w:p>
            <w:pPr>
              <w:spacing w:after="20" w:before="0" w:line="240" w:lineRule="auto"/>
            </w:pPr>
            <w:r>
              <w:rPr>
                <w:color w:val="1C3A36"/>
                <w:sz w:val="14"/>
              </w:rPr>
              <w:t>q1 25 rev</w:t>
            </w:r>
          </w:p>
        </w:tc>
        <w:tc>
          <w:tcPr>
            <w:tcW w:type="dxa" w:w="1238"/>
          </w:tcPr>
          <w:p>
            <w:pPr>
              <w:spacing w:after="20" w:before="0" w:line="240" w:lineRule="auto"/>
              <w:jc w:val="right"/>
            </w:pPr>
            <w:r>
              <w:rPr>
                <w:color w:val="1C3A36"/>
                <w:sz w:val="14"/>
              </w:rPr>
              <w:t>1,181,426</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Condensed Consolidated Interim Financial Information, three months ended 31 March 2026 (reviewed) — prior-period comparative</w:t>
            </w:r>
          </w:p>
        </w:tc>
      </w:tr>
      <w:tr>
        <w:trPr>
          <w:cantSplit w:val="true"/>
        </w:trPr>
        <w:tc>
          <w:tcPr>
            <w:tcW w:type="dxa" w:w="2088"/>
          </w:tcPr>
          <w:p>
            <w:pPr>
              <w:spacing w:after="20" w:before="0" w:line="240" w:lineRule="auto"/>
            </w:pPr>
            <w:r>
              <w:rPr>
                <w:color w:val="1C3A36"/>
                <w:sz w:val="14"/>
              </w:rPr>
              <w:t>q1 26 gp</w:t>
            </w:r>
          </w:p>
        </w:tc>
        <w:tc>
          <w:tcPr>
            <w:tcW w:type="dxa" w:w="1238"/>
          </w:tcPr>
          <w:p>
            <w:pPr>
              <w:spacing w:after="20" w:before="0" w:line="240" w:lineRule="auto"/>
              <w:jc w:val="right"/>
            </w:pPr>
            <w:r>
              <w:rPr>
                <w:color w:val="1C3A36"/>
                <w:sz w:val="14"/>
              </w:rPr>
              <w:t>280,722</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w:t>
            </w:r>
          </w:p>
        </w:tc>
      </w:tr>
      <w:tr>
        <w:trPr>
          <w:cantSplit w:val="true"/>
        </w:trPr>
        <w:tc>
          <w:tcPr>
            <w:tcW w:type="dxa" w:w="2088"/>
          </w:tcPr>
          <w:p>
            <w:pPr>
              <w:spacing w:after="20" w:before="0" w:line="240" w:lineRule="auto"/>
            </w:pPr>
            <w:r>
              <w:rPr>
                <w:color w:val="1C3A36"/>
                <w:sz w:val="14"/>
              </w:rPr>
              <w:t>q1 25 gp</w:t>
            </w:r>
          </w:p>
        </w:tc>
        <w:tc>
          <w:tcPr>
            <w:tcW w:type="dxa" w:w="1238"/>
          </w:tcPr>
          <w:p>
            <w:pPr>
              <w:spacing w:after="20" w:before="0" w:line="240" w:lineRule="auto"/>
              <w:jc w:val="right"/>
            </w:pPr>
            <w:r>
              <w:rPr>
                <w:color w:val="1C3A36"/>
                <w:sz w:val="14"/>
              </w:rPr>
              <w:t>229,214</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Condensed Consolidated Interim Financial Information, three months ended 31 March 2026 (reviewed) — prior-period comparative</w:t>
            </w:r>
          </w:p>
        </w:tc>
      </w:tr>
      <w:tr>
        <w:trPr>
          <w:cantSplit w:val="true"/>
        </w:trPr>
        <w:tc>
          <w:tcPr>
            <w:tcW w:type="dxa" w:w="2088"/>
          </w:tcPr>
          <w:p>
            <w:pPr>
              <w:spacing w:after="20" w:before="0" w:line="240" w:lineRule="auto"/>
            </w:pPr>
            <w:r>
              <w:rPr>
                <w:color w:val="1C3A36"/>
                <w:sz w:val="14"/>
              </w:rPr>
              <w:t>q1 26 op</w:t>
            </w:r>
          </w:p>
        </w:tc>
        <w:tc>
          <w:tcPr>
            <w:tcW w:type="dxa" w:w="1238"/>
          </w:tcPr>
          <w:p>
            <w:pPr>
              <w:spacing w:after="20" w:before="0" w:line="240" w:lineRule="auto"/>
              <w:jc w:val="right"/>
            </w:pPr>
            <w:r>
              <w:rPr>
                <w:color w:val="1C3A36"/>
                <w:sz w:val="14"/>
              </w:rPr>
              <w:t>226,148</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w:t>
            </w:r>
          </w:p>
        </w:tc>
      </w:tr>
      <w:tr>
        <w:trPr>
          <w:cantSplit w:val="true"/>
        </w:trPr>
        <w:tc>
          <w:tcPr>
            <w:tcW w:type="dxa" w:w="2088"/>
          </w:tcPr>
          <w:p>
            <w:pPr>
              <w:spacing w:after="20" w:before="0" w:line="240" w:lineRule="auto"/>
            </w:pPr>
            <w:r>
              <w:rPr>
                <w:color w:val="1C3A36"/>
                <w:sz w:val="14"/>
              </w:rPr>
              <w:t>q1 25 op</w:t>
            </w:r>
          </w:p>
        </w:tc>
        <w:tc>
          <w:tcPr>
            <w:tcW w:type="dxa" w:w="1238"/>
          </w:tcPr>
          <w:p>
            <w:pPr>
              <w:spacing w:after="20" w:before="0" w:line="240" w:lineRule="auto"/>
              <w:jc w:val="right"/>
            </w:pPr>
            <w:r>
              <w:rPr>
                <w:color w:val="1C3A36"/>
                <w:sz w:val="14"/>
              </w:rPr>
              <w:t>199,945</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Condensed Consolidated Interim Financial Information, three months ended 31 March 2026 (reviewed) — prior-period comparative</w:t>
            </w:r>
          </w:p>
        </w:tc>
      </w:tr>
      <w:tr>
        <w:trPr>
          <w:cantSplit w:val="true"/>
        </w:trPr>
        <w:tc>
          <w:tcPr>
            <w:tcW w:type="dxa" w:w="2088"/>
          </w:tcPr>
          <w:p>
            <w:pPr>
              <w:spacing w:after="20" w:before="0" w:line="240" w:lineRule="auto"/>
            </w:pPr>
            <w:r>
              <w:rPr>
                <w:color w:val="1C3A36"/>
                <w:sz w:val="14"/>
              </w:rPr>
              <w:t>q1 26 dep ppe</w:t>
            </w:r>
          </w:p>
        </w:tc>
        <w:tc>
          <w:tcPr>
            <w:tcW w:type="dxa" w:w="1238"/>
          </w:tcPr>
          <w:p>
            <w:pPr>
              <w:spacing w:after="20" w:before="0" w:line="240" w:lineRule="auto"/>
              <w:jc w:val="right"/>
            </w:pPr>
            <w:r>
              <w:rPr>
                <w:color w:val="1C3A36"/>
                <w:sz w:val="14"/>
              </w:rPr>
              <w:t>100,704</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w:t>
            </w:r>
          </w:p>
        </w:tc>
      </w:tr>
      <w:tr>
        <w:trPr>
          <w:cantSplit w:val="true"/>
        </w:trPr>
        <w:tc>
          <w:tcPr>
            <w:tcW w:type="dxa" w:w="2088"/>
          </w:tcPr>
          <w:p>
            <w:pPr>
              <w:spacing w:after="20" w:before="0" w:line="240" w:lineRule="auto"/>
            </w:pPr>
            <w:r>
              <w:rPr>
                <w:color w:val="1C3A36"/>
                <w:sz w:val="14"/>
              </w:rPr>
              <w:t>q1 26 dep ip</w:t>
            </w:r>
          </w:p>
        </w:tc>
        <w:tc>
          <w:tcPr>
            <w:tcW w:type="dxa" w:w="1238"/>
          </w:tcPr>
          <w:p>
            <w:pPr>
              <w:spacing w:after="20" w:before="0" w:line="240" w:lineRule="auto"/>
              <w:jc w:val="right"/>
            </w:pPr>
            <w:r>
              <w:rPr>
                <w:color w:val="1C3A36"/>
                <w:sz w:val="14"/>
              </w:rPr>
              <w:t>1,353</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w:t>
            </w:r>
          </w:p>
        </w:tc>
      </w:tr>
      <w:tr>
        <w:trPr>
          <w:cantSplit w:val="true"/>
        </w:trPr>
        <w:tc>
          <w:tcPr>
            <w:tcW w:type="dxa" w:w="2088"/>
          </w:tcPr>
          <w:p>
            <w:pPr>
              <w:spacing w:after="20" w:before="0" w:line="240" w:lineRule="auto"/>
            </w:pPr>
            <w:r>
              <w:rPr>
                <w:color w:val="1C3A36"/>
                <w:sz w:val="14"/>
              </w:rPr>
              <w:t>q1 26 dep rou</w:t>
            </w:r>
          </w:p>
        </w:tc>
        <w:tc>
          <w:tcPr>
            <w:tcW w:type="dxa" w:w="1238"/>
          </w:tcPr>
          <w:p>
            <w:pPr>
              <w:spacing w:after="20" w:before="0" w:line="240" w:lineRule="auto"/>
              <w:jc w:val="right"/>
            </w:pPr>
            <w:r>
              <w:rPr>
                <w:color w:val="1C3A36"/>
                <w:sz w:val="14"/>
              </w:rPr>
              <w:t>23,520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w:t>
            </w:r>
          </w:p>
        </w:tc>
      </w:tr>
      <w:tr>
        <w:trPr>
          <w:cantSplit w:val="true"/>
        </w:trPr>
        <w:tc>
          <w:tcPr>
            <w:tcW w:type="dxa" w:w="2088"/>
          </w:tcPr>
          <w:p>
            <w:pPr>
              <w:spacing w:after="20" w:before="0" w:line="240" w:lineRule="auto"/>
            </w:pPr>
            <w:r>
              <w:rPr>
                <w:color w:val="1C3A36"/>
                <w:sz w:val="14"/>
              </w:rPr>
              <w:t>q1 26 amort</w:t>
            </w:r>
          </w:p>
        </w:tc>
        <w:tc>
          <w:tcPr>
            <w:tcW w:type="dxa" w:w="1238"/>
          </w:tcPr>
          <w:p>
            <w:pPr>
              <w:spacing w:after="20" w:before="0" w:line="240" w:lineRule="auto"/>
              <w:jc w:val="right"/>
            </w:pPr>
            <w:r>
              <w:rPr>
                <w:color w:val="1C3A36"/>
                <w:sz w:val="14"/>
              </w:rPr>
              <w:t>2,586</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w:t>
            </w:r>
          </w:p>
        </w:tc>
      </w:tr>
      <w:tr>
        <w:trPr>
          <w:cantSplit w:val="true"/>
        </w:trPr>
        <w:tc>
          <w:tcPr>
            <w:tcW w:type="dxa" w:w="2088"/>
          </w:tcPr>
          <w:p>
            <w:pPr>
              <w:spacing w:after="20" w:before="0" w:line="240" w:lineRule="auto"/>
            </w:pPr>
            <w:r>
              <w:rPr>
                <w:color w:val="1C3A36"/>
                <w:sz w:val="14"/>
              </w:rPr>
              <w:t>q1 26 npa</w:t>
            </w:r>
          </w:p>
        </w:tc>
        <w:tc>
          <w:tcPr>
            <w:tcW w:type="dxa" w:w="1238"/>
          </w:tcPr>
          <w:p>
            <w:pPr>
              <w:spacing w:after="20" w:before="0" w:line="240" w:lineRule="auto"/>
              <w:jc w:val="right"/>
            </w:pPr>
            <w:r>
              <w:rPr>
                <w:color w:val="1C3A36"/>
                <w:sz w:val="14"/>
              </w:rPr>
              <w:t>202,743</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attributable to equity holders</w:t>
            </w:r>
          </w:p>
        </w:tc>
      </w:tr>
      <w:tr>
        <w:trPr>
          <w:cantSplit w:val="true"/>
        </w:trPr>
        <w:tc>
          <w:tcPr>
            <w:tcW w:type="dxa" w:w="2088"/>
          </w:tcPr>
          <w:p>
            <w:pPr>
              <w:spacing w:after="20" w:before="0" w:line="240" w:lineRule="auto"/>
            </w:pPr>
            <w:r>
              <w:rPr>
                <w:color w:val="1C3A36"/>
                <w:sz w:val="14"/>
              </w:rPr>
              <w:t>q1 25 npa</w:t>
            </w:r>
          </w:p>
        </w:tc>
        <w:tc>
          <w:tcPr>
            <w:tcW w:type="dxa" w:w="1238"/>
          </w:tcPr>
          <w:p>
            <w:pPr>
              <w:spacing w:after="20" w:before="0" w:line="240" w:lineRule="auto"/>
              <w:jc w:val="right"/>
            </w:pPr>
            <w:r>
              <w:rPr>
                <w:color w:val="1C3A36"/>
                <w:sz w:val="14"/>
              </w:rPr>
              <w:t>180,520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Condensed Consolidated Interim Financial Information, three months ended 31 March 2026 (reviewed) — prior-period comparative</w:t>
            </w:r>
          </w:p>
        </w:tc>
      </w:tr>
      <w:tr>
        <w:trPr>
          <w:cantSplit w:val="true"/>
        </w:trPr>
        <w:tc>
          <w:tcPr>
            <w:tcW w:type="dxa" w:w="2088"/>
          </w:tcPr>
          <w:p>
            <w:pPr>
              <w:spacing w:after="20" w:before="0" w:line="240" w:lineRule="auto"/>
            </w:pPr>
            <w:r>
              <w:rPr>
                <w:color w:val="1C3A36"/>
                <w:sz w:val="14"/>
              </w:rPr>
              <w:t>q1 26 pat</w:t>
            </w:r>
          </w:p>
        </w:tc>
        <w:tc>
          <w:tcPr>
            <w:tcW w:type="dxa" w:w="1238"/>
          </w:tcPr>
          <w:p>
            <w:pPr>
              <w:spacing w:after="20" w:before="0" w:line="240" w:lineRule="auto"/>
              <w:jc w:val="right"/>
            </w:pPr>
            <w:r>
              <w:rPr>
                <w:color w:val="1C3A36"/>
                <w:sz w:val="14"/>
              </w:rPr>
              <w:t>222,236</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w:t>
            </w:r>
          </w:p>
        </w:tc>
      </w:tr>
      <w:tr>
        <w:trPr>
          <w:cantSplit w:val="true"/>
        </w:trPr>
        <w:tc>
          <w:tcPr>
            <w:tcW w:type="dxa" w:w="2088"/>
          </w:tcPr>
          <w:p>
            <w:pPr>
              <w:spacing w:after="20" w:before="0" w:line="240" w:lineRule="auto"/>
            </w:pPr>
            <w:r>
              <w:rPr>
                <w:color w:val="1C3A36"/>
                <w:sz w:val="14"/>
              </w:rPr>
              <w:t>q1 26 capex</w:t>
            </w:r>
          </w:p>
        </w:tc>
        <w:tc>
          <w:tcPr>
            <w:tcW w:type="dxa" w:w="1238"/>
          </w:tcPr>
          <w:p>
            <w:pPr>
              <w:spacing w:after="20" w:before="0" w:line="240" w:lineRule="auto"/>
              <w:jc w:val="right"/>
            </w:pPr>
            <w:r>
              <w:rPr>
                <w:color w:val="1C3A36"/>
                <w:sz w:val="14"/>
              </w:rPr>
              <w:t>263,913</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purchase of property, plant and equipment</w:t>
            </w:r>
          </w:p>
        </w:tc>
      </w:tr>
      <w:tr>
        <w:trPr>
          <w:cantSplit w:val="true"/>
        </w:trPr>
        <w:tc>
          <w:tcPr>
            <w:tcW w:type="dxa" w:w="2088"/>
          </w:tcPr>
          <w:p>
            <w:pPr>
              <w:spacing w:after="20" w:before="0" w:line="240" w:lineRule="auto"/>
            </w:pPr>
            <w:r>
              <w:rPr>
                <w:color w:val="1C3A36"/>
                <w:sz w:val="14"/>
              </w:rPr>
              <w:t>q1 26 ocf</w:t>
            </w:r>
          </w:p>
        </w:tc>
        <w:tc>
          <w:tcPr>
            <w:tcW w:type="dxa" w:w="1238"/>
          </w:tcPr>
          <w:p>
            <w:pPr>
              <w:spacing w:after="20" w:before="0" w:line="240" w:lineRule="auto"/>
              <w:jc w:val="right"/>
            </w:pPr>
            <w:r>
              <w:rPr>
                <w:color w:val="1C3A36"/>
                <w:sz w:val="14"/>
              </w:rPr>
              <w:t>395,042</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net cash generated from operating activities</w:t>
            </w:r>
          </w:p>
        </w:tc>
      </w:tr>
      <w:tr>
        <w:trPr>
          <w:cantSplit w:val="true"/>
        </w:trPr>
        <w:tc>
          <w:tcPr>
            <w:tcW w:type="dxa" w:w="2088"/>
          </w:tcPr>
          <w:p>
            <w:pPr>
              <w:spacing w:after="20" w:before="0" w:line="240" w:lineRule="auto"/>
            </w:pPr>
            <w:r>
              <w:rPr>
                <w:color w:val="1C3A36"/>
                <w:sz w:val="14"/>
              </w:rPr>
              <w:t>q1 26 cash</w:t>
            </w:r>
          </w:p>
        </w:tc>
        <w:tc>
          <w:tcPr>
            <w:tcW w:type="dxa" w:w="1238"/>
          </w:tcPr>
          <w:p>
            <w:pPr>
              <w:spacing w:after="20" w:before="0" w:line="240" w:lineRule="auto"/>
              <w:jc w:val="right"/>
            </w:pPr>
            <w:r>
              <w:rPr>
                <w:color w:val="1C3A36"/>
                <w:sz w:val="14"/>
              </w:rPr>
              <w:t>695,345</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w:t>
            </w:r>
          </w:p>
        </w:tc>
      </w:tr>
      <w:tr>
        <w:trPr>
          <w:cantSplit w:val="true"/>
        </w:trPr>
        <w:tc>
          <w:tcPr>
            <w:tcW w:type="dxa" w:w="2088"/>
          </w:tcPr>
          <w:p>
            <w:pPr>
              <w:spacing w:after="20" w:before="0" w:line="240" w:lineRule="auto"/>
            </w:pPr>
            <w:r>
              <w:rPr>
                <w:color w:val="1C3A36"/>
                <w:sz w:val="14"/>
              </w:rPr>
              <w:t>q1 26 ppe</w:t>
            </w:r>
          </w:p>
        </w:tc>
        <w:tc>
          <w:tcPr>
            <w:tcW w:type="dxa" w:w="1238"/>
          </w:tcPr>
          <w:p>
            <w:pPr>
              <w:spacing w:after="20" w:before="0" w:line="240" w:lineRule="auto"/>
              <w:jc w:val="right"/>
            </w:pPr>
            <w:r>
              <w:rPr>
                <w:color w:val="1C3A36"/>
                <w:sz w:val="14"/>
              </w:rPr>
              <w:t>7,015,261</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w:t>
            </w:r>
          </w:p>
        </w:tc>
      </w:tr>
      <w:tr>
        <w:trPr>
          <w:cantSplit w:val="true"/>
        </w:trPr>
        <w:tc>
          <w:tcPr>
            <w:tcW w:type="dxa" w:w="2088"/>
          </w:tcPr>
          <w:p>
            <w:pPr>
              <w:spacing w:after="20" w:before="0" w:line="240" w:lineRule="auto"/>
            </w:pPr>
            <w:r>
              <w:rPr>
                <w:color w:val="1C3A36"/>
                <w:sz w:val="14"/>
              </w:rPr>
              <w:t>q1 26 ta</w:t>
            </w:r>
          </w:p>
        </w:tc>
        <w:tc>
          <w:tcPr>
            <w:tcW w:type="dxa" w:w="1238"/>
          </w:tcPr>
          <w:p>
            <w:pPr>
              <w:spacing w:after="20" w:before="0" w:line="240" w:lineRule="auto"/>
              <w:jc w:val="right"/>
            </w:pPr>
            <w:r>
              <w:rPr>
                <w:color w:val="1C3A36"/>
                <w:sz w:val="14"/>
              </w:rPr>
              <w:t>10,282,119</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w:t>
            </w:r>
          </w:p>
        </w:tc>
      </w:tr>
      <w:tr>
        <w:trPr>
          <w:cantSplit w:val="true"/>
        </w:trPr>
        <w:tc>
          <w:tcPr>
            <w:tcW w:type="dxa" w:w="2088"/>
          </w:tcPr>
          <w:p>
            <w:pPr>
              <w:spacing w:after="20" w:before="0" w:line="240" w:lineRule="auto"/>
            </w:pPr>
            <w:r>
              <w:rPr>
                <w:color w:val="1C3A36"/>
                <w:sz w:val="14"/>
              </w:rPr>
              <w:t>q1 26 teq</w:t>
            </w:r>
          </w:p>
        </w:tc>
        <w:tc>
          <w:tcPr>
            <w:tcW w:type="dxa" w:w="1238"/>
          </w:tcPr>
          <w:p>
            <w:pPr>
              <w:spacing w:after="20" w:before="0" w:line="240" w:lineRule="auto"/>
              <w:jc w:val="right"/>
            </w:pPr>
            <w:r>
              <w:rPr>
                <w:color w:val="1C3A36"/>
                <w:sz w:val="14"/>
              </w:rPr>
              <w:t>7,324,655</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total equity per the statement of changes in equity</w:t>
            </w:r>
          </w:p>
        </w:tc>
      </w:tr>
      <w:tr>
        <w:trPr>
          <w:cantSplit w:val="true"/>
        </w:trPr>
        <w:tc>
          <w:tcPr>
            <w:tcW w:type="dxa" w:w="2088"/>
          </w:tcPr>
          <w:p>
            <w:pPr>
              <w:spacing w:after="20" w:before="0" w:line="240" w:lineRule="auto"/>
            </w:pPr>
            <w:r>
              <w:rPr>
                <w:color w:val="1C3A36"/>
                <w:sz w:val="14"/>
              </w:rPr>
              <w:t>q1 26 eqp</w:t>
            </w:r>
          </w:p>
        </w:tc>
        <w:tc>
          <w:tcPr>
            <w:tcW w:type="dxa" w:w="1238"/>
          </w:tcPr>
          <w:p>
            <w:pPr>
              <w:spacing w:after="20" w:before="0" w:line="240" w:lineRule="auto"/>
              <w:jc w:val="right"/>
            </w:pPr>
            <w:r>
              <w:rPr>
                <w:color w:val="1C3A36"/>
                <w:sz w:val="14"/>
              </w:rPr>
              <w:t>5,073,902</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equity attributable to owners</w:t>
            </w:r>
          </w:p>
        </w:tc>
      </w:tr>
      <w:tr>
        <w:trPr>
          <w:cantSplit w:val="true"/>
        </w:trPr>
        <w:tc>
          <w:tcPr>
            <w:tcW w:type="dxa" w:w="2088"/>
          </w:tcPr>
          <w:p>
            <w:pPr>
              <w:spacing w:after="20" w:before="0" w:line="240" w:lineRule="auto"/>
            </w:pPr>
            <w:r>
              <w:rPr>
                <w:color w:val="1C3A36"/>
                <w:sz w:val="14"/>
              </w:rPr>
              <w:t>q1 26 hybrid</w:t>
            </w:r>
          </w:p>
        </w:tc>
        <w:tc>
          <w:tcPr>
            <w:tcW w:type="dxa" w:w="1238"/>
          </w:tcPr>
          <w:p>
            <w:pPr>
              <w:spacing w:after="20" w:before="0" w:line="240" w:lineRule="auto"/>
              <w:jc w:val="right"/>
            </w:pPr>
            <w:r>
              <w:rPr>
                <w:color w:val="1C3A36"/>
                <w:sz w:val="14"/>
              </w:rPr>
              <w:t>1,978,619</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hybrid equity instrument</w:t>
            </w:r>
          </w:p>
        </w:tc>
      </w:tr>
      <w:tr>
        <w:trPr>
          <w:cantSplit w:val="true"/>
        </w:trPr>
        <w:tc>
          <w:tcPr>
            <w:tcW w:type="dxa" w:w="2088"/>
          </w:tcPr>
          <w:p>
            <w:pPr>
              <w:spacing w:after="20" w:before="0" w:line="240" w:lineRule="auto"/>
            </w:pPr>
            <w:r>
              <w:rPr>
                <w:color w:val="1C3A36"/>
                <w:sz w:val="14"/>
              </w:rPr>
              <w:t>q1 26 nci</w:t>
            </w:r>
          </w:p>
        </w:tc>
        <w:tc>
          <w:tcPr>
            <w:tcW w:type="dxa" w:w="1238"/>
          </w:tcPr>
          <w:p>
            <w:pPr>
              <w:spacing w:after="20" w:before="0" w:line="240" w:lineRule="auto"/>
              <w:jc w:val="right"/>
            </w:pPr>
            <w:r>
              <w:rPr>
                <w:color w:val="1C3A36"/>
                <w:sz w:val="14"/>
              </w:rPr>
              <w:t>272,134</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non-controlling interests</w:t>
            </w:r>
          </w:p>
        </w:tc>
      </w:tr>
      <w:tr>
        <w:trPr>
          <w:cantSplit w:val="true"/>
        </w:trPr>
        <w:tc>
          <w:tcPr>
            <w:tcW w:type="dxa" w:w="2088"/>
          </w:tcPr>
          <w:p>
            <w:pPr>
              <w:spacing w:after="20" w:before="0" w:line="240" w:lineRule="auto"/>
            </w:pPr>
            <w:r>
              <w:rPr>
                <w:color w:val="1C3A36"/>
                <w:sz w:val="14"/>
              </w:rPr>
              <w:t>h1 26 rev</w:t>
            </w:r>
          </w:p>
        </w:tc>
        <w:tc>
          <w:tcPr>
            <w:tcW w:type="dxa" w:w="1238"/>
          </w:tcPr>
          <w:p>
            <w:pPr>
              <w:spacing w:after="20" w:before="0" w:line="240" w:lineRule="auto"/>
              <w:jc w:val="right"/>
            </w:pPr>
            <w:r>
              <w:rPr>
                <w:color w:val="1C3A36"/>
                <w:sz w:val="14"/>
              </w:rPr>
              <w:t>3,666,674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w:t>
            </w:r>
          </w:p>
        </w:tc>
      </w:tr>
      <w:tr>
        <w:trPr>
          <w:cantSplit w:val="true"/>
        </w:trPr>
        <w:tc>
          <w:tcPr>
            <w:tcW w:type="dxa" w:w="2088"/>
          </w:tcPr>
          <w:p>
            <w:pPr>
              <w:spacing w:after="20" w:before="0" w:line="240" w:lineRule="auto"/>
            </w:pPr>
            <w:r>
              <w:rPr>
                <w:color w:val="1C3A36"/>
                <w:sz w:val="14"/>
              </w:rPr>
              <w:t>h1 25 rev</w:t>
            </w:r>
          </w:p>
        </w:tc>
        <w:tc>
          <w:tcPr>
            <w:tcW w:type="dxa" w:w="1238"/>
          </w:tcPr>
          <w:p>
            <w:pPr>
              <w:spacing w:after="20" w:before="0" w:line="240" w:lineRule="auto"/>
              <w:jc w:val="right"/>
            </w:pPr>
            <w:r>
              <w:rPr>
                <w:color w:val="1C3A36"/>
                <w:sz w:val="14"/>
              </w:rPr>
              <w:t>2,438,936</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prior-period comparative, as presented in the reviewed statements</w:t>
            </w:r>
          </w:p>
        </w:tc>
      </w:tr>
      <w:tr>
        <w:trPr>
          <w:cantSplit w:val="true"/>
        </w:trPr>
        <w:tc>
          <w:tcPr>
            <w:tcW w:type="dxa" w:w="2088"/>
          </w:tcPr>
          <w:p>
            <w:pPr>
              <w:spacing w:after="20" w:before="0" w:line="240" w:lineRule="auto"/>
            </w:pPr>
            <w:r>
              <w:rPr>
                <w:color w:val="1C3A36"/>
                <w:sz w:val="14"/>
              </w:rPr>
              <w:t>h1 26 dc</w:t>
            </w:r>
          </w:p>
        </w:tc>
        <w:tc>
          <w:tcPr>
            <w:tcW w:type="dxa" w:w="1238"/>
          </w:tcPr>
          <w:p>
            <w:pPr>
              <w:spacing w:after="20" w:before="0" w:line="240" w:lineRule="auto"/>
              <w:jc w:val="right"/>
            </w:pPr>
            <w:r>
              <w:rPr>
                <w:color w:val="1C3A36"/>
                <w:sz w:val="14"/>
              </w:rPr>
              <w:t>2,317,664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direct costs</w:t>
            </w:r>
          </w:p>
        </w:tc>
      </w:tr>
      <w:tr>
        <w:trPr>
          <w:cantSplit w:val="true"/>
        </w:trPr>
        <w:tc>
          <w:tcPr>
            <w:tcW w:type="dxa" w:w="2088"/>
          </w:tcPr>
          <w:p>
            <w:pPr>
              <w:spacing w:after="20" w:before="0" w:line="240" w:lineRule="auto"/>
            </w:pPr>
            <w:r>
              <w:rPr>
                <w:color w:val="1C3A36"/>
                <w:sz w:val="14"/>
              </w:rPr>
              <w:t>h1 25 dc</w:t>
            </w:r>
          </w:p>
        </w:tc>
        <w:tc>
          <w:tcPr>
            <w:tcW w:type="dxa" w:w="1238"/>
          </w:tcPr>
          <w:p>
            <w:pPr>
              <w:spacing w:after="20" w:before="0" w:line="240" w:lineRule="auto"/>
              <w:jc w:val="right"/>
            </w:pPr>
            <w:r>
              <w:rPr>
                <w:color w:val="1C3A36"/>
                <w:sz w:val="14"/>
              </w:rPr>
              <w:t>1,900,726</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direct costs, prior-period comparative</w:t>
            </w:r>
          </w:p>
        </w:tc>
      </w:tr>
      <w:tr>
        <w:trPr>
          <w:cantSplit w:val="true"/>
        </w:trPr>
        <w:tc>
          <w:tcPr>
            <w:tcW w:type="dxa" w:w="2088"/>
          </w:tcPr>
          <w:p>
            <w:pPr>
              <w:spacing w:after="20" w:before="0" w:line="240" w:lineRule="auto"/>
            </w:pPr>
            <w:r>
              <w:rPr>
                <w:color w:val="1C3A36"/>
                <w:sz w:val="14"/>
              </w:rPr>
              <w:t>h1 26 gp</w:t>
            </w:r>
          </w:p>
        </w:tc>
        <w:tc>
          <w:tcPr>
            <w:tcW w:type="dxa" w:w="1238"/>
          </w:tcPr>
          <w:p>
            <w:pPr>
              <w:spacing w:after="20" w:before="0" w:line="240" w:lineRule="auto"/>
              <w:jc w:val="right"/>
            </w:pPr>
            <w:r>
              <w:rPr>
                <w:color w:val="1C3A36"/>
                <w:sz w:val="14"/>
              </w:rPr>
              <w:t>1,349,010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gross profit</w:t>
            </w:r>
          </w:p>
        </w:tc>
      </w:tr>
      <w:tr>
        <w:trPr>
          <w:cantSplit w:val="true"/>
        </w:trPr>
        <w:tc>
          <w:tcPr>
            <w:tcW w:type="dxa" w:w="2088"/>
          </w:tcPr>
          <w:p>
            <w:pPr>
              <w:spacing w:after="20" w:before="0" w:line="240" w:lineRule="auto"/>
            </w:pPr>
            <w:r>
              <w:rPr>
                <w:color w:val="1C3A36"/>
                <w:sz w:val="14"/>
              </w:rPr>
              <w:t>h1 25 gp</w:t>
            </w:r>
          </w:p>
        </w:tc>
        <w:tc>
          <w:tcPr>
            <w:tcW w:type="dxa" w:w="1238"/>
          </w:tcPr>
          <w:p>
            <w:pPr>
              <w:spacing w:after="20" w:before="0" w:line="240" w:lineRule="auto"/>
              <w:jc w:val="right"/>
            </w:pPr>
            <w:r>
              <w:rPr>
                <w:color w:val="1C3A36"/>
                <w:sz w:val="14"/>
              </w:rPr>
              <w:t>538,210</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gross profit, prior-period comparative</w:t>
            </w:r>
          </w:p>
        </w:tc>
      </w:tr>
      <w:tr>
        <w:trPr>
          <w:cantSplit w:val="true"/>
        </w:trPr>
        <w:tc>
          <w:tcPr>
            <w:tcW w:type="dxa" w:w="2088"/>
          </w:tcPr>
          <w:p>
            <w:pPr>
              <w:spacing w:after="20" w:before="0" w:line="240" w:lineRule="auto"/>
            </w:pPr>
            <w:r>
              <w:rPr>
                <w:color w:val="1C3A36"/>
                <w:sz w:val="14"/>
              </w:rPr>
              <w:t>h1 26 ga</w:t>
            </w:r>
          </w:p>
        </w:tc>
        <w:tc>
          <w:tcPr>
            <w:tcW w:type="dxa" w:w="1238"/>
          </w:tcPr>
          <w:p>
            <w:pPr>
              <w:spacing w:after="20" w:before="0" w:line="240" w:lineRule="auto"/>
              <w:jc w:val="right"/>
            </w:pPr>
            <w:r>
              <w:rPr>
                <w:color w:val="1C3A36"/>
                <w:sz w:val="14"/>
              </w:rPr>
              <w:t>133,051</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general and administrative expenses</w:t>
            </w:r>
          </w:p>
        </w:tc>
      </w:tr>
      <w:tr>
        <w:trPr>
          <w:cantSplit w:val="true"/>
        </w:trPr>
        <w:tc>
          <w:tcPr>
            <w:tcW w:type="dxa" w:w="2088"/>
          </w:tcPr>
          <w:p>
            <w:pPr>
              <w:spacing w:after="20" w:before="0" w:line="240" w:lineRule="auto"/>
            </w:pPr>
            <w:r>
              <w:rPr>
                <w:color w:val="1C3A36"/>
                <w:sz w:val="14"/>
              </w:rPr>
              <w:t>h1 26 ecl</w:t>
            </w:r>
          </w:p>
        </w:tc>
        <w:tc>
          <w:tcPr>
            <w:tcW w:type="dxa" w:w="1238"/>
          </w:tcPr>
          <w:p>
            <w:pPr>
              <w:spacing w:after="20" w:before="0" w:line="240" w:lineRule="auto"/>
              <w:jc w:val="right"/>
            </w:pPr>
            <w:r>
              <w:rPr>
                <w:color w:val="1C3A36"/>
                <w:sz w:val="14"/>
              </w:rPr>
              <w:t>48,212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provision for expected credit losses</w:t>
            </w:r>
          </w:p>
        </w:tc>
      </w:tr>
      <w:tr>
        <w:trPr>
          <w:cantSplit w:val="true"/>
        </w:trPr>
        <w:tc>
          <w:tcPr>
            <w:tcW w:type="dxa" w:w="2088"/>
          </w:tcPr>
          <w:p>
            <w:pPr>
              <w:spacing w:after="20" w:before="0" w:line="240" w:lineRule="auto"/>
            </w:pPr>
            <w:r>
              <w:rPr>
                <w:color w:val="1C3A36"/>
                <w:sz w:val="14"/>
              </w:rPr>
              <w:t>h1 26 oth inc</w:t>
            </w:r>
          </w:p>
        </w:tc>
        <w:tc>
          <w:tcPr>
            <w:tcW w:type="dxa" w:w="1238"/>
          </w:tcPr>
          <w:p>
            <w:pPr>
              <w:spacing w:after="20" w:before="0" w:line="240" w:lineRule="auto"/>
              <w:jc w:val="right"/>
            </w:pPr>
            <w:r>
              <w:rPr>
                <w:color w:val="1C3A36"/>
                <w:sz w:val="14"/>
              </w:rPr>
              <w:t>34,413</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other income</w:t>
            </w:r>
          </w:p>
        </w:tc>
      </w:tr>
      <w:tr>
        <w:trPr>
          <w:cantSplit w:val="true"/>
        </w:trPr>
        <w:tc>
          <w:tcPr>
            <w:tcW w:type="dxa" w:w="2088"/>
          </w:tcPr>
          <w:p>
            <w:pPr>
              <w:spacing w:after="20" w:before="0" w:line="240" w:lineRule="auto"/>
            </w:pPr>
            <w:r>
              <w:rPr>
                <w:color w:val="1C3A36"/>
                <w:sz w:val="14"/>
              </w:rPr>
              <w:t>h1 26 oth exp</w:t>
            </w:r>
          </w:p>
        </w:tc>
        <w:tc>
          <w:tcPr>
            <w:tcW w:type="dxa" w:w="1238"/>
          </w:tcPr>
          <w:p>
            <w:pPr>
              <w:spacing w:after="20" w:before="0" w:line="240" w:lineRule="auto"/>
              <w:jc w:val="right"/>
            </w:pPr>
            <w:r>
              <w:rPr>
                <w:color w:val="1C3A36"/>
                <w:sz w:val="14"/>
              </w:rPr>
              <w:t>27,933</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other expenses</w:t>
            </w:r>
          </w:p>
        </w:tc>
      </w:tr>
      <w:tr>
        <w:trPr>
          <w:cantSplit w:val="true"/>
        </w:trPr>
        <w:tc>
          <w:tcPr>
            <w:tcW w:type="dxa" w:w="2088"/>
          </w:tcPr>
          <w:p>
            <w:pPr>
              <w:spacing w:after="20" w:before="0" w:line="240" w:lineRule="auto"/>
            </w:pPr>
            <w:r>
              <w:rPr>
                <w:color w:val="1C3A36"/>
                <w:sz w:val="14"/>
              </w:rPr>
              <w:t>h1 26 op</w:t>
            </w:r>
          </w:p>
        </w:tc>
        <w:tc>
          <w:tcPr>
            <w:tcW w:type="dxa" w:w="1238"/>
          </w:tcPr>
          <w:p>
            <w:pPr>
              <w:spacing w:after="20" w:before="0" w:line="240" w:lineRule="auto"/>
              <w:jc w:val="right"/>
            </w:pPr>
            <w:r>
              <w:rPr>
                <w:color w:val="1C3A36"/>
                <w:sz w:val="14"/>
              </w:rPr>
              <w:t>1,174,227</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profit</w:t>
            </w:r>
          </w:p>
        </w:tc>
      </w:tr>
      <w:tr>
        <w:trPr>
          <w:cantSplit w:val="true"/>
        </w:trPr>
        <w:tc>
          <w:tcPr>
            <w:tcW w:type="dxa" w:w="2088"/>
          </w:tcPr>
          <w:p>
            <w:pPr>
              <w:spacing w:after="20" w:before="0" w:line="240" w:lineRule="auto"/>
            </w:pPr>
            <w:r>
              <w:rPr>
                <w:color w:val="1C3A36"/>
                <w:sz w:val="14"/>
              </w:rPr>
              <w:t>h1 25 op</w:t>
            </w:r>
          </w:p>
        </w:tc>
        <w:tc>
          <w:tcPr>
            <w:tcW w:type="dxa" w:w="1238"/>
          </w:tcPr>
          <w:p>
            <w:pPr>
              <w:spacing w:after="20" w:before="0" w:line="240" w:lineRule="auto"/>
              <w:jc w:val="right"/>
            </w:pPr>
            <w:r>
              <w:rPr>
                <w:color w:val="1C3A36"/>
                <w:sz w:val="14"/>
              </w:rPr>
              <w:t>462,585</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profit, prior-period comparative</w:t>
            </w:r>
          </w:p>
        </w:tc>
      </w:tr>
      <w:tr>
        <w:trPr>
          <w:cantSplit w:val="true"/>
        </w:trPr>
        <w:tc>
          <w:tcPr>
            <w:tcW w:type="dxa" w:w="2088"/>
          </w:tcPr>
          <w:p>
            <w:pPr>
              <w:spacing w:after="20" w:before="0" w:line="240" w:lineRule="auto"/>
            </w:pPr>
            <w:r>
              <w:rPr>
                <w:color w:val="1C3A36"/>
                <w:sz w:val="14"/>
              </w:rPr>
              <w:t>h1 26 jv</w:t>
            </w:r>
          </w:p>
        </w:tc>
        <w:tc>
          <w:tcPr>
            <w:tcW w:type="dxa" w:w="1238"/>
          </w:tcPr>
          <w:p>
            <w:pPr>
              <w:spacing w:after="20" w:before="0" w:line="240" w:lineRule="auto"/>
              <w:jc w:val="right"/>
            </w:pPr>
            <w:r>
              <w:rPr>
                <w:color w:val="1C3A36"/>
                <w:sz w:val="14"/>
              </w:rPr>
              <w:t>38,520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share of profit from joint ventures and associates</w:t>
            </w:r>
          </w:p>
        </w:tc>
      </w:tr>
      <w:tr>
        <w:trPr>
          <w:cantSplit w:val="true"/>
        </w:trPr>
        <w:tc>
          <w:tcPr>
            <w:tcW w:type="dxa" w:w="2088"/>
          </w:tcPr>
          <w:p>
            <w:pPr>
              <w:spacing w:after="20" w:before="0" w:line="240" w:lineRule="auto"/>
            </w:pPr>
            <w:r>
              <w:rPr>
                <w:color w:val="1C3A36"/>
                <w:sz w:val="14"/>
              </w:rPr>
              <w:t>h1 26 fin inc</w:t>
            </w:r>
          </w:p>
        </w:tc>
        <w:tc>
          <w:tcPr>
            <w:tcW w:type="dxa" w:w="1238"/>
          </w:tcPr>
          <w:p>
            <w:pPr>
              <w:spacing w:after="20" w:before="0" w:line="240" w:lineRule="auto"/>
              <w:jc w:val="right"/>
            </w:pPr>
            <w:r>
              <w:rPr>
                <w:color w:val="1C3A36"/>
                <w:sz w:val="14"/>
              </w:rPr>
              <w:t>5,763</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finance income</w:t>
            </w:r>
          </w:p>
        </w:tc>
      </w:tr>
      <w:tr>
        <w:trPr>
          <w:cantSplit w:val="true"/>
        </w:trPr>
        <w:tc>
          <w:tcPr>
            <w:tcW w:type="dxa" w:w="2088"/>
          </w:tcPr>
          <w:p>
            <w:pPr>
              <w:spacing w:after="20" w:before="0" w:line="240" w:lineRule="auto"/>
            </w:pPr>
            <w:r>
              <w:rPr>
                <w:color w:val="1C3A36"/>
                <w:sz w:val="14"/>
              </w:rPr>
              <w:t>h1 26 fin cost</w:t>
            </w:r>
          </w:p>
        </w:tc>
        <w:tc>
          <w:tcPr>
            <w:tcW w:type="dxa" w:w="1238"/>
          </w:tcPr>
          <w:p>
            <w:pPr>
              <w:spacing w:after="20" w:before="0" w:line="240" w:lineRule="auto"/>
              <w:jc w:val="right"/>
            </w:pPr>
            <w:r>
              <w:rPr>
                <w:color w:val="1C3A36"/>
                <w:sz w:val="14"/>
              </w:rPr>
              <w:t>18,636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finance costs</w:t>
            </w:r>
          </w:p>
        </w:tc>
      </w:tr>
      <w:tr>
        <w:trPr>
          <w:cantSplit w:val="true"/>
        </w:trPr>
        <w:tc>
          <w:tcPr>
            <w:tcW w:type="dxa" w:w="2088"/>
          </w:tcPr>
          <w:p>
            <w:pPr>
              <w:spacing w:after="20" w:before="0" w:line="240" w:lineRule="auto"/>
            </w:pPr>
            <w:r>
              <w:rPr>
                <w:color w:val="1C3A36"/>
                <w:sz w:val="14"/>
              </w:rPr>
              <w:t>h1 26 pbt</w:t>
            </w:r>
          </w:p>
        </w:tc>
        <w:tc>
          <w:tcPr>
            <w:tcW w:type="dxa" w:w="1238"/>
          </w:tcPr>
          <w:p>
            <w:pPr>
              <w:spacing w:after="20" w:before="0" w:line="240" w:lineRule="auto"/>
              <w:jc w:val="right"/>
            </w:pPr>
            <w:r>
              <w:rPr>
                <w:color w:val="1C3A36"/>
                <w:sz w:val="14"/>
              </w:rPr>
              <w:t>1,199,874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profit before income tax</w:t>
            </w:r>
          </w:p>
        </w:tc>
      </w:tr>
      <w:tr>
        <w:trPr>
          <w:cantSplit w:val="true"/>
        </w:trPr>
        <w:tc>
          <w:tcPr>
            <w:tcW w:type="dxa" w:w="2088"/>
          </w:tcPr>
          <w:p>
            <w:pPr>
              <w:spacing w:after="20" w:before="0" w:line="240" w:lineRule="auto"/>
            </w:pPr>
            <w:r>
              <w:rPr>
                <w:color w:val="1C3A36"/>
                <w:sz w:val="14"/>
              </w:rPr>
              <w:t>h1 26 tax</w:t>
            </w:r>
          </w:p>
        </w:tc>
        <w:tc>
          <w:tcPr>
            <w:tcW w:type="dxa" w:w="1238"/>
          </w:tcPr>
          <w:p>
            <w:pPr>
              <w:spacing w:after="20" w:before="0" w:line="240" w:lineRule="auto"/>
              <w:jc w:val="right"/>
            </w:pPr>
            <w:r>
              <w:rPr>
                <w:color w:val="1C3A36"/>
                <w:sz w:val="14"/>
              </w:rPr>
              <w:t>27,398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current tax expense</w:t>
            </w:r>
          </w:p>
        </w:tc>
      </w:tr>
      <w:tr>
        <w:trPr>
          <w:cantSplit w:val="true"/>
        </w:trPr>
        <w:tc>
          <w:tcPr>
            <w:tcW w:type="dxa" w:w="2088"/>
          </w:tcPr>
          <w:p>
            <w:pPr>
              <w:spacing w:after="20" w:before="0" w:line="240" w:lineRule="auto"/>
            </w:pPr>
            <w:r>
              <w:rPr>
                <w:color w:val="1C3A36"/>
                <w:sz w:val="14"/>
              </w:rPr>
              <w:t>h1 26 dtax cr</w:t>
            </w:r>
          </w:p>
        </w:tc>
        <w:tc>
          <w:tcPr>
            <w:tcW w:type="dxa" w:w="1238"/>
          </w:tcPr>
          <w:p>
            <w:pPr>
              <w:spacing w:after="20" w:before="0" w:line="240" w:lineRule="auto"/>
              <w:jc w:val="right"/>
            </w:pPr>
            <w:r>
              <w:rPr>
                <w:color w:val="1C3A36"/>
                <w:sz w:val="14"/>
              </w:rPr>
              <w:t>456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deferred tax credit</w:t>
            </w:r>
          </w:p>
        </w:tc>
      </w:tr>
      <w:tr>
        <w:trPr>
          <w:cantSplit w:val="true"/>
        </w:trPr>
        <w:tc>
          <w:tcPr>
            <w:tcW w:type="dxa" w:w="2088"/>
          </w:tcPr>
          <w:p>
            <w:pPr>
              <w:spacing w:after="20" w:before="0" w:line="240" w:lineRule="auto"/>
            </w:pPr>
            <w:r>
              <w:rPr>
                <w:color w:val="1C3A36"/>
                <w:sz w:val="14"/>
              </w:rPr>
              <w:t>h1 26 pat</w:t>
            </w:r>
          </w:p>
        </w:tc>
        <w:tc>
          <w:tcPr>
            <w:tcW w:type="dxa" w:w="1238"/>
          </w:tcPr>
          <w:p>
            <w:pPr>
              <w:spacing w:after="20" w:before="0" w:line="240" w:lineRule="auto"/>
              <w:jc w:val="right"/>
            </w:pPr>
            <w:r>
              <w:rPr>
                <w:color w:val="1C3A36"/>
                <w:sz w:val="14"/>
              </w:rPr>
              <w:t>1,172,932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profit for the period</w:t>
            </w:r>
          </w:p>
        </w:tc>
      </w:tr>
      <w:tr>
        <w:trPr>
          <w:cantSplit w:val="true"/>
        </w:trPr>
        <w:tc>
          <w:tcPr>
            <w:tcW w:type="dxa" w:w="2088"/>
          </w:tcPr>
          <w:p>
            <w:pPr>
              <w:spacing w:after="20" w:before="0" w:line="240" w:lineRule="auto"/>
            </w:pPr>
            <w:r>
              <w:rPr>
                <w:color w:val="1C3A36"/>
                <w:sz w:val="14"/>
              </w:rPr>
              <w:t>h1 25 pat</w:t>
            </w:r>
          </w:p>
        </w:tc>
        <w:tc>
          <w:tcPr>
            <w:tcW w:type="dxa" w:w="1238"/>
          </w:tcPr>
          <w:p>
            <w:pPr>
              <w:spacing w:after="20" w:before="0" w:line="240" w:lineRule="auto"/>
              <w:jc w:val="right"/>
            </w:pPr>
            <w:r>
              <w:rPr>
                <w:color w:val="1C3A36"/>
                <w:sz w:val="14"/>
              </w:rPr>
              <w:t>420,388</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profit for the period, prior-period comparative</w:t>
            </w:r>
          </w:p>
        </w:tc>
      </w:tr>
      <w:tr>
        <w:trPr>
          <w:cantSplit w:val="true"/>
        </w:trPr>
        <w:tc>
          <w:tcPr>
            <w:tcW w:type="dxa" w:w="2088"/>
          </w:tcPr>
          <w:p>
            <w:pPr>
              <w:spacing w:after="20" w:before="0" w:line="240" w:lineRule="auto"/>
            </w:pPr>
            <w:r>
              <w:rPr>
                <w:color w:val="1C3A36"/>
                <w:sz w:val="14"/>
              </w:rPr>
              <w:t>h1 26 npa</w:t>
            </w:r>
          </w:p>
        </w:tc>
        <w:tc>
          <w:tcPr>
            <w:tcW w:type="dxa" w:w="1238"/>
          </w:tcPr>
          <w:p>
            <w:pPr>
              <w:spacing w:after="20" w:before="0" w:line="240" w:lineRule="auto"/>
              <w:jc w:val="right"/>
            </w:pPr>
            <w:r>
              <w:rPr>
                <w:color w:val="1C3A36"/>
                <w:sz w:val="14"/>
              </w:rPr>
              <w:t>1,119,717</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attributable to equity holders of the Company</w:t>
            </w:r>
          </w:p>
        </w:tc>
      </w:tr>
      <w:tr>
        <w:trPr>
          <w:cantSplit w:val="true"/>
        </w:trPr>
        <w:tc>
          <w:tcPr>
            <w:tcW w:type="dxa" w:w="2088"/>
          </w:tcPr>
          <w:p>
            <w:pPr>
              <w:spacing w:after="20" w:before="0" w:line="240" w:lineRule="auto"/>
            </w:pPr>
            <w:r>
              <w:rPr>
                <w:color w:val="1C3A36"/>
                <w:sz w:val="14"/>
              </w:rPr>
              <w:t>h1 25 npa</w:t>
            </w:r>
          </w:p>
        </w:tc>
        <w:tc>
          <w:tcPr>
            <w:tcW w:type="dxa" w:w="1238"/>
          </w:tcPr>
          <w:p>
            <w:pPr>
              <w:spacing w:after="20" w:before="0" w:line="240" w:lineRule="auto"/>
              <w:jc w:val="right"/>
            </w:pPr>
            <w:r>
              <w:rPr>
                <w:color w:val="1C3A36"/>
                <w:sz w:val="14"/>
              </w:rPr>
              <w:t>409,301</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attributable to equity holders, comparative</w:t>
            </w:r>
          </w:p>
        </w:tc>
      </w:tr>
      <w:tr>
        <w:trPr>
          <w:cantSplit w:val="true"/>
        </w:trPr>
        <w:tc>
          <w:tcPr>
            <w:tcW w:type="dxa" w:w="2088"/>
          </w:tcPr>
          <w:p>
            <w:pPr>
              <w:spacing w:after="20" w:before="0" w:line="240" w:lineRule="auto"/>
            </w:pPr>
            <w:r>
              <w:rPr>
                <w:color w:val="1C3A36"/>
                <w:sz w:val="14"/>
              </w:rPr>
              <w:t>h1 26 nci profit</w:t>
            </w:r>
          </w:p>
        </w:tc>
        <w:tc>
          <w:tcPr>
            <w:tcW w:type="dxa" w:w="1238"/>
          </w:tcPr>
          <w:p>
            <w:pPr>
              <w:spacing w:after="20" w:before="0" w:line="240" w:lineRule="auto"/>
              <w:jc w:val="right"/>
            </w:pPr>
            <w:r>
              <w:rPr>
                <w:color w:val="1C3A36"/>
                <w:sz w:val="14"/>
              </w:rPr>
              <w:t>53,215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profit attributable to non-controlling interests</w:t>
            </w:r>
          </w:p>
        </w:tc>
      </w:tr>
      <w:tr>
        <w:trPr>
          <w:cantSplit w:val="true"/>
        </w:trPr>
        <w:tc>
          <w:tcPr>
            <w:tcW w:type="dxa" w:w="2088"/>
          </w:tcPr>
          <w:p>
            <w:pPr>
              <w:spacing w:after="20" w:before="0" w:line="240" w:lineRule="auto"/>
            </w:pPr>
            <w:r>
              <w:rPr>
                <w:color w:val="1C3A36"/>
                <w:sz w:val="14"/>
              </w:rPr>
              <w:t>h1 26 dep ppe</w:t>
            </w:r>
          </w:p>
        </w:tc>
        <w:tc>
          <w:tcPr>
            <w:tcW w:type="dxa" w:w="1238"/>
          </w:tcPr>
          <w:p>
            <w:pPr>
              <w:spacing w:after="20" w:before="0" w:line="240" w:lineRule="auto"/>
              <w:jc w:val="right"/>
            </w:pPr>
            <w:r>
              <w:rPr>
                <w:color w:val="1C3A36"/>
                <w:sz w:val="14"/>
              </w:rPr>
              <w:t>205,640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depreciation on property, plant and equipment</w:t>
            </w:r>
          </w:p>
        </w:tc>
      </w:tr>
      <w:tr>
        <w:trPr>
          <w:cantSplit w:val="true"/>
        </w:trPr>
        <w:tc>
          <w:tcPr>
            <w:tcW w:type="dxa" w:w="2088"/>
          </w:tcPr>
          <w:p>
            <w:pPr>
              <w:spacing w:after="20" w:before="0" w:line="240" w:lineRule="auto"/>
            </w:pPr>
            <w:r>
              <w:rPr>
                <w:color w:val="1C3A36"/>
                <w:sz w:val="14"/>
              </w:rPr>
              <w:t>h1 26 dep ip</w:t>
            </w:r>
          </w:p>
        </w:tc>
        <w:tc>
          <w:tcPr>
            <w:tcW w:type="dxa" w:w="1238"/>
          </w:tcPr>
          <w:p>
            <w:pPr>
              <w:spacing w:after="20" w:before="0" w:line="240" w:lineRule="auto"/>
              <w:jc w:val="right"/>
            </w:pPr>
            <w:r>
              <w:rPr>
                <w:color w:val="1C3A36"/>
                <w:sz w:val="14"/>
              </w:rPr>
              <w:t>2,724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depreciation on investment properties</w:t>
            </w:r>
          </w:p>
        </w:tc>
      </w:tr>
      <w:tr>
        <w:trPr>
          <w:cantSplit w:val="true"/>
        </w:trPr>
        <w:tc>
          <w:tcPr>
            <w:tcW w:type="dxa" w:w="2088"/>
          </w:tcPr>
          <w:p>
            <w:pPr>
              <w:spacing w:after="20" w:before="0" w:line="240" w:lineRule="auto"/>
            </w:pPr>
            <w:r>
              <w:rPr>
                <w:color w:val="1C3A36"/>
                <w:sz w:val="14"/>
              </w:rPr>
              <w:t>h1 26 dep rou</w:t>
            </w:r>
          </w:p>
        </w:tc>
        <w:tc>
          <w:tcPr>
            <w:tcW w:type="dxa" w:w="1238"/>
          </w:tcPr>
          <w:p>
            <w:pPr>
              <w:spacing w:after="20" w:before="0" w:line="240" w:lineRule="auto"/>
              <w:jc w:val="right"/>
            </w:pPr>
            <w:r>
              <w:rPr>
                <w:color w:val="1C3A36"/>
                <w:sz w:val="14"/>
              </w:rPr>
              <w:t>48,445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depreciation on right-of-use assets</w:t>
            </w:r>
          </w:p>
        </w:tc>
      </w:tr>
      <w:tr>
        <w:trPr>
          <w:cantSplit w:val="true"/>
        </w:trPr>
        <w:tc>
          <w:tcPr>
            <w:tcW w:type="dxa" w:w="2088"/>
          </w:tcPr>
          <w:p>
            <w:pPr>
              <w:spacing w:after="20" w:before="0" w:line="240" w:lineRule="auto"/>
            </w:pPr>
            <w:r>
              <w:rPr>
                <w:color w:val="1C3A36"/>
                <w:sz w:val="14"/>
              </w:rPr>
              <w:t>h1 26 amort</w:t>
            </w:r>
          </w:p>
        </w:tc>
        <w:tc>
          <w:tcPr>
            <w:tcW w:type="dxa" w:w="1238"/>
          </w:tcPr>
          <w:p>
            <w:pPr>
              <w:spacing w:after="20" w:before="0" w:line="240" w:lineRule="auto"/>
              <w:jc w:val="right"/>
            </w:pPr>
            <w:r>
              <w:rPr>
                <w:color w:val="1C3A36"/>
                <w:sz w:val="14"/>
              </w:rPr>
              <w:t>5,312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amortisation of intangible assets</w:t>
            </w:r>
          </w:p>
        </w:tc>
      </w:tr>
      <w:tr>
        <w:trPr>
          <w:cantSplit w:val="true"/>
        </w:trPr>
        <w:tc>
          <w:tcPr>
            <w:tcW w:type="dxa" w:w="2088"/>
          </w:tcPr>
          <w:p>
            <w:pPr>
              <w:spacing w:after="20" w:before="0" w:line="240" w:lineRule="auto"/>
            </w:pPr>
            <w:r>
              <w:rPr>
                <w:color w:val="1C3A36"/>
                <w:sz w:val="14"/>
              </w:rPr>
              <w:t>h1 26 impair</w:t>
            </w:r>
          </w:p>
        </w:tc>
        <w:tc>
          <w:tcPr>
            <w:tcW w:type="dxa" w:w="1238"/>
          </w:tcPr>
          <w:p>
            <w:pPr>
              <w:spacing w:after="20" w:before="0" w:line="240" w:lineRule="auto"/>
              <w:jc w:val="right"/>
            </w:pPr>
            <w:r>
              <w:rPr>
                <w:color w:val="1C3A36"/>
                <w:sz w:val="14"/>
              </w:rPr>
              <w:t>14,880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impairment losses on property, plant and equipment</w:t>
            </w:r>
          </w:p>
        </w:tc>
      </w:tr>
      <w:tr>
        <w:trPr>
          <w:cantSplit w:val="true"/>
        </w:trPr>
        <w:tc>
          <w:tcPr>
            <w:tcW w:type="dxa" w:w="2088"/>
          </w:tcPr>
          <w:p>
            <w:pPr>
              <w:spacing w:after="20" w:before="0" w:line="240" w:lineRule="auto"/>
            </w:pPr>
            <w:r>
              <w:rPr>
                <w:color w:val="1C3A36"/>
                <w:sz w:val="14"/>
              </w:rPr>
              <w:t>h1 26 capex</w:t>
            </w:r>
          </w:p>
        </w:tc>
        <w:tc>
          <w:tcPr>
            <w:tcW w:type="dxa" w:w="1238"/>
          </w:tcPr>
          <w:p>
            <w:pPr>
              <w:spacing w:after="20" w:before="0" w:line="240" w:lineRule="auto"/>
              <w:jc w:val="right"/>
            </w:pPr>
            <w:r>
              <w:rPr>
                <w:color w:val="1C3A36"/>
                <w:sz w:val="14"/>
              </w:rPr>
              <w:t>547,217</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purchase of property, plant and equipment</w:t>
            </w:r>
          </w:p>
        </w:tc>
      </w:tr>
      <w:tr>
        <w:trPr>
          <w:cantSplit w:val="true"/>
        </w:trPr>
        <w:tc>
          <w:tcPr>
            <w:tcW w:type="dxa" w:w="2088"/>
          </w:tcPr>
          <w:p>
            <w:pPr>
              <w:spacing w:after="20" w:before="0" w:line="240" w:lineRule="auto"/>
            </w:pPr>
            <w:r>
              <w:rPr>
                <w:color w:val="1C3A36"/>
                <w:sz w:val="14"/>
              </w:rPr>
              <w:t>h1 26 ppe additions</w:t>
            </w:r>
          </w:p>
        </w:tc>
        <w:tc>
          <w:tcPr>
            <w:tcW w:type="dxa" w:w="1238"/>
          </w:tcPr>
          <w:p>
            <w:pPr>
              <w:spacing w:after="20" w:before="0" w:line="240" w:lineRule="auto"/>
              <w:jc w:val="right"/>
            </w:pPr>
            <w:r>
              <w:rPr>
                <w:color w:val="1C3A36"/>
                <w:sz w:val="14"/>
              </w:rPr>
              <w:t>463,814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note 4, additions to property, plant and equipment</w:t>
            </w:r>
          </w:p>
        </w:tc>
      </w:tr>
      <w:tr>
        <w:trPr>
          <w:cantSplit w:val="true"/>
        </w:trPr>
        <w:tc>
          <w:tcPr>
            <w:tcW w:type="dxa" w:w="2088"/>
          </w:tcPr>
          <w:p>
            <w:pPr>
              <w:spacing w:after="20" w:before="0" w:line="240" w:lineRule="auto"/>
            </w:pPr>
            <w:r>
              <w:rPr>
                <w:color w:val="1C3A36"/>
                <w:sz w:val="14"/>
              </w:rPr>
              <w:t>h1 26 ppe cost</w:t>
            </w:r>
          </w:p>
        </w:tc>
        <w:tc>
          <w:tcPr>
            <w:tcW w:type="dxa" w:w="1238"/>
          </w:tcPr>
          <w:p>
            <w:pPr>
              <w:spacing w:after="20" w:before="0" w:line="240" w:lineRule="auto"/>
              <w:jc w:val="right"/>
            </w:pPr>
            <w:r>
              <w:rPr>
                <w:color w:val="1C3A36"/>
                <w:sz w:val="14"/>
              </w:rPr>
              <w:t>8,453,284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note 4, gross cost of property, plant and equipment at 30 June 2026</w:t>
            </w:r>
          </w:p>
        </w:tc>
      </w:tr>
      <w:tr>
        <w:trPr>
          <w:cantSplit w:val="true"/>
        </w:trPr>
        <w:tc>
          <w:tcPr>
            <w:tcW w:type="dxa" w:w="2088"/>
          </w:tcPr>
          <w:p>
            <w:pPr>
              <w:spacing w:after="20" w:before="0" w:line="240" w:lineRule="auto"/>
            </w:pPr>
            <w:r>
              <w:rPr>
                <w:color w:val="1C3A36"/>
                <w:sz w:val="14"/>
              </w:rPr>
              <w:t>h1 26 ocf</w:t>
            </w:r>
          </w:p>
        </w:tc>
        <w:tc>
          <w:tcPr>
            <w:tcW w:type="dxa" w:w="1238"/>
          </w:tcPr>
          <w:p>
            <w:pPr>
              <w:spacing w:after="20" w:before="0" w:line="240" w:lineRule="auto"/>
              <w:jc w:val="right"/>
            </w:pPr>
            <w:r>
              <w:rPr>
                <w:color w:val="1C3A36"/>
                <w:sz w:val="14"/>
              </w:rPr>
              <w:t>1,164,364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net cash generated from operating activities</w:t>
            </w:r>
          </w:p>
        </w:tc>
      </w:tr>
      <w:tr>
        <w:trPr>
          <w:cantSplit w:val="true"/>
        </w:trPr>
        <w:tc>
          <w:tcPr>
            <w:tcW w:type="dxa" w:w="2088"/>
          </w:tcPr>
          <w:p>
            <w:pPr>
              <w:spacing w:after="20" w:before="0" w:line="240" w:lineRule="auto"/>
            </w:pPr>
            <w:r>
              <w:rPr>
                <w:color w:val="1C3A36"/>
                <w:sz w:val="14"/>
              </w:rPr>
              <w:t>h1 26 wc</w:t>
            </w:r>
          </w:p>
        </w:tc>
        <w:tc>
          <w:tcPr>
            <w:tcW w:type="dxa" w:w="1238"/>
          </w:tcPr>
          <w:p>
            <w:pPr>
              <w:spacing w:after="20" w:before="0" w:line="240" w:lineRule="auto"/>
              <w:jc w:val="right"/>
            </w:pPr>
            <w:r>
              <w:rPr>
                <w:color w:val="1C3A36"/>
                <w:sz w:val="14"/>
              </w:rPr>
              <w:t>-302,614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working capital movements in the cash flow statement, the sum of inventories, trade and other receivables, due from related parties, trade and other payables and due to related parties</w:t>
            </w:r>
          </w:p>
        </w:tc>
      </w:tr>
      <w:tr>
        <w:trPr>
          <w:cantSplit w:val="true"/>
        </w:trPr>
        <w:tc>
          <w:tcPr>
            <w:tcW w:type="dxa" w:w="2088"/>
          </w:tcPr>
          <w:p>
            <w:pPr>
              <w:spacing w:after="20" w:before="0" w:line="240" w:lineRule="auto"/>
            </w:pPr>
            <w:r>
              <w:rPr>
                <w:color w:val="1C3A36"/>
                <w:sz w:val="14"/>
              </w:rPr>
              <w:t>h1 26 cash</w:t>
            </w:r>
          </w:p>
        </w:tc>
        <w:tc>
          <w:tcPr>
            <w:tcW w:type="dxa" w:w="1238"/>
          </w:tcPr>
          <w:p>
            <w:pPr>
              <w:spacing w:after="20" w:before="0" w:line="240" w:lineRule="auto"/>
              <w:jc w:val="right"/>
            </w:pPr>
            <w:r>
              <w:rPr>
                <w:color w:val="1C3A36"/>
                <w:sz w:val="14"/>
              </w:rPr>
              <w:t>542,682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cash and cash equivalents</w:t>
            </w:r>
          </w:p>
        </w:tc>
      </w:tr>
      <w:tr>
        <w:trPr>
          <w:cantSplit w:val="true"/>
        </w:trPr>
        <w:tc>
          <w:tcPr>
            <w:tcW w:type="dxa" w:w="2088"/>
          </w:tcPr>
          <w:p>
            <w:pPr>
              <w:spacing w:after="20" w:before="0" w:line="240" w:lineRule="auto"/>
            </w:pPr>
            <w:r>
              <w:rPr>
                <w:color w:val="1C3A36"/>
                <w:sz w:val="14"/>
              </w:rPr>
              <w:t>h1 26 ppe</w:t>
            </w:r>
          </w:p>
        </w:tc>
        <w:tc>
          <w:tcPr>
            <w:tcW w:type="dxa" w:w="1238"/>
          </w:tcPr>
          <w:p>
            <w:pPr>
              <w:spacing w:after="20" w:before="0" w:line="240" w:lineRule="auto"/>
              <w:jc w:val="right"/>
            </w:pPr>
            <w:r>
              <w:rPr>
                <w:color w:val="1C3A36"/>
                <w:sz w:val="14"/>
              </w:rPr>
              <w:t>7,041,588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property, plant and equipment</w:t>
            </w:r>
          </w:p>
        </w:tc>
      </w:tr>
      <w:tr>
        <w:trPr>
          <w:cantSplit w:val="true"/>
        </w:trPr>
        <w:tc>
          <w:tcPr>
            <w:tcW w:type="dxa" w:w="2088"/>
          </w:tcPr>
          <w:p>
            <w:pPr>
              <w:spacing w:after="20" w:before="0" w:line="240" w:lineRule="auto"/>
            </w:pPr>
            <w:r>
              <w:rPr>
                <w:color w:val="1C3A36"/>
                <w:sz w:val="14"/>
              </w:rPr>
              <w:t>h1 26 rou</w:t>
            </w:r>
          </w:p>
        </w:tc>
        <w:tc>
          <w:tcPr>
            <w:tcW w:type="dxa" w:w="1238"/>
          </w:tcPr>
          <w:p>
            <w:pPr>
              <w:spacing w:after="20" w:before="0" w:line="240" w:lineRule="auto"/>
              <w:jc w:val="right"/>
            </w:pPr>
            <w:r>
              <w:rPr>
                <w:color w:val="1C3A36"/>
                <w:sz w:val="14"/>
              </w:rPr>
              <w:t>242,860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right-of-use assets</w:t>
            </w:r>
          </w:p>
        </w:tc>
      </w:tr>
      <w:tr>
        <w:trPr>
          <w:cantSplit w:val="true"/>
        </w:trPr>
        <w:tc>
          <w:tcPr>
            <w:tcW w:type="dxa" w:w="2088"/>
          </w:tcPr>
          <w:p>
            <w:pPr>
              <w:spacing w:after="20" w:before="0" w:line="240" w:lineRule="auto"/>
            </w:pPr>
            <w:r>
              <w:rPr>
                <w:color w:val="1C3A36"/>
                <w:sz w:val="14"/>
              </w:rPr>
              <w:t>h1 26 intang</w:t>
            </w:r>
          </w:p>
        </w:tc>
        <w:tc>
          <w:tcPr>
            <w:tcW w:type="dxa" w:w="1238"/>
          </w:tcPr>
          <w:p>
            <w:pPr>
              <w:spacing w:after="20" w:before="0" w:line="240" w:lineRule="auto"/>
              <w:jc w:val="right"/>
            </w:pPr>
            <w:r>
              <w:rPr>
                <w:color w:val="1C3A36"/>
                <w:sz w:val="14"/>
              </w:rPr>
              <w:t>16,192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intangible assets</w:t>
            </w:r>
          </w:p>
        </w:tc>
      </w:tr>
      <w:tr>
        <w:trPr>
          <w:cantSplit w:val="true"/>
        </w:trPr>
        <w:tc>
          <w:tcPr>
            <w:tcW w:type="dxa" w:w="2088"/>
          </w:tcPr>
          <w:p>
            <w:pPr>
              <w:spacing w:after="20" w:before="0" w:line="240" w:lineRule="auto"/>
            </w:pPr>
            <w:r>
              <w:rPr>
                <w:color w:val="1C3A36"/>
                <w:sz w:val="14"/>
              </w:rPr>
              <w:t>h1 26 ip</w:t>
            </w:r>
          </w:p>
        </w:tc>
        <w:tc>
          <w:tcPr>
            <w:tcW w:type="dxa" w:w="1238"/>
          </w:tcPr>
          <w:p>
            <w:pPr>
              <w:spacing w:after="20" w:before="0" w:line="240" w:lineRule="auto"/>
              <w:jc w:val="right"/>
            </w:pPr>
            <w:r>
              <w:rPr>
                <w:color w:val="1C3A36"/>
                <w:sz w:val="14"/>
              </w:rPr>
              <w:t>87,199</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investment properties</w:t>
            </w:r>
          </w:p>
        </w:tc>
      </w:tr>
      <w:tr>
        <w:trPr>
          <w:cantSplit w:val="true"/>
        </w:trPr>
        <w:tc>
          <w:tcPr>
            <w:tcW w:type="dxa" w:w="2088"/>
          </w:tcPr>
          <w:p>
            <w:pPr>
              <w:spacing w:after="20" w:before="0" w:line="240" w:lineRule="auto"/>
            </w:pPr>
            <w:r>
              <w:rPr>
                <w:color w:val="1C3A36"/>
                <w:sz w:val="14"/>
              </w:rPr>
              <w:t>h1 26 jv bv</w:t>
            </w:r>
          </w:p>
        </w:tc>
        <w:tc>
          <w:tcPr>
            <w:tcW w:type="dxa" w:w="1238"/>
          </w:tcPr>
          <w:p>
            <w:pPr>
              <w:spacing w:after="20" w:before="0" w:line="240" w:lineRule="auto"/>
              <w:jc w:val="right"/>
            </w:pPr>
            <w:r>
              <w:rPr>
                <w:color w:val="1C3A36"/>
                <w:sz w:val="14"/>
              </w:rPr>
              <w:t>522,768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investment in joint ventures and associates</w:t>
            </w:r>
          </w:p>
        </w:tc>
      </w:tr>
      <w:tr>
        <w:trPr>
          <w:cantSplit w:val="true"/>
        </w:trPr>
        <w:tc>
          <w:tcPr>
            <w:tcW w:type="dxa" w:w="2088"/>
          </w:tcPr>
          <w:p>
            <w:pPr>
              <w:spacing w:after="20" w:before="0" w:line="240" w:lineRule="auto"/>
            </w:pPr>
            <w:r>
              <w:rPr>
                <w:color w:val="1C3A36"/>
                <w:sz w:val="14"/>
              </w:rPr>
              <w:t>h1 26 gw</w:t>
            </w:r>
          </w:p>
        </w:tc>
        <w:tc>
          <w:tcPr>
            <w:tcW w:type="dxa" w:w="1238"/>
          </w:tcPr>
          <w:p>
            <w:pPr>
              <w:spacing w:after="20" w:before="0" w:line="240" w:lineRule="auto"/>
              <w:jc w:val="right"/>
            </w:pPr>
            <w:r>
              <w:rPr>
                <w:color w:val="1C3A36"/>
                <w:sz w:val="14"/>
              </w:rPr>
              <w:t>51,368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goodwill</w:t>
            </w:r>
          </w:p>
        </w:tc>
      </w:tr>
      <w:tr>
        <w:trPr>
          <w:cantSplit w:val="true"/>
        </w:trPr>
        <w:tc>
          <w:tcPr>
            <w:tcW w:type="dxa" w:w="2088"/>
          </w:tcPr>
          <w:p>
            <w:pPr>
              <w:spacing w:after="20" w:before="0" w:line="240" w:lineRule="auto"/>
            </w:pPr>
            <w:r>
              <w:rPr>
                <w:color w:val="1C3A36"/>
                <w:sz w:val="14"/>
              </w:rPr>
              <w:t>h1 26 ta</w:t>
            </w:r>
          </w:p>
        </w:tc>
        <w:tc>
          <w:tcPr>
            <w:tcW w:type="dxa" w:w="1238"/>
          </w:tcPr>
          <w:p>
            <w:pPr>
              <w:spacing w:after="20" w:before="0" w:line="240" w:lineRule="auto"/>
              <w:jc w:val="right"/>
            </w:pPr>
            <w:r>
              <w:rPr>
                <w:color w:val="1C3A36"/>
                <w:sz w:val="14"/>
              </w:rPr>
              <w:t>10,808,133</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total assets</w:t>
            </w:r>
          </w:p>
        </w:tc>
      </w:tr>
      <w:tr>
        <w:trPr>
          <w:cantSplit w:val="true"/>
        </w:trPr>
        <w:tc>
          <w:tcPr>
            <w:tcW w:type="dxa" w:w="2088"/>
          </w:tcPr>
          <w:p>
            <w:pPr>
              <w:spacing w:after="20" w:before="0" w:line="240" w:lineRule="auto"/>
            </w:pPr>
            <w:r>
              <w:rPr>
                <w:color w:val="1C3A36"/>
                <w:sz w:val="14"/>
              </w:rPr>
              <w:t>h1 26 tl</w:t>
            </w:r>
          </w:p>
        </w:tc>
        <w:tc>
          <w:tcPr>
            <w:tcW w:type="dxa" w:w="1238"/>
          </w:tcPr>
          <w:p>
            <w:pPr>
              <w:spacing w:after="20" w:before="0" w:line="240" w:lineRule="auto"/>
              <w:jc w:val="right"/>
            </w:pPr>
            <w:r>
              <w:rPr>
                <w:color w:val="1C3A36"/>
                <w:sz w:val="14"/>
              </w:rPr>
              <w:t>2,657,251</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total liabilities</w:t>
            </w:r>
          </w:p>
        </w:tc>
      </w:tr>
      <w:tr>
        <w:trPr>
          <w:cantSplit w:val="true"/>
        </w:trPr>
        <w:tc>
          <w:tcPr>
            <w:tcW w:type="dxa" w:w="2088"/>
          </w:tcPr>
          <w:p>
            <w:pPr>
              <w:spacing w:after="20" w:before="0" w:line="240" w:lineRule="auto"/>
            </w:pPr>
            <w:r>
              <w:rPr>
                <w:color w:val="1C3A36"/>
                <w:sz w:val="14"/>
              </w:rPr>
              <w:t>h1 26 teq</w:t>
            </w:r>
          </w:p>
        </w:tc>
        <w:tc>
          <w:tcPr>
            <w:tcW w:type="dxa" w:w="1238"/>
          </w:tcPr>
          <w:p>
            <w:pPr>
              <w:spacing w:after="20" w:before="0" w:line="240" w:lineRule="auto"/>
              <w:jc w:val="right"/>
            </w:pPr>
            <w:r>
              <w:rPr>
                <w:color w:val="1C3A36"/>
                <w:sz w:val="14"/>
              </w:rPr>
              <w:t>8,150,882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total equity</w:t>
            </w:r>
          </w:p>
        </w:tc>
      </w:tr>
      <w:tr>
        <w:trPr>
          <w:cantSplit w:val="true"/>
        </w:trPr>
        <w:tc>
          <w:tcPr>
            <w:tcW w:type="dxa" w:w="2088"/>
          </w:tcPr>
          <w:p>
            <w:pPr>
              <w:spacing w:after="20" w:before="0" w:line="240" w:lineRule="auto"/>
            </w:pPr>
            <w:r>
              <w:rPr>
                <w:color w:val="1C3A36"/>
                <w:sz w:val="14"/>
              </w:rPr>
              <w:t>h1 26 eqp</w:t>
            </w:r>
          </w:p>
        </w:tc>
        <w:tc>
          <w:tcPr>
            <w:tcW w:type="dxa" w:w="1238"/>
          </w:tcPr>
          <w:p>
            <w:pPr>
              <w:spacing w:after="20" w:before="0" w:line="240" w:lineRule="auto"/>
              <w:jc w:val="right"/>
            </w:pPr>
            <w:r>
              <w:rPr>
                <w:color w:val="1C3A36"/>
                <w:sz w:val="14"/>
              </w:rPr>
              <w:t>5,883,066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equity attributable to owners of the Company</w:t>
            </w:r>
          </w:p>
        </w:tc>
      </w:tr>
      <w:tr>
        <w:trPr>
          <w:cantSplit w:val="true"/>
        </w:trPr>
        <w:tc>
          <w:tcPr>
            <w:tcW w:type="dxa" w:w="2088"/>
          </w:tcPr>
          <w:p>
            <w:pPr>
              <w:spacing w:after="20" w:before="0" w:line="240" w:lineRule="auto"/>
            </w:pPr>
            <w:r>
              <w:rPr>
                <w:color w:val="1C3A36"/>
                <w:sz w:val="14"/>
              </w:rPr>
              <w:t>h1 26 hybrid</w:t>
            </w:r>
          </w:p>
        </w:tc>
        <w:tc>
          <w:tcPr>
            <w:tcW w:type="dxa" w:w="1238"/>
          </w:tcPr>
          <w:p>
            <w:pPr>
              <w:spacing w:after="20" w:before="0" w:line="240" w:lineRule="auto"/>
              <w:jc w:val="right"/>
            </w:pPr>
            <w:r>
              <w:rPr>
                <w:color w:val="1C3A36"/>
                <w:sz w:val="14"/>
              </w:rPr>
              <w:t>1,978,619</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hybrid equity instrument</w:t>
            </w:r>
          </w:p>
        </w:tc>
      </w:tr>
      <w:tr>
        <w:trPr>
          <w:cantSplit w:val="true"/>
        </w:trPr>
        <w:tc>
          <w:tcPr>
            <w:tcW w:type="dxa" w:w="2088"/>
          </w:tcPr>
          <w:p>
            <w:pPr>
              <w:spacing w:after="20" w:before="0" w:line="240" w:lineRule="auto"/>
            </w:pPr>
            <w:r>
              <w:rPr>
                <w:color w:val="1C3A36"/>
                <w:sz w:val="14"/>
              </w:rPr>
              <w:t>h1 26 nci</w:t>
            </w:r>
          </w:p>
        </w:tc>
        <w:tc>
          <w:tcPr>
            <w:tcW w:type="dxa" w:w="1238"/>
          </w:tcPr>
          <w:p>
            <w:pPr>
              <w:spacing w:after="20" w:before="0" w:line="240" w:lineRule="auto"/>
              <w:jc w:val="right"/>
            </w:pPr>
            <w:r>
              <w:rPr>
                <w:color w:val="1C3A36"/>
                <w:sz w:val="14"/>
              </w:rPr>
              <w:t>289,197</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non-controlling interests</w:t>
            </w:r>
          </w:p>
        </w:tc>
      </w:tr>
      <w:tr>
        <w:trPr>
          <w:cantSplit w:val="true"/>
        </w:trPr>
        <w:tc>
          <w:tcPr>
            <w:tcW w:type="dxa" w:w="2088"/>
          </w:tcPr>
          <w:p>
            <w:pPr>
              <w:spacing w:after="20" w:before="0" w:line="240" w:lineRule="auto"/>
            </w:pPr>
            <w:r>
              <w:rPr>
                <w:color w:val="1C3A36"/>
                <w:sz w:val="14"/>
              </w:rPr>
              <w:t>h1 26 inventories</w:t>
            </w:r>
          </w:p>
        </w:tc>
        <w:tc>
          <w:tcPr>
            <w:tcW w:type="dxa" w:w="1238"/>
          </w:tcPr>
          <w:p>
            <w:pPr>
              <w:spacing w:after="20" w:before="0" w:line="240" w:lineRule="auto"/>
              <w:jc w:val="right"/>
            </w:pPr>
            <w:r>
              <w:rPr>
                <w:color w:val="1C3A36"/>
                <w:sz w:val="14"/>
              </w:rPr>
              <w:t>180,525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inventories</w:t>
            </w:r>
          </w:p>
        </w:tc>
      </w:tr>
      <w:tr>
        <w:trPr>
          <w:cantSplit w:val="true"/>
        </w:trPr>
        <w:tc>
          <w:tcPr>
            <w:tcW w:type="dxa" w:w="2088"/>
          </w:tcPr>
          <w:p>
            <w:pPr>
              <w:spacing w:after="20" w:before="0" w:line="240" w:lineRule="auto"/>
            </w:pPr>
            <w:r>
              <w:rPr>
                <w:color w:val="1C3A36"/>
                <w:sz w:val="14"/>
              </w:rPr>
              <w:t>h1 26 receivables</w:t>
            </w:r>
          </w:p>
        </w:tc>
        <w:tc>
          <w:tcPr>
            <w:tcW w:type="dxa" w:w="1238"/>
          </w:tcPr>
          <w:p>
            <w:pPr>
              <w:spacing w:after="20" w:before="0" w:line="240" w:lineRule="auto"/>
              <w:jc w:val="right"/>
            </w:pPr>
            <w:r>
              <w:rPr>
                <w:color w:val="1C3A36"/>
                <w:sz w:val="14"/>
              </w:rPr>
              <w:t>1,098,718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trade and other receivables</w:t>
            </w:r>
          </w:p>
        </w:tc>
      </w:tr>
      <w:tr>
        <w:trPr>
          <w:cantSplit w:val="true"/>
        </w:trPr>
        <w:tc>
          <w:tcPr>
            <w:tcW w:type="dxa" w:w="2088"/>
          </w:tcPr>
          <w:p>
            <w:pPr>
              <w:spacing w:after="20" w:before="0" w:line="240" w:lineRule="auto"/>
            </w:pPr>
            <w:r>
              <w:rPr>
                <w:color w:val="1C3A36"/>
                <w:sz w:val="14"/>
              </w:rPr>
              <w:t>h1 26 due from</w:t>
            </w:r>
          </w:p>
        </w:tc>
        <w:tc>
          <w:tcPr>
            <w:tcW w:type="dxa" w:w="1238"/>
          </w:tcPr>
          <w:p>
            <w:pPr>
              <w:spacing w:after="20" w:before="0" w:line="240" w:lineRule="auto"/>
              <w:jc w:val="right"/>
            </w:pPr>
            <w:r>
              <w:rPr>
                <w:color w:val="1C3A36"/>
                <w:sz w:val="14"/>
              </w:rPr>
              <w:t>842,940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due from related parties</w:t>
            </w:r>
          </w:p>
        </w:tc>
      </w:tr>
      <w:tr>
        <w:trPr>
          <w:cantSplit w:val="true"/>
        </w:trPr>
        <w:tc>
          <w:tcPr>
            <w:tcW w:type="dxa" w:w="2088"/>
          </w:tcPr>
          <w:p>
            <w:pPr>
              <w:spacing w:after="20" w:before="0" w:line="240" w:lineRule="auto"/>
            </w:pPr>
            <w:r>
              <w:rPr>
                <w:color w:val="1C3A36"/>
                <w:sz w:val="14"/>
              </w:rPr>
              <w:t>h1 26 payables</w:t>
            </w:r>
          </w:p>
        </w:tc>
        <w:tc>
          <w:tcPr>
            <w:tcW w:type="dxa" w:w="1238"/>
          </w:tcPr>
          <w:p>
            <w:pPr>
              <w:spacing w:after="20" w:before="0" w:line="240" w:lineRule="auto"/>
              <w:jc w:val="right"/>
            </w:pPr>
            <w:r>
              <w:rPr>
                <w:color w:val="1C3A36"/>
                <w:sz w:val="14"/>
              </w:rPr>
              <w:t>990,496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trade and other payables</w:t>
            </w:r>
          </w:p>
        </w:tc>
      </w:tr>
      <w:tr>
        <w:trPr>
          <w:cantSplit w:val="true"/>
        </w:trPr>
        <w:tc>
          <w:tcPr>
            <w:tcW w:type="dxa" w:w="2088"/>
          </w:tcPr>
          <w:p>
            <w:pPr>
              <w:spacing w:after="20" w:before="0" w:line="240" w:lineRule="auto"/>
            </w:pPr>
            <w:r>
              <w:rPr>
                <w:color w:val="1C3A36"/>
                <w:sz w:val="14"/>
              </w:rPr>
              <w:t>h1 26 due to</w:t>
            </w:r>
          </w:p>
        </w:tc>
        <w:tc>
          <w:tcPr>
            <w:tcW w:type="dxa" w:w="1238"/>
          </w:tcPr>
          <w:p>
            <w:pPr>
              <w:spacing w:after="20" w:before="0" w:line="240" w:lineRule="auto"/>
              <w:jc w:val="right"/>
            </w:pPr>
            <w:r>
              <w:rPr>
                <w:color w:val="1C3A36"/>
                <w:sz w:val="14"/>
              </w:rPr>
              <w:t>413,670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due to related parties</w:t>
            </w:r>
          </w:p>
        </w:tc>
      </w:tr>
      <w:tr>
        <w:trPr>
          <w:cantSplit w:val="true"/>
        </w:trPr>
        <w:tc>
          <w:tcPr>
            <w:tcW w:type="dxa" w:w="2088"/>
          </w:tcPr>
          <w:p>
            <w:pPr>
              <w:spacing w:after="20" w:before="0" w:line="240" w:lineRule="auto"/>
            </w:pPr>
            <w:r>
              <w:rPr>
                <w:color w:val="1C3A36"/>
                <w:sz w:val="14"/>
              </w:rPr>
              <w:t>h1 26 shldr loan</w:t>
            </w:r>
          </w:p>
        </w:tc>
        <w:tc>
          <w:tcPr>
            <w:tcW w:type="dxa" w:w="1238"/>
          </w:tcPr>
          <w:p>
            <w:pPr>
              <w:spacing w:after="20" w:before="0" w:line="240" w:lineRule="auto"/>
              <w:jc w:val="right"/>
            </w:pPr>
            <w:r>
              <w:rPr>
                <w:color w:val="1C3A36"/>
                <w:sz w:val="14"/>
              </w:rPr>
              <w:t>125,000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shareholder loan, current</w:t>
            </w:r>
          </w:p>
        </w:tc>
      </w:tr>
      <w:tr>
        <w:trPr>
          <w:cantSplit w:val="true"/>
        </w:trPr>
        <w:tc>
          <w:tcPr>
            <w:tcW w:type="dxa" w:w="2088"/>
          </w:tcPr>
          <w:p>
            <w:pPr>
              <w:spacing w:after="20" w:before="0" w:line="240" w:lineRule="auto"/>
            </w:pPr>
            <w:r>
              <w:rPr>
                <w:color w:val="1C3A36"/>
                <w:sz w:val="14"/>
              </w:rPr>
              <w:t>h1 26 borrowings</w:t>
            </w:r>
          </w:p>
        </w:tc>
        <w:tc>
          <w:tcPr>
            <w:tcW w:type="dxa" w:w="1238"/>
          </w:tcPr>
          <w:p>
            <w:pPr>
              <w:spacing w:after="20" w:before="0" w:line="240" w:lineRule="auto"/>
              <w:jc w:val="right"/>
            </w:pPr>
            <w:r>
              <w:rPr>
                <w:color w:val="1C3A36"/>
                <w:sz w:val="14"/>
              </w:rPr>
              <w:t>431,353</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loans and other borrowings (non-current 317,248 and current 114,105)</w:t>
            </w:r>
          </w:p>
        </w:tc>
      </w:tr>
      <w:tr>
        <w:trPr>
          <w:cantSplit w:val="true"/>
        </w:trPr>
        <w:tc>
          <w:tcPr>
            <w:tcW w:type="dxa" w:w="2088"/>
          </w:tcPr>
          <w:p>
            <w:pPr>
              <w:spacing w:after="20" w:before="0" w:line="240" w:lineRule="auto"/>
            </w:pPr>
            <w:r>
              <w:rPr>
                <w:color w:val="1C3A36"/>
                <w:sz w:val="14"/>
              </w:rPr>
              <w:t>h1 26 leases</w:t>
            </w:r>
          </w:p>
        </w:tc>
        <w:tc>
          <w:tcPr>
            <w:tcW w:type="dxa" w:w="1238"/>
          </w:tcPr>
          <w:p>
            <w:pPr>
              <w:spacing w:after="20" w:before="0" w:line="240" w:lineRule="auto"/>
              <w:jc w:val="right"/>
            </w:pPr>
            <w:r>
              <w:rPr>
                <w:color w:val="1C3A36"/>
                <w:sz w:val="14"/>
              </w:rPr>
              <w:t>243,647</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lease liabilities (non-current 153,001 and current 90,646)</w:t>
            </w:r>
          </w:p>
        </w:tc>
      </w:tr>
      <w:tr>
        <w:trPr>
          <w:cantSplit w:val="true"/>
        </w:trPr>
        <w:tc>
          <w:tcPr>
            <w:tcW w:type="dxa" w:w="2088"/>
          </w:tcPr>
          <w:p>
            <w:pPr>
              <w:spacing w:after="20" w:before="0" w:line="240" w:lineRule="auto"/>
            </w:pPr>
            <w:r>
              <w:rPr>
                <w:color w:val="1C3A36"/>
                <w:sz w:val="14"/>
              </w:rPr>
              <w:t>h1 26 pcp</w:t>
            </w:r>
          </w:p>
        </w:tc>
        <w:tc>
          <w:tcPr>
            <w:tcW w:type="dxa" w:w="1238"/>
          </w:tcPr>
          <w:p>
            <w:pPr>
              <w:spacing w:after="20" w:before="0" w:line="240" w:lineRule="auto"/>
              <w:jc w:val="right"/>
            </w:pPr>
            <w:r>
              <w:rPr>
                <w:color w:val="1C3A36"/>
                <w:sz w:val="14"/>
              </w:rPr>
              <w:t>304,297</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purchase consideration payable on the staged acquisition, carried against the investment reserve</w:t>
            </w:r>
          </w:p>
        </w:tc>
      </w:tr>
      <w:tr>
        <w:trPr>
          <w:cantSplit w:val="true"/>
        </w:trPr>
        <w:tc>
          <w:tcPr>
            <w:tcW w:type="dxa" w:w="2088"/>
          </w:tcPr>
          <w:p>
            <w:pPr>
              <w:spacing w:after="20" w:before="0" w:line="240" w:lineRule="auto"/>
            </w:pPr>
            <w:r>
              <w:rPr>
                <w:color w:val="1C3A36"/>
                <w:sz w:val="14"/>
              </w:rPr>
              <w:t>h1 26 netdebt</w:t>
            </w:r>
          </w:p>
        </w:tc>
        <w:tc>
          <w:tcPr>
            <w:tcW w:type="dxa" w:w="1238"/>
          </w:tcPr>
          <w:p>
            <w:pPr>
              <w:spacing w:after="20" w:before="0" w:line="240" w:lineRule="auto"/>
              <w:jc w:val="right"/>
            </w:pPr>
            <w:r>
              <w:rPr>
                <w:color w:val="1C3A36"/>
                <w:sz w:val="14"/>
              </w:rPr>
              <w:t>257,318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Management Discussion and Analysis, First Half 2026 (11 Aug 2026) — net debt of USD 257 million. FOOTED RATHER THAN TAKEN: the stated definition names the shareholder loan and lease liabilities less cash and omits loans and other borrowings, and only including them reproduces the published figure — 125,000 + 243,647 + 431,353 − 542,682 = 257,318</w:t>
            </w:r>
          </w:p>
        </w:tc>
      </w:tr>
      <w:tr>
        <w:trPr>
          <w:cantSplit w:val="true"/>
        </w:trPr>
        <w:tc>
          <w:tcPr>
            <w:tcW w:type="dxa" w:w="2088"/>
          </w:tcPr>
          <w:p>
            <w:pPr>
              <w:spacing w:after="20" w:before="0" w:line="240" w:lineRule="auto"/>
            </w:pPr>
            <w:r>
              <w:rPr>
                <w:color w:val="1C3A36"/>
                <w:sz w:val="14"/>
              </w:rPr>
              <w:t>h1 26 fcf</w:t>
            </w:r>
          </w:p>
        </w:tc>
        <w:tc>
          <w:tcPr>
            <w:tcW w:type="dxa" w:w="1238"/>
          </w:tcPr>
          <w:p>
            <w:pPr>
              <w:spacing w:after="20" w:before="0" w:line="240" w:lineRule="auto"/>
              <w:jc w:val="right"/>
            </w:pPr>
            <w:r>
              <w:rPr>
                <w:color w:val="1C3A36"/>
                <w:sz w:val="14"/>
              </w:rPr>
              <w:t>598,095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Management Discussion and Analysis, First Half 2026 (11 Aug 2026) — free cash flow, earnings before interest, tax, depreciation and amortisation less working capital movements less income tax expense less capital expenditure; footed as 1,474,868 − 302,614 − 26,942 − 547,217</w:t>
            </w:r>
          </w:p>
        </w:tc>
      </w:tr>
      <w:tr>
        <w:trPr>
          <w:cantSplit w:val="true"/>
        </w:trPr>
        <w:tc>
          <w:tcPr>
            <w:tcW w:type="dxa" w:w="2088"/>
          </w:tcPr>
          <w:p>
            <w:pPr>
              <w:spacing w:after="20" w:before="0" w:line="240" w:lineRule="auto"/>
            </w:pPr>
            <w:r>
              <w:rPr>
                <w:color w:val="1C3A36"/>
                <w:sz w:val="14"/>
              </w:rPr>
              <w:t>q1 26 shldr loan</w:t>
            </w:r>
          </w:p>
        </w:tc>
        <w:tc>
          <w:tcPr>
            <w:tcW w:type="dxa" w:w="1238"/>
          </w:tcPr>
          <w:p>
            <w:pPr>
              <w:spacing w:after="20" w:before="0" w:line="240" w:lineRule="auto"/>
              <w:jc w:val="right"/>
            </w:pPr>
            <w:r>
              <w:rPr>
                <w:color w:val="1C3A36"/>
                <w:sz w:val="14"/>
              </w:rPr>
              <w:t>500,000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related-party note: unsecured revolving credit facility with the parent, closing balance after the January 2026 conversion, classified non-current</w:t>
            </w:r>
          </w:p>
        </w:tc>
      </w:tr>
      <w:tr>
        <w:trPr>
          <w:cantSplit w:val="true"/>
        </w:trPr>
        <w:tc>
          <w:tcPr>
            <w:tcW w:type="dxa" w:w="2088"/>
          </w:tcPr>
          <w:p>
            <w:pPr>
              <w:spacing w:after="20" w:before="0" w:line="240" w:lineRule="auto"/>
            </w:pPr>
            <w:r>
              <w:rPr>
                <w:color w:val="1C3A36"/>
                <w:sz w:val="14"/>
              </w:rPr>
              <w:t>q1 26 borrowings</w:t>
            </w:r>
          </w:p>
        </w:tc>
        <w:tc>
          <w:tcPr>
            <w:tcW w:type="dxa" w:w="1238"/>
          </w:tcPr>
          <w:p>
            <w:pPr>
              <w:spacing w:after="20" w:before="0" w:line="240" w:lineRule="auto"/>
              <w:jc w:val="right"/>
            </w:pPr>
            <w:r>
              <w:rPr>
                <w:color w:val="1C3A36"/>
                <w:sz w:val="14"/>
              </w:rPr>
              <w:t>402,763</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loans and other borrowings note (current 79,732 and non-current 323,031)</w:t>
            </w:r>
          </w:p>
        </w:tc>
      </w:tr>
      <w:tr>
        <w:trPr>
          <w:cantSplit w:val="true"/>
        </w:trPr>
        <w:tc>
          <w:tcPr>
            <w:tcW w:type="dxa" w:w="2088"/>
          </w:tcPr>
          <w:p>
            <w:pPr>
              <w:spacing w:after="20" w:before="0" w:line="240" w:lineRule="auto"/>
            </w:pPr>
            <w:r>
              <w:rPr>
                <w:color w:val="1C3A36"/>
                <w:sz w:val="14"/>
              </w:rPr>
              <w:t>q1 26 leases</w:t>
            </w:r>
          </w:p>
        </w:tc>
        <w:tc>
          <w:tcPr>
            <w:tcW w:type="dxa" w:w="1238"/>
          </w:tcPr>
          <w:p>
            <w:pPr>
              <w:spacing w:after="20" w:before="0" w:line="240" w:lineRule="auto"/>
              <w:jc w:val="right"/>
            </w:pPr>
            <w:r>
              <w:rPr>
                <w:color w:val="1C3A36"/>
                <w:sz w:val="14"/>
              </w:rPr>
              <w:t>212,449</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lease liabilities note (head-lease 208,186 plus sub-lease-related 4,263)</w:t>
            </w:r>
          </w:p>
        </w:tc>
      </w:tr>
      <w:tr>
        <w:trPr>
          <w:cantSplit w:val="true"/>
        </w:trPr>
        <w:tc>
          <w:tcPr>
            <w:tcW w:type="dxa" w:w="2088"/>
          </w:tcPr>
          <w:p>
            <w:pPr>
              <w:spacing w:after="20" w:before="0" w:line="240" w:lineRule="auto"/>
            </w:pPr>
            <w:r>
              <w:rPr>
                <w:color w:val="1C3A36"/>
                <w:sz w:val="14"/>
              </w:rPr>
              <w:t>q1 26 pcp</w:t>
            </w:r>
          </w:p>
        </w:tc>
        <w:tc>
          <w:tcPr>
            <w:tcW w:type="dxa" w:w="1238"/>
          </w:tcPr>
          <w:p>
            <w:pPr>
              <w:spacing w:after="20" w:before="0" w:line="240" w:lineRule="auto"/>
              <w:jc w:val="right"/>
            </w:pPr>
            <w:r>
              <w:rPr>
                <w:color w:val="1C3A36"/>
                <w:sz w:val="14"/>
              </w:rPr>
              <w:t>301,462</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deferred consideration on the staged acquisition, carried against the investment reserve</w:t>
            </w:r>
          </w:p>
        </w:tc>
      </w:tr>
      <w:tr>
        <w:trPr>
          <w:cantSplit w:val="true"/>
        </w:trPr>
        <w:tc>
          <w:tcPr>
            <w:tcW w:type="dxa" w:w="2088"/>
          </w:tcPr>
          <w:p>
            <w:pPr>
              <w:spacing w:after="20" w:before="0" w:line="240" w:lineRule="auto"/>
            </w:pPr>
            <w:r>
              <w:rPr>
                <w:color w:val="1C3A36"/>
                <w:sz w:val="14"/>
              </w:rPr>
              <w:t>shldr margin</w:t>
            </w:r>
          </w:p>
        </w:tc>
        <w:tc>
          <w:tcPr>
            <w:tcW w:type="dxa" w:w="1238"/>
          </w:tcPr>
          <w:p>
            <w:pPr>
              <w:spacing w:after="20" w:before="0" w:line="240" w:lineRule="auto"/>
              <w:jc w:val="right"/>
            </w:pPr>
            <w:r>
              <w:rPr>
                <w:color w:val="1C3A36"/>
                <w:sz w:val="14"/>
              </w:rPr>
              <w:t>0.80%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related-party note: interest charged at the secured overnight financing rate plus 0.80%</w:t>
            </w:r>
          </w:p>
        </w:tc>
      </w:tr>
      <w:tr>
        <w:trPr>
          <w:cantSplit w:val="true"/>
        </w:trPr>
        <w:tc>
          <w:tcPr>
            <w:tcW w:type="dxa" w:w="2088"/>
          </w:tcPr>
          <w:p>
            <w:pPr>
              <w:spacing w:after="20" w:before="0" w:line="240" w:lineRule="auto"/>
            </w:pPr>
            <w:r>
              <w:rPr>
                <w:color w:val="1C3A36"/>
                <w:sz w:val="14"/>
              </w:rPr>
              <w:t>bank loan lo</w:t>
            </w:r>
          </w:p>
        </w:tc>
        <w:tc>
          <w:tcPr>
            <w:tcW w:type="dxa" w:w="1238"/>
          </w:tcPr>
          <w:p>
            <w:pPr>
              <w:spacing w:after="20" w:before="0" w:line="240" w:lineRule="auto"/>
              <w:jc w:val="right"/>
            </w:pPr>
            <w:r>
              <w:rPr>
                <w:color w:val="1C3A36"/>
                <w:sz w:val="14"/>
              </w:rPr>
              <w:t>7.11%</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loans and other borrowings note, weighted average interest rate range for bank loans</w:t>
            </w:r>
          </w:p>
        </w:tc>
      </w:tr>
      <w:tr>
        <w:trPr>
          <w:cantSplit w:val="true"/>
        </w:trPr>
        <w:tc>
          <w:tcPr>
            <w:tcW w:type="dxa" w:w="2088"/>
          </w:tcPr>
          <w:p>
            <w:pPr>
              <w:spacing w:after="20" w:before="0" w:line="240" w:lineRule="auto"/>
            </w:pPr>
            <w:r>
              <w:rPr>
                <w:color w:val="1C3A36"/>
                <w:sz w:val="14"/>
              </w:rPr>
              <w:t>bank loan hi</w:t>
            </w:r>
          </w:p>
        </w:tc>
        <w:tc>
          <w:tcPr>
            <w:tcW w:type="dxa" w:w="1238"/>
          </w:tcPr>
          <w:p>
            <w:pPr>
              <w:spacing w:after="20" w:before="0" w:line="240" w:lineRule="auto"/>
              <w:jc w:val="right"/>
            </w:pPr>
            <w:r>
              <w:rPr>
                <w:color w:val="1C3A36"/>
                <w:sz w:val="14"/>
              </w:rPr>
              <w:t>7.55%</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loans and other borrowings note, weighted average interest rate range for bank loans</w:t>
            </w:r>
          </w:p>
        </w:tc>
      </w:tr>
      <w:tr>
        <w:trPr>
          <w:cantSplit w:val="true"/>
        </w:trPr>
        <w:tc>
          <w:tcPr>
            <w:tcW w:type="dxa" w:w="2088"/>
          </w:tcPr>
          <w:p>
            <w:pPr>
              <w:spacing w:after="20" w:before="0" w:line="240" w:lineRule="auto"/>
            </w:pPr>
            <w:r>
              <w:rPr>
                <w:color w:val="1C3A36"/>
                <w:sz w:val="14"/>
              </w:rPr>
              <w:t>other borr lo</w:t>
            </w:r>
          </w:p>
        </w:tc>
        <w:tc>
          <w:tcPr>
            <w:tcW w:type="dxa" w:w="1238"/>
          </w:tcPr>
          <w:p>
            <w:pPr>
              <w:spacing w:after="20" w:before="0" w:line="240" w:lineRule="auto"/>
              <w:jc w:val="right"/>
            </w:pPr>
            <w:r>
              <w:rPr>
                <w:color w:val="1C3A36"/>
                <w:sz w:val="14"/>
              </w:rPr>
              <w:t>4.36%</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loans and other borrowings note, weighted average interest rate range for other borrowings</w:t>
            </w:r>
          </w:p>
        </w:tc>
      </w:tr>
      <w:tr>
        <w:trPr>
          <w:cantSplit w:val="true"/>
        </w:trPr>
        <w:tc>
          <w:tcPr>
            <w:tcW w:type="dxa" w:w="2088"/>
          </w:tcPr>
          <w:p>
            <w:pPr>
              <w:spacing w:after="20" w:before="0" w:line="240" w:lineRule="auto"/>
            </w:pPr>
            <w:r>
              <w:rPr>
                <w:color w:val="1C3A36"/>
                <w:sz w:val="14"/>
              </w:rPr>
              <w:t>other borr hi</w:t>
            </w:r>
          </w:p>
        </w:tc>
        <w:tc>
          <w:tcPr>
            <w:tcW w:type="dxa" w:w="1238"/>
          </w:tcPr>
          <w:p>
            <w:pPr>
              <w:spacing w:after="20" w:before="0" w:line="240" w:lineRule="auto"/>
              <w:jc w:val="right"/>
            </w:pPr>
            <w:r>
              <w:rPr>
                <w:color w:val="1C3A36"/>
                <w:sz w:val="14"/>
              </w:rPr>
              <w:t>8.31%</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loans and other borrowings note, weighted average interest rate range for other borrowings</w:t>
            </w:r>
          </w:p>
        </w:tc>
      </w:tr>
      <w:tr>
        <w:trPr>
          <w:cantSplit w:val="true"/>
        </w:trPr>
        <w:tc>
          <w:tcPr>
            <w:tcW w:type="dxa" w:w="2088"/>
          </w:tcPr>
          <w:p>
            <w:pPr>
              <w:spacing w:after="20" w:before="0" w:line="240" w:lineRule="auto"/>
            </w:pPr>
            <w:r>
              <w:rPr>
                <w:color w:val="1C3A36"/>
                <w:sz w:val="14"/>
              </w:rPr>
              <w:t>hybrid margin</w:t>
            </w:r>
          </w:p>
        </w:tc>
        <w:tc>
          <w:tcPr>
            <w:tcW w:type="dxa" w:w="1238"/>
          </w:tcPr>
          <w:p>
            <w:pPr>
              <w:spacing w:after="20" w:before="0" w:line="240" w:lineRule="auto"/>
              <w:jc w:val="right"/>
            </w:pPr>
            <w:r>
              <w:rPr>
                <w:color w:val="1C3A36"/>
                <w:sz w:val="14"/>
              </w:rPr>
              <w:t>1.25%</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hybrid instrument note: perpetual capital securities priced at the secured overnight financing rate plus 125 basis points</w:t>
            </w:r>
          </w:p>
        </w:tc>
      </w:tr>
      <w:tr>
        <w:trPr>
          <w:cantSplit w:val="true"/>
        </w:trPr>
        <w:tc>
          <w:tcPr>
            <w:tcW w:type="dxa" w:w="2088"/>
          </w:tcPr>
          <w:p>
            <w:pPr>
              <w:spacing w:after="20" w:before="0" w:line="240" w:lineRule="auto"/>
            </w:pPr>
            <w:r>
              <w:rPr>
                <w:color w:val="1C3A36"/>
                <w:sz w:val="14"/>
              </w:rPr>
              <w:t>hybrid face</w:t>
            </w:r>
          </w:p>
        </w:tc>
        <w:tc>
          <w:tcPr>
            <w:tcW w:type="dxa" w:w="1238"/>
          </w:tcPr>
          <w:p>
            <w:pPr>
              <w:spacing w:after="20" w:before="0" w:line="240" w:lineRule="auto"/>
              <w:jc w:val="right"/>
            </w:pPr>
            <w:r>
              <w:rPr>
                <w:color w:val="1C3A36"/>
                <w:sz w:val="14"/>
              </w:rPr>
              <w:t>2,000,000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hybrid instrument note: USD 2.0 billion perpetual capital securities issued during 2025</w:t>
            </w:r>
          </w:p>
        </w:tc>
      </w:tr>
      <w:tr>
        <w:trPr>
          <w:cantSplit w:val="true"/>
        </w:trPr>
        <w:tc>
          <w:tcPr>
            <w:tcW w:type="dxa" w:w="2088"/>
          </w:tcPr>
          <w:p>
            <w:pPr>
              <w:spacing w:after="20" w:before="0" w:line="240" w:lineRule="auto"/>
            </w:pPr>
            <w:r>
              <w:rPr>
                <w:color w:val="1C3A36"/>
                <w:sz w:val="14"/>
              </w:rPr>
              <w:t>rcf committed</w:t>
            </w:r>
          </w:p>
        </w:tc>
        <w:tc>
          <w:tcPr>
            <w:tcW w:type="dxa" w:w="1238"/>
          </w:tcPr>
          <w:p>
            <w:pPr>
              <w:spacing w:after="20" w:before="0" w:line="240" w:lineRule="auto"/>
              <w:jc w:val="right"/>
            </w:pPr>
            <w:r>
              <w:rPr>
                <w:color w:val="1C3A36"/>
                <w:sz w:val="14"/>
              </w:rPr>
              <w:t>2,000,000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Condensed Consolidated Interim Financial Information, three months ended 31 March 2026 (reviewed) — related-party note: committed amount of the new revolving credit facility, with a further 600,000 incremental facility</w:t>
            </w:r>
          </w:p>
        </w:tc>
      </w:tr>
      <w:tr>
        <w:trPr>
          <w:cantSplit w:val="true"/>
        </w:trPr>
        <w:tc>
          <w:tcPr>
            <w:tcW w:type="dxa" w:w="2088"/>
          </w:tcPr>
          <w:p>
            <w:pPr>
              <w:spacing w:after="20" w:before="0" w:line="240" w:lineRule="auto"/>
            </w:pPr>
            <w:r>
              <w:rPr>
                <w:color w:val="1C3A36"/>
                <w:sz w:val="14"/>
              </w:rPr>
              <w:t>seg rev offshore contracting fy23</w:t>
            </w:r>
          </w:p>
        </w:tc>
        <w:tc>
          <w:tcPr>
            <w:tcW w:type="dxa" w:w="1238"/>
          </w:tcPr>
          <w:p>
            <w:pPr>
              <w:spacing w:after="20" w:before="0" w:line="240" w:lineRule="auto"/>
              <w:jc w:val="right"/>
            </w:pPr>
            <w:r>
              <w:rPr>
                <w:color w:val="1C3A36"/>
                <w:sz w:val="14"/>
              </w:rPr>
              <w:t>974,525</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offshore contracting fy23</w:t>
            </w:r>
          </w:p>
        </w:tc>
        <w:tc>
          <w:tcPr>
            <w:tcW w:type="dxa" w:w="1238"/>
          </w:tcPr>
          <w:p>
            <w:pPr>
              <w:spacing w:after="20" w:before="0" w:line="240" w:lineRule="auto"/>
              <w:jc w:val="right"/>
            </w:pPr>
            <w:r>
              <w:rPr>
                <w:color w:val="1C3A36"/>
                <w:sz w:val="14"/>
              </w:rPr>
              <w:t>-599,472</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offshore contracting fy23</w:t>
            </w:r>
          </w:p>
        </w:tc>
        <w:tc>
          <w:tcPr>
            <w:tcW w:type="dxa" w:w="1238"/>
          </w:tcPr>
          <w:p>
            <w:pPr>
              <w:spacing w:after="20" w:before="0" w:line="240" w:lineRule="auto"/>
              <w:jc w:val="right"/>
            </w:pPr>
            <w:r>
              <w:rPr>
                <w:color w:val="1C3A36"/>
                <w:sz w:val="14"/>
              </w:rPr>
              <w:t>424,419</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offshore contracting fy23</w:t>
            </w:r>
          </w:p>
        </w:tc>
        <w:tc>
          <w:tcPr>
            <w:tcW w:type="dxa" w:w="1238"/>
          </w:tcPr>
          <w:p>
            <w:pPr>
              <w:spacing w:after="20" w:before="0" w:line="240" w:lineRule="auto"/>
              <w:jc w:val="right"/>
            </w:pPr>
            <w:r>
              <w:rPr>
                <w:color w:val="1C3A36"/>
                <w:sz w:val="14"/>
              </w:rPr>
              <w:t>326,352</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offshore contracting fy24</w:t>
            </w:r>
          </w:p>
        </w:tc>
        <w:tc>
          <w:tcPr>
            <w:tcW w:type="dxa" w:w="1238"/>
          </w:tcPr>
          <w:p>
            <w:pPr>
              <w:spacing w:after="20" w:before="0" w:line="240" w:lineRule="auto"/>
              <w:jc w:val="right"/>
            </w:pPr>
            <w:r>
              <w:rPr>
                <w:color w:val="1C3A36"/>
                <w:sz w:val="14"/>
              </w:rPr>
              <w:t>1,108,200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offshore contracting fy24</w:t>
            </w:r>
          </w:p>
        </w:tc>
        <w:tc>
          <w:tcPr>
            <w:tcW w:type="dxa" w:w="1238"/>
          </w:tcPr>
          <w:p>
            <w:pPr>
              <w:spacing w:after="20" w:before="0" w:line="240" w:lineRule="auto"/>
              <w:jc w:val="right"/>
            </w:pPr>
            <w:r>
              <w:rPr>
                <w:color w:val="1C3A36"/>
                <w:sz w:val="14"/>
              </w:rPr>
              <w:t>-691,714</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offshore contracting fy24</w:t>
            </w:r>
          </w:p>
        </w:tc>
        <w:tc>
          <w:tcPr>
            <w:tcW w:type="dxa" w:w="1238"/>
          </w:tcPr>
          <w:p>
            <w:pPr>
              <w:spacing w:after="20" w:before="0" w:line="240" w:lineRule="auto"/>
              <w:jc w:val="right"/>
            </w:pPr>
            <w:r>
              <w:rPr>
                <w:color w:val="1C3A36"/>
                <w:sz w:val="14"/>
              </w:rPr>
              <w:t>497,703</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offshore contracting fy24</w:t>
            </w:r>
          </w:p>
        </w:tc>
        <w:tc>
          <w:tcPr>
            <w:tcW w:type="dxa" w:w="1238"/>
          </w:tcPr>
          <w:p>
            <w:pPr>
              <w:spacing w:after="20" w:before="0" w:line="240" w:lineRule="auto"/>
              <w:jc w:val="right"/>
            </w:pPr>
            <w:r>
              <w:rPr>
                <w:color w:val="1C3A36"/>
                <w:sz w:val="14"/>
              </w:rPr>
              <w:t>369,764</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offshore contracting fy25</w:t>
            </w:r>
          </w:p>
        </w:tc>
        <w:tc>
          <w:tcPr>
            <w:tcW w:type="dxa" w:w="1238"/>
          </w:tcPr>
          <w:p>
            <w:pPr>
              <w:spacing w:after="20" w:before="0" w:line="240" w:lineRule="auto"/>
              <w:jc w:val="right"/>
            </w:pPr>
            <w:r>
              <w:rPr>
                <w:color w:val="1C3A36"/>
                <w:sz w:val="14"/>
              </w:rPr>
              <w:t>1,368,875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dc offshore contracting fy25</w:t>
            </w:r>
          </w:p>
        </w:tc>
        <w:tc>
          <w:tcPr>
            <w:tcW w:type="dxa" w:w="1238"/>
          </w:tcPr>
          <w:p>
            <w:pPr>
              <w:spacing w:after="20" w:before="0" w:line="240" w:lineRule="auto"/>
              <w:jc w:val="right"/>
            </w:pPr>
            <w:r>
              <w:rPr>
                <w:color w:val="1C3A36"/>
                <w:sz w:val="14"/>
              </w:rPr>
              <w:t>-846,850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ebitda offshore contracting fy25</w:t>
            </w:r>
          </w:p>
        </w:tc>
        <w:tc>
          <w:tcPr>
            <w:tcW w:type="dxa" w:w="1238"/>
          </w:tcPr>
          <w:p>
            <w:pPr>
              <w:spacing w:after="20" w:before="0" w:line="240" w:lineRule="auto"/>
              <w:jc w:val="right"/>
            </w:pPr>
            <w:r>
              <w:rPr>
                <w:color w:val="1C3A36"/>
                <w:sz w:val="14"/>
              </w:rPr>
              <w:t>623,065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op offshore contracting fy25</w:t>
            </w:r>
          </w:p>
        </w:tc>
        <w:tc>
          <w:tcPr>
            <w:tcW w:type="dxa" w:w="1238"/>
          </w:tcPr>
          <w:p>
            <w:pPr>
              <w:spacing w:after="20" w:before="0" w:line="240" w:lineRule="auto"/>
              <w:jc w:val="right"/>
            </w:pPr>
            <w:r>
              <w:rPr>
                <w:color w:val="1C3A36"/>
                <w:sz w:val="14"/>
              </w:rPr>
              <w:t>471,698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ppe offshore contracting fy24</w:t>
            </w:r>
          </w:p>
        </w:tc>
        <w:tc>
          <w:tcPr>
            <w:tcW w:type="dxa" w:w="1238"/>
          </w:tcPr>
          <w:p>
            <w:pPr>
              <w:spacing w:after="20" w:before="0" w:line="240" w:lineRule="auto"/>
              <w:jc w:val="right"/>
            </w:pPr>
            <w:r>
              <w:rPr>
                <w:color w:val="1C3A36"/>
                <w:sz w:val="14"/>
              </w:rPr>
              <w:t>1,930,750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segment property, plant and equipment</w:t>
            </w:r>
          </w:p>
        </w:tc>
      </w:tr>
      <w:tr>
        <w:trPr>
          <w:cantSplit w:val="true"/>
        </w:trPr>
        <w:tc>
          <w:tcPr>
            <w:tcW w:type="dxa" w:w="2088"/>
          </w:tcPr>
          <w:p>
            <w:pPr>
              <w:spacing w:after="20" w:before="0" w:line="240" w:lineRule="auto"/>
            </w:pPr>
            <w:r>
              <w:rPr>
                <w:color w:val="1C3A36"/>
                <w:sz w:val="14"/>
              </w:rPr>
              <w:t>seg ppe offshore contracting fy25</w:t>
            </w:r>
          </w:p>
        </w:tc>
        <w:tc>
          <w:tcPr>
            <w:tcW w:type="dxa" w:w="1238"/>
          </w:tcPr>
          <w:p>
            <w:pPr>
              <w:spacing w:after="20" w:before="0" w:line="240" w:lineRule="auto"/>
              <w:jc w:val="right"/>
            </w:pPr>
            <w:r>
              <w:rPr>
                <w:color w:val="1C3A36"/>
                <w:sz w:val="14"/>
              </w:rPr>
              <w:t>1,998,956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segment property, plant and equipment</w:t>
            </w:r>
          </w:p>
        </w:tc>
      </w:tr>
      <w:tr>
        <w:trPr>
          <w:cantSplit w:val="true"/>
        </w:trPr>
        <w:tc>
          <w:tcPr>
            <w:tcW w:type="dxa" w:w="2088"/>
          </w:tcPr>
          <w:p>
            <w:pPr>
              <w:spacing w:after="20" w:before="0" w:line="240" w:lineRule="auto"/>
            </w:pPr>
            <w:r>
              <w:rPr>
                <w:color w:val="1C3A36"/>
                <w:sz w:val="14"/>
              </w:rPr>
              <w:t>seg rev offshore services fy23</w:t>
            </w:r>
          </w:p>
        </w:tc>
        <w:tc>
          <w:tcPr>
            <w:tcW w:type="dxa" w:w="1238"/>
          </w:tcPr>
          <w:p>
            <w:pPr>
              <w:spacing w:after="20" w:before="0" w:line="240" w:lineRule="auto"/>
              <w:jc w:val="right"/>
            </w:pPr>
            <w:r>
              <w:rPr>
                <w:color w:val="1C3A36"/>
                <w:sz w:val="14"/>
              </w:rPr>
              <w:t>500,751</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offshore services fy23</w:t>
            </w:r>
          </w:p>
        </w:tc>
        <w:tc>
          <w:tcPr>
            <w:tcW w:type="dxa" w:w="1238"/>
          </w:tcPr>
          <w:p>
            <w:pPr>
              <w:spacing w:after="20" w:before="0" w:line="240" w:lineRule="auto"/>
              <w:jc w:val="right"/>
            </w:pPr>
            <w:r>
              <w:rPr>
                <w:color w:val="1C3A36"/>
                <w:sz w:val="14"/>
              </w:rPr>
              <w:t>-430,122</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offshore services fy23</w:t>
            </w:r>
          </w:p>
        </w:tc>
        <w:tc>
          <w:tcPr>
            <w:tcW w:type="dxa" w:w="1238"/>
          </w:tcPr>
          <w:p>
            <w:pPr>
              <w:spacing w:after="20" w:before="0" w:line="240" w:lineRule="auto"/>
              <w:jc w:val="right"/>
            </w:pPr>
            <w:r>
              <w:rPr>
                <w:color w:val="1C3A36"/>
                <w:sz w:val="14"/>
              </w:rPr>
              <w:t>92,741</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offshore services fy23</w:t>
            </w:r>
          </w:p>
        </w:tc>
        <w:tc>
          <w:tcPr>
            <w:tcW w:type="dxa" w:w="1238"/>
          </w:tcPr>
          <w:p>
            <w:pPr>
              <w:spacing w:after="20" w:before="0" w:line="240" w:lineRule="auto"/>
              <w:jc w:val="right"/>
            </w:pPr>
            <w:r>
              <w:rPr>
                <w:color w:val="1C3A36"/>
                <w:sz w:val="14"/>
              </w:rPr>
              <w:t>49,859</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offshore services fy24</w:t>
            </w:r>
          </w:p>
        </w:tc>
        <w:tc>
          <w:tcPr>
            <w:tcW w:type="dxa" w:w="1238"/>
          </w:tcPr>
          <w:p>
            <w:pPr>
              <w:spacing w:after="20" w:before="0" w:line="240" w:lineRule="auto"/>
              <w:jc w:val="right"/>
            </w:pPr>
            <w:r>
              <w:rPr>
                <w:color w:val="1C3A36"/>
                <w:sz w:val="14"/>
              </w:rPr>
              <w:t>552,790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offshore services fy24</w:t>
            </w:r>
          </w:p>
        </w:tc>
        <w:tc>
          <w:tcPr>
            <w:tcW w:type="dxa" w:w="1238"/>
          </w:tcPr>
          <w:p>
            <w:pPr>
              <w:spacing w:after="20" w:before="0" w:line="240" w:lineRule="auto"/>
              <w:jc w:val="right"/>
            </w:pPr>
            <w:r>
              <w:rPr>
                <w:color w:val="1C3A36"/>
                <w:sz w:val="14"/>
              </w:rPr>
              <w:t>-451,840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offshore services fy24</w:t>
            </w:r>
          </w:p>
        </w:tc>
        <w:tc>
          <w:tcPr>
            <w:tcW w:type="dxa" w:w="1238"/>
          </w:tcPr>
          <w:p>
            <w:pPr>
              <w:spacing w:after="20" w:before="0" w:line="240" w:lineRule="auto"/>
              <w:jc w:val="right"/>
            </w:pPr>
            <w:r>
              <w:rPr>
                <w:color w:val="1C3A36"/>
                <w:sz w:val="14"/>
              </w:rPr>
              <w:t>134,880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offshore services fy24</w:t>
            </w:r>
          </w:p>
        </w:tc>
        <w:tc>
          <w:tcPr>
            <w:tcW w:type="dxa" w:w="1238"/>
          </w:tcPr>
          <w:p>
            <w:pPr>
              <w:spacing w:after="20" w:before="0" w:line="240" w:lineRule="auto"/>
              <w:jc w:val="right"/>
            </w:pPr>
            <w:r>
              <w:rPr>
                <w:color w:val="1C3A36"/>
                <w:sz w:val="14"/>
              </w:rPr>
              <w:t>83,840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offshore services fy25</w:t>
            </w:r>
          </w:p>
        </w:tc>
        <w:tc>
          <w:tcPr>
            <w:tcW w:type="dxa" w:w="1238"/>
          </w:tcPr>
          <w:p>
            <w:pPr>
              <w:spacing w:after="20" w:before="0" w:line="240" w:lineRule="auto"/>
              <w:jc w:val="right"/>
            </w:pPr>
            <w:r>
              <w:rPr>
                <w:color w:val="1C3A36"/>
                <w:sz w:val="14"/>
              </w:rPr>
              <w:t>628,915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dc offshore services fy25</w:t>
            </w:r>
          </w:p>
        </w:tc>
        <w:tc>
          <w:tcPr>
            <w:tcW w:type="dxa" w:w="1238"/>
          </w:tcPr>
          <w:p>
            <w:pPr>
              <w:spacing w:after="20" w:before="0" w:line="240" w:lineRule="auto"/>
              <w:jc w:val="right"/>
            </w:pPr>
            <w:r>
              <w:rPr>
                <w:color w:val="1C3A36"/>
                <w:sz w:val="14"/>
              </w:rPr>
              <w:t>-497,725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ebitda offshore services fy25</w:t>
            </w:r>
          </w:p>
        </w:tc>
        <w:tc>
          <w:tcPr>
            <w:tcW w:type="dxa" w:w="1238"/>
          </w:tcPr>
          <w:p>
            <w:pPr>
              <w:spacing w:after="20" w:before="0" w:line="240" w:lineRule="auto"/>
              <w:jc w:val="right"/>
            </w:pPr>
            <w:r>
              <w:rPr>
                <w:color w:val="1C3A36"/>
                <w:sz w:val="14"/>
              </w:rPr>
              <w:t>178,369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op offshore services fy25</w:t>
            </w:r>
          </w:p>
        </w:tc>
        <w:tc>
          <w:tcPr>
            <w:tcW w:type="dxa" w:w="1238"/>
          </w:tcPr>
          <w:p>
            <w:pPr>
              <w:spacing w:after="20" w:before="0" w:line="240" w:lineRule="auto"/>
              <w:jc w:val="right"/>
            </w:pPr>
            <w:r>
              <w:rPr>
                <w:color w:val="1C3A36"/>
                <w:sz w:val="14"/>
              </w:rPr>
              <w:t>115,406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ppe offshore services fy24</w:t>
            </w:r>
          </w:p>
        </w:tc>
        <w:tc>
          <w:tcPr>
            <w:tcW w:type="dxa" w:w="1238"/>
          </w:tcPr>
          <w:p>
            <w:pPr>
              <w:spacing w:after="20" w:before="0" w:line="240" w:lineRule="auto"/>
              <w:jc w:val="right"/>
            </w:pPr>
            <w:r>
              <w:rPr>
                <w:color w:val="1C3A36"/>
                <w:sz w:val="14"/>
              </w:rPr>
              <w:t>255,204</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segment property, plant and equipment</w:t>
            </w:r>
          </w:p>
        </w:tc>
      </w:tr>
      <w:tr>
        <w:trPr>
          <w:cantSplit w:val="true"/>
        </w:trPr>
        <w:tc>
          <w:tcPr>
            <w:tcW w:type="dxa" w:w="2088"/>
          </w:tcPr>
          <w:p>
            <w:pPr>
              <w:spacing w:after="20" w:before="0" w:line="240" w:lineRule="auto"/>
            </w:pPr>
            <w:r>
              <w:rPr>
                <w:color w:val="1C3A36"/>
                <w:sz w:val="14"/>
              </w:rPr>
              <w:t>seg ppe offshore services fy25</w:t>
            </w:r>
          </w:p>
        </w:tc>
        <w:tc>
          <w:tcPr>
            <w:tcW w:type="dxa" w:w="1238"/>
          </w:tcPr>
          <w:p>
            <w:pPr>
              <w:spacing w:after="20" w:before="0" w:line="240" w:lineRule="auto"/>
              <w:jc w:val="right"/>
            </w:pPr>
            <w:r>
              <w:rPr>
                <w:color w:val="1C3A36"/>
                <w:sz w:val="14"/>
              </w:rPr>
              <w:t>282,637</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segment property, plant and equipment</w:t>
            </w:r>
          </w:p>
        </w:tc>
      </w:tr>
      <w:tr>
        <w:trPr>
          <w:cantSplit w:val="true"/>
        </w:trPr>
        <w:tc>
          <w:tcPr>
            <w:tcW w:type="dxa" w:w="2088"/>
          </w:tcPr>
          <w:p>
            <w:pPr>
              <w:spacing w:after="20" w:before="0" w:line="240" w:lineRule="auto"/>
            </w:pPr>
            <w:r>
              <w:rPr>
                <w:color w:val="1C3A36"/>
                <w:sz w:val="14"/>
              </w:rPr>
              <w:t>seg rev offshore projects fy23</w:t>
            </w:r>
          </w:p>
        </w:tc>
        <w:tc>
          <w:tcPr>
            <w:tcW w:type="dxa" w:w="1238"/>
          </w:tcPr>
          <w:p>
            <w:pPr>
              <w:spacing w:after="20" w:before="0" w:line="240" w:lineRule="auto"/>
              <w:jc w:val="right"/>
            </w:pPr>
            <w:r>
              <w:rPr>
                <w:color w:val="1C3A36"/>
                <w:sz w:val="14"/>
              </w:rPr>
              <w:t>157,146</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offshore projects fy23</w:t>
            </w:r>
          </w:p>
        </w:tc>
        <w:tc>
          <w:tcPr>
            <w:tcW w:type="dxa" w:w="1238"/>
          </w:tcPr>
          <w:p>
            <w:pPr>
              <w:spacing w:after="20" w:before="0" w:line="240" w:lineRule="auto"/>
              <w:jc w:val="right"/>
            </w:pPr>
            <w:r>
              <w:rPr>
                <w:color w:val="1C3A36"/>
                <w:sz w:val="14"/>
              </w:rPr>
              <w:t>-147,641</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offshore projects fy23</w:t>
            </w:r>
          </w:p>
        </w:tc>
        <w:tc>
          <w:tcPr>
            <w:tcW w:type="dxa" w:w="1238"/>
          </w:tcPr>
          <w:p>
            <w:pPr>
              <w:spacing w:after="20" w:before="0" w:line="240" w:lineRule="auto"/>
              <w:jc w:val="right"/>
            </w:pPr>
            <w:r>
              <w:rPr>
                <w:color w:val="1C3A36"/>
                <w:sz w:val="14"/>
              </w:rPr>
              <w:t>10,439</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offshore projects fy23</w:t>
            </w:r>
          </w:p>
        </w:tc>
        <w:tc>
          <w:tcPr>
            <w:tcW w:type="dxa" w:w="1238"/>
          </w:tcPr>
          <w:p>
            <w:pPr>
              <w:spacing w:after="20" w:before="0" w:line="240" w:lineRule="auto"/>
              <w:jc w:val="right"/>
            </w:pPr>
            <w:r>
              <w:rPr>
                <w:color w:val="1C3A36"/>
                <w:sz w:val="14"/>
              </w:rPr>
              <w:t>8,500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offshore projects fy24</w:t>
            </w:r>
          </w:p>
        </w:tc>
        <w:tc>
          <w:tcPr>
            <w:tcW w:type="dxa" w:w="1238"/>
          </w:tcPr>
          <w:p>
            <w:pPr>
              <w:spacing w:after="20" w:before="0" w:line="240" w:lineRule="auto"/>
              <w:jc w:val="right"/>
            </w:pPr>
            <w:r>
              <w:rPr>
                <w:color w:val="1C3A36"/>
                <w:sz w:val="14"/>
              </w:rPr>
              <w:t>619,930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offshore projects fy24</w:t>
            </w:r>
          </w:p>
        </w:tc>
        <w:tc>
          <w:tcPr>
            <w:tcW w:type="dxa" w:w="1238"/>
          </w:tcPr>
          <w:p>
            <w:pPr>
              <w:spacing w:after="20" w:before="0" w:line="240" w:lineRule="auto"/>
              <w:jc w:val="right"/>
            </w:pPr>
            <w:r>
              <w:rPr>
                <w:color w:val="1C3A36"/>
                <w:sz w:val="14"/>
              </w:rPr>
              <w:t>-571,640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offshore projects fy24</w:t>
            </w:r>
          </w:p>
        </w:tc>
        <w:tc>
          <w:tcPr>
            <w:tcW w:type="dxa" w:w="1238"/>
          </w:tcPr>
          <w:p>
            <w:pPr>
              <w:spacing w:after="20" w:before="0" w:line="240" w:lineRule="auto"/>
              <w:jc w:val="right"/>
            </w:pPr>
            <w:r>
              <w:rPr>
                <w:color w:val="1C3A36"/>
                <w:sz w:val="14"/>
              </w:rPr>
              <w:t>54,240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offshore projects fy24</w:t>
            </w:r>
          </w:p>
        </w:tc>
        <w:tc>
          <w:tcPr>
            <w:tcW w:type="dxa" w:w="1238"/>
          </w:tcPr>
          <w:p>
            <w:pPr>
              <w:spacing w:after="20" w:before="0" w:line="240" w:lineRule="auto"/>
              <w:jc w:val="right"/>
            </w:pPr>
            <w:r>
              <w:rPr>
                <w:color w:val="1C3A36"/>
                <w:sz w:val="14"/>
              </w:rPr>
              <w:t>45,600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offshore projects fy25</w:t>
            </w:r>
          </w:p>
        </w:tc>
        <w:tc>
          <w:tcPr>
            <w:tcW w:type="dxa" w:w="1238"/>
          </w:tcPr>
          <w:p>
            <w:pPr>
              <w:spacing w:after="20" w:before="0" w:line="240" w:lineRule="auto"/>
              <w:jc w:val="right"/>
            </w:pPr>
            <w:r>
              <w:rPr>
                <w:color w:val="1C3A36"/>
                <w:sz w:val="14"/>
              </w:rPr>
              <w:t>531,333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dc offshore projects fy25</w:t>
            </w:r>
          </w:p>
        </w:tc>
        <w:tc>
          <w:tcPr>
            <w:tcW w:type="dxa" w:w="1238"/>
          </w:tcPr>
          <w:p>
            <w:pPr>
              <w:spacing w:after="20" w:before="0" w:line="240" w:lineRule="auto"/>
              <w:jc w:val="right"/>
            </w:pPr>
            <w:r>
              <w:rPr>
                <w:color w:val="1C3A36"/>
                <w:sz w:val="14"/>
              </w:rPr>
              <w:t>-510,647</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ebitda offshore projects fy25</w:t>
            </w:r>
          </w:p>
        </w:tc>
        <w:tc>
          <w:tcPr>
            <w:tcW w:type="dxa" w:w="1238"/>
          </w:tcPr>
          <w:p>
            <w:pPr>
              <w:spacing w:after="20" w:before="0" w:line="240" w:lineRule="auto"/>
              <w:jc w:val="right"/>
            </w:pPr>
            <w:r>
              <w:rPr>
                <w:color w:val="1C3A36"/>
                <w:sz w:val="14"/>
              </w:rPr>
              <w:t>28,024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op offshore projects fy25</w:t>
            </w:r>
          </w:p>
        </w:tc>
        <w:tc>
          <w:tcPr>
            <w:tcW w:type="dxa" w:w="1238"/>
          </w:tcPr>
          <w:p>
            <w:pPr>
              <w:spacing w:after="20" w:before="0" w:line="240" w:lineRule="auto"/>
              <w:jc w:val="right"/>
            </w:pPr>
            <w:r>
              <w:rPr>
                <w:color w:val="1C3A36"/>
                <w:sz w:val="14"/>
              </w:rPr>
              <w:t>19,164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ppe offshore projects fy24</w:t>
            </w:r>
          </w:p>
        </w:tc>
        <w:tc>
          <w:tcPr>
            <w:tcW w:type="dxa" w:w="1238"/>
          </w:tcPr>
          <w:p>
            <w:pPr>
              <w:spacing w:after="20" w:before="0" w:line="240" w:lineRule="auto"/>
              <w:jc w:val="right"/>
            </w:pPr>
            <w:r>
              <w:rPr>
                <w:color w:val="1C3A36"/>
                <w:sz w:val="14"/>
              </w:rPr>
              <w:t>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segment property, plant and equipment</w:t>
            </w:r>
          </w:p>
        </w:tc>
      </w:tr>
      <w:tr>
        <w:trPr>
          <w:cantSplit w:val="true"/>
        </w:trPr>
        <w:tc>
          <w:tcPr>
            <w:tcW w:type="dxa" w:w="2088"/>
          </w:tcPr>
          <w:p>
            <w:pPr>
              <w:spacing w:after="20" w:before="0" w:line="240" w:lineRule="auto"/>
            </w:pPr>
            <w:r>
              <w:rPr>
                <w:color w:val="1C3A36"/>
                <w:sz w:val="14"/>
              </w:rPr>
              <w:t>seg ppe offshore projects fy25</w:t>
            </w:r>
          </w:p>
        </w:tc>
        <w:tc>
          <w:tcPr>
            <w:tcW w:type="dxa" w:w="1238"/>
          </w:tcPr>
          <w:p>
            <w:pPr>
              <w:spacing w:after="20" w:before="0" w:line="240" w:lineRule="auto"/>
              <w:jc w:val="right"/>
            </w:pPr>
            <w:r>
              <w:rPr>
                <w:color w:val="1C3A36"/>
                <w:sz w:val="14"/>
              </w:rPr>
              <w:t>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segment property, plant and equipment</w:t>
            </w:r>
          </w:p>
        </w:tc>
      </w:tr>
      <w:tr>
        <w:trPr>
          <w:cantSplit w:val="true"/>
        </w:trPr>
        <w:tc>
          <w:tcPr>
            <w:tcW w:type="dxa" w:w="2088"/>
          </w:tcPr>
          <w:p>
            <w:pPr>
              <w:spacing w:after="20" w:before="0" w:line="240" w:lineRule="auto"/>
            </w:pPr>
            <w:r>
              <w:rPr>
                <w:color w:val="1C3A36"/>
                <w:sz w:val="14"/>
              </w:rPr>
              <w:t>seg rev tankers fy23</w:t>
            </w:r>
          </w:p>
        </w:tc>
        <w:tc>
          <w:tcPr>
            <w:tcW w:type="dxa" w:w="1238"/>
          </w:tcPr>
          <w:p>
            <w:pPr>
              <w:spacing w:after="20" w:before="0" w:line="240" w:lineRule="auto"/>
              <w:jc w:val="right"/>
            </w:pPr>
            <w:r>
              <w:rPr>
                <w:color w:val="1C3A36"/>
                <w:sz w:val="14"/>
              </w:rPr>
              <w:t>407,370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tankers fy23</w:t>
            </w:r>
          </w:p>
        </w:tc>
        <w:tc>
          <w:tcPr>
            <w:tcW w:type="dxa" w:w="1238"/>
          </w:tcPr>
          <w:p>
            <w:pPr>
              <w:spacing w:after="20" w:before="0" w:line="240" w:lineRule="auto"/>
              <w:jc w:val="right"/>
            </w:pPr>
            <w:r>
              <w:rPr>
                <w:color w:val="1C3A36"/>
                <w:sz w:val="14"/>
              </w:rPr>
              <w:t>-279,170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tankers fy23</w:t>
            </w:r>
          </w:p>
        </w:tc>
        <w:tc>
          <w:tcPr>
            <w:tcW w:type="dxa" w:w="1238"/>
          </w:tcPr>
          <w:p>
            <w:pPr>
              <w:spacing w:after="20" w:before="0" w:line="240" w:lineRule="auto"/>
              <w:jc w:val="right"/>
            </w:pPr>
            <w:r>
              <w:rPr>
                <w:color w:val="1C3A36"/>
                <w:sz w:val="14"/>
              </w:rPr>
              <w:t>159,260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tankers fy23</w:t>
            </w:r>
          </w:p>
        </w:tc>
        <w:tc>
          <w:tcPr>
            <w:tcW w:type="dxa" w:w="1238"/>
          </w:tcPr>
          <w:p>
            <w:pPr>
              <w:spacing w:after="20" w:before="0" w:line="240" w:lineRule="auto"/>
              <w:jc w:val="right"/>
            </w:pPr>
            <w:r>
              <w:rPr>
                <w:color w:val="1C3A36"/>
                <w:sz w:val="14"/>
              </w:rPr>
              <w:t>117,540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tankers fy24</w:t>
            </w:r>
          </w:p>
        </w:tc>
        <w:tc>
          <w:tcPr>
            <w:tcW w:type="dxa" w:w="1238"/>
          </w:tcPr>
          <w:p>
            <w:pPr>
              <w:spacing w:after="20" w:before="0" w:line="240" w:lineRule="auto"/>
              <w:jc w:val="right"/>
            </w:pPr>
            <w:r>
              <w:rPr>
                <w:color w:val="1C3A36"/>
                <w:sz w:val="14"/>
              </w:rPr>
              <w:t>516,530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tankers fy24</w:t>
            </w:r>
          </w:p>
        </w:tc>
        <w:tc>
          <w:tcPr>
            <w:tcW w:type="dxa" w:w="1238"/>
          </w:tcPr>
          <w:p>
            <w:pPr>
              <w:spacing w:after="20" w:before="0" w:line="240" w:lineRule="auto"/>
              <w:jc w:val="right"/>
            </w:pPr>
            <w:r>
              <w:rPr>
                <w:color w:val="1C3A36"/>
                <w:sz w:val="14"/>
              </w:rPr>
              <w:t>-310,630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tankers fy24</w:t>
            </w:r>
          </w:p>
        </w:tc>
        <w:tc>
          <w:tcPr>
            <w:tcW w:type="dxa" w:w="1238"/>
          </w:tcPr>
          <w:p>
            <w:pPr>
              <w:spacing w:after="20" w:before="0" w:line="240" w:lineRule="auto"/>
              <w:jc w:val="right"/>
            </w:pPr>
            <w:r>
              <w:rPr>
                <w:color w:val="1C3A36"/>
                <w:sz w:val="14"/>
              </w:rPr>
              <w:t>239,700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tankers fy24</w:t>
            </w:r>
          </w:p>
        </w:tc>
        <w:tc>
          <w:tcPr>
            <w:tcW w:type="dxa" w:w="1238"/>
          </w:tcPr>
          <w:p>
            <w:pPr>
              <w:spacing w:after="20" w:before="0" w:line="240" w:lineRule="auto"/>
              <w:jc w:val="right"/>
            </w:pPr>
            <w:r>
              <w:rPr>
                <w:color w:val="1C3A36"/>
                <w:sz w:val="14"/>
              </w:rPr>
              <w:t>187,830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tankers fy25</w:t>
            </w:r>
          </w:p>
        </w:tc>
        <w:tc>
          <w:tcPr>
            <w:tcW w:type="dxa" w:w="1238"/>
          </w:tcPr>
          <w:p>
            <w:pPr>
              <w:spacing w:after="20" w:before="0" w:line="240" w:lineRule="auto"/>
              <w:jc w:val="right"/>
            </w:pPr>
            <w:r>
              <w:rPr>
                <w:color w:val="1C3A36"/>
                <w:sz w:val="14"/>
              </w:rPr>
              <w:t>1,719,714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dc tankers fy25</w:t>
            </w:r>
          </w:p>
        </w:tc>
        <w:tc>
          <w:tcPr>
            <w:tcW w:type="dxa" w:w="1238"/>
          </w:tcPr>
          <w:p>
            <w:pPr>
              <w:spacing w:after="20" w:before="0" w:line="240" w:lineRule="auto"/>
              <w:jc w:val="right"/>
            </w:pPr>
            <w:r>
              <w:rPr>
                <w:color w:val="1C3A36"/>
                <w:sz w:val="14"/>
              </w:rPr>
              <w:t>-1,421,406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ebitda tankers fy25</w:t>
            </w:r>
          </w:p>
        </w:tc>
        <w:tc>
          <w:tcPr>
            <w:tcW w:type="dxa" w:w="1238"/>
          </w:tcPr>
          <w:p>
            <w:pPr>
              <w:spacing w:after="20" w:before="0" w:line="240" w:lineRule="auto"/>
              <w:jc w:val="right"/>
            </w:pPr>
            <w:r>
              <w:rPr>
                <w:color w:val="1C3A36"/>
                <w:sz w:val="14"/>
              </w:rPr>
              <w:t>451,220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op tankers fy25</w:t>
            </w:r>
          </w:p>
        </w:tc>
        <w:tc>
          <w:tcPr>
            <w:tcW w:type="dxa" w:w="1238"/>
          </w:tcPr>
          <w:p>
            <w:pPr>
              <w:spacing w:after="20" w:before="0" w:line="240" w:lineRule="auto"/>
              <w:jc w:val="right"/>
            </w:pPr>
            <w:r>
              <w:rPr>
                <w:color w:val="1C3A36"/>
                <w:sz w:val="14"/>
              </w:rPr>
              <w:t>255,846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ppe tankers fy24</w:t>
            </w:r>
          </w:p>
        </w:tc>
        <w:tc>
          <w:tcPr>
            <w:tcW w:type="dxa" w:w="1238"/>
          </w:tcPr>
          <w:p>
            <w:pPr>
              <w:spacing w:after="20" w:before="0" w:line="240" w:lineRule="auto"/>
              <w:jc w:val="right"/>
            </w:pPr>
            <w:r>
              <w:rPr>
                <w:color w:val="1C3A36"/>
                <w:sz w:val="14"/>
              </w:rPr>
              <w:t>1,099,519</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segment property, plant and equipment</w:t>
            </w:r>
          </w:p>
        </w:tc>
      </w:tr>
      <w:tr>
        <w:trPr>
          <w:cantSplit w:val="true"/>
        </w:trPr>
        <w:tc>
          <w:tcPr>
            <w:tcW w:type="dxa" w:w="2088"/>
          </w:tcPr>
          <w:p>
            <w:pPr>
              <w:spacing w:after="20" w:before="0" w:line="240" w:lineRule="auto"/>
            </w:pPr>
            <w:r>
              <w:rPr>
                <w:color w:val="1C3A36"/>
                <w:sz w:val="14"/>
              </w:rPr>
              <w:t>seg ppe tankers fy25</w:t>
            </w:r>
          </w:p>
        </w:tc>
        <w:tc>
          <w:tcPr>
            <w:tcW w:type="dxa" w:w="1238"/>
          </w:tcPr>
          <w:p>
            <w:pPr>
              <w:spacing w:after="20" w:before="0" w:line="240" w:lineRule="auto"/>
              <w:jc w:val="right"/>
            </w:pPr>
            <w:r>
              <w:rPr>
                <w:color w:val="1C3A36"/>
                <w:sz w:val="14"/>
              </w:rPr>
              <w:t>2,643,389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segment property, plant and equipment</w:t>
            </w:r>
          </w:p>
        </w:tc>
      </w:tr>
      <w:tr>
        <w:trPr>
          <w:cantSplit w:val="true"/>
        </w:trPr>
        <w:tc>
          <w:tcPr>
            <w:tcW w:type="dxa" w:w="2088"/>
          </w:tcPr>
          <w:p>
            <w:pPr>
              <w:spacing w:after="20" w:before="0" w:line="240" w:lineRule="auto"/>
            </w:pPr>
            <w:r>
              <w:rPr>
                <w:color w:val="1C3A36"/>
                <w:sz w:val="14"/>
              </w:rPr>
              <w:t>seg rev gas carriers fy23</w:t>
            </w:r>
          </w:p>
        </w:tc>
        <w:tc>
          <w:tcPr>
            <w:tcW w:type="dxa" w:w="1238"/>
          </w:tcPr>
          <w:p>
            <w:pPr>
              <w:spacing w:after="20" w:before="0" w:line="240" w:lineRule="auto"/>
              <w:jc w:val="right"/>
            </w:pPr>
            <w:r>
              <w:rPr>
                <w:color w:val="1C3A36"/>
                <w:sz w:val="14"/>
              </w:rPr>
              <w:t>173,550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gas carriers fy23</w:t>
            </w:r>
          </w:p>
        </w:tc>
        <w:tc>
          <w:tcPr>
            <w:tcW w:type="dxa" w:w="1238"/>
          </w:tcPr>
          <w:p>
            <w:pPr>
              <w:spacing w:after="20" w:before="0" w:line="240" w:lineRule="auto"/>
              <w:jc w:val="right"/>
            </w:pPr>
            <w:r>
              <w:rPr>
                <w:color w:val="1C3A36"/>
                <w:sz w:val="14"/>
              </w:rPr>
              <w:t>-112,330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gas carriers fy23</w:t>
            </w:r>
          </w:p>
        </w:tc>
        <w:tc>
          <w:tcPr>
            <w:tcW w:type="dxa" w:w="1238"/>
          </w:tcPr>
          <w:p>
            <w:pPr>
              <w:spacing w:after="20" w:before="0" w:line="240" w:lineRule="auto"/>
              <w:jc w:val="right"/>
            </w:pPr>
            <w:r>
              <w:rPr>
                <w:color w:val="1C3A36"/>
                <w:sz w:val="14"/>
              </w:rPr>
              <w:t>101,022</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gas carriers fy23</w:t>
            </w:r>
          </w:p>
        </w:tc>
        <w:tc>
          <w:tcPr>
            <w:tcW w:type="dxa" w:w="1238"/>
          </w:tcPr>
          <w:p>
            <w:pPr>
              <w:spacing w:after="20" w:before="0" w:line="240" w:lineRule="auto"/>
              <w:jc w:val="right"/>
            </w:pPr>
            <w:r>
              <w:rPr>
                <w:color w:val="1C3A36"/>
                <w:sz w:val="14"/>
              </w:rPr>
              <w:t>59,241</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gas carriers fy24</w:t>
            </w:r>
          </w:p>
        </w:tc>
        <w:tc>
          <w:tcPr>
            <w:tcW w:type="dxa" w:w="1238"/>
          </w:tcPr>
          <w:p>
            <w:pPr>
              <w:spacing w:after="20" w:before="0" w:line="240" w:lineRule="auto"/>
              <w:jc w:val="right"/>
            </w:pPr>
            <w:r>
              <w:rPr>
                <w:color w:val="1C3A36"/>
                <w:sz w:val="14"/>
              </w:rPr>
              <w:t>152,650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gas carriers fy24</w:t>
            </w:r>
          </w:p>
        </w:tc>
        <w:tc>
          <w:tcPr>
            <w:tcW w:type="dxa" w:w="1238"/>
          </w:tcPr>
          <w:p>
            <w:pPr>
              <w:spacing w:after="20" w:before="0" w:line="240" w:lineRule="auto"/>
              <w:jc w:val="right"/>
            </w:pPr>
            <w:r>
              <w:rPr>
                <w:color w:val="1C3A36"/>
                <w:sz w:val="14"/>
              </w:rPr>
              <w:t>-106,940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gas carriers fy24</w:t>
            </w:r>
          </w:p>
        </w:tc>
        <w:tc>
          <w:tcPr>
            <w:tcW w:type="dxa" w:w="1238"/>
          </w:tcPr>
          <w:p>
            <w:pPr>
              <w:spacing w:after="20" w:before="0" w:line="240" w:lineRule="auto"/>
              <w:jc w:val="right"/>
            </w:pPr>
            <w:r>
              <w:rPr>
                <w:color w:val="1C3A36"/>
                <w:sz w:val="14"/>
              </w:rPr>
              <w:t>87,308</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gas carriers fy24</w:t>
            </w:r>
          </w:p>
        </w:tc>
        <w:tc>
          <w:tcPr>
            <w:tcW w:type="dxa" w:w="1238"/>
          </w:tcPr>
          <w:p>
            <w:pPr>
              <w:spacing w:after="20" w:before="0" w:line="240" w:lineRule="auto"/>
              <w:jc w:val="right"/>
            </w:pPr>
            <w:r>
              <w:rPr>
                <w:color w:val="1C3A36"/>
                <w:sz w:val="14"/>
              </w:rPr>
              <w:t>35,170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gas carriers fy25</w:t>
            </w:r>
          </w:p>
        </w:tc>
        <w:tc>
          <w:tcPr>
            <w:tcW w:type="dxa" w:w="1238"/>
          </w:tcPr>
          <w:p>
            <w:pPr>
              <w:spacing w:after="20" w:before="0" w:line="240" w:lineRule="auto"/>
              <w:jc w:val="right"/>
            </w:pPr>
            <w:r>
              <w:rPr>
                <w:color w:val="1C3A36"/>
                <w:sz w:val="14"/>
              </w:rPr>
              <w:t>179,794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dc gas carriers fy25</w:t>
            </w:r>
          </w:p>
        </w:tc>
        <w:tc>
          <w:tcPr>
            <w:tcW w:type="dxa" w:w="1238"/>
          </w:tcPr>
          <w:p>
            <w:pPr>
              <w:spacing w:after="20" w:before="0" w:line="240" w:lineRule="auto"/>
              <w:jc w:val="right"/>
            </w:pPr>
            <w:r>
              <w:rPr>
                <w:color w:val="1C3A36"/>
                <w:sz w:val="14"/>
              </w:rPr>
              <w:t>-131,314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ebitda gas carriers fy25</w:t>
            </w:r>
          </w:p>
        </w:tc>
        <w:tc>
          <w:tcPr>
            <w:tcW w:type="dxa" w:w="1238"/>
          </w:tcPr>
          <w:p>
            <w:pPr>
              <w:spacing w:after="20" w:before="0" w:line="240" w:lineRule="auto"/>
              <w:jc w:val="right"/>
            </w:pPr>
            <w:r>
              <w:rPr>
                <w:color w:val="1C3A36"/>
                <w:sz w:val="14"/>
              </w:rPr>
              <w:t>129,547</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op gas carriers fy25</w:t>
            </w:r>
          </w:p>
        </w:tc>
        <w:tc>
          <w:tcPr>
            <w:tcW w:type="dxa" w:w="1238"/>
          </w:tcPr>
          <w:p>
            <w:pPr>
              <w:spacing w:after="20" w:before="0" w:line="240" w:lineRule="auto"/>
              <w:jc w:val="right"/>
            </w:pPr>
            <w:r>
              <w:rPr>
                <w:color w:val="1C3A36"/>
                <w:sz w:val="14"/>
              </w:rPr>
              <w:t>57,708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ppe gas carriers fy24</w:t>
            </w:r>
          </w:p>
        </w:tc>
        <w:tc>
          <w:tcPr>
            <w:tcW w:type="dxa" w:w="1238"/>
          </w:tcPr>
          <w:p>
            <w:pPr>
              <w:spacing w:after="20" w:before="0" w:line="240" w:lineRule="auto"/>
              <w:jc w:val="right"/>
            </w:pPr>
            <w:r>
              <w:rPr>
                <w:color w:val="1C3A36"/>
                <w:sz w:val="14"/>
              </w:rPr>
              <w:t>886,158</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segment property, plant and equipment</w:t>
            </w:r>
          </w:p>
        </w:tc>
      </w:tr>
      <w:tr>
        <w:trPr>
          <w:cantSplit w:val="true"/>
        </w:trPr>
        <w:tc>
          <w:tcPr>
            <w:tcW w:type="dxa" w:w="2088"/>
          </w:tcPr>
          <w:p>
            <w:pPr>
              <w:spacing w:after="20" w:before="0" w:line="240" w:lineRule="auto"/>
            </w:pPr>
            <w:r>
              <w:rPr>
                <w:color w:val="1C3A36"/>
                <w:sz w:val="14"/>
              </w:rPr>
              <w:t>seg ppe gas carriers fy25</w:t>
            </w:r>
          </w:p>
        </w:tc>
        <w:tc>
          <w:tcPr>
            <w:tcW w:type="dxa" w:w="1238"/>
          </w:tcPr>
          <w:p>
            <w:pPr>
              <w:spacing w:after="20" w:before="0" w:line="240" w:lineRule="auto"/>
              <w:jc w:val="right"/>
            </w:pPr>
            <w:r>
              <w:rPr>
                <w:color w:val="1C3A36"/>
                <w:sz w:val="14"/>
              </w:rPr>
              <w:t>1,411,865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segment property, plant and equipment</w:t>
            </w:r>
          </w:p>
        </w:tc>
      </w:tr>
      <w:tr>
        <w:trPr>
          <w:cantSplit w:val="true"/>
        </w:trPr>
        <w:tc>
          <w:tcPr>
            <w:tcW w:type="dxa" w:w="2088"/>
          </w:tcPr>
          <w:p>
            <w:pPr>
              <w:spacing w:after="20" w:before="0" w:line="240" w:lineRule="auto"/>
            </w:pPr>
            <w:r>
              <w:rPr>
                <w:color w:val="1C3A36"/>
                <w:sz w:val="14"/>
              </w:rPr>
              <w:t>seg rev dry bulk and containers fy23</w:t>
            </w:r>
          </w:p>
        </w:tc>
        <w:tc>
          <w:tcPr>
            <w:tcW w:type="dxa" w:w="1238"/>
          </w:tcPr>
          <w:p>
            <w:pPr>
              <w:spacing w:after="20" w:before="0" w:line="240" w:lineRule="auto"/>
              <w:jc w:val="right"/>
            </w:pPr>
            <w:r>
              <w:rPr>
                <w:color w:val="1C3A36"/>
                <w:sz w:val="14"/>
              </w:rPr>
              <w:t>257,900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dry bulk and containers fy23</w:t>
            </w:r>
          </w:p>
        </w:tc>
        <w:tc>
          <w:tcPr>
            <w:tcW w:type="dxa" w:w="1238"/>
          </w:tcPr>
          <w:p>
            <w:pPr>
              <w:spacing w:after="20" w:before="0" w:line="240" w:lineRule="auto"/>
              <w:jc w:val="right"/>
            </w:pPr>
            <w:r>
              <w:rPr>
                <w:color w:val="1C3A36"/>
                <w:sz w:val="14"/>
              </w:rPr>
              <w:t>-201,280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dry bulk and containers fy23</w:t>
            </w:r>
          </w:p>
        </w:tc>
        <w:tc>
          <w:tcPr>
            <w:tcW w:type="dxa" w:w="1238"/>
          </w:tcPr>
          <w:p>
            <w:pPr>
              <w:spacing w:after="20" w:before="0" w:line="240" w:lineRule="auto"/>
              <w:jc w:val="right"/>
            </w:pPr>
            <w:r>
              <w:rPr>
                <w:color w:val="1C3A36"/>
                <w:sz w:val="14"/>
              </w:rPr>
              <w:t>60,280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dry bulk and containers fy23</w:t>
            </w:r>
          </w:p>
        </w:tc>
        <w:tc>
          <w:tcPr>
            <w:tcW w:type="dxa" w:w="1238"/>
          </w:tcPr>
          <w:p>
            <w:pPr>
              <w:spacing w:after="20" w:before="0" w:line="240" w:lineRule="auto"/>
              <w:jc w:val="right"/>
            </w:pPr>
            <w:r>
              <w:rPr>
                <w:color w:val="1C3A36"/>
                <w:sz w:val="14"/>
              </w:rPr>
              <w:t>48,920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dry bulk and containers fy24</w:t>
            </w:r>
          </w:p>
        </w:tc>
        <w:tc>
          <w:tcPr>
            <w:tcW w:type="dxa" w:w="1238"/>
          </w:tcPr>
          <w:p>
            <w:pPr>
              <w:spacing w:after="20" w:before="0" w:line="240" w:lineRule="auto"/>
              <w:jc w:val="right"/>
            </w:pPr>
            <w:r>
              <w:rPr>
                <w:color w:val="1C3A36"/>
                <w:sz w:val="14"/>
              </w:rPr>
              <w:t>286,820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dry bulk and containers fy24</w:t>
            </w:r>
          </w:p>
        </w:tc>
        <w:tc>
          <w:tcPr>
            <w:tcW w:type="dxa" w:w="1238"/>
          </w:tcPr>
          <w:p>
            <w:pPr>
              <w:spacing w:after="20" w:before="0" w:line="240" w:lineRule="auto"/>
              <w:jc w:val="right"/>
            </w:pPr>
            <w:r>
              <w:rPr>
                <w:color w:val="1C3A36"/>
                <w:sz w:val="14"/>
              </w:rPr>
              <w:t>-219,830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dry bulk and containers fy24</w:t>
            </w:r>
          </w:p>
        </w:tc>
        <w:tc>
          <w:tcPr>
            <w:tcW w:type="dxa" w:w="1238"/>
          </w:tcPr>
          <w:p>
            <w:pPr>
              <w:spacing w:after="20" w:before="0" w:line="240" w:lineRule="auto"/>
              <w:jc w:val="right"/>
            </w:pPr>
            <w:r>
              <w:rPr>
                <w:color w:val="1C3A36"/>
                <w:sz w:val="14"/>
              </w:rPr>
              <w:t>69,440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dry bulk and containers fy24</w:t>
            </w:r>
          </w:p>
        </w:tc>
        <w:tc>
          <w:tcPr>
            <w:tcW w:type="dxa" w:w="1238"/>
          </w:tcPr>
          <w:p>
            <w:pPr>
              <w:spacing w:after="20" w:before="0" w:line="240" w:lineRule="auto"/>
              <w:jc w:val="right"/>
            </w:pPr>
            <w:r>
              <w:rPr>
                <w:color w:val="1C3A36"/>
                <w:sz w:val="14"/>
              </w:rPr>
              <w:t>55,680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dry bulk and containers fy25</w:t>
            </w:r>
          </w:p>
        </w:tc>
        <w:tc>
          <w:tcPr>
            <w:tcW w:type="dxa" w:w="1238"/>
          </w:tcPr>
          <w:p>
            <w:pPr>
              <w:spacing w:after="20" w:before="0" w:line="240" w:lineRule="auto"/>
              <w:jc w:val="right"/>
            </w:pPr>
            <w:r>
              <w:rPr>
                <w:color w:val="1C3A36"/>
                <w:sz w:val="14"/>
              </w:rPr>
              <w:t>225,048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dc dry bulk and containers fy25</w:t>
            </w:r>
          </w:p>
        </w:tc>
        <w:tc>
          <w:tcPr>
            <w:tcW w:type="dxa" w:w="1238"/>
          </w:tcPr>
          <w:p>
            <w:pPr>
              <w:spacing w:after="20" w:before="0" w:line="240" w:lineRule="auto"/>
              <w:jc w:val="right"/>
            </w:pPr>
            <w:r>
              <w:rPr>
                <w:color w:val="1C3A36"/>
                <w:sz w:val="14"/>
              </w:rPr>
              <w:t>-199,256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ebitda dry bulk and containers fy25</w:t>
            </w:r>
          </w:p>
        </w:tc>
        <w:tc>
          <w:tcPr>
            <w:tcW w:type="dxa" w:w="1238"/>
          </w:tcPr>
          <w:p>
            <w:pPr>
              <w:spacing w:after="20" w:before="0" w:line="240" w:lineRule="auto"/>
              <w:jc w:val="right"/>
            </w:pPr>
            <w:r>
              <w:rPr>
                <w:color w:val="1C3A36"/>
                <w:sz w:val="14"/>
              </w:rPr>
              <w:t>37,862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op dry bulk and containers fy25</w:t>
            </w:r>
          </w:p>
        </w:tc>
        <w:tc>
          <w:tcPr>
            <w:tcW w:type="dxa" w:w="1238"/>
          </w:tcPr>
          <w:p>
            <w:pPr>
              <w:spacing w:after="20" w:before="0" w:line="240" w:lineRule="auto"/>
              <w:jc w:val="right"/>
            </w:pPr>
            <w:r>
              <w:rPr>
                <w:color w:val="1C3A36"/>
                <w:sz w:val="14"/>
              </w:rPr>
              <w:t>12,637</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ppe dry bulk and containers fy24</w:t>
            </w:r>
          </w:p>
        </w:tc>
        <w:tc>
          <w:tcPr>
            <w:tcW w:type="dxa" w:w="1238"/>
          </w:tcPr>
          <w:p>
            <w:pPr>
              <w:spacing w:after="20" w:before="0" w:line="240" w:lineRule="auto"/>
              <w:jc w:val="right"/>
            </w:pPr>
            <w:r>
              <w:rPr>
                <w:color w:val="1C3A36"/>
                <w:sz w:val="14"/>
              </w:rPr>
              <w:t>152,500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segment property, plant and equipment</w:t>
            </w:r>
          </w:p>
        </w:tc>
      </w:tr>
      <w:tr>
        <w:trPr>
          <w:cantSplit w:val="true"/>
        </w:trPr>
        <w:tc>
          <w:tcPr>
            <w:tcW w:type="dxa" w:w="2088"/>
          </w:tcPr>
          <w:p>
            <w:pPr>
              <w:spacing w:after="20" w:before="0" w:line="240" w:lineRule="auto"/>
            </w:pPr>
            <w:r>
              <w:rPr>
                <w:color w:val="1C3A36"/>
                <w:sz w:val="14"/>
              </w:rPr>
              <w:t>seg ppe dry bulk and containers fy25</w:t>
            </w:r>
          </w:p>
        </w:tc>
        <w:tc>
          <w:tcPr>
            <w:tcW w:type="dxa" w:w="1238"/>
          </w:tcPr>
          <w:p>
            <w:pPr>
              <w:spacing w:after="20" w:before="0" w:line="240" w:lineRule="auto"/>
              <w:jc w:val="right"/>
            </w:pPr>
            <w:r>
              <w:rPr>
                <w:color w:val="1C3A36"/>
                <w:sz w:val="14"/>
              </w:rPr>
              <w:t>168,789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segment property, plant and equipment</w:t>
            </w:r>
          </w:p>
        </w:tc>
      </w:tr>
      <w:tr>
        <w:trPr>
          <w:cantSplit w:val="true"/>
        </w:trPr>
        <w:tc>
          <w:tcPr>
            <w:tcW w:type="dxa" w:w="2088"/>
          </w:tcPr>
          <w:p>
            <w:pPr>
              <w:spacing w:after="20" w:before="0" w:line="240" w:lineRule="auto"/>
            </w:pPr>
            <w:r>
              <w:rPr>
                <w:color w:val="1C3A36"/>
                <w:sz w:val="14"/>
              </w:rPr>
              <w:t>seg rev services fy23</w:t>
            </w:r>
          </w:p>
        </w:tc>
        <w:tc>
          <w:tcPr>
            <w:tcW w:type="dxa" w:w="1238"/>
          </w:tcPr>
          <w:p>
            <w:pPr>
              <w:spacing w:after="20" w:before="0" w:line="240" w:lineRule="auto"/>
              <w:jc w:val="right"/>
            </w:pPr>
            <w:r>
              <w:rPr>
                <w:color w:val="1C3A36"/>
                <w:sz w:val="14"/>
              </w:rPr>
              <w:t>283,910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services fy23</w:t>
            </w:r>
          </w:p>
        </w:tc>
        <w:tc>
          <w:tcPr>
            <w:tcW w:type="dxa" w:w="1238"/>
          </w:tcPr>
          <w:p>
            <w:pPr>
              <w:spacing w:after="20" w:before="0" w:line="240" w:lineRule="auto"/>
              <w:jc w:val="right"/>
            </w:pPr>
            <w:r>
              <w:rPr>
                <w:color w:val="1C3A36"/>
                <w:sz w:val="14"/>
              </w:rPr>
              <w:t>-233,210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services fy23</w:t>
            </w:r>
          </w:p>
        </w:tc>
        <w:tc>
          <w:tcPr>
            <w:tcW w:type="dxa" w:w="1238"/>
          </w:tcPr>
          <w:p>
            <w:pPr>
              <w:spacing w:after="20" w:before="0" w:line="240" w:lineRule="auto"/>
              <w:jc w:val="right"/>
            </w:pPr>
            <w:r>
              <w:rPr>
                <w:color w:val="1C3A36"/>
                <w:sz w:val="14"/>
              </w:rPr>
              <w:t>44,488</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services fy23</w:t>
            </w:r>
          </w:p>
        </w:tc>
        <w:tc>
          <w:tcPr>
            <w:tcW w:type="dxa" w:w="1238"/>
          </w:tcPr>
          <w:p>
            <w:pPr>
              <w:spacing w:after="20" w:before="0" w:line="240" w:lineRule="auto"/>
              <w:jc w:val="right"/>
            </w:pPr>
            <w:r>
              <w:rPr>
                <w:color w:val="1C3A36"/>
                <w:sz w:val="14"/>
              </w:rPr>
              <w:t>19,640</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services fy24</w:t>
            </w:r>
          </w:p>
        </w:tc>
        <w:tc>
          <w:tcPr>
            <w:tcW w:type="dxa" w:w="1238"/>
          </w:tcPr>
          <w:p>
            <w:pPr>
              <w:spacing w:after="20" w:before="0" w:line="240" w:lineRule="auto"/>
              <w:jc w:val="right"/>
            </w:pPr>
            <w:r>
              <w:rPr>
                <w:color w:val="1C3A36"/>
                <w:sz w:val="14"/>
              </w:rPr>
              <w:t>312,410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dc services fy24</w:t>
            </w:r>
          </w:p>
        </w:tc>
        <w:tc>
          <w:tcPr>
            <w:tcW w:type="dxa" w:w="1238"/>
          </w:tcPr>
          <w:p>
            <w:pPr>
              <w:spacing w:after="20" w:before="0" w:line="240" w:lineRule="auto"/>
              <w:jc w:val="right"/>
            </w:pPr>
            <w:r>
              <w:rPr>
                <w:color w:val="1C3A36"/>
                <w:sz w:val="14"/>
              </w:rPr>
              <w:t>-256,190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ebitda services fy24</w:t>
            </w:r>
          </w:p>
        </w:tc>
        <w:tc>
          <w:tcPr>
            <w:tcW w:type="dxa" w:w="1238"/>
          </w:tcPr>
          <w:p>
            <w:pPr>
              <w:spacing w:after="20" w:before="0" w:line="240" w:lineRule="auto"/>
              <w:jc w:val="right"/>
            </w:pPr>
            <w:r>
              <w:rPr>
                <w:color w:val="1C3A36"/>
                <w:sz w:val="14"/>
              </w:rPr>
              <w:t>56,000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op services fy24</w:t>
            </w:r>
          </w:p>
        </w:tc>
        <w:tc>
          <w:tcPr>
            <w:tcW w:type="dxa" w:w="1238"/>
          </w:tcPr>
          <w:p>
            <w:pPr>
              <w:spacing w:after="20" w:before="0" w:line="240" w:lineRule="auto"/>
              <w:jc w:val="right"/>
            </w:pPr>
            <w:r>
              <w:rPr>
                <w:color w:val="1C3A36"/>
                <w:sz w:val="14"/>
              </w:rPr>
              <w:t>29,850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w:t>
            </w:r>
          </w:p>
        </w:tc>
      </w:tr>
      <w:tr>
        <w:trPr>
          <w:cantSplit w:val="true"/>
        </w:trPr>
        <w:tc>
          <w:tcPr>
            <w:tcW w:type="dxa" w:w="2088"/>
          </w:tcPr>
          <w:p>
            <w:pPr>
              <w:spacing w:after="20" w:before="0" w:line="240" w:lineRule="auto"/>
            </w:pPr>
            <w:r>
              <w:rPr>
                <w:color w:val="1C3A36"/>
                <w:sz w:val="14"/>
              </w:rPr>
              <w:t>seg rev services fy25</w:t>
            </w:r>
          </w:p>
        </w:tc>
        <w:tc>
          <w:tcPr>
            <w:tcW w:type="dxa" w:w="1238"/>
          </w:tcPr>
          <w:p>
            <w:pPr>
              <w:spacing w:after="20" w:before="0" w:line="240" w:lineRule="auto"/>
              <w:jc w:val="right"/>
            </w:pPr>
            <w:r>
              <w:rPr>
                <w:color w:val="1C3A36"/>
                <w:sz w:val="14"/>
              </w:rPr>
              <w:t>362,433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dc services fy25</w:t>
            </w:r>
          </w:p>
        </w:tc>
        <w:tc>
          <w:tcPr>
            <w:tcW w:type="dxa" w:w="1238"/>
          </w:tcPr>
          <w:p>
            <w:pPr>
              <w:spacing w:after="20" w:before="0" w:line="240" w:lineRule="auto"/>
              <w:jc w:val="right"/>
            </w:pPr>
            <w:r>
              <w:rPr>
                <w:color w:val="1C3A36"/>
                <w:sz w:val="14"/>
              </w:rPr>
              <w:t>-301,038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ebitda services fy25</w:t>
            </w:r>
          </w:p>
        </w:tc>
        <w:tc>
          <w:tcPr>
            <w:tcW w:type="dxa" w:w="1238"/>
          </w:tcPr>
          <w:p>
            <w:pPr>
              <w:spacing w:after="20" w:before="0" w:line="240" w:lineRule="auto"/>
              <w:jc w:val="right"/>
            </w:pPr>
            <w:r>
              <w:rPr>
                <w:color w:val="1C3A36"/>
                <w:sz w:val="14"/>
              </w:rPr>
              <w:t>60,273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op services fy25</w:t>
            </w:r>
          </w:p>
        </w:tc>
        <w:tc>
          <w:tcPr>
            <w:tcW w:type="dxa" w:w="1238"/>
          </w:tcPr>
          <w:p>
            <w:pPr>
              <w:spacing w:after="20" w:before="0" w:line="240" w:lineRule="auto"/>
              <w:jc w:val="right"/>
            </w:pPr>
            <w:r>
              <w:rPr>
                <w:color w:val="1C3A36"/>
                <w:sz w:val="14"/>
              </w:rPr>
              <w:t>13,897</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w:t>
            </w:r>
          </w:p>
        </w:tc>
      </w:tr>
      <w:tr>
        <w:trPr>
          <w:cantSplit w:val="true"/>
        </w:trPr>
        <w:tc>
          <w:tcPr>
            <w:tcW w:type="dxa" w:w="2088"/>
          </w:tcPr>
          <w:p>
            <w:pPr>
              <w:spacing w:after="20" w:before="0" w:line="240" w:lineRule="auto"/>
            </w:pPr>
            <w:r>
              <w:rPr>
                <w:color w:val="1C3A36"/>
                <w:sz w:val="14"/>
              </w:rPr>
              <w:t>seg ppe services fy24</w:t>
            </w:r>
          </w:p>
        </w:tc>
        <w:tc>
          <w:tcPr>
            <w:tcW w:type="dxa" w:w="1238"/>
          </w:tcPr>
          <w:p>
            <w:pPr>
              <w:spacing w:after="20" w:before="0" w:line="240" w:lineRule="auto"/>
              <w:jc w:val="right"/>
            </w:pPr>
            <w:r>
              <w:rPr>
                <w:color w:val="1C3A36"/>
                <w:sz w:val="14"/>
              </w:rPr>
              <w:t>219,204</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segment property, plant and equipment</w:t>
            </w:r>
          </w:p>
        </w:tc>
      </w:tr>
      <w:tr>
        <w:trPr>
          <w:cantSplit w:val="true"/>
        </w:trPr>
        <w:tc>
          <w:tcPr>
            <w:tcW w:type="dxa" w:w="2088"/>
          </w:tcPr>
          <w:p>
            <w:pPr>
              <w:spacing w:after="20" w:before="0" w:line="240" w:lineRule="auto"/>
            </w:pPr>
            <w:r>
              <w:rPr>
                <w:color w:val="1C3A36"/>
                <w:sz w:val="14"/>
              </w:rPr>
              <w:t>seg ppe services fy25</w:t>
            </w:r>
          </w:p>
        </w:tc>
        <w:tc>
          <w:tcPr>
            <w:tcW w:type="dxa" w:w="1238"/>
          </w:tcPr>
          <w:p>
            <w:pPr>
              <w:spacing w:after="20" w:before="0" w:line="240" w:lineRule="auto"/>
              <w:jc w:val="right"/>
            </w:pPr>
            <w:r>
              <w:rPr>
                <w:color w:val="1C3A36"/>
                <w:sz w:val="14"/>
              </w:rPr>
              <w:t>378,542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segment property, plant and equipment</w:t>
            </w:r>
          </w:p>
        </w:tc>
      </w:tr>
      <w:tr>
        <w:trPr>
          <w:cantSplit w:val="true"/>
        </w:trPr>
        <w:tc>
          <w:tcPr>
            <w:tcW w:type="dxa" w:w="2088"/>
          </w:tcPr>
          <w:p>
            <w:pPr>
              <w:spacing w:after="20" w:before="0" w:line="240" w:lineRule="auto"/>
            </w:pPr>
            <w:r>
              <w:rPr>
                <w:color w:val="1C3A36"/>
                <w:sz w:val="14"/>
              </w:rPr>
              <w:t>pl freight and voyage charter income fy24</w:t>
            </w:r>
          </w:p>
        </w:tc>
        <w:tc>
          <w:tcPr>
            <w:tcW w:type="dxa" w:w="1238"/>
          </w:tcPr>
          <w:p>
            <w:pPr>
              <w:spacing w:after="20" w:before="0" w:line="240" w:lineRule="auto"/>
              <w:jc w:val="right"/>
            </w:pPr>
            <w:r>
              <w:rPr>
                <w:color w:val="1C3A36"/>
                <w:sz w:val="14"/>
              </w:rPr>
              <w:t>838,284</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freight and voyage charter income fy25</w:t>
            </w:r>
          </w:p>
        </w:tc>
        <w:tc>
          <w:tcPr>
            <w:tcW w:type="dxa" w:w="1238"/>
          </w:tcPr>
          <w:p>
            <w:pPr>
              <w:spacing w:after="20" w:before="0" w:line="240" w:lineRule="auto"/>
              <w:jc w:val="right"/>
            </w:pPr>
            <w:r>
              <w:rPr>
                <w:color w:val="1C3A36"/>
                <w:sz w:val="14"/>
              </w:rPr>
              <w:t>1,404,709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offshore vessels charter income fy24</w:t>
            </w:r>
          </w:p>
        </w:tc>
        <w:tc>
          <w:tcPr>
            <w:tcW w:type="dxa" w:w="1238"/>
          </w:tcPr>
          <w:p>
            <w:pPr>
              <w:spacing w:after="20" w:before="0" w:line="240" w:lineRule="auto"/>
              <w:jc w:val="right"/>
            </w:pPr>
            <w:r>
              <w:rPr>
                <w:color w:val="1C3A36"/>
                <w:sz w:val="14"/>
              </w:rPr>
              <w:t>495,527</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offshore vessels charter income fy25</w:t>
            </w:r>
          </w:p>
        </w:tc>
        <w:tc>
          <w:tcPr>
            <w:tcW w:type="dxa" w:w="1238"/>
          </w:tcPr>
          <w:p>
            <w:pPr>
              <w:spacing w:after="20" w:before="0" w:line="240" w:lineRule="auto"/>
              <w:jc w:val="right"/>
            </w:pPr>
            <w:r>
              <w:rPr>
                <w:color w:val="1C3A36"/>
                <w:sz w:val="14"/>
              </w:rPr>
              <w:t>703,915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base operation services fy24</w:t>
            </w:r>
          </w:p>
        </w:tc>
        <w:tc>
          <w:tcPr>
            <w:tcW w:type="dxa" w:w="1238"/>
          </w:tcPr>
          <w:p>
            <w:pPr>
              <w:spacing w:after="20" w:before="0" w:line="240" w:lineRule="auto"/>
              <w:jc w:val="right"/>
            </w:pPr>
            <w:r>
              <w:rPr>
                <w:color w:val="1C3A36"/>
                <w:sz w:val="14"/>
              </w:rPr>
              <w:t>547,409</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base operation services fy25</w:t>
            </w:r>
          </w:p>
        </w:tc>
        <w:tc>
          <w:tcPr>
            <w:tcW w:type="dxa" w:w="1238"/>
          </w:tcPr>
          <w:p>
            <w:pPr>
              <w:spacing w:after="20" w:before="0" w:line="240" w:lineRule="auto"/>
              <w:jc w:val="right"/>
            </w:pPr>
            <w:r>
              <w:rPr>
                <w:color w:val="1C3A36"/>
                <w:sz w:val="14"/>
              </w:rPr>
              <w:t>644,803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engineering  procurement and const fy24</w:t>
            </w:r>
          </w:p>
        </w:tc>
        <w:tc>
          <w:tcPr>
            <w:tcW w:type="dxa" w:w="1238"/>
          </w:tcPr>
          <w:p>
            <w:pPr>
              <w:spacing w:after="20" w:before="0" w:line="240" w:lineRule="auto"/>
              <w:jc w:val="right"/>
            </w:pPr>
            <w:r>
              <w:rPr>
                <w:color w:val="1C3A36"/>
                <w:sz w:val="14"/>
              </w:rPr>
              <w:t>619,930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engineering  procurement and const fy25</w:t>
            </w:r>
          </w:p>
        </w:tc>
        <w:tc>
          <w:tcPr>
            <w:tcW w:type="dxa" w:w="1238"/>
          </w:tcPr>
          <w:p>
            <w:pPr>
              <w:spacing w:after="20" w:before="0" w:line="240" w:lineRule="auto"/>
              <w:jc w:val="right"/>
            </w:pPr>
            <w:r>
              <w:rPr>
                <w:color w:val="1C3A36"/>
                <w:sz w:val="14"/>
              </w:rPr>
              <w:t>531,333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operating lease income fy24</w:t>
            </w:r>
          </w:p>
        </w:tc>
        <w:tc>
          <w:tcPr>
            <w:tcW w:type="dxa" w:w="1238"/>
          </w:tcPr>
          <w:p>
            <w:pPr>
              <w:spacing w:after="20" w:before="0" w:line="240" w:lineRule="auto"/>
              <w:jc w:val="right"/>
            </w:pPr>
            <w:r>
              <w:rPr>
                <w:color w:val="1C3A36"/>
                <w:sz w:val="14"/>
              </w:rPr>
              <w:t>366,790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operating lease income fy25</w:t>
            </w:r>
          </w:p>
        </w:tc>
        <w:tc>
          <w:tcPr>
            <w:tcW w:type="dxa" w:w="1238"/>
          </w:tcPr>
          <w:p>
            <w:pPr>
              <w:spacing w:after="20" w:before="0" w:line="240" w:lineRule="auto"/>
              <w:jc w:val="right"/>
            </w:pPr>
            <w:r>
              <w:rPr>
                <w:color w:val="1C3A36"/>
                <w:sz w:val="14"/>
              </w:rPr>
              <w:t>1,057,235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petroleum port operations fy24</w:t>
            </w:r>
          </w:p>
        </w:tc>
        <w:tc>
          <w:tcPr>
            <w:tcW w:type="dxa" w:w="1238"/>
          </w:tcPr>
          <w:p>
            <w:pPr>
              <w:spacing w:after="20" w:before="0" w:line="240" w:lineRule="auto"/>
              <w:jc w:val="right"/>
            </w:pPr>
            <w:r>
              <w:rPr>
                <w:color w:val="1C3A36"/>
                <w:sz w:val="14"/>
              </w:rPr>
              <w:t>233,826</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petroleum port operations fy25</w:t>
            </w:r>
          </w:p>
        </w:tc>
        <w:tc>
          <w:tcPr>
            <w:tcW w:type="dxa" w:w="1238"/>
          </w:tcPr>
          <w:p>
            <w:pPr>
              <w:spacing w:after="20" w:before="0" w:line="240" w:lineRule="auto"/>
              <w:jc w:val="right"/>
            </w:pPr>
            <w:r>
              <w:rPr>
                <w:color w:val="1C3A36"/>
                <w:sz w:val="14"/>
              </w:rPr>
              <w:t>245,806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sales of bunkering fuel and water fy24</w:t>
            </w:r>
          </w:p>
        </w:tc>
        <w:tc>
          <w:tcPr>
            <w:tcW w:type="dxa" w:w="1238"/>
          </w:tcPr>
          <w:p>
            <w:pPr>
              <w:spacing w:after="20" w:before="0" w:line="240" w:lineRule="auto"/>
              <w:jc w:val="right"/>
            </w:pPr>
            <w:r>
              <w:rPr>
                <w:color w:val="1C3A36"/>
                <w:sz w:val="14"/>
              </w:rPr>
              <w:t>243,433</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sales of bunkering fuel and water fy25</w:t>
            </w:r>
          </w:p>
        </w:tc>
        <w:tc>
          <w:tcPr>
            <w:tcW w:type="dxa" w:w="1238"/>
          </w:tcPr>
          <w:p>
            <w:pPr>
              <w:spacing w:after="20" w:before="0" w:line="240" w:lineRule="auto"/>
              <w:jc w:val="right"/>
            </w:pPr>
            <w:r>
              <w:rPr>
                <w:color w:val="1C3A36"/>
                <w:sz w:val="14"/>
              </w:rPr>
              <w:t>213,475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onshore services income fy24</w:t>
            </w:r>
          </w:p>
        </w:tc>
        <w:tc>
          <w:tcPr>
            <w:tcW w:type="dxa" w:w="1238"/>
          </w:tcPr>
          <w:p>
            <w:pPr>
              <w:spacing w:after="20" w:before="0" w:line="240" w:lineRule="auto"/>
              <w:jc w:val="right"/>
            </w:pPr>
            <w:r>
              <w:rPr>
                <w:color w:val="1C3A36"/>
                <w:sz w:val="14"/>
              </w:rPr>
              <w:t>130,313</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onshore services income fy25</w:t>
            </w:r>
          </w:p>
        </w:tc>
        <w:tc>
          <w:tcPr>
            <w:tcW w:type="dxa" w:w="1238"/>
          </w:tcPr>
          <w:p>
            <w:pPr>
              <w:spacing w:after="20" w:before="0" w:line="240" w:lineRule="auto"/>
              <w:jc w:val="right"/>
            </w:pPr>
            <w:r>
              <w:rPr>
                <w:color w:val="1C3A36"/>
                <w:sz w:val="14"/>
              </w:rPr>
              <w:t>131,452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ship management income fy24</w:t>
            </w:r>
          </w:p>
        </w:tc>
        <w:tc>
          <w:tcPr>
            <w:tcW w:type="dxa" w:w="1238"/>
          </w:tcPr>
          <w:p>
            <w:pPr>
              <w:spacing w:after="20" w:before="0" w:line="240" w:lineRule="auto"/>
              <w:jc w:val="right"/>
            </w:pPr>
            <w:r>
              <w:rPr>
                <w:color w:val="1C3A36"/>
                <w:sz w:val="14"/>
              </w:rPr>
              <w:t>53,122</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ship management income fy25</w:t>
            </w:r>
          </w:p>
        </w:tc>
        <w:tc>
          <w:tcPr>
            <w:tcW w:type="dxa" w:w="1238"/>
          </w:tcPr>
          <w:p>
            <w:pPr>
              <w:spacing w:after="20" w:before="0" w:line="240" w:lineRule="auto"/>
              <w:jc w:val="right"/>
            </w:pPr>
            <w:r>
              <w:rPr>
                <w:color w:val="1C3A36"/>
                <w:sz w:val="14"/>
              </w:rPr>
              <w:t>50,332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commission income fy24</w:t>
            </w:r>
          </w:p>
        </w:tc>
        <w:tc>
          <w:tcPr>
            <w:tcW w:type="dxa" w:w="1238"/>
          </w:tcPr>
          <w:p>
            <w:pPr>
              <w:spacing w:after="20" w:before="0" w:line="240" w:lineRule="auto"/>
              <w:jc w:val="right"/>
            </w:pPr>
            <w:r>
              <w:rPr>
                <w:color w:val="1C3A36"/>
                <w:sz w:val="14"/>
              </w:rPr>
              <w:t>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commission income fy25</w:t>
            </w:r>
          </w:p>
        </w:tc>
        <w:tc>
          <w:tcPr>
            <w:tcW w:type="dxa" w:w="1238"/>
          </w:tcPr>
          <w:p>
            <w:pPr>
              <w:spacing w:after="20" w:before="0" w:line="240" w:lineRule="auto"/>
              <w:jc w:val="right"/>
            </w:pPr>
            <w:r>
              <w:rPr>
                <w:color w:val="1C3A36"/>
                <w:sz w:val="14"/>
              </w:rPr>
              <w:t>29,990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drilling chemicals fy24</w:t>
            </w:r>
          </w:p>
        </w:tc>
        <w:tc>
          <w:tcPr>
            <w:tcW w:type="dxa" w:w="1238"/>
          </w:tcPr>
          <w:p>
            <w:pPr>
              <w:spacing w:after="20" w:before="0" w:line="240" w:lineRule="auto"/>
              <w:jc w:val="right"/>
            </w:pPr>
            <w:r>
              <w:rPr>
                <w:color w:val="1C3A36"/>
                <w:sz w:val="14"/>
              </w:rPr>
              <w:t>20,696</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pl drilling chemicals fy25</w:t>
            </w:r>
          </w:p>
        </w:tc>
        <w:tc>
          <w:tcPr>
            <w:tcW w:type="dxa" w:w="1238"/>
          </w:tcPr>
          <w:p>
            <w:pPr>
              <w:spacing w:after="20" w:before="0" w:line="240" w:lineRule="auto"/>
              <w:jc w:val="right"/>
            </w:pPr>
            <w:r>
              <w:rPr>
                <w:color w:val="1C3A36"/>
                <w:sz w:val="14"/>
              </w:rPr>
              <w:t>3,062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revenue note, disaggregation by product line</w:t>
            </w:r>
          </w:p>
        </w:tc>
      </w:tr>
      <w:tr>
        <w:trPr>
          <w:cantSplit w:val="true"/>
        </w:trPr>
        <w:tc>
          <w:tcPr>
            <w:tcW w:type="dxa" w:w="2088"/>
          </w:tcPr>
          <w:p>
            <w:pPr>
              <w:spacing w:after="20" w:before="0" w:line="240" w:lineRule="auto"/>
            </w:pPr>
            <w:r>
              <w:rPr>
                <w:color w:val="1C3A36"/>
                <w:sz w:val="14"/>
              </w:rPr>
              <w:t>cl freight and voyage charter costs fy24</w:t>
            </w:r>
          </w:p>
        </w:tc>
        <w:tc>
          <w:tcPr>
            <w:tcW w:type="dxa" w:w="1238"/>
          </w:tcPr>
          <w:p>
            <w:pPr>
              <w:spacing w:after="20" w:before="0" w:line="240" w:lineRule="auto"/>
              <w:jc w:val="right"/>
            </w:pPr>
            <w:r>
              <w:rPr>
                <w:color w:val="1C3A36"/>
                <w:sz w:val="14"/>
              </w:rPr>
              <w:t>416,487</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freight and voyage charter costs fy25</w:t>
            </w:r>
          </w:p>
        </w:tc>
        <w:tc>
          <w:tcPr>
            <w:tcW w:type="dxa" w:w="1238"/>
          </w:tcPr>
          <w:p>
            <w:pPr>
              <w:spacing w:after="20" w:before="0" w:line="240" w:lineRule="auto"/>
              <w:jc w:val="right"/>
            </w:pPr>
            <w:r>
              <w:rPr>
                <w:color w:val="1C3A36"/>
                <w:sz w:val="14"/>
              </w:rPr>
              <w:t>1,190,790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bunker and other consumption fy24</w:t>
            </w:r>
          </w:p>
        </w:tc>
        <w:tc>
          <w:tcPr>
            <w:tcW w:type="dxa" w:w="1238"/>
          </w:tcPr>
          <w:p>
            <w:pPr>
              <w:spacing w:after="20" w:before="0" w:line="240" w:lineRule="auto"/>
              <w:jc w:val="right"/>
            </w:pPr>
            <w:r>
              <w:rPr>
                <w:color w:val="1C3A36"/>
                <w:sz w:val="14"/>
              </w:rPr>
              <w:t>1,159,446</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bunker and other consumption fy25</w:t>
            </w:r>
          </w:p>
        </w:tc>
        <w:tc>
          <w:tcPr>
            <w:tcW w:type="dxa" w:w="1238"/>
          </w:tcPr>
          <w:p>
            <w:pPr>
              <w:spacing w:after="20" w:before="0" w:line="240" w:lineRule="auto"/>
              <w:jc w:val="right"/>
            </w:pPr>
            <w:r>
              <w:rPr>
                <w:color w:val="1C3A36"/>
                <w:sz w:val="14"/>
              </w:rPr>
              <w:t>1,164,961</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staff costs fy24</w:t>
            </w:r>
          </w:p>
        </w:tc>
        <w:tc>
          <w:tcPr>
            <w:tcW w:type="dxa" w:w="1238"/>
          </w:tcPr>
          <w:p>
            <w:pPr>
              <w:spacing w:after="20" w:before="0" w:line="240" w:lineRule="auto"/>
              <w:jc w:val="right"/>
            </w:pPr>
            <w:r>
              <w:rPr>
                <w:color w:val="1C3A36"/>
                <w:sz w:val="14"/>
              </w:rPr>
              <w:t>536,067</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staff costs fy25</w:t>
            </w:r>
          </w:p>
        </w:tc>
        <w:tc>
          <w:tcPr>
            <w:tcW w:type="dxa" w:w="1238"/>
          </w:tcPr>
          <w:p>
            <w:pPr>
              <w:spacing w:after="20" w:before="0" w:line="240" w:lineRule="auto"/>
              <w:jc w:val="right"/>
            </w:pPr>
            <w:r>
              <w:rPr>
                <w:color w:val="1C3A36"/>
                <w:sz w:val="14"/>
              </w:rPr>
              <w:t>597,226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depreciation on property  plant an fy24</w:t>
            </w:r>
          </w:p>
        </w:tc>
        <w:tc>
          <w:tcPr>
            <w:tcW w:type="dxa" w:w="1238"/>
          </w:tcPr>
          <w:p>
            <w:pPr>
              <w:spacing w:after="20" w:before="0" w:line="240" w:lineRule="auto"/>
              <w:jc w:val="right"/>
            </w:pPr>
            <w:r>
              <w:rPr>
                <w:color w:val="1C3A36"/>
                <w:sz w:val="14"/>
              </w:rPr>
              <w:t>262,056</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depreciation on property  plant an fy25</w:t>
            </w:r>
          </w:p>
        </w:tc>
        <w:tc>
          <w:tcPr>
            <w:tcW w:type="dxa" w:w="1238"/>
          </w:tcPr>
          <w:p>
            <w:pPr>
              <w:spacing w:after="20" w:before="0" w:line="240" w:lineRule="auto"/>
              <w:jc w:val="right"/>
            </w:pPr>
            <w:r>
              <w:rPr>
                <w:color w:val="1C3A36"/>
                <w:sz w:val="14"/>
              </w:rPr>
              <w:t>378,790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port charges fy24</w:t>
            </w:r>
          </w:p>
        </w:tc>
        <w:tc>
          <w:tcPr>
            <w:tcW w:type="dxa" w:w="1238"/>
          </w:tcPr>
          <w:p>
            <w:pPr>
              <w:spacing w:after="20" w:before="0" w:line="240" w:lineRule="auto"/>
              <w:jc w:val="right"/>
            </w:pPr>
            <w:r>
              <w:rPr>
                <w:color w:val="1C3A36"/>
                <w:sz w:val="14"/>
              </w:rPr>
              <w:t>65,714</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port charges fy25</w:t>
            </w:r>
          </w:p>
        </w:tc>
        <w:tc>
          <w:tcPr>
            <w:tcW w:type="dxa" w:w="1238"/>
          </w:tcPr>
          <w:p>
            <w:pPr>
              <w:spacing w:after="20" w:before="0" w:line="240" w:lineRule="auto"/>
              <w:jc w:val="right"/>
            </w:pPr>
            <w:r>
              <w:rPr>
                <w:color w:val="1C3A36"/>
                <w:sz w:val="14"/>
              </w:rPr>
              <w:t>174,920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other operating costs fy24</w:t>
            </w:r>
          </w:p>
        </w:tc>
        <w:tc>
          <w:tcPr>
            <w:tcW w:type="dxa" w:w="1238"/>
          </w:tcPr>
          <w:p>
            <w:pPr>
              <w:spacing w:after="20" w:before="0" w:line="240" w:lineRule="auto"/>
              <w:jc w:val="right"/>
            </w:pPr>
            <w:r>
              <w:rPr>
                <w:color w:val="1C3A36"/>
                <w:sz w:val="14"/>
              </w:rPr>
              <w:t>66,015</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other operating costs fy25</w:t>
            </w:r>
          </w:p>
        </w:tc>
        <w:tc>
          <w:tcPr>
            <w:tcW w:type="dxa" w:w="1238"/>
          </w:tcPr>
          <w:p>
            <w:pPr>
              <w:spacing w:after="20" w:before="0" w:line="240" w:lineRule="auto"/>
              <w:jc w:val="right"/>
            </w:pPr>
            <w:r>
              <w:rPr>
                <w:color w:val="1C3A36"/>
                <w:sz w:val="14"/>
              </w:rPr>
              <w:t>116,219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depreciation on right of use asset fy24</w:t>
            </w:r>
          </w:p>
        </w:tc>
        <w:tc>
          <w:tcPr>
            <w:tcW w:type="dxa" w:w="1238"/>
          </w:tcPr>
          <w:p>
            <w:pPr>
              <w:spacing w:after="20" w:before="0" w:line="240" w:lineRule="auto"/>
              <w:jc w:val="right"/>
            </w:pPr>
            <w:r>
              <w:rPr>
                <w:color w:val="1C3A36"/>
                <w:sz w:val="14"/>
              </w:rPr>
              <w:t>38,952</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depreciation on right of use asset fy25</w:t>
            </w:r>
          </w:p>
        </w:tc>
        <w:tc>
          <w:tcPr>
            <w:tcW w:type="dxa" w:w="1238"/>
          </w:tcPr>
          <w:p>
            <w:pPr>
              <w:spacing w:after="20" w:before="0" w:line="240" w:lineRule="auto"/>
              <w:jc w:val="right"/>
            </w:pPr>
            <w:r>
              <w:rPr>
                <w:color w:val="1C3A36"/>
                <w:sz w:val="14"/>
              </w:rPr>
              <w:t>114,966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ship technical management costs fy24</w:t>
            </w:r>
          </w:p>
        </w:tc>
        <w:tc>
          <w:tcPr>
            <w:tcW w:type="dxa" w:w="1238"/>
          </w:tcPr>
          <w:p>
            <w:pPr>
              <w:spacing w:after="20" w:before="0" w:line="240" w:lineRule="auto"/>
              <w:jc w:val="right"/>
            </w:pPr>
            <w:r>
              <w:rPr>
                <w:color w:val="1C3A36"/>
                <w:sz w:val="14"/>
              </w:rPr>
              <w:t>0</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ship technical management costs fy25</w:t>
            </w:r>
          </w:p>
        </w:tc>
        <w:tc>
          <w:tcPr>
            <w:tcW w:type="dxa" w:w="1238"/>
          </w:tcPr>
          <w:p>
            <w:pPr>
              <w:spacing w:after="20" w:before="0" w:line="240" w:lineRule="auto"/>
              <w:jc w:val="right"/>
            </w:pPr>
            <w:r>
              <w:rPr>
                <w:color w:val="1C3A36"/>
                <w:sz w:val="14"/>
              </w:rPr>
              <w:t>92,773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repairs and maintenance fy24</w:t>
            </w:r>
          </w:p>
        </w:tc>
        <w:tc>
          <w:tcPr>
            <w:tcW w:type="dxa" w:w="1238"/>
          </w:tcPr>
          <w:p>
            <w:pPr>
              <w:spacing w:after="20" w:before="0" w:line="240" w:lineRule="auto"/>
              <w:jc w:val="right"/>
            </w:pPr>
            <w:r>
              <w:rPr>
                <w:color w:val="1C3A36"/>
                <w:sz w:val="14"/>
              </w:rPr>
              <w:t>57,184</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repairs and maintenance fy25</w:t>
            </w:r>
          </w:p>
        </w:tc>
        <w:tc>
          <w:tcPr>
            <w:tcW w:type="dxa" w:w="1238"/>
          </w:tcPr>
          <w:p>
            <w:pPr>
              <w:spacing w:after="20" w:before="0" w:line="240" w:lineRule="auto"/>
              <w:jc w:val="right"/>
            </w:pPr>
            <w:r>
              <w:rPr>
                <w:color w:val="1C3A36"/>
                <w:sz w:val="14"/>
              </w:rPr>
              <w:t>60,459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amortisation of intangibles fy24</w:t>
            </w:r>
          </w:p>
        </w:tc>
        <w:tc>
          <w:tcPr>
            <w:tcW w:type="dxa" w:w="1238"/>
          </w:tcPr>
          <w:p>
            <w:pPr>
              <w:spacing w:after="20" w:before="0" w:line="240" w:lineRule="auto"/>
              <w:jc w:val="right"/>
            </w:pPr>
            <w:r>
              <w:rPr>
                <w:color w:val="1C3A36"/>
                <w:sz w:val="14"/>
              </w:rPr>
              <w:t>1,604</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amortisation of intangibles fy25</w:t>
            </w:r>
          </w:p>
        </w:tc>
        <w:tc>
          <w:tcPr>
            <w:tcW w:type="dxa" w:w="1238"/>
          </w:tcPr>
          <w:p>
            <w:pPr>
              <w:spacing w:after="20" w:before="0" w:line="240" w:lineRule="auto"/>
              <w:jc w:val="right"/>
            </w:pPr>
            <w:r>
              <w:rPr>
                <w:color w:val="1C3A36"/>
                <w:sz w:val="14"/>
              </w:rPr>
              <w:t>11,696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depreciation on investment propert fy24</w:t>
            </w:r>
          </w:p>
        </w:tc>
        <w:tc>
          <w:tcPr>
            <w:tcW w:type="dxa" w:w="1238"/>
          </w:tcPr>
          <w:p>
            <w:pPr>
              <w:spacing w:after="20" w:before="0" w:line="240" w:lineRule="auto"/>
              <w:jc w:val="right"/>
            </w:pPr>
            <w:r>
              <w:rPr>
                <w:color w:val="1C3A36"/>
                <w:sz w:val="14"/>
              </w:rPr>
              <w:t>5,259</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cl depreciation on investment propert fy25</w:t>
            </w:r>
          </w:p>
        </w:tc>
        <w:tc>
          <w:tcPr>
            <w:tcW w:type="dxa" w:w="1238"/>
          </w:tcPr>
          <w:p>
            <w:pPr>
              <w:spacing w:after="20" w:before="0" w:line="240" w:lineRule="auto"/>
              <w:jc w:val="right"/>
            </w:pPr>
            <w:r>
              <w:rPr>
                <w:color w:val="1C3A36"/>
                <w:sz w:val="14"/>
              </w:rPr>
              <w:t>5,436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direct costs note, analysis by nature</w:t>
            </w:r>
          </w:p>
        </w:tc>
      </w:tr>
      <w:tr>
        <w:trPr>
          <w:cantSplit w:val="true"/>
        </w:trPr>
        <w:tc>
          <w:tcPr>
            <w:tcW w:type="dxa" w:w="2088"/>
          </w:tcPr>
          <w:p>
            <w:pPr>
              <w:spacing w:after="20" w:before="0" w:line="240" w:lineRule="auto"/>
            </w:pPr>
            <w:r>
              <w:rPr>
                <w:color w:val="1C3A36"/>
                <w:sz w:val="14"/>
              </w:rPr>
              <w:t>ebitda rep fy23</w:t>
            </w:r>
          </w:p>
        </w:tc>
        <w:tc>
          <w:tcPr>
            <w:tcW w:type="dxa" w:w="1238"/>
          </w:tcPr>
          <w:p>
            <w:pPr>
              <w:spacing w:after="20" w:before="0" w:line="240" w:lineRule="auto"/>
              <w:jc w:val="right"/>
            </w:pPr>
            <w:r>
              <w:rPr>
                <w:color w:val="1C3A36"/>
                <w:sz w:val="14"/>
              </w:rPr>
              <w:t>876,281</w:t>
            </w:r>
          </w:p>
        </w:tc>
        <w:tc>
          <w:tcPr>
            <w:tcW w:type="dxa" w:w="1022"/>
          </w:tcPr>
          <w:p>
            <w:pPr>
              <w:spacing w:after="20" w:before="0" w:line="240" w:lineRule="auto"/>
            </w:pPr>
            <w:r>
              <w:rPr>
                <w:color w:val="1C3A36"/>
                <w:sz w:val="14"/>
              </w:rPr>
              <w:t>31 Dec 2023</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 — the company's own EBITDA total</w:t>
            </w:r>
          </w:p>
        </w:tc>
      </w:tr>
      <w:tr>
        <w:trPr>
          <w:cantSplit w:val="true"/>
        </w:trPr>
        <w:tc>
          <w:tcPr>
            <w:tcW w:type="dxa" w:w="2088"/>
          </w:tcPr>
          <w:p>
            <w:pPr>
              <w:spacing w:after="20" w:before="0" w:line="240" w:lineRule="auto"/>
            </w:pPr>
            <w:r>
              <w:rPr>
                <w:color w:val="1C3A36"/>
                <w:sz w:val="14"/>
              </w:rPr>
              <w:t>ebitda rep fy24</w:t>
            </w:r>
          </w:p>
        </w:tc>
        <w:tc>
          <w:tcPr>
            <w:tcW w:type="dxa" w:w="1238"/>
          </w:tcPr>
          <w:p>
            <w:pPr>
              <w:spacing w:after="20" w:before="0" w:line="240" w:lineRule="auto"/>
              <w:jc w:val="right"/>
            </w:pPr>
            <w:r>
              <w:rPr>
                <w:color w:val="1C3A36"/>
                <w:sz w:val="14"/>
              </w:rPr>
              <w:t>1,148,796</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Consolidated Financial Statements FY2024 (PwC-audited, signed 11 Feb 2025) / Annual Report and Accounts 2024 — operating segments note, business-unit schedule — the company's own EBITDA total</w:t>
            </w:r>
          </w:p>
        </w:tc>
      </w:tr>
      <w:tr>
        <w:trPr>
          <w:cantSplit w:val="true"/>
        </w:trPr>
        <w:tc>
          <w:tcPr>
            <w:tcW w:type="dxa" w:w="2088"/>
          </w:tcPr>
          <w:p>
            <w:pPr>
              <w:spacing w:after="20" w:before="0" w:line="240" w:lineRule="auto"/>
            </w:pPr>
            <w:r>
              <w:rPr>
                <w:color w:val="1C3A36"/>
                <w:sz w:val="14"/>
              </w:rPr>
              <w:t>ebitda rep fy25</w:t>
            </w:r>
          </w:p>
        </w:tc>
        <w:tc>
          <w:tcPr>
            <w:tcW w:type="dxa" w:w="1238"/>
          </w:tcPr>
          <w:p>
            <w:pPr>
              <w:spacing w:after="20" w:before="0" w:line="240" w:lineRule="auto"/>
              <w:jc w:val="right"/>
            </w:pPr>
            <w:r>
              <w:rPr>
                <w:color w:val="1C3A36"/>
                <w:sz w:val="14"/>
              </w:rPr>
              <w:t>1,514,621</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business-unit schedule — the company's own EBITDA total</w:t>
            </w:r>
          </w:p>
        </w:tc>
      </w:tr>
      <w:tr>
        <w:trPr>
          <w:cantSplit w:val="true"/>
        </w:trPr>
        <w:tc>
          <w:tcPr>
            <w:tcW w:type="dxa" w:w="2088"/>
          </w:tcPr>
          <w:p>
            <w:pPr>
              <w:spacing w:after="20" w:before="0" w:line="240" w:lineRule="auto"/>
            </w:pPr>
            <w:r>
              <w:rPr>
                <w:color w:val="1C3A36"/>
                <w:sz w:val="14"/>
              </w:rPr>
              <w:t>vessel sale price</w:t>
            </w:r>
          </w:p>
        </w:tc>
        <w:tc>
          <w:tcPr>
            <w:tcW w:type="dxa" w:w="1238"/>
          </w:tcPr>
          <w:p>
            <w:pPr>
              <w:spacing w:after="20" w:before="0" w:line="240" w:lineRule="auto"/>
              <w:jc w:val="right"/>
            </w:pPr>
            <w:r>
              <w:rPr>
                <w:color w:val="1C3A36"/>
                <w:sz w:val="14"/>
              </w:rPr>
              <w:t>111,000</w:t>
            </w:r>
          </w:p>
        </w:tc>
        <w:tc>
          <w:tcPr>
            <w:tcW w:type="dxa" w:w="1022"/>
          </w:tcPr>
          <w:p>
            <w:pPr>
              <w:spacing w:after="20" w:before="0" w:line="240" w:lineRule="auto"/>
            </w:pPr>
            <w:r>
              <w:rPr>
                <w:color w:val="1C3A36"/>
                <w:sz w:val="14"/>
              </w:rPr>
              <w:t>31 Jan 2026</w:t>
            </w:r>
          </w:p>
        </w:tc>
        <w:tc>
          <w:tcPr>
            <w:tcW w:type="dxa" w:w="5875"/>
          </w:tcPr>
          <w:p>
            <w:pPr>
              <w:spacing w:after="20" w:before="0" w:line="240" w:lineRule="auto"/>
            </w:pPr>
            <w:r>
              <w:rPr>
                <w:color w:val="1C3A36"/>
                <w:sz w:val="14"/>
              </w:rPr>
              <w:t>ADNOC L&amp;S plc, FY2025 earnings release — sale of a 2017-built very large crude carrier, 90% owned, completed January 2026</w:t>
            </w:r>
          </w:p>
        </w:tc>
      </w:tr>
      <w:tr>
        <w:trPr>
          <w:cantSplit w:val="true"/>
        </w:trPr>
        <w:tc>
          <w:tcPr>
            <w:tcW w:type="dxa" w:w="2088"/>
          </w:tcPr>
          <w:p>
            <w:pPr>
              <w:spacing w:after="20" w:before="0" w:line="240" w:lineRule="auto"/>
            </w:pPr>
            <w:r>
              <w:rPr>
                <w:color w:val="1C3A36"/>
                <w:sz w:val="14"/>
              </w:rPr>
              <w:t>vessel sale book</w:t>
            </w:r>
          </w:p>
        </w:tc>
        <w:tc>
          <w:tcPr>
            <w:tcW w:type="dxa" w:w="1238"/>
          </w:tcPr>
          <w:p>
            <w:pPr>
              <w:spacing w:after="20" w:before="0" w:line="240" w:lineRule="auto"/>
              <w:jc w:val="right"/>
            </w:pPr>
            <w:r>
              <w:rPr>
                <w:color w:val="1C3A36"/>
                <w:sz w:val="14"/>
              </w:rPr>
              <w:t>83,000</w:t>
            </w:r>
          </w:p>
        </w:tc>
        <w:tc>
          <w:tcPr>
            <w:tcW w:type="dxa" w:w="1022"/>
          </w:tcPr>
          <w:p>
            <w:pPr>
              <w:spacing w:after="20" w:before="0" w:line="240" w:lineRule="auto"/>
            </w:pPr>
            <w:r>
              <w:rPr>
                <w:color w:val="1C3A36"/>
                <w:sz w:val="14"/>
              </w:rPr>
              <w:t>31 Jan 2026</w:t>
            </w:r>
          </w:p>
        </w:tc>
        <w:tc>
          <w:tcPr>
            <w:tcW w:type="dxa" w:w="5875"/>
          </w:tcPr>
          <w:p>
            <w:pPr>
              <w:spacing w:after="20" w:before="0" w:line="240" w:lineRule="auto"/>
            </w:pPr>
            <w:r>
              <w:rPr>
                <w:color w:val="1C3A36"/>
                <w:sz w:val="14"/>
              </w:rPr>
              <w:t>ADNOC L&amp;S plc, FY2025 earnings release — the same vessel's carrying value</w:t>
            </w:r>
          </w:p>
        </w:tc>
      </w:tr>
      <w:tr>
        <w:trPr>
          <w:cantSplit w:val="true"/>
        </w:trPr>
        <w:tc>
          <w:tcPr>
            <w:tcW w:type="dxa" w:w="2088"/>
          </w:tcPr>
          <w:p>
            <w:pPr>
              <w:spacing w:after="20" w:before="0" w:line="240" w:lineRule="auto"/>
            </w:pPr>
            <w:r>
              <w:rPr>
                <w:color w:val="1C3A36"/>
                <w:sz w:val="14"/>
              </w:rPr>
              <w:t>vessel sale gain</w:t>
            </w:r>
          </w:p>
        </w:tc>
        <w:tc>
          <w:tcPr>
            <w:tcW w:type="dxa" w:w="1238"/>
          </w:tcPr>
          <w:p>
            <w:pPr>
              <w:spacing w:after="20" w:before="0" w:line="240" w:lineRule="auto"/>
              <w:jc w:val="right"/>
            </w:pPr>
            <w:r>
              <w:rPr>
                <w:color w:val="1C3A36"/>
                <w:sz w:val="14"/>
              </w:rPr>
              <w:t>27,000</w:t>
            </w:r>
          </w:p>
        </w:tc>
        <w:tc>
          <w:tcPr>
            <w:tcW w:type="dxa" w:w="1022"/>
          </w:tcPr>
          <w:p>
            <w:pPr>
              <w:spacing w:after="20" w:before="0" w:line="240" w:lineRule="auto"/>
            </w:pPr>
            <w:r>
              <w:rPr>
                <w:color w:val="1C3A36"/>
                <w:sz w:val="14"/>
              </w:rPr>
              <w:t>31 Jan 2026</w:t>
            </w:r>
          </w:p>
        </w:tc>
        <w:tc>
          <w:tcPr>
            <w:tcW w:type="dxa" w:w="5875"/>
          </w:tcPr>
          <w:p>
            <w:pPr>
              <w:spacing w:after="20" w:before="0" w:line="240" w:lineRule="auto"/>
            </w:pPr>
            <w:r>
              <w:rPr>
                <w:color w:val="1C3A36"/>
                <w:sz w:val="14"/>
              </w:rPr>
              <w:t>ADNOC L&amp;S plc, FY2025 earnings release — the capital gain recognised on that sale</w:t>
            </w:r>
          </w:p>
        </w:tc>
      </w:tr>
      <w:tr>
        <w:trPr>
          <w:cantSplit w:val="true"/>
        </w:trPr>
        <w:tc>
          <w:tcPr>
            <w:tcW w:type="dxa" w:w="2088"/>
          </w:tcPr>
          <w:p>
            <w:pPr>
              <w:spacing w:after="20" w:before="0" w:line="240" w:lineRule="auto"/>
            </w:pPr>
            <w:r>
              <w:rPr>
                <w:color w:val="1C3A36"/>
                <w:sz w:val="14"/>
              </w:rPr>
              <w:t>gw growth assumption</w:t>
            </w:r>
          </w:p>
        </w:tc>
        <w:tc>
          <w:tcPr>
            <w:tcW w:type="dxa" w:w="1238"/>
          </w:tcPr>
          <w:p>
            <w:pPr>
              <w:spacing w:after="20" w:before="0" w:line="240" w:lineRule="auto"/>
              <w:jc w:val="right"/>
            </w:pPr>
            <w:r>
              <w:rPr>
                <w:color w:val="1C3A36"/>
                <w:sz w:val="14"/>
              </w:rPr>
              <w:t>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goodwill note: the company's own value-in-use test projects cash flows beyond the explicit plan at a growth rate equivalent to an estimated 2% inflation rate</w:t>
            </w:r>
          </w:p>
        </w:tc>
      </w:tr>
      <w:tr>
        <w:trPr>
          <w:cantSplit w:val="true"/>
        </w:trPr>
        <w:tc>
          <w:tcPr>
            <w:tcW w:type="dxa" w:w="2088"/>
          </w:tcPr>
          <w:p>
            <w:pPr>
              <w:spacing w:after="20" w:before="0" w:line="240" w:lineRule="auto"/>
            </w:pPr>
            <w:r>
              <w:rPr>
                <w:color w:val="1C3A36"/>
                <w:sz w:val="14"/>
              </w:rPr>
              <w:t>tnk hs n</w:t>
            </w:r>
          </w:p>
        </w:tc>
        <w:tc>
          <w:tcPr>
            <w:tcW w:type="dxa" w:w="1238"/>
          </w:tcPr>
          <w:p>
            <w:pPr>
              <w:spacing w:after="20" w:before="0" w:line="240" w:lineRule="auto"/>
              <w:jc w:val="right"/>
            </w:pPr>
            <w:r>
              <w:rPr>
                <w:color w:val="1C3A36"/>
                <w:sz w:val="14"/>
              </w:rPr>
              <w:t>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owned shipping fleet at 31 December 2025</w:t>
            </w:r>
          </w:p>
        </w:tc>
      </w:tr>
      <w:tr>
        <w:trPr>
          <w:cantSplit w:val="true"/>
        </w:trPr>
        <w:tc>
          <w:tcPr>
            <w:tcW w:type="dxa" w:w="2088"/>
          </w:tcPr>
          <w:p>
            <w:pPr>
              <w:spacing w:after="20" w:before="0" w:line="240" w:lineRule="auto"/>
            </w:pPr>
            <w:r>
              <w:rPr>
                <w:color w:val="1C3A36"/>
                <w:sz w:val="14"/>
              </w:rPr>
              <w:t>tnk mr n</w:t>
            </w:r>
          </w:p>
        </w:tc>
        <w:tc>
          <w:tcPr>
            <w:tcW w:type="dxa" w:w="1238"/>
          </w:tcPr>
          <w:p>
            <w:pPr>
              <w:spacing w:after="20" w:before="0" w:line="240" w:lineRule="auto"/>
              <w:jc w:val="right"/>
            </w:pPr>
            <w:r>
              <w:rPr>
                <w:color w:val="1C3A36"/>
                <w:sz w:val="14"/>
              </w:rPr>
              <w:t>16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owned shipping fleet at 31 December 2025</w:t>
            </w:r>
          </w:p>
        </w:tc>
      </w:tr>
      <w:tr>
        <w:trPr>
          <w:cantSplit w:val="true"/>
        </w:trPr>
        <w:tc>
          <w:tcPr>
            <w:tcW w:type="dxa" w:w="2088"/>
          </w:tcPr>
          <w:p>
            <w:pPr>
              <w:spacing w:after="20" w:before="0" w:line="240" w:lineRule="auto"/>
            </w:pPr>
            <w:r>
              <w:rPr>
                <w:color w:val="1C3A36"/>
                <w:sz w:val="14"/>
              </w:rPr>
              <w:t>tnk lr1 n</w:t>
            </w:r>
          </w:p>
        </w:tc>
        <w:tc>
          <w:tcPr>
            <w:tcW w:type="dxa" w:w="1238"/>
          </w:tcPr>
          <w:p>
            <w:pPr>
              <w:spacing w:after="20" w:before="0" w:line="240" w:lineRule="auto"/>
              <w:jc w:val="right"/>
            </w:pPr>
            <w:r>
              <w:rPr>
                <w:color w:val="1C3A36"/>
                <w:sz w:val="14"/>
              </w:rPr>
              <w:t>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owned shipping fleet at 31 December 2025</w:t>
            </w:r>
          </w:p>
        </w:tc>
      </w:tr>
      <w:tr>
        <w:trPr>
          <w:cantSplit w:val="true"/>
        </w:trPr>
        <w:tc>
          <w:tcPr>
            <w:tcW w:type="dxa" w:w="2088"/>
          </w:tcPr>
          <w:p>
            <w:pPr>
              <w:spacing w:after="20" w:before="0" w:line="240" w:lineRule="auto"/>
            </w:pPr>
            <w:r>
              <w:rPr>
                <w:color w:val="1C3A36"/>
                <w:sz w:val="14"/>
              </w:rPr>
              <w:t>tnk lr2 n</w:t>
            </w:r>
          </w:p>
        </w:tc>
        <w:tc>
          <w:tcPr>
            <w:tcW w:type="dxa" w:w="1238"/>
          </w:tcPr>
          <w:p>
            <w:pPr>
              <w:spacing w:after="20" w:before="0" w:line="240" w:lineRule="auto"/>
              <w:jc w:val="right"/>
            </w:pPr>
            <w:r>
              <w:rPr>
                <w:color w:val="1C3A36"/>
                <w:sz w:val="14"/>
              </w:rPr>
              <w:t>17</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owned shipping fleet at 31 December 2025</w:t>
            </w:r>
          </w:p>
        </w:tc>
      </w:tr>
      <w:tr>
        <w:trPr>
          <w:cantSplit w:val="true"/>
        </w:trPr>
        <w:tc>
          <w:tcPr>
            <w:tcW w:type="dxa" w:w="2088"/>
          </w:tcPr>
          <w:p>
            <w:pPr>
              <w:spacing w:after="20" w:before="0" w:line="240" w:lineRule="auto"/>
            </w:pPr>
            <w:r>
              <w:rPr>
                <w:color w:val="1C3A36"/>
                <w:sz w:val="14"/>
              </w:rPr>
              <w:t>tnk vlcc n</w:t>
            </w:r>
          </w:p>
        </w:tc>
        <w:tc>
          <w:tcPr>
            <w:tcW w:type="dxa" w:w="1238"/>
          </w:tcPr>
          <w:p>
            <w:pPr>
              <w:spacing w:after="20" w:before="0" w:line="240" w:lineRule="auto"/>
              <w:jc w:val="right"/>
            </w:pPr>
            <w:r>
              <w:rPr>
                <w:color w:val="1C3A36"/>
                <w:sz w:val="14"/>
              </w:rPr>
              <w:t>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owned shipping fleet at 31 December 2025</w:t>
            </w:r>
          </w:p>
        </w:tc>
      </w:tr>
      <w:tr>
        <w:trPr>
          <w:cantSplit w:val="true"/>
        </w:trPr>
        <w:tc>
          <w:tcPr>
            <w:tcW w:type="dxa" w:w="2088"/>
          </w:tcPr>
          <w:p>
            <w:pPr>
              <w:spacing w:after="20" w:before="0" w:line="240" w:lineRule="auto"/>
            </w:pPr>
            <w:r>
              <w:rPr>
                <w:color w:val="1C3A36"/>
                <w:sz w:val="14"/>
              </w:rPr>
              <w:t>tnk hs spot</w:t>
            </w:r>
          </w:p>
        </w:tc>
        <w:tc>
          <w:tcPr>
            <w:tcW w:type="dxa" w:w="1238"/>
          </w:tcPr>
          <w:p>
            <w:pPr>
              <w:spacing w:after="20" w:before="0" w:line="240" w:lineRule="auto"/>
              <w:jc w:val="right"/>
            </w:pPr>
            <w:r>
              <w:rPr>
                <w:color w:val="1C3A36"/>
                <w:sz w:val="14"/>
              </w:rPr>
              <w:t>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vessels available at spot, and the earnings sensitivity to a change of USD 1,000 a day in the time-charter equivalent</w:t>
            </w:r>
          </w:p>
        </w:tc>
      </w:tr>
      <w:tr>
        <w:trPr>
          <w:cantSplit w:val="true"/>
        </w:trPr>
        <w:tc>
          <w:tcPr>
            <w:tcW w:type="dxa" w:w="2088"/>
          </w:tcPr>
          <w:p>
            <w:pPr>
              <w:spacing w:after="20" w:before="0" w:line="240" w:lineRule="auto"/>
            </w:pPr>
            <w:r>
              <w:rPr>
                <w:color w:val="1C3A36"/>
                <w:sz w:val="14"/>
              </w:rPr>
              <w:t>tnk mr spot</w:t>
            </w:r>
          </w:p>
        </w:tc>
        <w:tc>
          <w:tcPr>
            <w:tcW w:type="dxa" w:w="1238"/>
          </w:tcPr>
          <w:p>
            <w:pPr>
              <w:spacing w:after="20" w:before="0" w:line="240" w:lineRule="auto"/>
              <w:jc w:val="right"/>
            </w:pPr>
            <w:r>
              <w:rPr>
                <w:color w:val="1C3A36"/>
                <w:sz w:val="14"/>
              </w:rPr>
              <w:t>16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vessels available at spot, and the earnings sensitivity to a change of USD 1,000 a day in the time-charter equivalent</w:t>
            </w:r>
          </w:p>
        </w:tc>
      </w:tr>
      <w:tr>
        <w:trPr>
          <w:cantSplit w:val="true"/>
        </w:trPr>
        <w:tc>
          <w:tcPr>
            <w:tcW w:type="dxa" w:w="2088"/>
          </w:tcPr>
          <w:p>
            <w:pPr>
              <w:spacing w:after="20" w:before="0" w:line="240" w:lineRule="auto"/>
            </w:pPr>
            <w:r>
              <w:rPr>
                <w:color w:val="1C3A36"/>
                <w:sz w:val="14"/>
              </w:rPr>
              <w:t>tnk lr1 spot</w:t>
            </w:r>
          </w:p>
        </w:tc>
        <w:tc>
          <w:tcPr>
            <w:tcW w:type="dxa" w:w="1238"/>
          </w:tcPr>
          <w:p>
            <w:pPr>
              <w:spacing w:after="20" w:before="0" w:line="240" w:lineRule="auto"/>
              <w:jc w:val="right"/>
            </w:pPr>
            <w:r>
              <w:rPr>
                <w:color w:val="1C3A36"/>
                <w:sz w:val="14"/>
              </w:rPr>
              <w:t>7</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vessels available at spot, and the earnings sensitivity to a change of USD 1,000 a day in the time-charter equivalent</w:t>
            </w:r>
          </w:p>
        </w:tc>
      </w:tr>
      <w:tr>
        <w:trPr>
          <w:cantSplit w:val="true"/>
        </w:trPr>
        <w:tc>
          <w:tcPr>
            <w:tcW w:type="dxa" w:w="2088"/>
          </w:tcPr>
          <w:p>
            <w:pPr>
              <w:spacing w:after="20" w:before="0" w:line="240" w:lineRule="auto"/>
            </w:pPr>
            <w:r>
              <w:rPr>
                <w:color w:val="1C3A36"/>
                <w:sz w:val="14"/>
              </w:rPr>
              <w:t>tnk lr2 spot</w:t>
            </w:r>
          </w:p>
        </w:tc>
        <w:tc>
          <w:tcPr>
            <w:tcW w:type="dxa" w:w="1238"/>
          </w:tcPr>
          <w:p>
            <w:pPr>
              <w:spacing w:after="20" w:before="0" w:line="240" w:lineRule="auto"/>
              <w:jc w:val="right"/>
            </w:pPr>
            <w:r>
              <w:rPr>
                <w:color w:val="1C3A36"/>
                <w:sz w:val="14"/>
              </w:rPr>
              <w:t>13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vessels available at spot, and the earnings sensitivity to a change of USD 1,000 a day in the time-charter equivalent</w:t>
            </w:r>
          </w:p>
        </w:tc>
      </w:tr>
      <w:tr>
        <w:trPr>
          <w:cantSplit w:val="true"/>
        </w:trPr>
        <w:tc>
          <w:tcPr>
            <w:tcW w:type="dxa" w:w="2088"/>
          </w:tcPr>
          <w:p>
            <w:pPr>
              <w:spacing w:after="20" w:before="0" w:line="240" w:lineRule="auto"/>
            </w:pPr>
            <w:r>
              <w:rPr>
                <w:color w:val="1C3A36"/>
                <w:sz w:val="14"/>
              </w:rPr>
              <w:t>tnk vlcc spot</w:t>
            </w:r>
          </w:p>
        </w:tc>
        <w:tc>
          <w:tcPr>
            <w:tcW w:type="dxa" w:w="1238"/>
          </w:tcPr>
          <w:p>
            <w:pPr>
              <w:spacing w:after="20" w:before="0" w:line="240" w:lineRule="auto"/>
              <w:jc w:val="right"/>
            </w:pPr>
            <w:r>
              <w:rPr>
                <w:color w:val="1C3A36"/>
                <w:sz w:val="14"/>
              </w:rPr>
              <w:t>7</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vessels available at spot, and the earnings sensitivity to a change of USD 1,000 a day in the time-charter equivalent</w:t>
            </w:r>
          </w:p>
        </w:tc>
      </w:tr>
      <w:tr>
        <w:trPr>
          <w:cantSplit w:val="true"/>
        </w:trPr>
        <w:tc>
          <w:tcPr>
            <w:tcW w:type="dxa" w:w="2088"/>
          </w:tcPr>
          <w:p>
            <w:pPr>
              <w:spacing w:after="20" w:before="0" w:line="240" w:lineRule="auto"/>
            </w:pPr>
            <w:r>
              <w:rPr>
                <w:color w:val="1C3A36"/>
                <w:sz w:val="14"/>
              </w:rPr>
              <w:t>spot vessels total</w:t>
            </w:r>
          </w:p>
        </w:tc>
        <w:tc>
          <w:tcPr>
            <w:tcW w:type="dxa" w:w="1238"/>
          </w:tcPr>
          <w:p>
            <w:pPr>
              <w:spacing w:after="20" w:before="0" w:line="240" w:lineRule="auto"/>
              <w:jc w:val="right"/>
            </w:pPr>
            <w:r>
              <w:rPr>
                <w:color w:val="1C3A36"/>
                <w:sz w:val="14"/>
              </w:rPr>
              <w:t>56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vessels available at spot, and the earnings sensitivity to a change of USD 1,000 a day in the time-charter equivalent — 45 tankers and 11 dry-bulk vessels</w:t>
            </w:r>
          </w:p>
        </w:tc>
      </w:tr>
      <w:tr>
        <w:trPr>
          <w:cantSplit w:val="true"/>
        </w:trPr>
        <w:tc>
          <w:tcPr>
            <w:tcW w:type="dxa" w:w="2088"/>
          </w:tcPr>
          <w:p>
            <w:pPr>
              <w:spacing w:after="20" w:before="0" w:line="240" w:lineRule="auto"/>
            </w:pPr>
            <w:r>
              <w:rPr>
                <w:color w:val="1C3A36"/>
                <w:sz w:val="14"/>
              </w:rPr>
              <w:t>ebitda per 1000 day</w:t>
            </w:r>
          </w:p>
        </w:tc>
        <w:tc>
          <w:tcPr>
            <w:tcW w:type="dxa" w:w="1238"/>
          </w:tcPr>
          <w:p>
            <w:pPr>
              <w:spacing w:after="20" w:before="0" w:line="240" w:lineRule="auto"/>
              <w:jc w:val="right"/>
            </w:pPr>
            <w:r>
              <w:rPr>
                <w:color w:val="1C3A36"/>
                <w:sz w:val="14"/>
              </w:rPr>
              <w:t>20,500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vessels available at spot, and the earnings sensitivity to a change of USD 1,000 a day in the time-charter equivalent — group earnings move by about USD 20.5 million for every USD 1,000 a day change in the rate across those 56 vessels</w:t>
            </w:r>
          </w:p>
        </w:tc>
      </w:tr>
      <w:tr>
        <w:trPr>
          <w:cantSplit w:val="true"/>
        </w:trPr>
        <w:tc>
          <w:tcPr>
            <w:tcW w:type="dxa" w:w="2088"/>
          </w:tcPr>
          <w:p>
            <w:pPr>
              <w:spacing w:after="20" w:before="0" w:line="240" w:lineRule="auto"/>
            </w:pPr>
            <w:r>
              <w:rPr>
                <w:color w:val="1C3A36"/>
                <w:sz w:val="14"/>
              </w:rPr>
              <w:t>tc out lr1</w:t>
            </w:r>
          </w:p>
        </w:tc>
        <w:tc>
          <w:tcPr>
            <w:tcW w:type="dxa" w:w="1238"/>
          </w:tcPr>
          <w:p>
            <w:pPr>
              <w:spacing w:after="20" w:before="0" w:line="240" w:lineRule="auto"/>
              <w:jc w:val="right"/>
            </w:pPr>
            <w:r>
              <w:rPr>
                <w:color w:val="1C3A36"/>
                <w:sz w:val="14"/>
              </w:rPr>
              <w:t>19,750/day</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charters out: two long-range-one tankers fixed at USD 19,750 a day</w:t>
            </w:r>
          </w:p>
        </w:tc>
      </w:tr>
      <w:tr>
        <w:trPr>
          <w:cantSplit w:val="true"/>
        </w:trPr>
        <w:tc>
          <w:tcPr>
            <w:tcW w:type="dxa" w:w="2088"/>
          </w:tcPr>
          <w:p>
            <w:pPr>
              <w:spacing w:after="20" w:before="0" w:line="240" w:lineRule="auto"/>
            </w:pPr>
            <w:r>
              <w:rPr>
                <w:color w:val="1C3A36"/>
                <w:sz w:val="14"/>
              </w:rPr>
              <w:t>tc out lr2</w:t>
            </w:r>
          </w:p>
        </w:tc>
        <w:tc>
          <w:tcPr>
            <w:tcW w:type="dxa" w:w="1238"/>
          </w:tcPr>
          <w:p>
            <w:pPr>
              <w:spacing w:after="20" w:before="0" w:line="240" w:lineRule="auto"/>
              <w:jc w:val="right"/>
            </w:pPr>
            <w:r>
              <w:rPr>
                <w:color w:val="1C3A36"/>
                <w:sz w:val="14"/>
              </w:rPr>
              <w:t>35,943/day</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charters out: average of the six long-range-two fixtures disclosed, from USD 30,561 to USD 42,000 a day</w:t>
            </w:r>
          </w:p>
        </w:tc>
      </w:tr>
      <w:tr>
        <w:trPr>
          <w:cantSplit w:val="true"/>
        </w:trPr>
        <w:tc>
          <w:tcPr>
            <w:tcW w:type="dxa" w:w="2088"/>
          </w:tcPr>
          <w:p>
            <w:pPr>
              <w:spacing w:after="20" w:before="0" w:line="240" w:lineRule="auto"/>
            </w:pPr>
            <w:r>
              <w:rPr>
                <w:color w:val="1C3A36"/>
                <w:sz w:val="14"/>
              </w:rPr>
              <w:t>tc out vlcc</w:t>
            </w:r>
          </w:p>
        </w:tc>
        <w:tc>
          <w:tcPr>
            <w:tcW w:type="dxa" w:w="1238"/>
          </w:tcPr>
          <w:p>
            <w:pPr>
              <w:spacing w:after="20" w:before="0" w:line="240" w:lineRule="auto"/>
              <w:jc w:val="right"/>
            </w:pPr>
            <w:r>
              <w:rPr>
                <w:color w:val="1C3A36"/>
                <w:sz w:val="14"/>
              </w:rPr>
              <w:t>60,942/day</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charters out: average of the four very large crude carrier fixtures disclosed, from USD 50,633 to USD 72,500 a day</w:t>
            </w:r>
          </w:p>
        </w:tc>
      </w:tr>
      <w:tr>
        <w:trPr>
          <w:cantSplit w:val="true"/>
        </w:trPr>
        <w:tc>
          <w:tcPr>
            <w:tcW w:type="dxa" w:w="2088"/>
          </w:tcPr>
          <w:p>
            <w:pPr>
              <w:spacing w:after="20" w:before="0" w:line="240" w:lineRule="auto"/>
            </w:pPr>
            <w:r>
              <w:rPr>
                <w:color w:val="1C3A36"/>
                <w:sz w:val="14"/>
              </w:rPr>
              <w:t>tce vlcc q1 26</w:t>
            </w:r>
          </w:p>
        </w:tc>
        <w:tc>
          <w:tcPr>
            <w:tcW w:type="dxa" w:w="1238"/>
          </w:tcPr>
          <w:p>
            <w:pPr>
              <w:spacing w:after="20" w:before="0" w:line="240" w:lineRule="auto"/>
              <w:jc w:val="right"/>
            </w:pPr>
            <w:r>
              <w:rPr>
                <w:color w:val="1C3A36"/>
                <w:sz w:val="14"/>
              </w:rPr>
              <w:t>145,000/day</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Q1 2026 earnings call transcript — rates achieved in the first quarter of 2026 and the level the second quarter was crossing at the time of the call</w:t>
            </w:r>
          </w:p>
        </w:tc>
      </w:tr>
      <w:tr>
        <w:trPr>
          <w:cantSplit w:val="true"/>
        </w:trPr>
        <w:tc>
          <w:tcPr>
            <w:tcW w:type="dxa" w:w="2088"/>
          </w:tcPr>
          <w:p>
            <w:pPr>
              <w:spacing w:after="20" w:before="0" w:line="240" w:lineRule="auto"/>
            </w:pPr>
            <w:r>
              <w:rPr>
                <w:color w:val="1C3A36"/>
                <w:sz w:val="14"/>
              </w:rPr>
              <w:t>tce lr2 q1 26</w:t>
            </w:r>
          </w:p>
        </w:tc>
        <w:tc>
          <w:tcPr>
            <w:tcW w:type="dxa" w:w="1238"/>
          </w:tcPr>
          <w:p>
            <w:pPr>
              <w:spacing w:after="20" w:before="0" w:line="240" w:lineRule="auto"/>
              <w:jc w:val="right"/>
            </w:pPr>
            <w:r>
              <w:rPr>
                <w:color w:val="1C3A36"/>
                <w:sz w:val="14"/>
              </w:rPr>
              <w:t>58,000/day</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Q1 2026 earnings call transcript — rates achieved in the first quarter of 2026 and the level the second quarter was crossing at the time of the call</w:t>
            </w:r>
          </w:p>
        </w:tc>
      </w:tr>
      <w:tr>
        <w:trPr>
          <w:cantSplit w:val="true"/>
        </w:trPr>
        <w:tc>
          <w:tcPr>
            <w:tcW w:type="dxa" w:w="2088"/>
          </w:tcPr>
          <w:p>
            <w:pPr>
              <w:spacing w:after="20" w:before="0" w:line="240" w:lineRule="auto"/>
            </w:pPr>
            <w:r>
              <w:rPr>
                <w:color w:val="1C3A36"/>
                <w:sz w:val="14"/>
              </w:rPr>
              <w:t>tce lr1 q1 26</w:t>
            </w:r>
          </w:p>
        </w:tc>
        <w:tc>
          <w:tcPr>
            <w:tcW w:type="dxa" w:w="1238"/>
          </w:tcPr>
          <w:p>
            <w:pPr>
              <w:spacing w:after="20" w:before="0" w:line="240" w:lineRule="auto"/>
              <w:jc w:val="right"/>
            </w:pPr>
            <w:r>
              <w:rPr>
                <w:color w:val="1C3A36"/>
                <w:sz w:val="14"/>
              </w:rPr>
              <w:t>36,000/day</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Q1 2026 earnings call transcript — rates achieved in the first quarter of 2026 and the level the second quarter was crossing at the time of the call</w:t>
            </w:r>
          </w:p>
        </w:tc>
      </w:tr>
      <w:tr>
        <w:trPr>
          <w:cantSplit w:val="true"/>
        </w:trPr>
        <w:tc>
          <w:tcPr>
            <w:tcW w:type="dxa" w:w="2088"/>
          </w:tcPr>
          <w:p>
            <w:pPr>
              <w:spacing w:after="20" w:before="0" w:line="240" w:lineRule="auto"/>
            </w:pPr>
            <w:r>
              <w:rPr>
                <w:color w:val="1C3A36"/>
                <w:sz w:val="14"/>
              </w:rPr>
              <w:t>tce mr q1 26</w:t>
            </w:r>
          </w:p>
        </w:tc>
        <w:tc>
          <w:tcPr>
            <w:tcW w:type="dxa" w:w="1238"/>
          </w:tcPr>
          <w:p>
            <w:pPr>
              <w:spacing w:after="20" w:before="0" w:line="240" w:lineRule="auto"/>
              <w:jc w:val="right"/>
            </w:pPr>
            <w:r>
              <w:rPr>
                <w:color w:val="1C3A36"/>
                <w:sz w:val="14"/>
              </w:rPr>
              <w:t>30,000/day</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Q1 2026 earnings call transcript — rates achieved in the first quarter of 2026 and the level the second quarter was crossing at the time of the call</w:t>
            </w:r>
          </w:p>
        </w:tc>
      </w:tr>
      <w:tr>
        <w:trPr>
          <w:cantSplit w:val="true"/>
        </w:trPr>
        <w:tc>
          <w:tcPr>
            <w:tcW w:type="dxa" w:w="2088"/>
          </w:tcPr>
          <w:p>
            <w:pPr>
              <w:spacing w:after="20" w:before="0" w:line="240" w:lineRule="auto"/>
            </w:pPr>
            <w:r>
              <w:rPr>
                <w:color w:val="1C3A36"/>
                <w:sz w:val="14"/>
              </w:rPr>
              <w:t>tce vlcc q2 26</w:t>
            </w:r>
          </w:p>
        </w:tc>
        <w:tc>
          <w:tcPr>
            <w:tcW w:type="dxa" w:w="1238"/>
          </w:tcPr>
          <w:p>
            <w:pPr>
              <w:spacing w:after="20" w:before="0" w:line="240" w:lineRule="auto"/>
              <w:jc w:val="right"/>
            </w:pPr>
            <w:r>
              <w:rPr>
                <w:color w:val="1C3A36"/>
                <w:sz w:val="14"/>
              </w:rPr>
              <w:t>260,000/day</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Q1 2026 earnings call transcript — rates achieved in the first quarter of 2026 and the level the second quarter was crossing at the time of the call</w:t>
            </w:r>
          </w:p>
        </w:tc>
      </w:tr>
      <w:tr>
        <w:trPr>
          <w:cantSplit w:val="true"/>
        </w:trPr>
        <w:tc>
          <w:tcPr>
            <w:tcW w:type="dxa" w:w="2088"/>
          </w:tcPr>
          <w:p>
            <w:pPr>
              <w:spacing w:after="20" w:before="0" w:line="240" w:lineRule="auto"/>
            </w:pPr>
            <w:r>
              <w:rPr>
                <w:color w:val="1C3A36"/>
                <w:sz w:val="14"/>
              </w:rPr>
              <w:t>tce lr2 q2 26</w:t>
            </w:r>
          </w:p>
        </w:tc>
        <w:tc>
          <w:tcPr>
            <w:tcW w:type="dxa" w:w="1238"/>
          </w:tcPr>
          <w:p>
            <w:pPr>
              <w:spacing w:after="20" w:before="0" w:line="240" w:lineRule="auto"/>
              <w:jc w:val="right"/>
            </w:pPr>
            <w:r>
              <w:rPr>
                <w:color w:val="1C3A36"/>
                <w:sz w:val="14"/>
              </w:rPr>
              <w:t>95,000/day</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Q1 2026 earnings call transcript — rates achieved in the first quarter of 2026 and the level the second quarter was crossing at the time of the call</w:t>
            </w:r>
          </w:p>
        </w:tc>
      </w:tr>
      <w:tr>
        <w:trPr>
          <w:cantSplit w:val="true"/>
        </w:trPr>
        <w:tc>
          <w:tcPr>
            <w:tcW w:type="dxa" w:w="2088"/>
          </w:tcPr>
          <w:p>
            <w:pPr>
              <w:spacing w:after="20" w:before="0" w:line="240" w:lineRule="auto"/>
            </w:pPr>
            <w:r>
              <w:rPr>
                <w:color w:val="1C3A36"/>
                <w:sz w:val="14"/>
              </w:rPr>
              <w:t>tce lr1 q2 26</w:t>
            </w:r>
          </w:p>
        </w:tc>
        <w:tc>
          <w:tcPr>
            <w:tcW w:type="dxa" w:w="1238"/>
          </w:tcPr>
          <w:p>
            <w:pPr>
              <w:spacing w:after="20" w:before="0" w:line="240" w:lineRule="auto"/>
              <w:jc w:val="right"/>
            </w:pPr>
            <w:r>
              <w:rPr>
                <w:color w:val="1C3A36"/>
                <w:sz w:val="14"/>
              </w:rPr>
              <w:t>55,000/day</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Q1 2026 earnings call transcript — rates achieved in the first quarter of 2026 and the level the second quarter was crossing at the time of the call</w:t>
            </w:r>
          </w:p>
        </w:tc>
      </w:tr>
      <w:tr>
        <w:trPr>
          <w:cantSplit w:val="true"/>
        </w:trPr>
        <w:tc>
          <w:tcPr>
            <w:tcW w:type="dxa" w:w="2088"/>
          </w:tcPr>
          <w:p>
            <w:pPr>
              <w:spacing w:after="20" w:before="0" w:line="240" w:lineRule="auto"/>
            </w:pPr>
            <w:r>
              <w:rPr>
                <w:color w:val="1C3A36"/>
                <w:sz w:val="14"/>
              </w:rPr>
              <w:t>tce mr q2 26</w:t>
            </w:r>
          </w:p>
        </w:tc>
        <w:tc>
          <w:tcPr>
            <w:tcW w:type="dxa" w:w="1238"/>
          </w:tcPr>
          <w:p>
            <w:pPr>
              <w:spacing w:after="20" w:before="0" w:line="240" w:lineRule="auto"/>
              <w:jc w:val="right"/>
            </w:pPr>
            <w:r>
              <w:rPr>
                <w:color w:val="1C3A36"/>
                <w:sz w:val="14"/>
              </w:rPr>
              <w:t>44,000/day</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Q1 2026 earnings call transcript — rates achieved in the first quarter of 2026 and the level the second quarter was crossing at the time of the call</w:t>
            </w:r>
          </w:p>
        </w:tc>
      </w:tr>
      <w:tr>
        <w:trPr>
          <w:cantSplit w:val="true"/>
        </w:trPr>
        <w:tc>
          <w:tcPr>
            <w:tcW w:type="dxa" w:w="2088"/>
          </w:tcPr>
          <w:p>
            <w:pPr>
              <w:spacing w:after="20" w:before="0" w:line="240" w:lineRule="auto"/>
            </w:pPr>
            <w:r>
              <w:rPr>
                <w:color w:val="1C3A36"/>
                <w:sz w:val="14"/>
              </w:rPr>
              <w:t>tce mr 25q1</w:t>
            </w:r>
          </w:p>
        </w:tc>
        <w:tc>
          <w:tcPr>
            <w:tcW w:type="dxa" w:w="1238"/>
          </w:tcPr>
          <w:p>
            <w:pPr>
              <w:spacing w:after="20" w:before="0" w:line="240" w:lineRule="auto"/>
              <w:jc w:val="right"/>
            </w:pPr>
            <w:r>
              <w:rPr>
                <w:color w:val="1C3A36"/>
                <w:sz w:val="14"/>
              </w:rPr>
              <w:t>23,459/day</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mr 25q2</w:t>
            </w:r>
          </w:p>
        </w:tc>
        <w:tc>
          <w:tcPr>
            <w:tcW w:type="dxa" w:w="1238"/>
          </w:tcPr>
          <w:p>
            <w:pPr>
              <w:spacing w:after="20" w:before="0" w:line="240" w:lineRule="auto"/>
              <w:jc w:val="right"/>
            </w:pPr>
            <w:r>
              <w:rPr>
                <w:color w:val="1C3A36"/>
                <w:sz w:val="14"/>
              </w:rPr>
              <w:t>25,161/day</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mr 25q3</w:t>
            </w:r>
          </w:p>
        </w:tc>
        <w:tc>
          <w:tcPr>
            <w:tcW w:type="dxa" w:w="1238"/>
          </w:tcPr>
          <w:p>
            <w:pPr>
              <w:spacing w:after="20" w:before="0" w:line="240" w:lineRule="auto"/>
              <w:jc w:val="right"/>
            </w:pPr>
            <w:r>
              <w:rPr>
                <w:color w:val="1C3A36"/>
                <w:sz w:val="14"/>
              </w:rPr>
              <w:t>23,391/day</w:t>
            </w:r>
          </w:p>
        </w:tc>
        <w:tc>
          <w:tcPr>
            <w:tcW w:type="dxa" w:w="1022"/>
          </w:tcPr>
          <w:p>
            <w:pPr>
              <w:spacing w:after="20" w:before="0" w:line="240" w:lineRule="auto"/>
            </w:pPr>
            <w:r>
              <w:rPr>
                <w:color w:val="1C3A36"/>
                <w:sz w:val="14"/>
              </w:rPr>
              <w:t>30 Sep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mr 25q4</w:t>
            </w:r>
          </w:p>
        </w:tc>
        <w:tc>
          <w:tcPr>
            <w:tcW w:type="dxa" w:w="1238"/>
          </w:tcPr>
          <w:p>
            <w:pPr>
              <w:spacing w:after="20" w:before="0" w:line="240" w:lineRule="auto"/>
              <w:jc w:val="right"/>
            </w:pPr>
            <w:r>
              <w:rPr>
                <w:color w:val="1C3A36"/>
                <w:sz w:val="14"/>
              </w:rPr>
              <w:t>24,547/day</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lr1 25q1</w:t>
            </w:r>
          </w:p>
        </w:tc>
        <w:tc>
          <w:tcPr>
            <w:tcW w:type="dxa" w:w="1238"/>
          </w:tcPr>
          <w:p>
            <w:pPr>
              <w:spacing w:after="20" w:before="0" w:line="240" w:lineRule="auto"/>
              <w:jc w:val="right"/>
            </w:pPr>
            <w:r>
              <w:rPr>
                <w:color w:val="1C3A36"/>
                <w:sz w:val="14"/>
              </w:rPr>
              <w:t>21,546/day</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lr1 25q2</w:t>
            </w:r>
          </w:p>
        </w:tc>
        <w:tc>
          <w:tcPr>
            <w:tcW w:type="dxa" w:w="1238"/>
          </w:tcPr>
          <w:p>
            <w:pPr>
              <w:spacing w:after="20" w:before="0" w:line="240" w:lineRule="auto"/>
              <w:jc w:val="right"/>
            </w:pPr>
            <w:r>
              <w:rPr>
                <w:color w:val="1C3A36"/>
                <w:sz w:val="14"/>
              </w:rPr>
              <w:t>24,225/day</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lr1 25q3</w:t>
            </w:r>
          </w:p>
        </w:tc>
        <w:tc>
          <w:tcPr>
            <w:tcW w:type="dxa" w:w="1238"/>
          </w:tcPr>
          <w:p>
            <w:pPr>
              <w:spacing w:after="20" w:before="0" w:line="240" w:lineRule="auto"/>
              <w:jc w:val="right"/>
            </w:pPr>
            <w:r>
              <w:rPr>
                <w:color w:val="1C3A36"/>
                <w:sz w:val="14"/>
              </w:rPr>
              <w:t>24,452/day</w:t>
            </w:r>
          </w:p>
        </w:tc>
        <w:tc>
          <w:tcPr>
            <w:tcW w:type="dxa" w:w="1022"/>
          </w:tcPr>
          <w:p>
            <w:pPr>
              <w:spacing w:after="20" w:before="0" w:line="240" w:lineRule="auto"/>
            </w:pPr>
            <w:r>
              <w:rPr>
                <w:color w:val="1C3A36"/>
                <w:sz w:val="14"/>
              </w:rPr>
              <w:t>30 Sep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lr1 25q4</w:t>
            </w:r>
          </w:p>
        </w:tc>
        <w:tc>
          <w:tcPr>
            <w:tcW w:type="dxa" w:w="1238"/>
          </w:tcPr>
          <w:p>
            <w:pPr>
              <w:spacing w:after="20" w:before="0" w:line="240" w:lineRule="auto"/>
              <w:jc w:val="right"/>
            </w:pPr>
            <w:r>
              <w:rPr>
                <w:color w:val="1C3A36"/>
                <w:sz w:val="14"/>
              </w:rPr>
              <w:t>26,574/day</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lr2 25q1</w:t>
            </w:r>
          </w:p>
        </w:tc>
        <w:tc>
          <w:tcPr>
            <w:tcW w:type="dxa" w:w="1238"/>
          </w:tcPr>
          <w:p>
            <w:pPr>
              <w:spacing w:after="20" w:before="0" w:line="240" w:lineRule="auto"/>
              <w:jc w:val="right"/>
            </w:pPr>
            <w:r>
              <w:rPr>
                <w:color w:val="1C3A36"/>
                <w:sz w:val="14"/>
              </w:rPr>
              <w:t>31,033/day</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lr2 25q2</w:t>
            </w:r>
          </w:p>
        </w:tc>
        <w:tc>
          <w:tcPr>
            <w:tcW w:type="dxa" w:w="1238"/>
          </w:tcPr>
          <w:p>
            <w:pPr>
              <w:spacing w:after="20" w:before="0" w:line="240" w:lineRule="auto"/>
              <w:jc w:val="right"/>
            </w:pPr>
            <w:r>
              <w:rPr>
                <w:color w:val="1C3A36"/>
                <w:sz w:val="14"/>
              </w:rPr>
              <w:t>35,533/day</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lr2 25q3</w:t>
            </w:r>
          </w:p>
        </w:tc>
        <w:tc>
          <w:tcPr>
            <w:tcW w:type="dxa" w:w="1238"/>
          </w:tcPr>
          <w:p>
            <w:pPr>
              <w:spacing w:after="20" w:before="0" w:line="240" w:lineRule="auto"/>
              <w:jc w:val="right"/>
            </w:pPr>
            <w:r>
              <w:rPr>
                <w:color w:val="1C3A36"/>
                <w:sz w:val="14"/>
              </w:rPr>
              <w:t>34,410/day</w:t>
            </w:r>
          </w:p>
        </w:tc>
        <w:tc>
          <w:tcPr>
            <w:tcW w:type="dxa" w:w="1022"/>
          </w:tcPr>
          <w:p>
            <w:pPr>
              <w:spacing w:after="20" w:before="0" w:line="240" w:lineRule="auto"/>
            </w:pPr>
            <w:r>
              <w:rPr>
                <w:color w:val="1C3A36"/>
                <w:sz w:val="14"/>
              </w:rPr>
              <w:t>30 Sep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lr2 25q4</w:t>
            </w:r>
          </w:p>
        </w:tc>
        <w:tc>
          <w:tcPr>
            <w:tcW w:type="dxa" w:w="1238"/>
          </w:tcPr>
          <w:p>
            <w:pPr>
              <w:spacing w:after="20" w:before="0" w:line="240" w:lineRule="auto"/>
              <w:jc w:val="right"/>
            </w:pPr>
            <w:r>
              <w:rPr>
                <w:color w:val="1C3A36"/>
                <w:sz w:val="14"/>
              </w:rPr>
              <w:t>41,973/day</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vlcc 25q1</w:t>
            </w:r>
          </w:p>
        </w:tc>
        <w:tc>
          <w:tcPr>
            <w:tcW w:type="dxa" w:w="1238"/>
          </w:tcPr>
          <w:p>
            <w:pPr>
              <w:spacing w:after="20" w:before="0" w:line="240" w:lineRule="auto"/>
              <w:jc w:val="right"/>
            </w:pPr>
            <w:r>
              <w:rPr>
                <w:color w:val="1C3A36"/>
                <w:sz w:val="14"/>
              </w:rPr>
              <w:t>39,245/day</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vlcc 25q2</w:t>
            </w:r>
          </w:p>
        </w:tc>
        <w:tc>
          <w:tcPr>
            <w:tcW w:type="dxa" w:w="1238"/>
          </w:tcPr>
          <w:p>
            <w:pPr>
              <w:spacing w:after="20" w:before="0" w:line="240" w:lineRule="auto"/>
              <w:jc w:val="right"/>
            </w:pPr>
            <w:r>
              <w:rPr>
                <w:color w:val="1C3A36"/>
                <w:sz w:val="14"/>
              </w:rPr>
              <w:t>44,350/day</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vlcc 25q3</w:t>
            </w:r>
          </w:p>
        </w:tc>
        <w:tc>
          <w:tcPr>
            <w:tcW w:type="dxa" w:w="1238"/>
          </w:tcPr>
          <w:p>
            <w:pPr>
              <w:spacing w:after="20" w:before="0" w:line="240" w:lineRule="auto"/>
              <w:jc w:val="right"/>
            </w:pPr>
            <w:r>
              <w:rPr>
                <w:color w:val="1C3A36"/>
                <w:sz w:val="14"/>
              </w:rPr>
              <w:t>40,996/day</w:t>
            </w:r>
          </w:p>
        </w:tc>
        <w:tc>
          <w:tcPr>
            <w:tcW w:type="dxa" w:w="1022"/>
          </w:tcPr>
          <w:p>
            <w:pPr>
              <w:spacing w:after="20" w:before="0" w:line="240" w:lineRule="auto"/>
            </w:pPr>
            <w:r>
              <w:rPr>
                <w:color w:val="1C3A36"/>
                <w:sz w:val="14"/>
              </w:rPr>
              <w:t>30 Sep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vlcc 25q4</w:t>
            </w:r>
          </w:p>
        </w:tc>
        <w:tc>
          <w:tcPr>
            <w:tcW w:type="dxa" w:w="1238"/>
          </w:tcPr>
          <w:p>
            <w:pPr>
              <w:spacing w:after="20" w:before="0" w:line="240" w:lineRule="auto"/>
              <w:jc w:val="right"/>
            </w:pPr>
            <w:r>
              <w:rPr>
                <w:color w:val="1C3A36"/>
                <w:sz w:val="14"/>
              </w:rPr>
              <w:t>85,273/day</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FY2025 Investor Presentation — time-charter equivalent by vessel class, calculated as revenue less voyage costs over calendar days net of off-hire</w:t>
            </w:r>
          </w:p>
        </w:tc>
      </w:tr>
      <w:tr>
        <w:trPr>
          <w:cantSplit w:val="true"/>
        </w:trPr>
        <w:tc>
          <w:tcPr>
            <w:tcW w:type="dxa" w:w="2088"/>
          </w:tcPr>
          <w:p>
            <w:pPr>
              <w:spacing w:after="20" w:before="0" w:line="240" w:lineRule="auto"/>
            </w:pPr>
            <w:r>
              <w:rPr>
                <w:color w:val="1C3A36"/>
                <w:sz w:val="14"/>
              </w:rPr>
              <w:t>tce lr1 24q1</w:t>
            </w:r>
          </w:p>
        </w:tc>
        <w:tc>
          <w:tcPr>
            <w:tcW w:type="dxa" w:w="1238"/>
          </w:tcPr>
          <w:p>
            <w:pPr>
              <w:spacing w:after="20" w:before="0" w:line="240" w:lineRule="auto"/>
              <w:jc w:val="right"/>
            </w:pPr>
            <w:r>
              <w:rPr>
                <w:color w:val="1C3A36"/>
                <w:sz w:val="14"/>
              </w:rPr>
              <w:t>51,645/day</w:t>
            </w:r>
          </w:p>
        </w:tc>
        <w:tc>
          <w:tcPr>
            <w:tcW w:type="dxa" w:w="1022"/>
          </w:tcPr>
          <w:p>
            <w:pPr>
              <w:spacing w:after="20" w:before="0" w:line="240" w:lineRule="auto"/>
            </w:pPr>
            <w:r>
              <w:rPr>
                <w:color w:val="1C3A36"/>
                <w:sz w:val="14"/>
              </w:rPr>
              <w:t>31 Mar 2024</w:t>
            </w:r>
          </w:p>
        </w:tc>
        <w:tc>
          <w:tcPr>
            <w:tcW w:type="dxa" w:w="5875"/>
          </w:tcPr>
          <w:p>
            <w:pPr>
              <w:spacing w:after="20" w:before="0" w:line="240" w:lineRule="auto"/>
            </w:pPr>
            <w:r>
              <w:rPr>
                <w:color w:val="1C3A36"/>
                <w:sz w:val="14"/>
              </w:rPr>
              <w:t>ADNOC L&amp;S plc, FY2025 Investor Presentation — time-charter equivalent by vessel class</w:t>
            </w:r>
          </w:p>
        </w:tc>
      </w:tr>
      <w:tr>
        <w:trPr>
          <w:cantSplit w:val="true"/>
        </w:trPr>
        <w:tc>
          <w:tcPr>
            <w:tcW w:type="dxa" w:w="2088"/>
          </w:tcPr>
          <w:p>
            <w:pPr>
              <w:spacing w:after="20" w:before="0" w:line="240" w:lineRule="auto"/>
            </w:pPr>
            <w:r>
              <w:rPr>
                <w:color w:val="1C3A36"/>
                <w:sz w:val="14"/>
              </w:rPr>
              <w:t>tce lr1 24q2</w:t>
            </w:r>
          </w:p>
        </w:tc>
        <w:tc>
          <w:tcPr>
            <w:tcW w:type="dxa" w:w="1238"/>
          </w:tcPr>
          <w:p>
            <w:pPr>
              <w:spacing w:after="20" w:before="0" w:line="240" w:lineRule="auto"/>
              <w:jc w:val="right"/>
            </w:pPr>
            <w:r>
              <w:rPr>
                <w:color w:val="1C3A36"/>
                <w:sz w:val="14"/>
              </w:rPr>
              <w:t>49,424/day</w:t>
            </w:r>
          </w:p>
        </w:tc>
        <w:tc>
          <w:tcPr>
            <w:tcW w:type="dxa" w:w="1022"/>
          </w:tcPr>
          <w:p>
            <w:pPr>
              <w:spacing w:after="20" w:before="0" w:line="240" w:lineRule="auto"/>
            </w:pPr>
            <w:r>
              <w:rPr>
                <w:color w:val="1C3A36"/>
                <w:sz w:val="14"/>
              </w:rPr>
              <w:t>30 Jun 2024</w:t>
            </w:r>
          </w:p>
        </w:tc>
        <w:tc>
          <w:tcPr>
            <w:tcW w:type="dxa" w:w="5875"/>
          </w:tcPr>
          <w:p>
            <w:pPr>
              <w:spacing w:after="20" w:before="0" w:line="240" w:lineRule="auto"/>
            </w:pPr>
            <w:r>
              <w:rPr>
                <w:color w:val="1C3A36"/>
                <w:sz w:val="14"/>
              </w:rPr>
              <w:t>ADNOC L&amp;S plc, FY2025 Investor Presentation — time-charter equivalent by vessel class</w:t>
            </w:r>
          </w:p>
        </w:tc>
      </w:tr>
      <w:tr>
        <w:trPr>
          <w:cantSplit w:val="true"/>
        </w:trPr>
        <w:tc>
          <w:tcPr>
            <w:tcW w:type="dxa" w:w="2088"/>
          </w:tcPr>
          <w:p>
            <w:pPr>
              <w:spacing w:after="20" w:before="0" w:line="240" w:lineRule="auto"/>
            </w:pPr>
            <w:r>
              <w:rPr>
                <w:color w:val="1C3A36"/>
                <w:sz w:val="14"/>
              </w:rPr>
              <w:t>tce lr1 24q3</w:t>
            </w:r>
          </w:p>
        </w:tc>
        <w:tc>
          <w:tcPr>
            <w:tcW w:type="dxa" w:w="1238"/>
          </w:tcPr>
          <w:p>
            <w:pPr>
              <w:spacing w:after="20" w:before="0" w:line="240" w:lineRule="auto"/>
              <w:jc w:val="right"/>
            </w:pPr>
            <w:r>
              <w:rPr>
                <w:color w:val="1C3A36"/>
                <w:sz w:val="14"/>
              </w:rPr>
              <w:t>31,911/day</w:t>
            </w:r>
          </w:p>
        </w:tc>
        <w:tc>
          <w:tcPr>
            <w:tcW w:type="dxa" w:w="1022"/>
          </w:tcPr>
          <w:p>
            <w:pPr>
              <w:spacing w:after="20" w:before="0" w:line="240" w:lineRule="auto"/>
            </w:pPr>
            <w:r>
              <w:rPr>
                <w:color w:val="1C3A36"/>
                <w:sz w:val="14"/>
              </w:rPr>
              <w:t>30 Sep 2024</w:t>
            </w:r>
          </w:p>
        </w:tc>
        <w:tc>
          <w:tcPr>
            <w:tcW w:type="dxa" w:w="5875"/>
          </w:tcPr>
          <w:p>
            <w:pPr>
              <w:spacing w:after="20" w:before="0" w:line="240" w:lineRule="auto"/>
            </w:pPr>
            <w:r>
              <w:rPr>
                <w:color w:val="1C3A36"/>
                <w:sz w:val="14"/>
              </w:rPr>
              <w:t>ADNOC L&amp;S plc, FY2025 Investor Presentation — time-charter equivalent by vessel class</w:t>
            </w:r>
          </w:p>
        </w:tc>
      </w:tr>
      <w:tr>
        <w:trPr>
          <w:cantSplit w:val="true"/>
        </w:trPr>
        <w:tc>
          <w:tcPr>
            <w:tcW w:type="dxa" w:w="2088"/>
          </w:tcPr>
          <w:p>
            <w:pPr>
              <w:spacing w:after="20" w:before="0" w:line="240" w:lineRule="auto"/>
            </w:pPr>
            <w:r>
              <w:rPr>
                <w:color w:val="1C3A36"/>
                <w:sz w:val="14"/>
              </w:rPr>
              <w:t>tce lr1 24q4</w:t>
            </w:r>
          </w:p>
        </w:tc>
        <w:tc>
          <w:tcPr>
            <w:tcW w:type="dxa" w:w="1238"/>
          </w:tcPr>
          <w:p>
            <w:pPr>
              <w:spacing w:after="20" w:before="0" w:line="240" w:lineRule="auto"/>
              <w:jc w:val="right"/>
            </w:pPr>
            <w:r>
              <w:rPr>
                <w:color w:val="1C3A36"/>
                <w:sz w:val="14"/>
              </w:rPr>
              <w:t>27,640/day</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FY2025 Investor Presentation — time-charter equivalent by vessel class</w:t>
            </w:r>
          </w:p>
        </w:tc>
      </w:tr>
      <w:tr>
        <w:trPr>
          <w:cantSplit w:val="true"/>
        </w:trPr>
        <w:tc>
          <w:tcPr>
            <w:tcW w:type="dxa" w:w="2088"/>
          </w:tcPr>
          <w:p>
            <w:pPr>
              <w:spacing w:after="20" w:before="0" w:line="240" w:lineRule="auto"/>
            </w:pPr>
            <w:r>
              <w:rPr>
                <w:color w:val="1C3A36"/>
                <w:sz w:val="14"/>
              </w:rPr>
              <w:t>tce lr2 24q1</w:t>
            </w:r>
          </w:p>
        </w:tc>
        <w:tc>
          <w:tcPr>
            <w:tcW w:type="dxa" w:w="1238"/>
          </w:tcPr>
          <w:p>
            <w:pPr>
              <w:spacing w:after="20" w:before="0" w:line="240" w:lineRule="auto"/>
              <w:jc w:val="right"/>
            </w:pPr>
            <w:r>
              <w:rPr>
                <w:color w:val="1C3A36"/>
                <w:sz w:val="14"/>
              </w:rPr>
              <w:t>60,038/day</w:t>
            </w:r>
          </w:p>
        </w:tc>
        <w:tc>
          <w:tcPr>
            <w:tcW w:type="dxa" w:w="1022"/>
          </w:tcPr>
          <w:p>
            <w:pPr>
              <w:spacing w:after="20" w:before="0" w:line="240" w:lineRule="auto"/>
            </w:pPr>
            <w:r>
              <w:rPr>
                <w:color w:val="1C3A36"/>
                <w:sz w:val="14"/>
              </w:rPr>
              <w:t>31 Mar 2024</w:t>
            </w:r>
          </w:p>
        </w:tc>
        <w:tc>
          <w:tcPr>
            <w:tcW w:type="dxa" w:w="5875"/>
          </w:tcPr>
          <w:p>
            <w:pPr>
              <w:spacing w:after="20" w:before="0" w:line="240" w:lineRule="auto"/>
            </w:pPr>
            <w:r>
              <w:rPr>
                <w:color w:val="1C3A36"/>
                <w:sz w:val="14"/>
              </w:rPr>
              <w:t>ADNOC L&amp;S plc, FY2025 Investor Presentation — time-charter equivalent by vessel class</w:t>
            </w:r>
          </w:p>
        </w:tc>
      </w:tr>
      <w:tr>
        <w:trPr>
          <w:cantSplit w:val="true"/>
        </w:trPr>
        <w:tc>
          <w:tcPr>
            <w:tcW w:type="dxa" w:w="2088"/>
          </w:tcPr>
          <w:p>
            <w:pPr>
              <w:spacing w:after="20" w:before="0" w:line="240" w:lineRule="auto"/>
            </w:pPr>
            <w:r>
              <w:rPr>
                <w:color w:val="1C3A36"/>
                <w:sz w:val="14"/>
              </w:rPr>
              <w:t>tce lr2 24q2</w:t>
            </w:r>
          </w:p>
        </w:tc>
        <w:tc>
          <w:tcPr>
            <w:tcW w:type="dxa" w:w="1238"/>
          </w:tcPr>
          <w:p>
            <w:pPr>
              <w:spacing w:after="20" w:before="0" w:line="240" w:lineRule="auto"/>
              <w:jc w:val="right"/>
            </w:pPr>
            <w:r>
              <w:rPr>
                <w:color w:val="1C3A36"/>
                <w:sz w:val="14"/>
              </w:rPr>
              <w:t>63,734/day</w:t>
            </w:r>
          </w:p>
        </w:tc>
        <w:tc>
          <w:tcPr>
            <w:tcW w:type="dxa" w:w="1022"/>
          </w:tcPr>
          <w:p>
            <w:pPr>
              <w:spacing w:after="20" w:before="0" w:line="240" w:lineRule="auto"/>
            </w:pPr>
            <w:r>
              <w:rPr>
                <w:color w:val="1C3A36"/>
                <w:sz w:val="14"/>
              </w:rPr>
              <w:t>30 Jun 2024</w:t>
            </w:r>
          </w:p>
        </w:tc>
        <w:tc>
          <w:tcPr>
            <w:tcW w:type="dxa" w:w="5875"/>
          </w:tcPr>
          <w:p>
            <w:pPr>
              <w:spacing w:after="20" w:before="0" w:line="240" w:lineRule="auto"/>
            </w:pPr>
            <w:r>
              <w:rPr>
                <w:color w:val="1C3A36"/>
                <w:sz w:val="14"/>
              </w:rPr>
              <w:t>ADNOC L&amp;S plc, FY2025 Investor Presentation — time-charter equivalent by vessel class</w:t>
            </w:r>
          </w:p>
        </w:tc>
      </w:tr>
      <w:tr>
        <w:trPr>
          <w:cantSplit w:val="true"/>
        </w:trPr>
        <w:tc>
          <w:tcPr>
            <w:tcW w:type="dxa" w:w="2088"/>
          </w:tcPr>
          <w:p>
            <w:pPr>
              <w:spacing w:after="20" w:before="0" w:line="240" w:lineRule="auto"/>
            </w:pPr>
            <w:r>
              <w:rPr>
                <w:color w:val="1C3A36"/>
                <w:sz w:val="14"/>
              </w:rPr>
              <w:t>tce lr2 24q3</w:t>
            </w:r>
          </w:p>
        </w:tc>
        <w:tc>
          <w:tcPr>
            <w:tcW w:type="dxa" w:w="1238"/>
          </w:tcPr>
          <w:p>
            <w:pPr>
              <w:spacing w:after="20" w:before="0" w:line="240" w:lineRule="auto"/>
              <w:jc w:val="right"/>
            </w:pPr>
            <w:r>
              <w:rPr>
                <w:color w:val="1C3A36"/>
                <w:sz w:val="14"/>
              </w:rPr>
              <w:t>36,237/day</w:t>
            </w:r>
          </w:p>
        </w:tc>
        <w:tc>
          <w:tcPr>
            <w:tcW w:type="dxa" w:w="1022"/>
          </w:tcPr>
          <w:p>
            <w:pPr>
              <w:spacing w:after="20" w:before="0" w:line="240" w:lineRule="auto"/>
            </w:pPr>
            <w:r>
              <w:rPr>
                <w:color w:val="1C3A36"/>
                <w:sz w:val="14"/>
              </w:rPr>
              <w:t>30 Sep 2024</w:t>
            </w:r>
          </w:p>
        </w:tc>
        <w:tc>
          <w:tcPr>
            <w:tcW w:type="dxa" w:w="5875"/>
          </w:tcPr>
          <w:p>
            <w:pPr>
              <w:spacing w:after="20" w:before="0" w:line="240" w:lineRule="auto"/>
            </w:pPr>
            <w:r>
              <w:rPr>
                <w:color w:val="1C3A36"/>
                <w:sz w:val="14"/>
              </w:rPr>
              <w:t>ADNOC L&amp;S plc, FY2025 Investor Presentation — time-charter equivalent by vessel class</w:t>
            </w:r>
          </w:p>
        </w:tc>
      </w:tr>
      <w:tr>
        <w:trPr>
          <w:cantSplit w:val="true"/>
        </w:trPr>
        <w:tc>
          <w:tcPr>
            <w:tcW w:type="dxa" w:w="2088"/>
          </w:tcPr>
          <w:p>
            <w:pPr>
              <w:spacing w:after="20" w:before="0" w:line="240" w:lineRule="auto"/>
            </w:pPr>
            <w:r>
              <w:rPr>
                <w:color w:val="1C3A36"/>
                <w:sz w:val="14"/>
              </w:rPr>
              <w:t>tce lr2 24q4</w:t>
            </w:r>
          </w:p>
        </w:tc>
        <w:tc>
          <w:tcPr>
            <w:tcW w:type="dxa" w:w="1238"/>
          </w:tcPr>
          <w:p>
            <w:pPr>
              <w:spacing w:after="20" w:before="0" w:line="240" w:lineRule="auto"/>
              <w:jc w:val="right"/>
            </w:pPr>
            <w:r>
              <w:rPr>
                <w:color w:val="1C3A36"/>
                <w:sz w:val="14"/>
              </w:rPr>
              <w:t>32,034/day</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FY2025 Investor Presentation — time-charter equivalent by vessel class</w:t>
            </w:r>
          </w:p>
        </w:tc>
      </w:tr>
      <w:tr>
        <w:trPr>
          <w:cantSplit w:val="true"/>
        </w:trPr>
        <w:tc>
          <w:tcPr>
            <w:tcW w:type="dxa" w:w="2088"/>
          </w:tcPr>
          <w:p>
            <w:pPr>
              <w:spacing w:after="20" w:before="0" w:line="240" w:lineRule="auto"/>
            </w:pPr>
            <w:r>
              <w:rPr>
                <w:color w:val="1C3A36"/>
                <w:sz w:val="14"/>
              </w:rPr>
              <w:t>tce vlcc 24q1</w:t>
            </w:r>
          </w:p>
        </w:tc>
        <w:tc>
          <w:tcPr>
            <w:tcW w:type="dxa" w:w="1238"/>
          </w:tcPr>
          <w:p>
            <w:pPr>
              <w:spacing w:after="20" w:before="0" w:line="240" w:lineRule="auto"/>
              <w:jc w:val="right"/>
            </w:pPr>
            <w:r>
              <w:rPr>
                <w:color w:val="1C3A36"/>
                <w:sz w:val="14"/>
              </w:rPr>
              <w:t>54,580/day</w:t>
            </w:r>
          </w:p>
        </w:tc>
        <w:tc>
          <w:tcPr>
            <w:tcW w:type="dxa" w:w="1022"/>
          </w:tcPr>
          <w:p>
            <w:pPr>
              <w:spacing w:after="20" w:before="0" w:line="240" w:lineRule="auto"/>
            </w:pPr>
            <w:r>
              <w:rPr>
                <w:color w:val="1C3A36"/>
                <w:sz w:val="14"/>
              </w:rPr>
              <w:t>31 Mar 2024</w:t>
            </w:r>
          </w:p>
        </w:tc>
        <w:tc>
          <w:tcPr>
            <w:tcW w:type="dxa" w:w="5875"/>
          </w:tcPr>
          <w:p>
            <w:pPr>
              <w:spacing w:after="20" w:before="0" w:line="240" w:lineRule="auto"/>
            </w:pPr>
            <w:r>
              <w:rPr>
                <w:color w:val="1C3A36"/>
                <w:sz w:val="14"/>
              </w:rPr>
              <w:t>ADNOC L&amp;S plc, FY2025 Investor Presentation — time-charter equivalent by vessel class</w:t>
            </w:r>
          </w:p>
        </w:tc>
      </w:tr>
      <w:tr>
        <w:trPr>
          <w:cantSplit w:val="true"/>
        </w:trPr>
        <w:tc>
          <w:tcPr>
            <w:tcW w:type="dxa" w:w="2088"/>
          </w:tcPr>
          <w:p>
            <w:pPr>
              <w:spacing w:after="20" w:before="0" w:line="240" w:lineRule="auto"/>
            </w:pPr>
            <w:r>
              <w:rPr>
                <w:color w:val="1C3A36"/>
                <w:sz w:val="14"/>
              </w:rPr>
              <w:t>tce vlcc 24q2</w:t>
            </w:r>
          </w:p>
        </w:tc>
        <w:tc>
          <w:tcPr>
            <w:tcW w:type="dxa" w:w="1238"/>
          </w:tcPr>
          <w:p>
            <w:pPr>
              <w:spacing w:after="20" w:before="0" w:line="240" w:lineRule="auto"/>
              <w:jc w:val="right"/>
            </w:pPr>
            <w:r>
              <w:rPr>
                <w:color w:val="1C3A36"/>
                <w:sz w:val="14"/>
              </w:rPr>
              <w:t>46,097/day</w:t>
            </w:r>
          </w:p>
        </w:tc>
        <w:tc>
          <w:tcPr>
            <w:tcW w:type="dxa" w:w="1022"/>
          </w:tcPr>
          <w:p>
            <w:pPr>
              <w:spacing w:after="20" w:before="0" w:line="240" w:lineRule="auto"/>
            </w:pPr>
            <w:r>
              <w:rPr>
                <w:color w:val="1C3A36"/>
                <w:sz w:val="14"/>
              </w:rPr>
              <w:t>30 Jun 2024</w:t>
            </w:r>
          </w:p>
        </w:tc>
        <w:tc>
          <w:tcPr>
            <w:tcW w:type="dxa" w:w="5875"/>
          </w:tcPr>
          <w:p>
            <w:pPr>
              <w:spacing w:after="20" w:before="0" w:line="240" w:lineRule="auto"/>
            </w:pPr>
            <w:r>
              <w:rPr>
                <w:color w:val="1C3A36"/>
                <w:sz w:val="14"/>
              </w:rPr>
              <w:t>ADNOC L&amp;S plc, FY2025 Investor Presentation — time-charter equivalent by vessel class</w:t>
            </w:r>
          </w:p>
        </w:tc>
      </w:tr>
      <w:tr>
        <w:trPr>
          <w:cantSplit w:val="true"/>
        </w:trPr>
        <w:tc>
          <w:tcPr>
            <w:tcW w:type="dxa" w:w="2088"/>
          </w:tcPr>
          <w:p>
            <w:pPr>
              <w:spacing w:after="20" w:before="0" w:line="240" w:lineRule="auto"/>
            </w:pPr>
            <w:r>
              <w:rPr>
                <w:color w:val="1C3A36"/>
                <w:sz w:val="14"/>
              </w:rPr>
              <w:t>tce vlcc 24q3</w:t>
            </w:r>
          </w:p>
        </w:tc>
        <w:tc>
          <w:tcPr>
            <w:tcW w:type="dxa" w:w="1238"/>
          </w:tcPr>
          <w:p>
            <w:pPr>
              <w:spacing w:after="20" w:before="0" w:line="240" w:lineRule="auto"/>
              <w:jc w:val="right"/>
            </w:pPr>
            <w:r>
              <w:rPr>
                <w:color w:val="1C3A36"/>
                <w:sz w:val="14"/>
              </w:rPr>
              <w:t>39,681/day</w:t>
            </w:r>
          </w:p>
        </w:tc>
        <w:tc>
          <w:tcPr>
            <w:tcW w:type="dxa" w:w="1022"/>
          </w:tcPr>
          <w:p>
            <w:pPr>
              <w:spacing w:after="20" w:before="0" w:line="240" w:lineRule="auto"/>
            </w:pPr>
            <w:r>
              <w:rPr>
                <w:color w:val="1C3A36"/>
                <w:sz w:val="14"/>
              </w:rPr>
              <w:t>30 Sep 2024</w:t>
            </w:r>
          </w:p>
        </w:tc>
        <w:tc>
          <w:tcPr>
            <w:tcW w:type="dxa" w:w="5875"/>
          </w:tcPr>
          <w:p>
            <w:pPr>
              <w:spacing w:after="20" w:before="0" w:line="240" w:lineRule="auto"/>
            </w:pPr>
            <w:r>
              <w:rPr>
                <w:color w:val="1C3A36"/>
                <w:sz w:val="14"/>
              </w:rPr>
              <w:t>ADNOC L&amp;S plc, FY2025 Investor Presentation — time-charter equivalent by vessel class</w:t>
            </w:r>
          </w:p>
        </w:tc>
      </w:tr>
      <w:tr>
        <w:trPr>
          <w:cantSplit w:val="true"/>
        </w:trPr>
        <w:tc>
          <w:tcPr>
            <w:tcW w:type="dxa" w:w="2088"/>
          </w:tcPr>
          <w:p>
            <w:pPr>
              <w:spacing w:after="20" w:before="0" w:line="240" w:lineRule="auto"/>
            </w:pPr>
            <w:r>
              <w:rPr>
                <w:color w:val="1C3A36"/>
                <w:sz w:val="14"/>
              </w:rPr>
              <w:t>tce vlcc 24q4</w:t>
            </w:r>
          </w:p>
        </w:tc>
        <w:tc>
          <w:tcPr>
            <w:tcW w:type="dxa" w:w="1238"/>
          </w:tcPr>
          <w:p>
            <w:pPr>
              <w:spacing w:after="20" w:before="0" w:line="240" w:lineRule="auto"/>
              <w:jc w:val="right"/>
            </w:pPr>
            <w:r>
              <w:rPr>
                <w:color w:val="1C3A36"/>
                <w:sz w:val="14"/>
              </w:rPr>
              <w:t>33,167/day</w:t>
            </w:r>
          </w:p>
        </w:tc>
        <w:tc>
          <w:tcPr>
            <w:tcW w:type="dxa" w:w="1022"/>
          </w:tcPr>
          <w:p>
            <w:pPr>
              <w:spacing w:after="20" w:before="0" w:line="240" w:lineRule="auto"/>
            </w:pPr>
            <w:r>
              <w:rPr>
                <w:color w:val="1C3A36"/>
                <w:sz w:val="14"/>
              </w:rPr>
              <w:t>31 Dec 2024</w:t>
            </w:r>
          </w:p>
        </w:tc>
        <w:tc>
          <w:tcPr>
            <w:tcW w:type="dxa" w:w="5875"/>
          </w:tcPr>
          <w:p>
            <w:pPr>
              <w:spacing w:after="20" w:before="0" w:line="240" w:lineRule="auto"/>
            </w:pPr>
            <w:r>
              <w:rPr>
                <w:color w:val="1C3A36"/>
                <w:sz w:val="14"/>
              </w:rPr>
              <w:t>ADNOC L&amp;S plc, FY2025 Investor Presentation — time-charter equivalent by vessel class</w:t>
            </w:r>
          </w:p>
        </w:tc>
      </w:tr>
      <w:tr>
        <w:trPr>
          <w:cantSplit w:val="true"/>
        </w:trPr>
        <w:tc>
          <w:tcPr>
            <w:tcW w:type="dxa" w:w="2088"/>
          </w:tcPr>
          <w:p>
            <w:pPr>
              <w:spacing w:after="20" w:before="0" w:line="240" w:lineRule="auto"/>
            </w:pPr>
            <w:r>
              <w:rPr>
                <w:color w:val="1C3A36"/>
                <w:sz w:val="14"/>
              </w:rPr>
              <w:t>jub owned</w:t>
            </w:r>
          </w:p>
        </w:tc>
        <w:tc>
          <w:tcPr>
            <w:tcW w:type="dxa" w:w="1238"/>
          </w:tcPr>
          <w:p>
            <w:pPr>
              <w:spacing w:after="20" w:before="0" w:line="240" w:lineRule="auto"/>
              <w:jc w:val="right"/>
            </w:pPr>
            <w:r>
              <w:rPr>
                <w:color w:val="1C3A36"/>
                <w:sz w:val="14"/>
              </w:rPr>
              <w:t>33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FY2025 Investor Presentation — jack-up barge fleet: 33 owned and 12 chartered</w:t>
            </w:r>
          </w:p>
        </w:tc>
      </w:tr>
      <w:tr>
        <w:trPr>
          <w:cantSplit w:val="true"/>
        </w:trPr>
        <w:tc>
          <w:tcPr>
            <w:tcW w:type="dxa" w:w="2088"/>
          </w:tcPr>
          <w:p>
            <w:pPr>
              <w:spacing w:after="20" w:before="0" w:line="240" w:lineRule="auto"/>
            </w:pPr>
            <w:r>
              <w:rPr>
                <w:color w:val="1C3A36"/>
                <w:sz w:val="14"/>
              </w:rPr>
              <w:t>jub chartered</w:t>
            </w:r>
          </w:p>
        </w:tc>
        <w:tc>
          <w:tcPr>
            <w:tcW w:type="dxa" w:w="1238"/>
          </w:tcPr>
          <w:p>
            <w:pPr>
              <w:spacing w:after="20" w:before="0" w:line="240" w:lineRule="auto"/>
              <w:jc w:val="right"/>
            </w:pPr>
            <w:r>
              <w:rPr>
                <w:color w:val="1C3A36"/>
                <w:sz w:val="14"/>
              </w:rPr>
              <w:t>12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FY2025 Investor Presentation — jack-up barge fleet: 33 owned and 12 chartered</w:t>
            </w:r>
          </w:p>
        </w:tc>
      </w:tr>
      <w:tr>
        <w:trPr>
          <w:cantSplit w:val="true"/>
        </w:trPr>
        <w:tc>
          <w:tcPr>
            <w:tcW w:type="dxa" w:w="2088"/>
          </w:tcPr>
          <w:p>
            <w:pPr>
              <w:spacing w:after="20" w:before="0" w:line="240" w:lineRule="auto"/>
            </w:pPr>
            <w:r>
              <w:rPr>
                <w:color w:val="1C3A36"/>
                <w:sz w:val="14"/>
              </w:rPr>
              <w:t>osv owned</w:t>
            </w:r>
          </w:p>
        </w:tc>
        <w:tc>
          <w:tcPr>
            <w:tcW w:type="dxa" w:w="1238"/>
          </w:tcPr>
          <w:p>
            <w:pPr>
              <w:spacing w:after="20" w:before="0" w:line="240" w:lineRule="auto"/>
              <w:jc w:val="right"/>
            </w:pPr>
            <w:r>
              <w:rPr>
                <w:color w:val="1C3A36"/>
                <w:sz w:val="14"/>
              </w:rPr>
              <w:t>40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Annual Report and Accounts 2025 — offshore support vessels: 40 owned plus 9 time chartered in or out</w:t>
            </w:r>
          </w:p>
        </w:tc>
      </w:tr>
      <w:tr>
        <w:trPr>
          <w:cantSplit w:val="true"/>
        </w:trPr>
        <w:tc>
          <w:tcPr>
            <w:tcW w:type="dxa" w:w="2088"/>
          </w:tcPr>
          <w:p>
            <w:pPr>
              <w:spacing w:after="20" w:before="0" w:line="240" w:lineRule="auto"/>
            </w:pPr>
            <w:r>
              <w:rPr>
                <w:color w:val="1C3A36"/>
                <w:sz w:val="14"/>
              </w:rPr>
              <w:t>gas owned</w:t>
            </w:r>
          </w:p>
        </w:tc>
        <w:tc>
          <w:tcPr>
            <w:tcW w:type="dxa" w:w="1238"/>
          </w:tcPr>
          <w:p>
            <w:pPr>
              <w:spacing w:after="20" w:before="0" w:line="240" w:lineRule="auto"/>
              <w:jc w:val="right"/>
            </w:pPr>
            <w:r>
              <w:rPr>
                <w:color w:val="1C3A36"/>
                <w:sz w:val="14"/>
              </w:rPr>
              <w:t>20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gas fleet: 15 of 20 owned vessels on long-term contracts</w:t>
            </w:r>
          </w:p>
        </w:tc>
      </w:tr>
      <w:tr>
        <w:trPr>
          <w:cantSplit w:val="true"/>
        </w:trPr>
        <w:tc>
          <w:tcPr>
            <w:tcW w:type="dxa" w:w="2088"/>
          </w:tcPr>
          <w:p>
            <w:pPr>
              <w:spacing w:after="20" w:before="0" w:line="240" w:lineRule="auto"/>
            </w:pPr>
            <w:r>
              <w:rPr>
                <w:color w:val="1C3A36"/>
                <w:sz w:val="14"/>
              </w:rPr>
              <w:t>fleet tankers 30jun26</w:t>
            </w:r>
          </w:p>
        </w:tc>
        <w:tc>
          <w:tcPr>
            <w:tcW w:type="dxa" w:w="1238"/>
          </w:tcPr>
          <w:p>
            <w:pPr>
              <w:spacing w:after="20" w:before="0" w:line="240" w:lineRule="auto"/>
              <w:jc w:val="right"/>
            </w:pPr>
            <w:r>
              <w:rPr>
                <w:color w:val="1C3A36"/>
                <w:sz w:val="14"/>
              </w:rPr>
              <w:t>52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owned shipping fleet as at 30 June 2026: Handysize 2, MR 16, LR1 9, LR2 17, VLCC 8, footing to a stated 52</w:t>
            </w:r>
          </w:p>
        </w:tc>
      </w:tr>
      <w:tr>
        <w:trPr>
          <w:cantSplit w:val="true"/>
        </w:trPr>
        <w:tc>
          <w:tcPr>
            <w:tcW w:type="dxa" w:w="2088"/>
          </w:tcPr>
          <w:p>
            <w:pPr>
              <w:spacing w:after="20" w:before="0" w:line="240" w:lineRule="auto"/>
            </w:pPr>
            <w:r>
              <w:rPr>
                <w:color w:val="1C3A36"/>
                <w:sz w:val="14"/>
              </w:rPr>
              <w:t>fleet gas 30jun26</w:t>
            </w:r>
          </w:p>
        </w:tc>
        <w:tc>
          <w:tcPr>
            <w:tcW w:type="dxa" w:w="1238"/>
          </w:tcPr>
          <w:p>
            <w:pPr>
              <w:spacing w:after="20" w:before="0" w:line="240" w:lineRule="auto"/>
              <w:jc w:val="right"/>
            </w:pPr>
            <w:r>
              <w:rPr>
                <w:color w:val="1C3A36"/>
                <w:sz w:val="14"/>
              </w:rPr>
              <w:t>22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the same slide: floating storage 2, LNG 10, VLGC 7, VLEC 2, molten sulphur 1, footing to a stated 22</w:t>
            </w:r>
          </w:p>
        </w:tc>
      </w:tr>
      <w:tr>
        <w:trPr>
          <w:cantSplit w:val="true"/>
        </w:trPr>
        <w:tc>
          <w:tcPr>
            <w:tcW w:type="dxa" w:w="2088"/>
          </w:tcPr>
          <w:p>
            <w:pPr>
              <w:spacing w:after="20" w:before="0" w:line="240" w:lineRule="auto"/>
            </w:pPr>
            <w:r>
              <w:rPr>
                <w:color w:val="1C3A36"/>
                <w:sz w:val="14"/>
              </w:rPr>
              <w:t>fleet dry bulk 30jun26</w:t>
            </w:r>
          </w:p>
        </w:tc>
        <w:tc>
          <w:tcPr>
            <w:tcW w:type="dxa" w:w="1238"/>
          </w:tcPr>
          <w:p>
            <w:pPr>
              <w:spacing w:after="20" w:before="0" w:line="240" w:lineRule="auto"/>
              <w:jc w:val="right"/>
            </w:pPr>
            <w:r>
              <w:rPr>
                <w:color w:val="1C3A36"/>
                <w:sz w:val="14"/>
              </w:rPr>
              <w:t>11</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the same slide: Handysize 3, Supramax 4, Ultramax 4, footing to a stated 11</w:t>
            </w:r>
          </w:p>
        </w:tc>
      </w:tr>
      <w:tr>
        <w:trPr>
          <w:cantSplit w:val="true"/>
        </w:trPr>
        <w:tc>
          <w:tcPr>
            <w:tcW w:type="dxa" w:w="2088"/>
          </w:tcPr>
          <w:p>
            <w:pPr>
              <w:spacing w:after="20" w:before="0" w:line="240" w:lineRule="auto"/>
            </w:pPr>
            <w:r>
              <w:rPr>
                <w:color w:val="1C3A36"/>
                <w:sz w:val="14"/>
              </w:rPr>
              <w:t>fleet container 30jun26</w:t>
            </w:r>
          </w:p>
        </w:tc>
        <w:tc>
          <w:tcPr>
            <w:tcW w:type="dxa" w:w="1238"/>
          </w:tcPr>
          <w:p>
            <w:pPr>
              <w:spacing w:after="20" w:before="0" w:line="240" w:lineRule="auto"/>
              <w:jc w:val="right"/>
            </w:pPr>
            <w:r>
              <w:rPr>
                <w:color w:val="1C3A36"/>
                <w:sz w:val="14"/>
              </w:rPr>
              <w:t>3</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the same slide: 3 feeder vessels</w:t>
            </w:r>
          </w:p>
        </w:tc>
      </w:tr>
      <w:tr>
        <w:trPr>
          <w:cantSplit w:val="true"/>
        </w:trPr>
        <w:tc>
          <w:tcPr>
            <w:tcW w:type="dxa" w:w="2088"/>
          </w:tcPr>
          <w:p>
            <w:pPr>
              <w:spacing w:after="20" w:before="0" w:line="240" w:lineRule="auto"/>
            </w:pPr>
            <w:r>
              <w:rPr>
                <w:color w:val="1C3A36"/>
                <w:sz w:val="14"/>
              </w:rPr>
              <w:t>fleet shipping 30jun26</w:t>
            </w:r>
          </w:p>
        </w:tc>
        <w:tc>
          <w:tcPr>
            <w:tcW w:type="dxa" w:w="1238"/>
          </w:tcPr>
          <w:p>
            <w:pPr>
              <w:spacing w:after="20" w:before="0" w:line="240" w:lineRule="auto"/>
              <w:jc w:val="right"/>
            </w:pPr>
            <w:r>
              <w:rPr>
                <w:color w:val="1C3A36"/>
                <w:sz w:val="14"/>
              </w:rPr>
              <w:t>88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owned shipping fleet total as at 30 June 2026; the four class subtotals foot to the printed 88</w:t>
            </w:r>
          </w:p>
        </w:tc>
      </w:tr>
      <w:tr>
        <w:trPr>
          <w:cantSplit w:val="true"/>
        </w:trPr>
        <w:tc>
          <w:tcPr>
            <w:tcW w:type="dxa" w:w="2088"/>
          </w:tcPr>
          <w:p>
            <w:pPr>
              <w:spacing w:after="20" w:before="0" w:line="240" w:lineRule="auto"/>
            </w:pPr>
            <w:r>
              <w:rPr>
                <w:color w:val="1C3A36"/>
                <w:sz w:val="14"/>
              </w:rPr>
              <w:t>h2 26 deliveries</w:t>
            </w:r>
          </w:p>
        </w:tc>
        <w:tc>
          <w:tcPr>
            <w:tcW w:type="dxa" w:w="1238"/>
          </w:tcPr>
          <w:p>
            <w:pPr>
              <w:spacing w:after="20" w:before="0" w:line="240" w:lineRule="auto"/>
              <w:jc w:val="right"/>
            </w:pPr>
            <w:r>
              <w:rPr>
                <w:color w:val="1C3A36"/>
                <w:sz w:val="14"/>
              </w:rPr>
              <w:t>14</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Management Discussion and Analysis, First Half 2026 (11 Aug 2026) — scheduled second-half 2026 deliveries: one very large ammonia carrier, six very large crude carriers and three very large gas carriers in the third quarter, then one ethane carrier, one ammonia carrier and two gas carriers in the fourth</w:t>
            </w:r>
          </w:p>
        </w:tc>
      </w:tr>
      <w:tr>
        <w:trPr>
          <w:cantSplit w:val="true"/>
        </w:trPr>
        <w:tc>
          <w:tcPr>
            <w:tcW w:type="dxa" w:w="2088"/>
          </w:tcPr>
          <w:p>
            <w:pPr>
              <w:spacing w:after="20" w:before="0" w:line="240" w:lineRule="auto"/>
            </w:pPr>
            <w:r>
              <w:rPr>
                <w:color w:val="1C3A36"/>
                <w:sz w:val="14"/>
              </w:rPr>
              <w:t>gas lt contracted</w:t>
            </w:r>
          </w:p>
        </w:tc>
        <w:tc>
          <w:tcPr>
            <w:tcW w:type="dxa" w:w="1238"/>
          </w:tcPr>
          <w:p>
            <w:pPr>
              <w:spacing w:after="20" w:before="0" w:line="240" w:lineRule="auto"/>
              <w:jc w:val="right"/>
            </w:pPr>
            <w:r>
              <w:rPr>
                <w:color w:val="1C3A36"/>
                <w:sz w:val="14"/>
              </w:rPr>
              <w:t>15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gas fleet: 15 of 20 owned vessels on long-term contracts</w:t>
            </w:r>
          </w:p>
        </w:tc>
      </w:tr>
      <w:tr>
        <w:trPr>
          <w:cantSplit w:val="true"/>
        </w:trPr>
        <w:tc>
          <w:tcPr>
            <w:tcW w:type="dxa" w:w="2088"/>
          </w:tcPr>
          <w:p>
            <w:pPr>
              <w:spacing w:after="20" w:before="0" w:line="240" w:lineRule="auto"/>
            </w:pPr>
            <w:r>
              <w:rPr>
                <w:color w:val="1C3A36"/>
                <w:sz w:val="14"/>
              </w:rPr>
              <w:t>contracted revenue lt</w:t>
            </w:r>
          </w:p>
        </w:tc>
        <w:tc>
          <w:tcPr>
            <w:tcW w:type="dxa" w:w="1238"/>
          </w:tcPr>
          <w:p>
            <w:pPr>
              <w:spacing w:after="20" w:before="0" w:line="240" w:lineRule="auto"/>
              <w:jc w:val="right"/>
            </w:pPr>
            <w:r>
              <w:rPr>
                <w:color w:val="1C3A36"/>
                <w:sz w:val="14"/>
              </w:rPr>
              <w:t>25,000,000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Investor Presentation April 2026 — long-term contracted revenue of about USD 25 billion, restated at the first quarter of 2026</w:t>
            </w:r>
          </w:p>
        </w:tc>
      </w:tr>
      <w:tr>
        <w:trPr>
          <w:cantSplit w:val="true"/>
        </w:trPr>
        <w:tc>
          <w:tcPr>
            <w:tcW w:type="dxa" w:w="2088"/>
          </w:tcPr>
          <w:p>
            <w:pPr>
              <w:spacing w:after="20" w:before="0" w:line="240" w:lineRule="auto"/>
            </w:pPr>
            <w:r>
              <w:rPr>
                <w:color w:val="1C3A36"/>
                <w:sz w:val="14"/>
              </w:rPr>
              <w:t>contracted 2026 share</w:t>
            </w:r>
          </w:p>
        </w:tc>
        <w:tc>
          <w:tcPr>
            <w:tcW w:type="dxa" w:w="1238"/>
          </w:tcPr>
          <w:p>
            <w:pPr>
              <w:spacing w:after="20" w:before="0" w:line="240" w:lineRule="auto"/>
              <w:jc w:val="right"/>
            </w:pPr>
            <w:r>
              <w:rPr>
                <w:color w:val="1C3A36"/>
                <w:sz w:val="14"/>
              </w:rPr>
              <w:t>53%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FY2025 Investor Presentation — about 53% of 2026 revenue already contracted with the parent group</w:t>
            </w:r>
          </w:p>
        </w:tc>
      </w:tr>
      <w:tr>
        <w:trPr>
          <w:cantSplit w:val="true"/>
        </w:trPr>
        <w:tc>
          <w:tcPr>
            <w:tcW w:type="dxa" w:w="2088"/>
          </w:tcPr>
          <w:p>
            <w:pPr>
              <w:spacing w:after="20" w:before="0" w:line="240" w:lineRule="auto"/>
            </w:pPr>
            <w:r>
              <w:rPr>
                <w:color w:val="1C3A36"/>
                <w:sz w:val="14"/>
              </w:rPr>
              <w:t>spot share ebitda 26</w:t>
            </w:r>
          </w:p>
        </w:tc>
        <w:tc>
          <w:tcPr>
            <w:tcW w:type="dxa" w:w="1238"/>
          </w:tcPr>
          <w:p>
            <w:pPr>
              <w:spacing w:after="20" w:before="0" w:line="240" w:lineRule="auto"/>
              <w:jc w:val="right"/>
            </w:pPr>
            <w:r>
              <w:rPr>
                <w:color w:val="1C3A36"/>
                <w:sz w:val="14"/>
              </w:rPr>
              <w:t>31%</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shipping earnings exposed to spot rates as a share of total earnings before interest, tax, depreciation and amortisation, 2026</w:t>
            </w:r>
          </w:p>
        </w:tc>
      </w:tr>
      <w:tr>
        <w:trPr>
          <w:cantSplit w:val="true"/>
        </w:trPr>
        <w:tc>
          <w:tcPr>
            <w:tcW w:type="dxa" w:w="2088"/>
          </w:tcPr>
          <w:p>
            <w:pPr>
              <w:spacing w:after="20" w:before="0" w:line="240" w:lineRule="auto"/>
            </w:pPr>
            <w:r>
              <w:rPr>
                <w:color w:val="1C3A36"/>
                <w:sz w:val="14"/>
              </w:rPr>
              <w:t>spot share ebitda 29</w:t>
            </w:r>
          </w:p>
        </w:tc>
        <w:tc>
          <w:tcPr>
            <w:tcW w:type="dxa" w:w="1238"/>
          </w:tcPr>
          <w:p>
            <w:pPr>
              <w:spacing w:after="20" w:before="0" w:line="240" w:lineRule="auto"/>
              <w:jc w:val="right"/>
            </w:pPr>
            <w:r>
              <w:rPr>
                <w:color w:val="1C3A36"/>
                <w:sz w:val="14"/>
              </w:rPr>
              <w:t>23%</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the same exposure in 2029</w:t>
            </w:r>
          </w:p>
        </w:tc>
      </w:tr>
      <w:tr>
        <w:trPr>
          <w:cantSplit w:val="true"/>
        </w:trPr>
        <w:tc>
          <w:tcPr>
            <w:tcW w:type="dxa" w:w="2088"/>
          </w:tcPr>
          <w:p>
            <w:pPr>
              <w:spacing w:after="20" w:before="0" w:line="240" w:lineRule="auto"/>
            </w:pPr>
            <w:r>
              <w:rPr>
                <w:color w:val="1C3A36"/>
                <w:sz w:val="14"/>
              </w:rPr>
              <w:t>g26 rev group</w:t>
            </w:r>
          </w:p>
        </w:tc>
        <w:tc>
          <w:tcPr>
            <w:tcW w:type="dxa" w:w="1238"/>
          </w:tcPr>
          <w:p>
            <w:pPr>
              <w:spacing w:after="20" w:before="0" w:line="240" w:lineRule="auto"/>
              <w:jc w:val="right"/>
            </w:pPr>
            <w:r>
              <w:rPr>
                <w:color w:val="1C3A36"/>
                <w:sz w:val="14"/>
              </w:rPr>
              <w:t>-3.50%</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Management Discussion and Analysis Q1 2026 — raised 2026 guidance: a low-to-mid single-digit year-on-year reduction in group revenue (midpoint of the stated band)</w:t>
            </w:r>
          </w:p>
        </w:tc>
      </w:tr>
      <w:tr>
        <w:trPr>
          <w:cantSplit w:val="true"/>
        </w:trPr>
        <w:tc>
          <w:tcPr>
            <w:tcW w:type="dxa" w:w="2088"/>
          </w:tcPr>
          <w:p>
            <w:pPr>
              <w:spacing w:after="20" w:before="0" w:line="240" w:lineRule="auto"/>
            </w:pPr>
            <w:r>
              <w:rPr>
                <w:color w:val="1C3A36"/>
                <w:sz w:val="14"/>
              </w:rPr>
              <w:t>g26 ebitda group</w:t>
            </w:r>
          </w:p>
        </w:tc>
        <w:tc>
          <w:tcPr>
            <w:tcW w:type="dxa" w:w="1238"/>
          </w:tcPr>
          <w:p>
            <w:pPr>
              <w:spacing w:after="20" w:before="0" w:line="240" w:lineRule="auto"/>
              <w:jc w:val="right"/>
            </w:pPr>
            <w:r>
              <w:rPr>
                <w:color w:val="1C3A36"/>
                <w:sz w:val="14"/>
              </w:rPr>
              <w:t>6.50%</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Management Discussion and Analysis Q1 2026 — raised 2026 guidance: mid-to-high single-digit growth in group earnings before interest, tax, depreciation and amortisation (midpoint of the stated band)</w:t>
            </w:r>
          </w:p>
        </w:tc>
      </w:tr>
      <w:tr>
        <w:trPr>
          <w:cantSplit w:val="true"/>
        </w:trPr>
        <w:tc>
          <w:tcPr>
            <w:tcW w:type="dxa" w:w="2088"/>
          </w:tcPr>
          <w:p>
            <w:pPr>
              <w:spacing w:after="20" w:before="0" w:line="240" w:lineRule="auto"/>
            </w:pPr>
            <w:r>
              <w:rPr>
                <w:color w:val="1C3A36"/>
                <w:sz w:val="14"/>
              </w:rPr>
              <w:t>g26 np group</w:t>
            </w:r>
          </w:p>
        </w:tc>
        <w:tc>
          <w:tcPr>
            <w:tcW w:type="dxa" w:w="1238"/>
          </w:tcPr>
          <w:p>
            <w:pPr>
              <w:spacing w:after="20" w:before="0" w:line="240" w:lineRule="auto"/>
              <w:jc w:val="right"/>
            </w:pPr>
            <w:r>
              <w:rPr>
                <w:color w:val="1C3A36"/>
                <w:sz w:val="14"/>
              </w:rPr>
              <w:t>16%</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Management Discussion and Analysis Q1 2026 — raised 2026 guidance: mid-to-high-teens growth in group net profit (midpoint of the stated band)</w:t>
            </w:r>
          </w:p>
        </w:tc>
      </w:tr>
      <w:tr>
        <w:trPr>
          <w:cantSplit w:val="true"/>
        </w:trPr>
        <w:tc>
          <w:tcPr>
            <w:tcW w:type="dxa" w:w="2088"/>
          </w:tcPr>
          <w:p>
            <w:pPr>
              <w:spacing w:after="20" w:before="0" w:line="240" w:lineRule="auto"/>
            </w:pPr>
            <w:r>
              <w:rPr>
                <w:color w:val="1C3A36"/>
                <w:sz w:val="14"/>
              </w:rPr>
              <w:t>g26 rev il</w:t>
            </w:r>
          </w:p>
        </w:tc>
        <w:tc>
          <w:tcPr>
            <w:tcW w:type="dxa" w:w="1238"/>
          </w:tcPr>
          <w:p>
            <w:pPr>
              <w:spacing w:after="20" w:before="0" w:line="240" w:lineRule="auto"/>
              <w:jc w:val="right"/>
            </w:pPr>
            <w:r>
              <w:rPr>
                <w:color w:val="1C3A36"/>
                <w:sz w:val="14"/>
              </w:rPr>
              <w:t>-27%</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Management Discussion and Analysis Q1 2026 — raised 2026 guidance: a mid-to-high 20% reduction in Integrated Logistics revenue (midpoint)</w:t>
            </w:r>
          </w:p>
        </w:tc>
      </w:tr>
      <w:tr>
        <w:trPr>
          <w:cantSplit w:val="true"/>
        </w:trPr>
        <w:tc>
          <w:tcPr>
            <w:tcW w:type="dxa" w:w="2088"/>
          </w:tcPr>
          <w:p>
            <w:pPr>
              <w:spacing w:after="20" w:before="0" w:line="240" w:lineRule="auto"/>
            </w:pPr>
            <w:r>
              <w:rPr>
                <w:color w:val="1C3A36"/>
                <w:sz w:val="14"/>
              </w:rPr>
              <w:t>g26 rev ship</w:t>
            </w:r>
          </w:p>
        </w:tc>
        <w:tc>
          <w:tcPr>
            <w:tcW w:type="dxa" w:w="1238"/>
          </w:tcPr>
          <w:p>
            <w:pPr>
              <w:spacing w:after="20" w:before="0" w:line="240" w:lineRule="auto"/>
              <w:jc w:val="right"/>
            </w:pPr>
            <w:r>
              <w:rPr>
                <w:color w:val="1C3A36"/>
                <w:sz w:val="14"/>
              </w:rPr>
              <w:t>16.50%</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Management Discussion and Analysis Q1 2026 — raised 2026 guidance: mid-to-high-teens growth in Shipping revenue (midpoint)</w:t>
            </w:r>
          </w:p>
        </w:tc>
      </w:tr>
      <w:tr>
        <w:trPr>
          <w:cantSplit w:val="true"/>
        </w:trPr>
        <w:tc>
          <w:tcPr>
            <w:tcW w:type="dxa" w:w="2088"/>
          </w:tcPr>
          <w:p>
            <w:pPr>
              <w:spacing w:after="20" w:before="0" w:line="240" w:lineRule="auto"/>
            </w:pPr>
            <w:r>
              <w:rPr>
                <w:color w:val="1C3A36"/>
                <w:sz w:val="14"/>
              </w:rPr>
              <w:t>g26 rev serv</w:t>
            </w:r>
          </w:p>
        </w:tc>
        <w:tc>
          <w:tcPr>
            <w:tcW w:type="dxa" w:w="1238"/>
          </w:tcPr>
          <w:p>
            <w:pPr>
              <w:spacing w:after="20" w:before="0" w:line="240" w:lineRule="auto"/>
              <w:jc w:val="right"/>
            </w:pPr>
            <w:r>
              <w:rPr>
                <w:color w:val="1C3A36"/>
                <w:sz w:val="14"/>
              </w:rPr>
              <w:t>3.50%</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Management Discussion and Analysis Q1 2026 — raised 2026 guidance: low-to-mid single-digit growth in Services revenue (midpoint)</w:t>
            </w:r>
          </w:p>
        </w:tc>
      </w:tr>
      <w:tr>
        <w:trPr>
          <w:cantSplit w:val="true"/>
        </w:trPr>
        <w:tc>
          <w:tcPr>
            <w:tcW w:type="dxa" w:w="2088"/>
          </w:tcPr>
          <w:p>
            <w:pPr>
              <w:spacing w:after="20" w:before="0" w:line="240" w:lineRule="auto"/>
            </w:pPr>
            <w:r>
              <w:rPr>
                <w:color w:val="1C3A36"/>
                <w:sz w:val="14"/>
              </w:rPr>
              <w:t>g26 ebitda il</w:t>
            </w:r>
          </w:p>
        </w:tc>
        <w:tc>
          <w:tcPr>
            <w:tcW w:type="dxa" w:w="1238"/>
          </w:tcPr>
          <w:p>
            <w:pPr>
              <w:spacing w:after="20" w:before="0" w:line="240" w:lineRule="auto"/>
              <w:jc w:val="right"/>
            </w:pPr>
            <w:r>
              <w:rPr>
                <w:color w:val="1C3A36"/>
                <w:sz w:val="14"/>
              </w:rPr>
              <w:t>-27%</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Management Discussion and Analysis Q1 2026 — raised 2026 guidance: a mid-to-high 20% reduction in Integrated Logistics earnings before interest, tax, depreciation and amortisation (midpoint)</w:t>
            </w:r>
          </w:p>
        </w:tc>
      </w:tr>
      <w:tr>
        <w:trPr>
          <w:cantSplit w:val="true"/>
        </w:trPr>
        <w:tc>
          <w:tcPr>
            <w:tcW w:type="dxa" w:w="2088"/>
          </w:tcPr>
          <w:p>
            <w:pPr>
              <w:spacing w:after="20" w:before="0" w:line="240" w:lineRule="auto"/>
            </w:pPr>
            <w:r>
              <w:rPr>
                <w:color w:val="1C3A36"/>
                <w:sz w:val="14"/>
              </w:rPr>
              <w:t>g26 ebitda ship</w:t>
            </w:r>
          </w:p>
        </w:tc>
        <w:tc>
          <w:tcPr>
            <w:tcW w:type="dxa" w:w="1238"/>
          </w:tcPr>
          <w:p>
            <w:pPr>
              <w:spacing w:after="20" w:before="0" w:line="240" w:lineRule="auto"/>
              <w:jc w:val="right"/>
            </w:pPr>
            <w:r>
              <w:rPr>
                <w:color w:val="1C3A36"/>
                <w:sz w:val="14"/>
              </w:rPr>
              <w:t>55%</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Management Discussion and Analysis Q1 2026 — raised 2026 guidance: mid-to-high 50% growth in Shipping earnings before interest, tax, depreciation and amortisation (midpoint)</w:t>
            </w:r>
          </w:p>
        </w:tc>
      </w:tr>
      <w:tr>
        <w:trPr>
          <w:cantSplit w:val="true"/>
        </w:trPr>
        <w:tc>
          <w:tcPr>
            <w:tcW w:type="dxa" w:w="2088"/>
          </w:tcPr>
          <w:p>
            <w:pPr>
              <w:spacing w:after="20" w:before="0" w:line="240" w:lineRule="auto"/>
            </w:pPr>
            <w:r>
              <w:rPr>
                <w:color w:val="1C3A36"/>
                <w:sz w:val="14"/>
              </w:rPr>
              <w:t>g26 ebitda serv</w:t>
            </w:r>
          </w:p>
        </w:tc>
        <w:tc>
          <w:tcPr>
            <w:tcW w:type="dxa" w:w="1238"/>
          </w:tcPr>
          <w:p>
            <w:pPr>
              <w:spacing w:after="20" w:before="0" w:line="240" w:lineRule="auto"/>
              <w:jc w:val="right"/>
            </w:pPr>
            <w:r>
              <w:rPr>
                <w:color w:val="1C3A36"/>
                <w:sz w:val="14"/>
              </w:rPr>
              <w:t>3.50%</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Management Discussion and Analysis Q1 2026 — raised 2026 guidance: low-to-mid single-digit growth in Services earnings before interest, tax, depreciation and amortisation (midpoint)</w:t>
            </w:r>
          </w:p>
        </w:tc>
      </w:tr>
      <w:tr>
        <w:trPr>
          <w:cantSplit w:val="true"/>
        </w:trPr>
        <w:tc>
          <w:tcPr>
            <w:tcW w:type="dxa" w:w="2088"/>
          </w:tcPr>
          <w:p>
            <w:pPr>
              <w:spacing w:after="20" w:before="0" w:line="240" w:lineRule="auto"/>
            </w:pPr>
            <w:r>
              <w:rPr>
                <w:color w:val="1C3A36"/>
                <w:sz w:val="14"/>
              </w:rPr>
              <w:t>dps 2026 usd</w:t>
            </w:r>
          </w:p>
        </w:tc>
        <w:tc>
          <w:tcPr>
            <w:tcW w:type="dxa" w:w="1238"/>
          </w:tcPr>
          <w:p>
            <w:pPr>
              <w:spacing w:after="20" w:before="0" w:line="240" w:lineRule="auto"/>
              <w:jc w:val="right"/>
            </w:pPr>
            <w:r>
              <w:rPr>
                <w:color w:val="1C3A36"/>
                <w:sz w:val="14"/>
              </w:rPr>
              <w:t>341 USD mn</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Management Discussion and Analysis Q1 2026 — the 2026 distribution is expected to be USD 341 million, rising 5% a year to 2030 and paid quarterly</w:t>
            </w:r>
          </w:p>
        </w:tc>
      </w:tr>
      <w:tr>
        <w:trPr>
          <w:cantSplit w:val="true"/>
        </w:trPr>
        <w:tc>
          <w:tcPr>
            <w:tcW w:type="dxa" w:w="2088"/>
          </w:tcPr>
          <w:p>
            <w:pPr>
              <w:spacing w:after="20" w:before="0" w:line="240" w:lineRule="auto"/>
            </w:pPr>
            <w:r>
              <w:rPr>
                <w:color w:val="1C3A36"/>
                <w:sz w:val="14"/>
              </w:rPr>
              <w:t>div growth</w:t>
            </w:r>
          </w:p>
        </w:tc>
        <w:tc>
          <w:tcPr>
            <w:tcW w:type="dxa" w:w="1238"/>
          </w:tcPr>
          <w:p>
            <w:pPr>
              <w:spacing w:after="20" w:before="0" w:line="240" w:lineRule="auto"/>
              <w:jc w:val="right"/>
            </w:pPr>
            <w:r>
              <w:rPr>
                <w:color w:val="1C3A36"/>
                <w:sz w:val="14"/>
              </w:rPr>
              <w:t>5%</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Management Discussion and Analysis Q1 2026 — the stated 5% annual increase in the distribution from 2026 to 2030</w:t>
            </w:r>
          </w:p>
        </w:tc>
      </w:tr>
      <w:tr>
        <w:trPr>
          <w:cantSplit w:val="true"/>
        </w:trPr>
        <w:tc>
          <w:tcPr>
            <w:tcW w:type="dxa" w:w="2088"/>
          </w:tcPr>
          <w:p>
            <w:pPr>
              <w:spacing w:after="20" w:before="0" w:line="240" w:lineRule="auto"/>
            </w:pPr>
            <w:r>
              <w:rPr>
                <w:color w:val="1C3A36"/>
                <w:sz w:val="14"/>
              </w:rPr>
              <w:t>nd ebitda target lo</w:t>
            </w:r>
          </w:p>
        </w:tc>
        <w:tc>
          <w:tcPr>
            <w:tcW w:type="dxa" w:w="1238"/>
          </w:tcPr>
          <w:p>
            <w:pPr>
              <w:spacing w:after="20" w:before="0" w:line="240" w:lineRule="auto"/>
              <w:jc w:val="right"/>
            </w:pPr>
            <w:r>
              <w:rPr>
                <w:color w:val="1C3A36"/>
                <w:sz w:val="14"/>
              </w:rPr>
              <w:t>2x</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Management Discussion and Analysis Q1 2026 — stated medium-term net debt to earnings target range of 2.0 to 2.5 times</w:t>
            </w:r>
          </w:p>
        </w:tc>
      </w:tr>
      <w:tr>
        <w:trPr>
          <w:cantSplit w:val="true"/>
        </w:trPr>
        <w:tc>
          <w:tcPr>
            <w:tcW w:type="dxa" w:w="2088"/>
          </w:tcPr>
          <w:p>
            <w:pPr>
              <w:spacing w:after="20" w:before="0" w:line="240" w:lineRule="auto"/>
            </w:pPr>
            <w:r>
              <w:rPr>
                <w:color w:val="1C3A36"/>
                <w:sz w:val="14"/>
              </w:rPr>
              <w:t>nd ebitda target hi</w:t>
            </w:r>
          </w:p>
        </w:tc>
        <w:tc>
          <w:tcPr>
            <w:tcW w:type="dxa" w:w="1238"/>
          </w:tcPr>
          <w:p>
            <w:pPr>
              <w:spacing w:after="20" w:before="0" w:line="240" w:lineRule="auto"/>
              <w:jc w:val="right"/>
            </w:pPr>
            <w:r>
              <w:rPr>
                <w:color w:val="1C3A36"/>
                <w:sz w:val="14"/>
              </w:rPr>
              <w:t>2.5x</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Management Discussion and Analysis Q1 2026 — stated medium-term net debt to earnings target range of 2.0 to 2.5 times</w:t>
            </w:r>
          </w:p>
        </w:tc>
      </w:tr>
      <w:tr>
        <w:trPr>
          <w:cantSplit w:val="true"/>
        </w:trPr>
        <w:tc>
          <w:tcPr>
            <w:tcW w:type="dxa" w:w="2088"/>
          </w:tcPr>
          <w:p>
            <w:pPr>
              <w:spacing w:after="20" w:before="0" w:line="240" w:lineRule="auto"/>
            </w:pPr>
            <w:r>
              <w:rPr>
                <w:color w:val="1C3A36"/>
                <w:sz w:val="14"/>
              </w:rPr>
              <w:t>q1 26 rev offshore contracting</w:t>
            </w:r>
          </w:p>
        </w:tc>
        <w:tc>
          <w:tcPr>
            <w:tcW w:type="dxa" w:w="1238"/>
          </w:tcPr>
          <w:p>
            <w:pPr>
              <w:spacing w:after="20" w:before="0" w:line="240" w:lineRule="auto"/>
              <w:jc w:val="right"/>
            </w:pPr>
            <w:r>
              <w:rPr>
                <w:color w:val="1C3A36"/>
                <w:sz w:val="14"/>
              </w:rPr>
              <w:t>312,000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rev offshore contracting</w:t>
            </w:r>
          </w:p>
        </w:tc>
        <w:tc>
          <w:tcPr>
            <w:tcW w:type="dxa" w:w="1238"/>
          </w:tcPr>
          <w:p>
            <w:pPr>
              <w:spacing w:after="20" w:before="0" w:line="240" w:lineRule="auto"/>
              <w:jc w:val="right"/>
            </w:pPr>
            <w:r>
              <w:rPr>
                <w:color w:val="1C3A36"/>
                <w:sz w:val="14"/>
              </w:rPr>
              <w:t>300,000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ebitda offshore contracting</w:t>
            </w:r>
          </w:p>
        </w:tc>
        <w:tc>
          <w:tcPr>
            <w:tcW w:type="dxa" w:w="1238"/>
          </w:tcPr>
          <w:p>
            <w:pPr>
              <w:spacing w:after="20" w:before="0" w:line="240" w:lineRule="auto"/>
              <w:jc w:val="right"/>
            </w:pPr>
            <w:r>
              <w:rPr>
                <w:color w:val="1C3A36"/>
                <w:sz w:val="14"/>
              </w:rPr>
              <w:t>106,000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ebitda offshore contracting</w:t>
            </w:r>
          </w:p>
        </w:tc>
        <w:tc>
          <w:tcPr>
            <w:tcW w:type="dxa" w:w="1238"/>
          </w:tcPr>
          <w:p>
            <w:pPr>
              <w:spacing w:after="20" w:before="0" w:line="240" w:lineRule="auto"/>
              <w:jc w:val="right"/>
            </w:pPr>
            <w:r>
              <w:rPr>
                <w:color w:val="1C3A36"/>
                <w:sz w:val="14"/>
              </w:rPr>
              <w:t>132,000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rev offshore services</w:t>
            </w:r>
          </w:p>
        </w:tc>
        <w:tc>
          <w:tcPr>
            <w:tcW w:type="dxa" w:w="1238"/>
          </w:tcPr>
          <w:p>
            <w:pPr>
              <w:spacing w:after="20" w:before="0" w:line="240" w:lineRule="auto"/>
              <w:jc w:val="right"/>
            </w:pPr>
            <w:r>
              <w:rPr>
                <w:color w:val="1C3A36"/>
                <w:sz w:val="14"/>
              </w:rPr>
              <w:t>166,000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rev offshore services</w:t>
            </w:r>
          </w:p>
        </w:tc>
        <w:tc>
          <w:tcPr>
            <w:tcW w:type="dxa" w:w="1238"/>
          </w:tcPr>
          <w:p>
            <w:pPr>
              <w:spacing w:after="20" w:before="0" w:line="240" w:lineRule="auto"/>
              <w:jc w:val="right"/>
            </w:pPr>
            <w:r>
              <w:rPr>
                <w:color w:val="1C3A36"/>
                <w:sz w:val="14"/>
              </w:rPr>
              <w:t>136,000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ebitda offshore services</w:t>
            </w:r>
          </w:p>
        </w:tc>
        <w:tc>
          <w:tcPr>
            <w:tcW w:type="dxa" w:w="1238"/>
          </w:tcPr>
          <w:p>
            <w:pPr>
              <w:spacing w:after="20" w:before="0" w:line="240" w:lineRule="auto"/>
              <w:jc w:val="right"/>
            </w:pPr>
            <w:r>
              <w:rPr>
                <w:color w:val="1C3A36"/>
                <w:sz w:val="14"/>
              </w:rPr>
              <w:t>48,000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ebitda offshore services</w:t>
            </w:r>
          </w:p>
        </w:tc>
        <w:tc>
          <w:tcPr>
            <w:tcW w:type="dxa" w:w="1238"/>
          </w:tcPr>
          <w:p>
            <w:pPr>
              <w:spacing w:after="20" w:before="0" w:line="240" w:lineRule="auto"/>
              <w:jc w:val="right"/>
            </w:pPr>
            <w:r>
              <w:rPr>
                <w:color w:val="1C3A36"/>
                <w:sz w:val="14"/>
              </w:rPr>
              <w:t>35,000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rev offshore projects</w:t>
            </w:r>
          </w:p>
        </w:tc>
        <w:tc>
          <w:tcPr>
            <w:tcW w:type="dxa" w:w="1238"/>
          </w:tcPr>
          <w:p>
            <w:pPr>
              <w:spacing w:after="20" w:before="0" w:line="240" w:lineRule="auto"/>
              <w:jc w:val="right"/>
            </w:pPr>
            <w:r>
              <w:rPr>
                <w:color w:val="1C3A36"/>
                <w:sz w:val="14"/>
              </w:rPr>
              <w:t>4,000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rev offshore projects</w:t>
            </w:r>
          </w:p>
        </w:tc>
        <w:tc>
          <w:tcPr>
            <w:tcW w:type="dxa" w:w="1238"/>
          </w:tcPr>
          <w:p>
            <w:pPr>
              <w:spacing w:after="20" w:before="0" w:line="240" w:lineRule="auto"/>
              <w:jc w:val="right"/>
            </w:pPr>
            <w:r>
              <w:rPr>
                <w:color w:val="1C3A36"/>
                <w:sz w:val="14"/>
              </w:rPr>
              <w:t>192,000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ebitda offshore projects</w:t>
            </w:r>
          </w:p>
        </w:tc>
        <w:tc>
          <w:tcPr>
            <w:tcW w:type="dxa" w:w="1238"/>
          </w:tcPr>
          <w:p>
            <w:pPr>
              <w:spacing w:after="20" w:before="0" w:line="240" w:lineRule="auto"/>
              <w:jc w:val="right"/>
            </w:pPr>
            <w:r>
              <w:rPr>
                <w:color w:val="1C3A36"/>
                <w:sz w:val="14"/>
              </w:rPr>
              <w:t>-4,000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ebitda offshore projects</w:t>
            </w:r>
          </w:p>
        </w:tc>
        <w:tc>
          <w:tcPr>
            <w:tcW w:type="dxa" w:w="1238"/>
          </w:tcPr>
          <w:p>
            <w:pPr>
              <w:spacing w:after="20" w:before="0" w:line="240" w:lineRule="auto"/>
              <w:jc w:val="right"/>
            </w:pPr>
            <w:r>
              <w:rPr>
                <w:color w:val="1C3A36"/>
                <w:sz w:val="14"/>
              </w:rPr>
              <w:t>16,000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rev tankers</w:t>
            </w:r>
          </w:p>
        </w:tc>
        <w:tc>
          <w:tcPr>
            <w:tcW w:type="dxa" w:w="1238"/>
          </w:tcPr>
          <w:p>
            <w:pPr>
              <w:spacing w:after="20" w:before="0" w:line="240" w:lineRule="auto"/>
              <w:jc w:val="right"/>
            </w:pPr>
            <w:r>
              <w:rPr>
                <w:color w:val="1C3A36"/>
                <w:sz w:val="14"/>
              </w:rPr>
              <w:t>407,000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rev tankers</w:t>
            </w:r>
          </w:p>
        </w:tc>
        <w:tc>
          <w:tcPr>
            <w:tcW w:type="dxa" w:w="1238"/>
          </w:tcPr>
          <w:p>
            <w:pPr>
              <w:spacing w:after="20" w:before="0" w:line="240" w:lineRule="auto"/>
              <w:jc w:val="right"/>
            </w:pPr>
            <w:r>
              <w:rPr>
                <w:color w:val="1C3A36"/>
                <w:sz w:val="14"/>
              </w:rPr>
              <w:t>405,000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ebitda tankers</w:t>
            </w:r>
          </w:p>
        </w:tc>
        <w:tc>
          <w:tcPr>
            <w:tcW w:type="dxa" w:w="1238"/>
          </w:tcPr>
          <w:p>
            <w:pPr>
              <w:spacing w:after="20" w:before="0" w:line="240" w:lineRule="auto"/>
              <w:jc w:val="right"/>
            </w:pPr>
            <w:r>
              <w:rPr>
                <w:color w:val="1C3A36"/>
                <w:sz w:val="14"/>
              </w:rPr>
              <w:t>151,000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ebitda tankers</w:t>
            </w:r>
          </w:p>
        </w:tc>
        <w:tc>
          <w:tcPr>
            <w:tcW w:type="dxa" w:w="1238"/>
          </w:tcPr>
          <w:p>
            <w:pPr>
              <w:spacing w:after="20" w:before="0" w:line="240" w:lineRule="auto"/>
              <w:jc w:val="right"/>
            </w:pPr>
            <w:r>
              <w:rPr>
                <w:color w:val="1C3A36"/>
                <w:sz w:val="14"/>
              </w:rPr>
              <w:t>90,000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rev gas carriers</w:t>
            </w:r>
          </w:p>
        </w:tc>
        <w:tc>
          <w:tcPr>
            <w:tcW w:type="dxa" w:w="1238"/>
          </w:tcPr>
          <w:p>
            <w:pPr>
              <w:spacing w:after="20" w:before="0" w:line="240" w:lineRule="auto"/>
              <w:jc w:val="right"/>
            </w:pPr>
            <w:r>
              <w:rPr>
                <w:color w:val="1C3A36"/>
                <w:sz w:val="14"/>
              </w:rPr>
              <w:t>56,000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rev gas carriers</w:t>
            </w:r>
          </w:p>
        </w:tc>
        <w:tc>
          <w:tcPr>
            <w:tcW w:type="dxa" w:w="1238"/>
          </w:tcPr>
          <w:p>
            <w:pPr>
              <w:spacing w:after="20" w:before="0" w:line="240" w:lineRule="auto"/>
              <w:jc w:val="right"/>
            </w:pPr>
            <w:r>
              <w:rPr>
                <w:color w:val="1C3A36"/>
                <w:sz w:val="14"/>
              </w:rPr>
              <w:t>39,000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ebitda gas carriers</w:t>
            </w:r>
          </w:p>
        </w:tc>
        <w:tc>
          <w:tcPr>
            <w:tcW w:type="dxa" w:w="1238"/>
          </w:tcPr>
          <w:p>
            <w:pPr>
              <w:spacing w:after="20" w:before="0" w:line="240" w:lineRule="auto"/>
              <w:jc w:val="right"/>
            </w:pPr>
            <w:r>
              <w:rPr>
                <w:color w:val="1C3A36"/>
                <w:sz w:val="14"/>
              </w:rPr>
              <w:t>37,000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ebitda gas carriers</w:t>
            </w:r>
          </w:p>
        </w:tc>
        <w:tc>
          <w:tcPr>
            <w:tcW w:type="dxa" w:w="1238"/>
          </w:tcPr>
          <w:p>
            <w:pPr>
              <w:spacing w:after="20" w:before="0" w:line="240" w:lineRule="auto"/>
              <w:jc w:val="right"/>
            </w:pPr>
            <w:r>
              <w:rPr>
                <w:color w:val="1C3A36"/>
                <w:sz w:val="14"/>
              </w:rPr>
              <w:t>48,000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rev dry bulk and containers</w:t>
            </w:r>
          </w:p>
        </w:tc>
        <w:tc>
          <w:tcPr>
            <w:tcW w:type="dxa" w:w="1238"/>
          </w:tcPr>
          <w:p>
            <w:pPr>
              <w:spacing w:after="20" w:before="0" w:line="240" w:lineRule="auto"/>
              <w:jc w:val="right"/>
            </w:pPr>
            <w:r>
              <w:rPr>
                <w:color w:val="1C3A36"/>
                <w:sz w:val="14"/>
              </w:rPr>
              <w:t>49,000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rev dry bulk and containers</w:t>
            </w:r>
          </w:p>
        </w:tc>
        <w:tc>
          <w:tcPr>
            <w:tcW w:type="dxa" w:w="1238"/>
          </w:tcPr>
          <w:p>
            <w:pPr>
              <w:spacing w:after="20" w:before="0" w:line="240" w:lineRule="auto"/>
              <w:jc w:val="right"/>
            </w:pPr>
            <w:r>
              <w:rPr>
                <w:color w:val="1C3A36"/>
                <w:sz w:val="14"/>
              </w:rPr>
              <w:t>47,000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ebitda dry bulk and containers</w:t>
            </w:r>
          </w:p>
        </w:tc>
        <w:tc>
          <w:tcPr>
            <w:tcW w:type="dxa" w:w="1238"/>
          </w:tcPr>
          <w:p>
            <w:pPr>
              <w:spacing w:after="20" w:before="0" w:line="240" w:lineRule="auto"/>
              <w:jc w:val="right"/>
            </w:pPr>
            <w:r>
              <w:rPr>
                <w:color w:val="1C3A36"/>
                <w:sz w:val="14"/>
              </w:rPr>
              <w:t>9,000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ebitda dry bulk and containers</w:t>
            </w:r>
          </w:p>
        </w:tc>
        <w:tc>
          <w:tcPr>
            <w:tcW w:type="dxa" w:w="1238"/>
          </w:tcPr>
          <w:p>
            <w:pPr>
              <w:spacing w:after="20" w:before="0" w:line="240" w:lineRule="auto"/>
              <w:jc w:val="right"/>
            </w:pPr>
            <w:r>
              <w:rPr>
                <w:color w:val="1C3A36"/>
                <w:sz w:val="14"/>
              </w:rPr>
              <w:t>6,000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rev services</w:t>
            </w:r>
          </w:p>
        </w:tc>
        <w:tc>
          <w:tcPr>
            <w:tcW w:type="dxa" w:w="1238"/>
          </w:tcPr>
          <w:p>
            <w:pPr>
              <w:spacing w:after="20" w:before="0" w:line="240" w:lineRule="auto"/>
              <w:jc w:val="right"/>
            </w:pPr>
            <w:r>
              <w:rPr>
                <w:color w:val="1C3A36"/>
                <w:sz w:val="14"/>
              </w:rPr>
              <w:t>89,000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rev services</w:t>
            </w:r>
          </w:p>
        </w:tc>
        <w:tc>
          <w:tcPr>
            <w:tcW w:type="dxa" w:w="1238"/>
          </w:tcPr>
          <w:p>
            <w:pPr>
              <w:spacing w:after="20" w:before="0" w:line="240" w:lineRule="auto"/>
              <w:jc w:val="right"/>
            </w:pPr>
            <w:r>
              <w:rPr>
                <w:color w:val="1C3A36"/>
                <w:sz w:val="14"/>
              </w:rPr>
              <w:t>84,000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ebitda services</w:t>
            </w:r>
          </w:p>
        </w:tc>
        <w:tc>
          <w:tcPr>
            <w:tcW w:type="dxa" w:w="1238"/>
          </w:tcPr>
          <w:p>
            <w:pPr>
              <w:spacing w:after="20" w:before="0" w:line="240" w:lineRule="auto"/>
              <w:jc w:val="right"/>
            </w:pPr>
            <w:r>
              <w:rPr>
                <w:color w:val="1C3A36"/>
                <w:sz w:val="14"/>
              </w:rPr>
              <w:t>20,000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segmental results</w:t>
            </w:r>
          </w:p>
        </w:tc>
      </w:tr>
      <w:tr>
        <w:trPr>
          <w:cantSplit w:val="true"/>
        </w:trPr>
        <w:tc>
          <w:tcPr>
            <w:tcW w:type="dxa" w:w="2088"/>
          </w:tcPr>
          <w:p>
            <w:pPr>
              <w:spacing w:after="20" w:before="0" w:line="240" w:lineRule="auto"/>
            </w:pPr>
            <w:r>
              <w:rPr>
                <w:color w:val="1C3A36"/>
                <w:sz w:val="14"/>
              </w:rPr>
              <w:t>q1 25 ebitda services</w:t>
            </w:r>
          </w:p>
        </w:tc>
        <w:tc>
          <w:tcPr>
            <w:tcW w:type="dxa" w:w="1238"/>
          </w:tcPr>
          <w:p>
            <w:pPr>
              <w:spacing w:after="20" w:before="0" w:line="240" w:lineRule="auto"/>
              <w:jc w:val="right"/>
            </w:pPr>
            <w:r>
              <w:rPr>
                <w:color w:val="1C3A36"/>
                <w:sz w:val="14"/>
              </w:rPr>
              <w:t>18,000</w:t>
            </w:r>
          </w:p>
        </w:tc>
        <w:tc>
          <w:tcPr>
            <w:tcW w:type="dxa" w:w="1022"/>
          </w:tcPr>
          <w:p>
            <w:pPr>
              <w:spacing w:after="20" w:before="0" w:line="240" w:lineRule="auto"/>
            </w:pPr>
            <w:r>
              <w:rPr>
                <w:color w:val="1C3A36"/>
                <w:sz w:val="14"/>
              </w:rPr>
              <w:t>31 Mar 2025</w:t>
            </w:r>
          </w:p>
        </w:tc>
        <w:tc>
          <w:tcPr>
            <w:tcW w:type="dxa" w:w="5875"/>
          </w:tcPr>
          <w:p>
            <w:pPr>
              <w:spacing w:after="20" w:before="0" w:line="240" w:lineRule="auto"/>
            </w:pPr>
            <w:r>
              <w:rPr>
                <w:color w:val="1C3A36"/>
                <w:sz w:val="14"/>
              </w:rPr>
              <w:t>ADNOC L&amp;S plc, Management Discussion and Analysis Q1 2026 — segmental results, comparative</w:t>
            </w:r>
          </w:p>
        </w:tc>
      </w:tr>
      <w:tr>
        <w:trPr>
          <w:cantSplit w:val="true"/>
        </w:trPr>
        <w:tc>
          <w:tcPr>
            <w:tcW w:type="dxa" w:w="2088"/>
          </w:tcPr>
          <w:p>
            <w:pPr>
              <w:spacing w:after="20" w:before="0" w:line="240" w:lineRule="auto"/>
            </w:pPr>
            <w:r>
              <w:rPr>
                <w:color w:val="1C3A36"/>
                <w:sz w:val="14"/>
              </w:rPr>
              <w:t>q1 26 ebitda group</w:t>
            </w:r>
          </w:p>
        </w:tc>
        <w:tc>
          <w:tcPr>
            <w:tcW w:type="dxa" w:w="1238"/>
          </w:tcPr>
          <w:p>
            <w:pPr>
              <w:spacing w:after="20" w:before="0" w:line="240" w:lineRule="auto"/>
              <w:jc w:val="right"/>
            </w:pPr>
            <w:r>
              <w:rPr>
                <w:color w:val="1C3A36"/>
                <w:sz w:val="14"/>
              </w:rPr>
              <w:t>368,000</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group earnings before interest, tax, depreciation and amortisation</w:t>
            </w:r>
          </w:p>
        </w:tc>
      </w:tr>
      <w:tr>
        <w:trPr>
          <w:cantSplit w:val="true"/>
        </w:trPr>
        <w:tc>
          <w:tcPr>
            <w:tcW w:type="dxa" w:w="2088"/>
          </w:tcPr>
          <w:p>
            <w:pPr>
              <w:spacing w:after="20" w:before="0" w:line="240" w:lineRule="auto"/>
            </w:pPr>
            <w:r>
              <w:rPr>
                <w:color w:val="1C3A36"/>
                <w:sz w:val="14"/>
              </w:rPr>
              <w:t>q1 26 netdebt</w:t>
            </w:r>
          </w:p>
        </w:tc>
        <w:tc>
          <w:tcPr>
            <w:tcW w:type="dxa" w:w="1238"/>
          </w:tcPr>
          <w:p>
            <w:pPr>
              <w:spacing w:after="20" w:before="0" w:line="240" w:lineRule="auto"/>
              <w:jc w:val="right"/>
            </w:pPr>
            <w:r>
              <w:rPr>
                <w:color w:val="1C3A36"/>
                <w:sz w:val="14"/>
              </w:rPr>
              <w:t>419,867</w:t>
            </w:r>
          </w:p>
        </w:tc>
        <w:tc>
          <w:tcPr>
            <w:tcW w:type="dxa" w:w="1022"/>
          </w:tcPr>
          <w:p>
            <w:pPr>
              <w:spacing w:after="20" w:before="0" w:line="240" w:lineRule="auto"/>
            </w:pPr>
            <w:r>
              <w:rPr>
                <w:color w:val="1C3A36"/>
                <w:sz w:val="14"/>
              </w:rPr>
              <w:t>31 Mar 2026</w:t>
            </w:r>
          </w:p>
        </w:tc>
        <w:tc>
          <w:tcPr>
            <w:tcW w:type="dxa" w:w="5875"/>
          </w:tcPr>
          <w:p>
            <w:pPr>
              <w:spacing w:after="20" w:before="0" w:line="240" w:lineRule="auto"/>
            </w:pPr>
            <w:r>
              <w:rPr>
                <w:color w:val="1C3A36"/>
                <w:sz w:val="14"/>
              </w:rPr>
              <w:t>ADNOC L&amp;S plc, Management Discussion and Analysis Q1 2026 — net debt of USD 420 million, reconciled here to the shareholder facility, third-party borrowings and lease liabilities less cash</w:t>
            </w:r>
          </w:p>
        </w:tc>
      </w:tr>
      <w:tr>
        <w:trPr>
          <w:cantSplit w:val="true"/>
        </w:trPr>
        <w:tc>
          <w:tcPr>
            <w:tcW w:type="dxa" w:w="2088"/>
          </w:tcPr>
          <w:p>
            <w:pPr>
              <w:spacing w:after="20" w:before="0" w:line="240" w:lineRule="auto"/>
            </w:pPr>
            <w:r>
              <w:rPr>
                <w:color w:val="1C3A36"/>
                <w:sz w:val="14"/>
              </w:rPr>
              <w:t>h1 26 rev offshore contracting</w:t>
            </w:r>
          </w:p>
        </w:tc>
        <w:tc>
          <w:tcPr>
            <w:tcW w:type="dxa" w:w="1238"/>
          </w:tcPr>
          <w:p>
            <w:pPr>
              <w:spacing w:after="20" w:before="0" w:line="240" w:lineRule="auto"/>
              <w:jc w:val="right"/>
            </w:pPr>
            <w:r>
              <w:rPr>
                <w:color w:val="1C3A36"/>
                <w:sz w:val="14"/>
              </w:rPr>
              <w:t>667,002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rev offshore contracting</w:t>
            </w:r>
          </w:p>
        </w:tc>
        <w:tc>
          <w:tcPr>
            <w:tcW w:type="dxa" w:w="1238"/>
          </w:tcPr>
          <w:p>
            <w:pPr>
              <w:spacing w:after="20" w:before="0" w:line="240" w:lineRule="auto"/>
              <w:jc w:val="right"/>
            </w:pPr>
            <w:r>
              <w:rPr>
                <w:color w:val="1C3A36"/>
                <w:sz w:val="14"/>
              </w:rPr>
              <w:t>658,901</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ebitda offshore contracting</w:t>
            </w:r>
          </w:p>
        </w:tc>
        <w:tc>
          <w:tcPr>
            <w:tcW w:type="dxa" w:w="1238"/>
          </w:tcPr>
          <w:p>
            <w:pPr>
              <w:spacing w:after="20" w:before="0" w:line="240" w:lineRule="auto"/>
              <w:jc w:val="right"/>
            </w:pPr>
            <w:r>
              <w:rPr>
                <w:color w:val="1C3A36"/>
                <w:sz w:val="14"/>
              </w:rPr>
              <w:t>210,970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ebitda offshore contracting</w:t>
            </w:r>
          </w:p>
        </w:tc>
        <w:tc>
          <w:tcPr>
            <w:tcW w:type="dxa" w:w="1238"/>
          </w:tcPr>
          <w:p>
            <w:pPr>
              <w:spacing w:after="20" w:before="0" w:line="240" w:lineRule="auto"/>
              <w:jc w:val="right"/>
            </w:pPr>
            <w:r>
              <w:rPr>
                <w:color w:val="1C3A36"/>
                <w:sz w:val="14"/>
              </w:rPr>
              <w:t>314,926</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dc offshore contracting</w:t>
            </w:r>
          </w:p>
        </w:tc>
        <w:tc>
          <w:tcPr>
            <w:tcW w:type="dxa" w:w="1238"/>
          </w:tcPr>
          <w:p>
            <w:pPr>
              <w:spacing w:after="20" w:before="0" w:line="240" w:lineRule="auto"/>
              <w:jc w:val="right"/>
            </w:pPr>
            <w:r>
              <w:rPr>
                <w:color w:val="1C3A36"/>
                <w:sz w:val="14"/>
              </w:rPr>
              <w:t>463,361</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w:t>
            </w:r>
          </w:p>
        </w:tc>
      </w:tr>
      <w:tr>
        <w:trPr>
          <w:cantSplit w:val="true"/>
        </w:trPr>
        <w:tc>
          <w:tcPr>
            <w:tcW w:type="dxa" w:w="2088"/>
          </w:tcPr>
          <w:p>
            <w:pPr>
              <w:spacing w:after="20" w:before="0" w:line="240" w:lineRule="auto"/>
            </w:pPr>
            <w:r>
              <w:rPr>
                <w:color w:val="1C3A36"/>
                <w:sz w:val="14"/>
              </w:rPr>
              <w:t>h1 25 dc offshore contracting</w:t>
            </w:r>
          </w:p>
        </w:tc>
        <w:tc>
          <w:tcPr>
            <w:tcW w:type="dxa" w:w="1238"/>
          </w:tcPr>
          <w:p>
            <w:pPr>
              <w:spacing w:after="20" w:before="0" w:line="240" w:lineRule="auto"/>
              <w:jc w:val="right"/>
            </w:pPr>
            <w:r>
              <w:rPr>
                <w:color w:val="1C3A36"/>
                <w:sz w:val="14"/>
              </w:rPr>
              <w:t>391,335</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 comparative</w:t>
            </w:r>
          </w:p>
        </w:tc>
      </w:tr>
      <w:tr>
        <w:trPr>
          <w:cantSplit w:val="true"/>
        </w:trPr>
        <w:tc>
          <w:tcPr>
            <w:tcW w:type="dxa" w:w="2088"/>
          </w:tcPr>
          <w:p>
            <w:pPr>
              <w:spacing w:after="20" w:before="0" w:line="240" w:lineRule="auto"/>
            </w:pPr>
            <w:r>
              <w:rPr>
                <w:color w:val="1C3A36"/>
                <w:sz w:val="14"/>
              </w:rPr>
              <w:t>h1 26 da offshore contracting</w:t>
            </w:r>
          </w:p>
        </w:tc>
        <w:tc>
          <w:tcPr>
            <w:tcW w:type="dxa" w:w="1238"/>
          </w:tcPr>
          <w:p>
            <w:pPr>
              <w:spacing w:after="20" w:before="0" w:line="240" w:lineRule="auto"/>
              <w:jc w:val="right"/>
            </w:pPr>
            <w:r>
              <w:rPr>
                <w:color w:val="1C3A36"/>
                <w:sz w:val="14"/>
              </w:rPr>
              <w:t>82,570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depreciation and amortisation in direct costs plus in general and administrative expenses</w:t>
            </w:r>
          </w:p>
        </w:tc>
      </w:tr>
      <w:tr>
        <w:trPr>
          <w:cantSplit w:val="true"/>
        </w:trPr>
        <w:tc>
          <w:tcPr>
            <w:tcW w:type="dxa" w:w="2088"/>
          </w:tcPr>
          <w:p>
            <w:pPr>
              <w:spacing w:after="20" w:before="0" w:line="240" w:lineRule="auto"/>
            </w:pPr>
            <w:r>
              <w:rPr>
                <w:color w:val="1C3A36"/>
                <w:sz w:val="14"/>
              </w:rPr>
              <w:t>h1 26 rev offshore services</w:t>
            </w:r>
          </w:p>
        </w:tc>
        <w:tc>
          <w:tcPr>
            <w:tcW w:type="dxa" w:w="1238"/>
          </w:tcPr>
          <w:p>
            <w:pPr>
              <w:spacing w:after="20" w:before="0" w:line="240" w:lineRule="auto"/>
              <w:jc w:val="right"/>
            </w:pPr>
            <w:r>
              <w:rPr>
                <w:color w:val="1C3A36"/>
                <w:sz w:val="14"/>
              </w:rPr>
              <w:t>371,157</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rev offshore services</w:t>
            </w:r>
          </w:p>
        </w:tc>
        <w:tc>
          <w:tcPr>
            <w:tcW w:type="dxa" w:w="1238"/>
          </w:tcPr>
          <w:p>
            <w:pPr>
              <w:spacing w:after="20" w:before="0" w:line="240" w:lineRule="auto"/>
              <w:jc w:val="right"/>
            </w:pPr>
            <w:r>
              <w:rPr>
                <w:color w:val="1C3A36"/>
                <w:sz w:val="14"/>
              </w:rPr>
              <w:t>284,551</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ebitda offshore services</w:t>
            </w:r>
          </w:p>
        </w:tc>
        <w:tc>
          <w:tcPr>
            <w:tcW w:type="dxa" w:w="1238"/>
          </w:tcPr>
          <w:p>
            <w:pPr>
              <w:spacing w:after="20" w:before="0" w:line="240" w:lineRule="auto"/>
              <w:jc w:val="right"/>
            </w:pPr>
            <w:r>
              <w:rPr>
                <w:color w:val="1C3A36"/>
                <w:sz w:val="14"/>
              </w:rPr>
              <w:t>89,262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ebitda offshore services</w:t>
            </w:r>
          </w:p>
        </w:tc>
        <w:tc>
          <w:tcPr>
            <w:tcW w:type="dxa" w:w="1238"/>
          </w:tcPr>
          <w:p>
            <w:pPr>
              <w:spacing w:after="20" w:before="0" w:line="240" w:lineRule="auto"/>
              <w:jc w:val="right"/>
            </w:pPr>
            <w:r>
              <w:rPr>
                <w:color w:val="1C3A36"/>
                <w:sz w:val="14"/>
              </w:rPr>
              <w:t>76,914</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dc offshore services</w:t>
            </w:r>
          </w:p>
        </w:tc>
        <w:tc>
          <w:tcPr>
            <w:tcW w:type="dxa" w:w="1238"/>
          </w:tcPr>
          <w:p>
            <w:pPr>
              <w:spacing w:after="20" w:before="0" w:line="240" w:lineRule="auto"/>
              <w:jc w:val="right"/>
            </w:pPr>
            <w:r>
              <w:rPr>
                <w:color w:val="1C3A36"/>
                <w:sz w:val="14"/>
              </w:rPr>
              <w:t>307,140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w:t>
            </w:r>
          </w:p>
        </w:tc>
      </w:tr>
      <w:tr>
        <w:trPr>
          <w:cantSplit w:val="true"/>
        </w:trPr>
        <w:tc>
          <w:tcPr>
            <w:tcW w:type="dxa" w:w="2088"/>
          </w:tcPr>
          <w:p>
            <w:pPr>
              <w:spacing w:after="20" w:before="0" w:line="240" w:lineRule="auto"/>
            </w:pPr>
            <w:r>
              <w:rPr>
                <w:color w:val="1C3A36"/>
                <w:sz w:val="14"/>
              </w:rPr>
              <w:t>h1 25 dc offshore services</w:t>
            </w:r>
          </w:p>
        </w:tc>
        <w:tc>
          <w:tcPr>
            <w:tcW w:type="dxa" w:w="1238"/>
          </w:tcPr>
          <w:p>
            <w:pPr>
              <w:spacing w:after="20" w:before="0" w:line="240" w:lineRule="auto"/>
              <w:jc w:val="right"/>
            </w:pPr>
            <w:r>
              <w:rPr>
                <w:color w:val="1C3A36"/>
                <w:sz w:val="14"/>
              </w:rPr>
              <w:t>230,107</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 comparative</w:t>
            </w:r>
          </w:p>
        </w:tc>
      </w:tr>
      <w:tr>
        <w:trPr>
          <w:cantSplit w:val="true"/>
        </w:trPr>
        <w:tc>
          <w:tcPr>
            <w:tcW w:type="dxa" w:w="2088"/>
          </w:tcPr>
          <w:p>
            <w:pPr>
              <w:spacing w:after="20" w:before="0" w:line="240" w:lineRule="auto"/>
            </w:pPr>
            <w:r>
              <w:rPr>
                <w:color w:val="1C3A36"/>
                <w:sz w:val="14"/>
              </w:rPr>
              <w:t>h1 26 da offshore services</w:t>
            </w:r>
          </w:p>
        </w:tc>
        <w:tc>
          <w:tcPr>
            <w:tcW w:type="dxa" w:w="1238"/>
          </w:tcPr>
          <w:p>
            <w:pPr>
              <w:spacing w:after="20" w:before="0" w:line="240" w:lineRule="auto"/>
              <w:jc w:val="right"/>
            </w:pPr>
            <w:r>
              <w:rPr>
                <w:color w:val="1C3A36"/>
                <w:sz w:val="14"/>
              </w:rPr>
              <w:t>34,608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depreciation and amortisation in direct costs plus in general and administrative expenses</w:t>
            </w:r>
          </w:p>
        </w:tc>
      </w:tr>
      <w:tr>
        <w:trPr>
          <w:cantSplit w:val="true"/>
        </w:trPr>
        <w:tc>
          <w:tcPr>
            <w:tcW w:type="dxa" w:w="2088"/>
          </w:tcPr>
          <w:p>
            <w:pPr>
              <w:spacing w:after="20" w:before="0" w:line="240" w:lineRule="auto"/>
            </w:pPr>
            <w:r>
              <w:rPr>
                <w:color w:val="1C3A36"/>
                <w:sz w:val="14"/>
              </w:rPr>
              <w:t>h1 26 rev offshore projects</w:t>
            </w:r>
          </w:p>
        </w:tc>
        <w:tc>
          <w:tcPr>
            <w:tcW w:type="dxa" w:w="1238"/>
          </w:tcPr>
          <w:p>
            <w:pPr>
              <w:spacing w:after="20" w:before="0" w:line="240" w:lineRule="auto"/>
              <w:jc w:val="right"/>
            </w:pPr>
            <w:r>
              <w:rPr>
                <w:color w:val="1C3A36"/>
                <w:sz w:val="14"/>
              </w:rPr>
              <w:t>1,884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rev offshore projects</w:t>
            </w:r>
          </w:p>
        </w:tc>
        <w:tc>
          <w:tcPr>
            <w:tcW w:type="dxa" w:w="1238"/>
          </w:tcPr>
          <w:p>
            <w:pPr>
              <w:spacing w:after="20" w:before="0" w:line="240" w:lineRule="auto"/>
              <w:jc w:val="right"/>
            </w:pPr>
            <w:r>
              <w:rPr>
                <w:color w:val="1C3A36"/>
                <w:sz w:val="14"/>
              </w:rPr>
              <w:t>349,490</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ebitda offshore projects</w:t>
            </w:r>
          </w:p>
        </w:tc>
        <w:tc>
          <w:tcPr>
            <w:tcW w:type="dxa" w:w="1238"/>
          </w:tcPr>
          <w:p>
            <w:pPr>
              <w:spacing w:after="20" w:before="0" w:line="240" w:lineRule="auto"/>
              <w:jc w:val="right"/>
            </w:pPr>
            <w:r>
              <w:rPr>
                <w:color w:val="1C3A36"/>
                <w:sz w:val="14"/>
              </w:rPr>
              <w:t>-16,959</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ebitda offshore projects</w:t>
            </w:r>
          </w:p>
        </w:tc>
        <w:tc>
          <w:tcPr>
            <w:tcW w:type="dxa" w:w="1238"/>
          </w:tcPr>
          <w:p>
            <w:pPr>
              <w:spacing w:after="20" w:before="0" w:line="240" w:lineRule="auto"/>
              <w:jc w:val="right"/>
            </w:pPr>
            <w:r>
              <w:rPr>
                <w:color w:val="1C3A36"/>
                <w:sz w:val="14"/>
              </w:rPr>
              <w:t>28,173</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dc offshore projects</w:t>
            </w:r>
          </w:p>
        </w:tc>
        <w:tc>
          <w:tcPr>
            <w:tcW w:type="dxa" w:w="1238"/>
          </w:tcPr>
          <w:p>
            <w:pPr>
              <w:spacing w:after="20" w:before="0" w:line="240" w:lineRule="auto"/>
              <w:jc w:val="right"/>
            </w:pPr>
            <w:r>
              <w:rPr>
                <w:color w:val="1C3A36"/>
                <w:sz w:val="14"/>
              </w:rPr>
              <w:t>20,173</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w:t>
            </w:r>
          </w:p>
        </w:tc>
      </w:tr>
      <w:tr>
        <w:trPr>
          <w:cantSplit w:val="true"/>
        </w:trPr>
        <w:tc>
          <w:tcPr>
            <w:tcW w:type="dxa" w:w="2088"/>
          </w:tcPr>
          <w:p>
            <w:pPr>
              <w:spacing w:after="20" w:before="0" w:line="240" w:lineRule="auto"/>
            </w:pPr>
            <w:r>
              <w:rPr>
                <w:color w:val="1C3A36"/>
                <w:sz w:val="14"/>
              </w:rPr>
              <w:t>h1 25 dc offshore projects</w:t>
            </w:r>
          </w:p>
        </w:tc>
        <w:tc>
          <w:tcPr>
            <w:tcW w:type="dxa" w:w="1238"/>
          </w:tcPr>
          <w:p>
            <w:pPr>
              <w:spacing w:after="20" w:before="0" w:line="240" w:lineRule="auto"/>
              <w:jc w:val="right"/>
            </w:pPr>
            <w:r>
              <w:rPr>
                <w:color w:val="1C3A36"/>
                <w:sz w:val="14"/>
              </w:rPr>
              <w:t>324,613</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 comparative</w:t>
            </w:r>
          </w:p>
        </w:tc>
      </w:tr>
      <w:tr>
        <w:trPr>
          <w:cantSplit w:val="true"/>
        </w:trPr>
        <w:tc>
          <w:tcPr>
            <w:tcW w:type="dxa" w:w="2088"/>
          </w:tcPr>
          <w:p>
            <w:pPr>
              <w:spacing w:after="20" w:before="0" w:line="240" w:lineRule="auto"/>
            </w:pPr>
            <w:r>
              <w:rPr>
                <w:color w:val="1C3A36"/>
                <w:sz w:val="14"/>
              </w:rPr>
              <w:t>h1 26 da offshore projects</w:t>
            </w:r>
          </w:p>
        </w:tc>
        <w:tc>
          <w:tcPr>
            <w:tcW w:type="dxa" w:w="1238"/>
          </w:tcPr>
          <w:p>
            <w:pPr>
              <w:spacing w:after="20" w:before="0" w:line="240" w:lineRule="auto"/>
              <w:jc w:val="right"/>
            </w:pPr>
            <w:r>
              <w:rPr>
                <w:color w:val="1C3A36"/>
                <w:sz w:val="14"/>
              </w:rPr>
              <w:t>1,753</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depreciation and amortisation in direct costs plus in general and administrative expenses</w:t>
            </w:r>
          </w:p>
        </w:tc>
      </w:tr>
      <w:tr>
        <w:trPr>
          <w:cantSplit w:val="true"/>
        </w:trPr>
        <w:tc>
          <w:tcPr>
            <w:tcW w:type="dxa" w:w="2088"/>
          </w:tcPr>
          <w:p>
            <w:pPr>
              <w:spacing w:after="20" w:before="0" w:line="240" w:lineRule="auto"/>
            </w:pPr>
            <w:r>
              <w:rPr>
                <w:color w:val="1C3A36"/>
                <w:sz w:val="14"/>
              </w:rPr>
              <w:t>h1 26 rev tankers</w:t>
            </w:r>
          </w:p>
        </w:tc>
        <w:tc>
          <w:tcPr>
            <w:tcW w:type="dxa" w:w="1238"/>
          </w:tcPr>
          <w:p>
            <w:pPr>
              <w:spacing w:after="20" w:before="0" w:line="240" w:lineRule="auto"/>
              <w:jc w:val="right"/>
            </w:pPr>
            <w:r>
              <w:rPr>
                <w:color w:val="1C3A36"/>
                <w:sz w:val="14"/>
              </w:rPr>
              <w:t>2,102,006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rev tankers</w:t>
            </w:r>
          </w:p>
        </w:tc>
        <w:tc>
          <w:tcPr>
            <w:tcW w:type="dxa" w:w="1238"/>
          </w:tcPr>
          <w:p>
            <w:pPr>
              <w:spacing w:after="20" w:before="0" w:line="240" w:lineRule="auto"/>
              <w:jc w:val="right"/>
            </w:pPr>
            <w:r>
              <w:rPr>
                <w:color w:val="1C3A36"/>
                <w:sz w:val="14"/>
              </w:rPr>
              <w:t>797,040</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ebitda tankers</w:t>
            </w:r>
          </w:p>
        </w:tc>
        <w:tc>
          <w:tcPr>
            <w:tcW w:type="dxa" w:w="1238"/>
          </w:tcPr>
          <w:p>
            <w:pPr>
              <w:spacing w:after="20" w:before="0" w:line="240" w:lineRule="auto"/>
              <w:jc w:val="right"/>
            </w:pPr>
            <w:r>
              <w:rPr>
                <w:color w:val="1C3A36"/>
                <w:sz w:val="14"/>
              </w:rPr>
              <w:t>994,166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ebitda tankers</w:t>
            </w:r>
          </w:p>
        </w:tc>
        <w:tc>
          <w:tcPr>
            <w:tcW w:type="dxa" w:w="1238"/>
          </w:tcPr>
          <w:p>
            <w:pPr>
              <w:spacing w:after="20" w:before="0" w:line="240" w:lineRule="auto"/>
              <w:jc w:val="right"/>
            </w:pPr>
            <w:r>
              <w:rPr>
                <w:color w:val="1C3A36"/>
                <w:sz w:val="14"/>
              </w:rPr>
              <w:t>203,856</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dc tankers</w:t>
            </w:r>
          </w:p>
        </w:tc>
        <w:tc>
          <w:tcPr>
            <w:tcW w:type="dxa" w:w="1238"/>
          </w:tcPr>
          <w:p>
            <w:pPr>
              <w:spacing w:after="20" w:before="0" w:line="240" w:lineRule="auto"/>
              <w:jc w:val="right"/>
            </w:pPr>
            <w:r>
              <w:rPr>
                <w:color w:val="1C3A36"/>
                <w:sz w:val="14"/>
              </w:rPr>
              <w:t>1,152,141</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w:t>
            </w:r>
          </w:p>
        </w:tc>
      </w:tr>
      <w:tr>
        <w:trPr>
          <w:cantSplit w:val="true"/>
        </w:trPr>
        <w:tc>
          <w:tcPr>
            <w:tcW w:type="dxa" w:w="2088"/>
          </w:tcPr>
          <w:p>
            <w:pPr>
              <w:spacing w:after="20" w:before="0" w:line="240" w:lineRule="auto"/>
            </w:pPr>
            <w:r>
              <w:rPr>
                <w:color w:val="1C3A36"/>
                <w:sz w:val="14"/>
              </w:rPr>
              <w:t>h1 25 dc tankers</w:t>
            </w:r>
          </w:p>
        </w:tc>
        <w:tc>
          <w:tcPr>
            <w:tcW w:type="dxa" w:w="1238"/>
          </w:tcPr>
          <w:p>
            <w:pPr>
              <w:spacing w:after="20" w:before="0" w:line="240" w:lineRule="auto"/>
              <w:jc w:val="right"/>
            </w:pPr>
            <w:r>
              <w:rPr>
                <w:color w:val="1C3A36"/>
                <w:sz w:val="14"/>
              </w:rPr>
              <w:t>670,056</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 comparative</w:t>
            </w:r>
          </w:p>
        </w:tc>
      </w:tr>
      <w:tr>
        <w:trPr>
          <w:cantSplit w:val="true"/>
        </w:trPr>
        <w:tc>
          <w:tcPr>
            <w:tcW w:type="dxa" w:w="2088"/>
          </w:tcPr>
          <w:p>
            <w:pPr>
              <w:spacing w:after="20" w:before="0" w:line="240" w:lineRule="auto"/>
            </w:pPr>
            <w:r>
              <w:rPr>
                <w:color w:val="1C3A36"/>
                <w:sz w:val="14"/>
              </w:rPr>
              <w:t>h1 26 da tankers</w:t>
            </w:r>
          </w:p>
        </w:tc>
        <w:tc>
          <w:tcPr>
            <w:tcW w:type="dxa" w:w="1238"/>
          </w:tcPr>
          <w:p>
            <w:pPr>
              <w:spacing w:after="20" w:before="0" w:line="240" w:lineRule="auto"/>
              <w:jc w:val="right"/>
            </w:pPr>
            <w:r>
              <w:rPr>
                <w:color w:val="1C3A36"/>
                <w:sz w:val="14"/>
              </w:rPr>
              <w:t>82,901</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depreciation and amortisation in direct costs plus in general and administrative expenses</w:t>
            </w:r>
          </w:p>
        </w:tc>
      </w:tr>
      <w:tr>
        <w:trPr>
          <w:cantSplit w:val="true"/>
        </w:trPr>
        <w:tc>
          <w:tcPr>
            <w:tcW w:type="dxa" w:w="2088"/>
          </w:tcPr>
          <w:p>
            <w:pPr>
              <w:spacing w:after="20" w:before="0" w:line="240" w:lineRule="auto"/>
            </w:pPr>
            <w:r>
              <w:rPr>
                <w:color w:val="1C3A36"/>
                <w:sz w:val="14"/>
              </w:rPr>
              <w:t>h1 26 rev gas carriers</w:t>
            </w:r>
          </w:p>
        </w:tc>
        <w:tc>
          <w:tcPr>
            <w:tcW w:type="dxa" w:w="1238"/>
          </w:tcPr>
          <w:p>
            <w:pPr>
              <w:spacing w:after="20" w:before="0" w:line="240" w:lineRule="auto"/>
              <w:jc w:val="right"/>
            </w:pPr>
            <w:r>
              <w:rPr>
                <w:color w:val="1C3A36"/>
                <w:sz w:val="14"/>
              </w:rPr>
              <w:t>186,656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rev gas carriers</w:t>
            </w:r>
          </w:p>
        </w:tc>
        <w:tc>
          <w:tcPr>
            <w:tcW w:type="dxa" w:w="1238"/>
          </w:tcPr>
          <w:p>
            <w:pPr>
              <w:spacing w:after="20" w:before="0" w:line="240" w:lineRule="auto"/>
              <w:jc w:val="right"/>
            </w:pPr>
            <w:r>
              <w:rPr>
                <w:color w:val="1C3A36"/>
                <w:sz w:val="14"/>
              </w:rPr>
              <w:t>82,006</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ebitda gas carriers</w:t>
            </w:r>
          </w:p>
        </w:tc>
        <w:tc>
          <w:tcPr>
            <w:tcW w:type="dxa" w:w="1238"/>
          </w:tcPr>
          <w:p>
            <w:pPr>
              <w:spacing w:after="20" w:before="0" w:line="240" w:lineRule="auto"/>
              <w:jc w:val="right"/>
            </w:pPr>
            <w:r>
              <w:rPr>
                <w:color w:val="1C3A36"/>
                <w:sz w:val="14"/>
              </w:rPr>
              <w:t>92,694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ebitda gas carriers</w:t>
            </w:r>
          </w:p>
        </w:tc>
        <w:tc>
          <w:tcPr>
            <w:tcW w:type="dxa" w:w="1238"/>
          </w:tcPr>
          <w:p>
            <w:pPr>
              <w:spacing w:after="20" w:before="0" w:line="240" w:lineRule="auto"/>
              <w:jc w:val="right"/>
            </w:pPr>
            <w:r>
              <w:rPr>
                <w:color w:val="1C3A36"/>
                <w:sz w:val="14"/>
              </w:rPr>
              <w:t>71,442</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dc gas carriers</w:t>
            </w:r>
          </w:p>
        </w:tc>
        <w:tc>
          <w:tcPr>
            <w:tcW w:type="dxa" w:w="1238"/>
          </w:tcPr>
          <w:p>
            <w:pPr>
              <w:spacing w:after="20" w:before="0" w:line="240" w:lineRule="auto"/>
              <w:jc w:val="right"/>
            </w:pPr>
            <w:r>
              <w:rPr>
                <w:color w:val="1C3A36"/>
                <w:sz w:val="14"/>
              </w:rPr>
              <w:t>125,911</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w:t>
            </w:r>
          </w:p>
        </w:tc>
      </w:tr>
      <w:tr>
        <w:trPr>
          <w:cantSplit w:val="true"/>
        </w:trPr>
        <w:tc>
          <w:tcPr>
            <w:tcW w:type="dxa" w:w="2088"/>
          </w:tcPr>
          <w:p>
            <w:pPr>
              <w:spacing w:after="20" w:before="0" w:line="240" w:lineRule="auto"/>
            </w:pPr>
            <w:r>
              <w:rPr>
                <w:color w:val="1C3A36"/>
                <w:sz w:val="14"/>
              </w:rPr>
              <w:t>h1 25 dc gas carriers</w:t>
            </w:r>
          </w:p>
        </w:tc>
        <w:tc>
          <w:tcPr>
            <w:tcW w:type="dxa" w:w="1238"/>
          </w:tcPr>
          <w:p>
            <w:pPr>
              <w:spacing w:after="20" w:before="0" w:line="240" w:lineRule="auto"/>
              <w:jc w:val="right"/>
            </w:pPr>
            <w:r>
              <w:rPr>
                <w:color w:val="1C3A36"/>
                <w:sz w:val="14"/>
              </w:rPr>
              <w:t>61,041</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 comparative</w:t>
            </w:r>
          </w:p>
        </w:tc>
      </w:tr>
      <w:tr>
        <w:trPr>
          <w:cantSplit w:val="true"/>
        </w:trPr>
        <w:tc>
          <w:tcPr>
            <w:tcW w:type="dxa" w:w="2088"/>
          </w:tcPr>
          <w:p>
            <w:pPr>
              <w:spacing w:after="20" w:before="0" w:line="240" w:lineRule="auto"/>
            </w:pPr>
            <w:r>
              <w:rPr>
                <w:color w:val="1C3A36"/>
                <w:sz w:val="14"/>
              </w:rPr>
              <w:t>h1 26 da gas carriers</w:t>
            </w:r>
          </w:p>
        </w:tc>
        <w:tc>
          <w:tcPr>
            <w:tcW w:type="dxa" w:w="1238"/>
          </w:tcPr>
          <w:p>
            <w:pPr>
              <w:spacing w:after="20" w:before="0" w:line="240" w:lineRule="auto"/>
              <w:jc w:val="right"/>
            </w:pPr>
            <w:r>
              <w:rPr>
                <w:color w:val="1C3A36"/>
                <w:sz w:val="14"/>
              </w:rPr>
              <w:t>29,448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depreciation and amortisation in direct costs plus in general and administrative expenses</w:t>
            </w:r>
          </w:p>
        </w:tc>
      </w:tr>
      <w:tr>
        <w:trPr>
          <w:cantSplit w:val="true"/>
        </w:trPr>
        <w:tc>
          <w:tcPr>
            <w:tcW w:type="dxa" w:w="2088"/>
          </w:tcPr>
          <w:p>
            <w:pPr>
              <w:spacing w:after="20" w:before="0" w:line="240" w:lineRule="auto"/>
            </w:pPr>
            <w:r>
              <w:rPr>
                <w:color w:val="1C3A36"/>
                <w:sz w:val="14"/>
              </w:rPr>
              <w:t>h1 26 rev dry bulk and containers</w:t>
            </w:r>
          </w:p>
        </w:tc>
        <w:tc>
          <w:tcPr>
            <w:tcW w:type="dxa" w:w="1238"/>
          </w:tcPr>
          <w:p>
            <w:pPr>
              <w:spacing w:after="20" w:before="0" w:line="240" w:lineRule="auto"/>
              <w:jc w:val="right"/>
            </w:pPr>
            <w:r>
              <w:rPr>
                <w:color w:val="1C3A36"/>
                <w:sz w:val="14"/>
              </w:rPr>
              <w:t>149,038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rev dry bulk and containers</w:t>
            </w:r>
          </w:p>
        </w:tc>
        <w:tc>
          <w:tcPr>
            <w:tcW w:type="dxa" w:w="1238"/>
          </w:tcPr>
          <w:p>
            <w:pPr>
              <w:spacing w:after="20" w:before="0" w:line="240" w:lineRule="auto"/>
              <w:jc w:val="right"/>
            </w:pPr>
            <w:r>
              <w:rPr>
                <w:color w:val="1C3A36"/>
                <w:sz w:val="14"/>
              </w:rPr>
              <w:t>101,759</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ebitda dry bulk and containers</w:t>
            </w:r>
          </w:p>
        </w:tc>
        <w:tc>
          <w:tcPr>
            <w:tcW w:type="dxa" w:w="1238"/>
          </w:tcPr>
          <w:p>
            <w:pPr>
              <w:spacing w:after="20" w:before="0" w:line="240" w:lineRule="auto"/>
              <w:jc w:val="right"/>
            </w:pPr>
            <w:r>
              <w:rPr>
                <w:color w:val="1C3A36"/>
                <w:sz w:val="14"/>
              </w:rPr>
              <w:t>52,852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ebitda dry bulk and containers</w:t>
            </w:r>
          </w:p>
        </w:tc>
        <w:tc>
          <w:tcPr>
            <w:tcW w:type="dxa" w:w="1238"/>
          </w:tcPr>
          <w:p>
            <w:pPr>
              <w:spacing w:after="20" w:before="0" w:line="240" w:lineRule="auto"/>
              <w:jc w:val="right"/>
            </w:pPr>
            <w:r>
              <w:rPr>
                <w:color w:val="1C3A36"/>
                <w:sz w:val="14"/>
              </w:rPr>
              <w:t>15,123</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dc dry bulk and containers</w:t>
            </w:r>
          </w:p>
        </w:tc>
        <w:tc>
          <w:tcPr>
            <w:tcW w:type="dxa" w:w="1238"/>
          </w:tcPr>
          <w:p>
            <w:pPr>
              <w:spacing w:after="20" w:before="0" w:line="240" w:lineRule="auto"/>
              <w:jc w:val="right"/>
            </w:pPr>
            <w:r>
              <w:rPr>
                <w:color w:val="1C3A36"/>
                <w:sz w:val="14"/>
              </w:rPr>
              <w:t>99,862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w:t>
            </w:r>
          </w:p>
        </w:tc>
      </w:tr>
      <w:tr>
        <w:trPr>
          <w:cantSplit w:val="true"/>
        </w:trPr>
        <w:tc>
          <w:tcPr>
            <w:tcW w:type="dxa" w:w="2088"/>
          </w:tcPr>
          <w:p>
            <w:pPr>
              <w:spacing w:after="20" w:before="0" w:line="240" w:lineRule="auto"/>
            </w:pPr>
            <w:r>
              <w:rPr>
                <w:color w:val="1C3A36"/>
                <w:sz w:val="14"/>
              </w:rPr>
              <w:t>h1 25 dc dry bulk and containers</w:t>
            </w:r>
          </w:p>
        </w:tc>
        <w:tc>
          <w:tcPr>
            <w:tcW w:type="dxa" w:w="1238"/>
          </w:tcPr>
          <w:p>
            <w:pPr>
              <w:spacing w:after="20" w:before="0" w:line="240" w:lineRule="auto"/>
              <w:jc w:val="right"/>
            </w:pPr>
            <w:r>
              <w:rPr>
                <w:color w:val="1C3A36"/>
                <w:sz w:val="14"/>
              </w:rPr>
              <w:t>92,224</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 comparative</w:t>
            </w:r>
          </w:p>
        </w:tc>
      </w:tr>
      <w:tr>
        <w:trPr>
          <w:cantSplit w:val="true"/>
        </w:trPr>
        <w:tc>
          <w:tcPr>
            <w:tcW w:type="dxa" w:w="2088"/>
          </w:tcPr>
          <w:p>
            <w:pPr>
              <w:spacing w:after="20" w:before="0" w:line="240" w:lineRule="auto"/>
            </w:pPr>
            <w:r>
              <w:rPr>
                <w:color w:val="1C3A36"/>
                <w:sz w:val="14"/>
              </w:rPr>
              <w:t>h1 26 da dry bulk and containers</w:t>
            </w:r>
          </w:p>
        </w:tc>
        <w:tc>
          <w:tcPr>
            <w:tcW w:type="dxa" w:w="1238"/>
          </w:tcPr>
          <w:p>
            <w:pPr>
              <w:spacing w:after="20" w:before="0" w:line="240" w:lineRule="auto"/>
              <w:jc w:val="right"/>
            </w:pPr>
            <w:r>
              <w:rPr>
                <w:color w:val="1C3A36"/>
                <w:sz w:val="14"/>
              </w:rPr>
              <w:t>13,526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depreciation and amortisation in direct costs plus in general and administrative expenses</w:t>
            </w:r>
          </w:p>
        </w:tc>
      </w:tr>
      <w:tr>
        <w:trPr>
          <w:cantSplit w:val="true"/>
        </w:trPr>
        <w:tc>
          <w:tcPr>
            <w:tcW w:type="dxa" w:w="2088"/>
          </w:tcPr>
          <w:p>
            <w:pPr>
              <w:spacing w:after="20" w:before="0" w:line="240" w:lineRule="auto"/>
            </w:pPr>
            <w:r>
              <w:rPr>
                <w:color w:val="1C3A36"/>
                <w:sz w:val="14"/>
              </w:rPr>
              <w:t>h1 26 rev services</w:t>
            </w:r>
          </w:p>
        </w:tc>
        <w:tc>
          <w:tcPr>
            <w:tcW w:type="dxa" w:w="1238"/>
          </w:tcPr>
          <w:p>
            <w:pPr>
              <w:spacing w:after="20" w:before="0" w:line="240" w:lineRule="auto"/>
              <w:jc w:val="right"/>
            </w:pPr>
            <w:r>
              <w:rPr>
                <w:color w:val="1C3A36"/>
                <w:sz w:val="14"/>
              </w:rPr>
              <w:t>188,931</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rev services</w:t>
            </w:r>
          </w:p>
        </w:tc>
        <w:tc>
          <w:tcPr>
            <w:tcW w:type="dxa" w:w="1238"/>
          </w:tcPr>
          <w:p>
            <w:pPr>
              <w:spacing w:after="20" w:before="0" w:line="240" w:lineRule="auto"/>
              <w:jc w:val="right"/>
            </w:pPr>
            <w:r>
              <w:rPr>
                <w:color w:val="1C3A36"/>
                <w:sz w:val="14"/>
              </w:rPr>
              <w:t>165,189</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ebitda services</w:t>
            </w:r>
          </w:p>
        </w:tc>
        <w:tc>
          <w:tcPr>
            <w:tcW w:type="dxa" w:w="1238"/>
          </w:tcPr>
          <w:p>
            <w:pPr>
              <w:spacing w:after="20" w:before="0" w:line="240" w:lineRule="auto"/>
              <w:jc w:val="right"/>
            </w:pPr>
            <w:r>
              <w:rPr>
                <w:color w:val="1C3A36"/>
                <w:sz w:val="14"/>
              </w:rPr>
              <w:t>52,035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w:t>
            </w:r>
          </w:p>
        </w:tc>
      </w:tr>
      <w:tr>
        <w:trPr>
          <w:cantSplit w:val="true"/>
        </w:trPr>
        <w:tc>
          <w:tcPr>
            <w:tcW w:type="dxa" w:w="2088"/>
          </w:tcPr>
          <w:p>
            <w:pPr>
              <w:spacing w:after="20" w:before="0" w:line="240" w:lineRule="auto"/>
            </w:pPr>
            <w:r>
              <w:rPr>
                <w:color w:val="1C3A36"/>
                <w:sz w:val="14"/>
              </w:rPr>
              <w:t>h1 25 ebitda services</w:t>
            </w:r>
          </w:p>
        </w:tc>
        <w:tc>
          <w:tcPr>
            <w:tcW w:type="dxa" w:w="1238"/>
          </w:tcPr>
          <w:p>
            <w:pPr>
              <w:spacing w:after="20" w:before="0" w:line="240" w:lineRule="auto"/>
              <w:jc w:val="right"/>
            </w:pPr>
            <w:r>
              <w:rPr>
                <w:color w:val="1C3A36"/>
                <w:sz w:val="14"/>
              </w:rPr>
              <w:t>32,918</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comparative</w:t>
            </w:r>
          </w:p>
        </w:tc>
      </w:tr>
      <w:tr>
        <w:trPr>
          <w:cantSplit w:val="true"/>
        </w:trPr>
        <w:tc>
          <w:tcPr>
            <w:tcW w:type="dxa" w:w="2088"/>
          </w:tcPr>
          <w:p>
            <w:pPr>
              <w:spacing w:after="20" w:before="0" w:line="240" w:lineRule="auto"/>
            </w:pPr>
            <w:r>
              <w:rPr>
                <w:color w:val="1C3A36"/>
                <w:sz w:val="14"/>
              </w:rPr>
              <w:t>h1 26 dc services</w:t>
            </w:r>
          </w:p>
        </w:tc>
        <w:tc>
          <w:tcPr>
            <w:tcW w:type="dxa" w:w="1238"/>
          </w:tcPr>
          <w:p>
            <w:pPr>
              <w:spacing w:after="20" w:before="0" w:line="240" w:lineRule="auto"/>
              <w:jc w:val="right"/>
            </w:pPr>
            <w:r>
              <w:rPr>
                <w:color w:val="1C3A36"/>
                <w:sz w:val="14"/>
              </w:rPr>
              <w:t>149,076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w:t>
            </w:r>
          </w:p>
        </w:tc>
      </w:tr>
      <w:tr>
        <w:trPr>
          <w:cantSplit w:val="true"/>
        </w:trPr>
        <w:tc>
          <w:tcPr>
            <w:tcW w:type="dxa" w:w="2088"/>
          </w:tcPr>
          <w:p>
            <w:pPr>
              <w:spacing w:after="20" w:before="0" w:line="240" w:lineRule="auto"/>
            </w:pPr>
            <w:r>
              <w:rPr>
                <w:color w:val="1C3A36"/>
                <w:sz w:val="14"/>
              </w:rPr>
              <w:t>h1 25 dc services</w:t>
            </w:r>
          </w:p>
        </w:tc>
        <w:tc>
          <w:tcPr>
            <w:tcW w:type="dxa" w:w="1238"/>
          </w:tcPr>
          <w:p>
            <w:pPr>
              <w:spacing w:after="20" w:before="0" w:line="240" w:lineRule="auto"/>
              <w:jc w:val="right"/>
            </w:pPr>
            <w:r>
              <w:rPr>
                <w:color w:val="1C3A36"/>
                <w:sz w:val="14"/>
              </w:rPr>
              <w:t>131,350</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direct costs, comparative</w:t>
            </w:r>
          </w:p>
        </w:tc>
      </w:tr>
      <w:tr>
        <w:trPr>
          <w:cantSplit w:val="true"/>
        </w:trPr>
        <w:tc>
          <w:tcPr>
            <w:tcW w:type="dxa" w:w="2088"/>
          </w:tcPr>
          <w:p>
            <w:pPr>
              <w:spacing w:after="20" w:before="0" w:line="240" w:lineRule="auto"/>
            </w:pPr>
            <w:r>
              <w:rPr>
                <w:color w:val="1C3A36"/>
                <w:sz w:val="14"/>
              </w:rPr>
              <w:t>h1 26 da services</w:t>
            </w:r>
          </w:p>
        </w:tc>
        <w:tc>
          <w:tcPr>
            <w:tcW w:type="dxa" w:w="1238"/>
          </w:tcPr>
          <w:p>
            <w:pPr>
              <w:spacing w:after="20" w:before="0" w:line="240" w:lineRule="auto"/>
              <w:jc w:val="right"/>
            </w:pPr>
            <w:r>
              <w:rPr>
                <w:color w:val="1C3A36"/>
                <w:sz w:val="14"/>
              </w:rPr>
              <w:t>17,315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depreciation and amortisation in direct costs plus in general and administrative expenses</w:t>
            </w:r>
          </w:p>
        </w:tc>
      </w:tr>
      <w:tr>
        <w:trPr>
          <w:cantSplit w:val="true"/>
        </w:trPr>
        <w:tc>
          <w:tcPr>
            <w:tcW w:type="dxa" w:w="2088"/>
          </w:tcPr>
          <w:p>
            <w:pPr>
              <w:spacing w:after="20" w:before="0" w:line="240" w:lineRule="auto"/>
            </w:pPr>
            <w:r>
              <w:rPr>
                <w:color w:val="1C3A36"/>
                <w:sz w:val="14"/>
              </w:rPr>
              <w:t>h1 26 ebitda group</w:t>
            </w:r>
          </w:p>
        </w:tc>
        <w:tc>
          <w:tcPr>
            <w:tcW w:type="dxa" w:w="1238"/>
          </w:tcPr>
          <w:p>
            <w:pPr>
              <w:spacing w:after="20" w:before="0" w:line="240" w:lineRule="auto"/>
              <w:jc w:val="right"/>
            </w:pPr>
            <w:r>
              <w:rPr>
                <w:color w:val="1C3A36"/>
                <w:sz w:val="14"/>
              </w:rPr>
              <w:t>1,474,868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group earnings before interest, tax, depreciation and amortisation. FOOTED against the definition the management discussion states: profit before income tax 1,199,874 plus finance costs 18,636 less finance income 5,763 plus depreciation and amortisation 262,121</w:t>
            </w:r>
          </w:p>
        </w:tc>
      </w:tr>
      <w:tr>
        <w:trPr>
          <w:cantSplit w:val="true"/>
        </w:trPr>
        <w:tc>
          <w:tcPr>
            <w:tcW w:type="dxa" w:w="2088"/>
          </w:tcPr>
          <w:p>
            <w:pPr>
              <w:spacing w:after="20" w:before="0" w:line="240" w:lineRule="auto"/>
            </w:pPr>
            <w:r>
              <w:rPr>
                <w:color w:val="1C3A36"/>
                <w:sz w:val="14"/>
              </w:rPr>
              <w:t>h1 25 ebitda group</w:t>
            </w:r>
          </w:p>
        </w:tc>
        <w:tc>
          <w:tcPr>
            <w:tcW w:type="dxa" w:w="1238"/>
          </w:tcPr>
          <w:p>
            <w:pPr>
              <w:spacing w:after="20" w:before="0" w:line="240" w:lineRule="auto"/>
              <w:jc w:val="right"/>
            </w:pPr>
            <w:r>
              <w:rPr>
                <w:color w:val="1C3A36"/>
                <w:sz w:val="14"/>
              </w:rPr>
              <w:t>743,859</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the same note, comparative</w:t>
            </w:r>
          </w:p>
        </w:tc>
      </w:tr>
      <w:tr>
        <w:trPr>
          <w:cantSplit w:val="true"/>
        </w:trPr>
        <w:tc>
          <w:tcPr>
            <w:tcW w:type="dxa" w:w="2088"/>
          </w:tcPr>
          <w:p>
            <w:pPr>
              <w:spacing w:after="20" w:before="0" w:line="240" w:lineRule="auto"/>
            </w:pPr>
            <w:r>
              <w:rPr>
                <w:color w:val="1C3A36"/>
                <w:sz w:val="14"/>
              </w:rPr>
              <w:t>q2 26 ebitda group</w:t>
            </w:r>
          </w:p>
        </w:tc>
        <w:tc>
          <w:tcPr>
            <w:tcW w:type="dxa" w:w="1238"/>
          </w:tcPr>
          <w:p>
            <w:pPr>
              <w:spacing w:after="20" w:before="0" w:line="240" w:lineRule="auto"/>
              <w:jc w:val="right"/>
            </w:pPr>
            <w:r>
              <w:rPr>
                <w:color w:val="1C3A36"/>
                <w:sz w:val="14"/>
              </w:rPr>
              <w:t>1,106,000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Management Discussion and Analysis, First Half 2026 (11 Aug 2026) — second-quarter earnings before interest, tax, depreciation and amortisation</w:t>
            </w:r>
          </w:p>
        </w:tc>
      </w:tr>
      <w:tr>
        <w:trPr>
          <w:cantSplit w:val="true"/>
        </w:trPr>
        <w:tc>
          <w:tcPr>
            <w:tcW w:type="dxa" w:w="2088"/>
          </w:tcPr>
          <w:p>
            <w:pPr>
              <w:spacing w:after="20" w:before="0" w:line="240" w:lineRule="auto"/>
            </w:pPr>
            <w:r>
              <w:rPr>
                <w:color w:val="1C3A36"/>
                <w:sz w:val="14"/>
              </w:rPr>
              <w:t>q2 26 rev group</w:t>
            </w:r>
          </w:p>
        </w:tc>
        <w:tc>
          <w:tcPr>
            <w:tcW w:type="dxa" w:w="1238"/>
          </w:tcPr>
          <w:p>
            <w:pPr>
              <w:spacing w:after="20" w:before="0" w:line="240" w:lineRule="auto"/>
              <w:jc w:val="right"/>
            </w:pPr>
            <w:r>
              <w:rPr>
                <w:color w:val="1C3A36"/>
                <w:sz w:val="14"/>
              </w:rPr>
              <w:t>2,583,999</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three-month column of the statement of comprehensive income</w:t>
            </w:r>
          </w:p>
        </w:tc>
      </w:tr>
      <w:tr>
        <w:trPr>
          <w:cantSplit w:val="true"/>
        </w:trPr>
        <w:tc>
          <w:tcPr>
            <w:tcW w:type="dxa" w:w="2088"/>
          </w:tcPr>
          <w:p>
            <w:pPr>
              <w:spacing w:after="20" w:before="0" w:line="240" w:lineRule="auto"/>
            </w:pPr>
            <w:r>
              <w:rPr>
                <w:color w:val="1C3A36"/>
                <w:sz w:val="14"/>
              </w:rPr>
              <w:t>tce vlcc q2 26 actual</w:t>
            </w:r>
          </w:p>
        </w:tc>
        <w:tc>
          <w:tcPr>
            <w:tcW w:type="dxa" w:w="1238"/>
          </w:tcPr>
          <w:p>
            <w:pPr>
              <w:spacing w:after="20" w:before="0" w:line="240" w:lineRule="auto"/>
              <w:jc w:val="right"/>
            </w:pPr>
            <w:r>
              <w:rPr>
                <w:color w:val="1C3A36"/>
                <w:sz w:val="14"/>
              </w:rPr>
              <w:t>291,145/day</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tanker fleet time-charter equivalent by class, second quarter 2026</w:t>
            </w:r>
          </w:p>
        </w:tc>
      </w:tr>
      <w:tr>
        <w:trPr>
          <w:cantSplit w:val="true"/>
        </w:trPr>
        <w:tc>
          <w:tcPr>
            <w:tcW w:type="dxa" w:w="2088"/>
          </w:tcPr>
          <w:p>
            <w:pPr>
              <w:spacing w:after="20" w:before="0" w:line="240" w:lineRule="auto"/>
            </w:pPr>
            <w:r>
              <w:rPr>
                <w:color w:val="1C3A36"/>
                <w:sz w:val="14"/>
              </w:rPr>
              <w:t>tce lr2 q2 26 actual</w:t>
            </w:r>
          </w:p>
        </w:tc>
        <w:tc>
          <w:tcPr>
            <w:tcW w:type="dxa" w:w="1238"/>
          </w:tcPr>
          <w:p>
            <w:pPr>
              <w:spacing w:after="20" w:before="0" w:line="240" w:lineRule="auto"/>
              <w:jc w:val="right"/>
            </w:pPr>
            <w:r>
              <w:rPr>
                <w:color w:val="1C3A36"/>
                <w:sz w:val="14"/>
              </w:rPr>
              <w:t>129,568/day</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the same slide</w:t>
            </w:r>
          </w:p>
        </w:tc>
      </w:tr>
      <w:tr>
        <w:trPr>
          <w:cantSplit w:val="true"/>
        </w:trPr>
        <w:tc>
          <w:tcPr>
            <w:tcW w:type="dxa" w:w="2088"/>
          </w:tcPr>
          <w:p>
            <w:pPr>
              <w:spacing w:after="20" w:before="0" w:line="240" w:lineRule="auto"/>
            </w:pPr>
            <w:r>
              <w:rPr>
                <w:color w:val="1C3A36"/>
                <w:sz w:val="14"/>
              </w:rPr>
              <w:t>tce lr1 q2 26 actual</w:t>
            </w:r>
          </w:p>
        </w:tc>
        <w:tc>
          <w:tcPr>
            <w:tcW w:type="dxa" w:w="1238"/>
          </w:tcPr>
          <w:p>
            <w:pPr>
              <w:spacing w:after="20" w:before="0" w:line="240" w:lineRule="auto"/>
              <w:jc w:val="right"/>
            </w:pPr>
            <w:r>
              <w:rPr>
                <w:color w:val="1C3A36"/>
                <w:sz w:val="14"/>
              </w:rPr>
              <w:t>80,206/day</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the same slide</w:t>
            </w:r>
          </w:p>
        </w:tc>
      </w:tr>
      <w:tr>
        <w:trPr>
          <w:cantSplit w:val="true"/>
        </w:trPr>
        <w:tc>
          <w:tcPr>
            <w:tcW w:type="dxa" w:w="2088"/>
          </w:tcPr>
          <w:p>
            <w:pPr>
              <w:spacing w:after="20" w:before="0" w:line="240" w:lineRule="auto"/>
            </w:pPr>
            <w:r>
              <w:rPr>
                <w:color w:val="1C3A36"/>
                <w:sz w:val="14"/>
              </w:rPr>
              <w:t>tce mr q2 26 actual</w:t>
            </w:r>
          </w:p>
        </w:tc>
        <w:tc>
          <w:tcPr>
            <w:tcW w:type="dxa" w:w="1238"/>
          </w:tcPr>
          <w:p>
            <w:pPr>
              <w:spacing w:after="20" w:before="0" w:line="240" w:lineRule="auto"/>
              <w:jc w:val="right"/>
            </w:pPr>
            <w:r>
              <w:rPr>
                <w:color w:val="1C3A36"/>
                <w:sz w:val="14"/>
              </w:rPr>
              <w:t>36,229/day</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the same slide</w:t>
            </w:r>
          </w:p>
        </w:tc>
      </w:tr>
      <w:tr>
        <w:trPr>
          <w:cantSplit w:val="true"/>
        </w:trPr>
        <w:tc>
          <w:tcPr>
            <w:tcW w:type="dxa" w:w="2088"/>
          </w:tcPr>
          <w:p>
            <w:pPr>
              <w:spacing w:after="20" w:before="0" w:line="240" w:lineRule="auto"/>
            </w:pPr>
            <w:r>
              <w:rPr>
                <w:color w:val="1C3A36"/>
                <w:sz w:val="14"/>
              </w:rPr>
              <w:t>tce vlcc q3 26</w:t>
            </w:r>
          </w:p>
        </w:tc>
        <w:tc>
          <w:tcPr>
            <w:tcW w:type="dxa" w:w="1238"/>
          </w:tcPr>
          <w:p>
            <w:pPr>
              <w:spacing w:after="20" w:before="0" w:line="240" w:lineRule="auto"/>
              <w:jc w:val="right"/>
            </w:pPr>
            <w:r>
              <w:rPr>
                <w:color w:val="1C3A36"/>
                <w:sz w:val="14"/>
              </w:rPr>
              <w:t>159,518/day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third quarter 2026 to the presentation date, on 78% of available vessel days contracted</w:t>
            </w:r>
          </w:p>
        </w:tc>
      </w:tr>
      <w:tr>
        <w:trPr>
          <w:cantSplit w:val="true"/>
        </w:trPr>
        <w:tc>
          <w:tcPr>
            <w:tcW w:type="dxa" w:w="2088"/>
          </w:tcPr>
          <w:p>
            <w:pPr>
              <w:spacing w:after="20" w:before="0" w:line="240" w:lineRule="auto"/>
            </w:pPr>
            <w:r>
              <w:rPr>
                <w:color w:val="1C3A36"/>
                <w:sz w:val="14"/>
              </w:rPr>
              <w:t>tce lr2 q3 26</w:t>
            </w:r>
          </w:p>
        </w:tc>
        <w:tc>
          <w:tcPr>
            <w:tcW w:type="dxa" w:w="1238"/>
          </w:tcPr>
          <w:p>
            <w:pPr>
              <w:spacing w:after="20" w:before="0" w:line="240" w:lineRule="auto"/>
              <w:jc w:val="right"/>
            </w:pPr>
            <w:r>
              <w:rPr>
                <w:color w:val="1C3A36"/>
                <w:sz w:val="14"/>
              </w:rPr>
              <w:t>107,917/day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third quarter 2026 to date, 58% of days</w:t>
            </w:r>
          </w:p>
        </w:tc>
      </w:tr>
      <w:tr>
        <w:trPr>
          <w:cantSplit w:val="true"/>
        </w:trPr>
        <w:tc>
          <w:tcPr>
            <w:tcW w:type="dxa" w:w="2088"/>
          </w:tcPr>
          <w:p>
            <w:pPr>
              <w:spacing w:after="20" w:before="0" w:line="240" w:lineRule="auto"/>
            </w:pPr>
            <w:r>
              <w:rPr>
                <w:color w:val="1C3A36"/>
                <w:sz w:val="14"/>
              </w:rPr>
              <w:t>tce lr1 q3 26</w:t>
            </w:r>
          </w:p>
        </w:tc>
        <w:tc>
          <w:tcPr>
            <w:tcW w:type="dxa" w:w="1238"/>
          </w:tcPr>
          <w:p>
            <w:pPr>
              <w:spacing w:after="20" w:before="0" w:line="240" w:lineRule="auto"/>
              <w:jc w:val="right"/>
            </w:pPr>
            <w:r>
              <w:rPr>
                <w:color w:val="1C3A36"/>
                <w:sz w:val="14"/>
              </w:rPr>
              <w:t>89,721/day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third quarter 2026 to date, 62% of days</w:t>
            </w:r>
          </w:p>
        </w:tc>
      </w:tr>
      <w:tr>
        <w:trPr>
          <w:cantSplit w:val="true"/>
        </w:trPr>
        <w:tc>
          <w:tcPr>
            <w:tcW w:type="dxa" w:w="2088"/>
          </w:tcPr>
          <w:p>
            <w:pPr>
              <w:spacing w:after="20" w:before="0" w:line="240" w:lineRule="auto"/>
            </w:pPr>
            <w:r>
              <w:rPr>
                <w:color w:val="1C3A36"/>
                <w:sz w:val="14"/>
              </w:rPr>
              <w:t>tce mr q3 26</w:t>
            </w:r>
          </w:p>
        </w:tc>
        <w:tc>
          <w:tcPr>
            <w:tcW w:type="dxa" w:w="1238"/>
          </w:tcPr>
          <w:p>
            <w:pPr>
              <w:spacing w:after="20" w:before="0" w:line="240" w:lineRule="auto"/>
              <w:jc w:val="right"/>
            </w:pPr>
            <w:r>
              <w:rPr>
                <w:color w:val="1C3A36"/>
                <w:sz w:val="14"/>
              </w:rPr>
              <w:t>30,441/day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third quarter 2026 to date, 65% of days</w:t>
            </w:r>
          </w:p>
        </w:tc>
      </w:tr>
      <w:tr>
        <w:trPr>
          <w:cantSplit w:val="true"/>
        </w:trPr>
        <w:tc>
          <w:tcPr>
            <w:tcW w:type="dxa" w:w="2088"/>
          </w:tcPr>
          <w:p>
            <w:pPr>
              <w:spacing w:after="20" w:before="0" w:line="240" w:lineRule="auto"/>
            </w:pPr>
            <w:r>
              <w:rPr>
                <w:color w:val="1C3A36"/>
                <w:sz w:val="14"/>
              </w:rPr>
              <w:t>cover vlcc q3 26</w:t>
            </w:r>
          </w:p>
        </w:tc>
        <w:tc>
          <w:tcPr>
            <w:tcW w:type="dxa" w:w="1238"/>
          </w:tcPr>
          <w:p>
            <w:pPr>
              <w:spacing w:after="20" w:before="0" w:line="240" w:lineRule="auto"/>
              <w:jc w:val="right"/>
            </w:pPr>
            <w:r>
              <w:rPr>
                <w:color w:val="1C3A36"/>
                <w:sz w:val="14"/>
              </w:rPr>
              <w:t>0.78</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contracted vessel days divided by total available vessel days for the third quarter</w:t>
            </w:r>
          </w:p>
        </w:tc>
      </w:tr>
      <w:tr>
        <w:trPr>
          <w:cantSplit w:val="true"/>
        </w:trPr>
        <w:tc>
          <w:tcPr>
            <w:tcW w:type="dxa" w:w="2088"/>
          </w:tcPr>
          <w:p>
            <w:pPr>
              <w:spacing w:after="20" w:before="0" w:line="240" w:lineRule="auto"/>
            </w:pPr>
            <w:r>
              <w:rPr>
                <w:color w:val="1C3A36"/>
                <w:sz w:val="14"/>
              </w:rPr>
              <w:t>cover lr2 q3 26</w:t>
            </w:r>
          </w:p>
        </w:tc>
        <w:tc>
          <w:tcPr>
            <w:tcW w:type="dxa" w:w="1238"/>
          </w:tcPr>
          <w:p>
            <w:pPr>
              <w:spacing w:after="20" w:before="0" w:line="240" w:lineRule="auto"/>
              <w:jc w:val="right"/>
            </w:pPr>
            <w:r>
              <w:rPr>
                <w:color w:val="1C3A36"/>
                <w:sz w:val="14"/>
              </w:rPr>
              <w:t>0.58</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the same measure</w:t>
            </w:r>
          </w:p>
        </w:tc>
      </w:tr>
      <w:tr>
        <w:trPr>
          <w:cantSplit w:val="true"/>
        </w:trPr>
        <w:tc>
          <w:tcPr>
            <w:tcW w:type="dxa" w:w="2088"/>
          </w:tcPr>
          <w:p>
            <w:pPr>
              <w:spacing w:after="20" w:before="0" w:line="240" w:lineRule="auto"/>
            </w:pPr>
            <w:r>
              <w:rPr>
                <w:color w:val="1C3A36"/>
                <w:sz w:val="14"/>
              </w:rPr>
              <w:t>cover lr1 q3 26</w:t>
            </w:r>
          </w:p>
        </w:tc>
        <w:tc>
          <w:tcPr>
            <w:tcW w:type="dxa" w:w="1238"/>
          </w:tcPr>
          <w:p>
            <w:pPr>
              <w:spacing w:after="20" w:before="0" w:line="240" w:lineRule="auto"/>
              <w:jc w:val="right"/>
            </w:pPr>
            <w:r>
              <w:rPr>
                <w:color w:val="1C3A36"/>
                <w:sz w:val="14"/>
              </w:rPr>
              <w:t>0.62</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the same measure</w:t>
            </w:r>
          </w:p>
        </w:tc>
      </w:tr>
      <w:tr>
        <w:trPr>
          <w:cantSplit w:val="true"/>
        </w:trPr>
        <w:tc>
          <w:tcPr>
            <w:tcW w:type="dxa" w:w="2088"/>
          </w:tcPr>
          <w:p>
            <w:pPr>
              <w:spacing w:after="20" w:before="0" w:line="240" w:lineRule="auto"/>
            </w:pPr>
            <w:r>
              <w:rPr>
                <w:color w:val="1C3A36"/>
                <w:sz w:val="14"/>
              </w:rPr>
              <w:t>cover mr q3 26</w:t>
            </w:r>
          </w:p>
        </w:tc>
        <w:tc>
          <w:tcPr>
            <w:tcW w:type="dxa" w:w="1238"/>
          </w:tcPr>
          <w:p>
            <w:pPr>
              <w:spacing w:after="20" w:before="0" w:line="240" w:lineRule="auto"/>
              <w:jc w:val="right"/>
            </w:pPr>
            <w:r>
              <w:rPr>
                <w:color w:val="1C3A36"/>
                <w:sz w:val="14"/>
              </w:rPr>
              <w:t>0.65</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the same measure</w:t>
            </w:r>
          </w:p>
        </w:tc>
      </w:tr>
      <w:tr>
        <w:trPr>
          <w:cantSplit w:val="true"/>
        </w:trPr>
        <w:tc>
          <w:tcPr>
            <w:tcW w:type="dxa" w:w="2088"/>
          </w:tcPr>
          <w:p>
            <w:pPr>
              <w:spacing w:after="20" w:before="0" w:line="240" w:lineRule="auto"/>
            </w:pPr>
            <w:r>
              <w:rPr>
                <w:color w:val="1C3A36"/>
                <w:sz w:val="14"/>
              </w:rPr>
              <w:t>g26h rev group</w:t>
            </w:r>
          </w:p>
        </w:tc>
        <w:tc>
          <w:tcPr>
            <w:tcW w:type="dxa" w:w="1238"/>
          </w:tcPr>
          <w:p>
            <w:pPr>
              <w:spacing w:after="20" w:before="0" w:line="240" w:lineRule="auto"/>
              <w:jc w:val="right"/>
            </w:pPr>
            <w:r>
              <w:rPr>
                <w:color w:val="1C3A36"/>
                <w:sz w:val="14"/>
              </w:rPr>
              <w:t>0.25</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Management Discussion and Analysis, First Half 2026 (11 Aug 2026) — raised full-year 2026 guidance: mid 20 per cent revenue growth. Recorded to be scored against this model's own build and used as an input to nothing</w:t>
            </w:r>
          </w:p>
        </w:tc>
      </w:tr>
      <w:tr>
        <w:trPr>
          <w:cantSplit w:val="true"/>
        </w:trPr>
        <w:tc>
          <w:tcPr>
            <w:tcW w:type="dxa" w:w="2088"/>
          </w:tcPr>
          <w:p>
            <w:pPr>
              <w:spacing w:after="20" w:before="0" w:line="240" w:lineRule="auto"/>
            </w:pPr>
            <w:r>
              <w:rPr>
                <w:color w:val="1C3A36"/>
                <w:sz w:val="14"/>
              </w:rPr>
              <w:t>g26h ebitda group</w:t>
            </w:r>
          </w:p>
        </w:tc>
        <w:tc>
          <w:tcPr>
            <w:tcW w:type="dxa" w:w="1238"/>
          </w:tcPr>
          <w:p>
            <w:pPr>
              <w:spacing w:after="20" w:before="0" w:line="240" w:lineRule="auto"/>
              <w:jc w:val="right"/>
            </w:pPr>
            <w:r>
              <w:rPr>
                <w:color w:val="1C3A36"/>
                <w:sz w:val="14"/>
              </w:rPr>
              <w:t>0.65</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Management Discussion and Analysis, First Half 2026 (11 Aug 2026) — raised full-year 2026 guidance: mid 60 per cent growth in earnings before interest, tax, depreciation and amortisation</w:t>
            </w:r>
          </w:p>
        </w:tc>
      </w:tr>
      <w:tr>
        <w:trPr>
          <w:cantSplit w:val="true"/>
        </w:trPr>
        <w:tc>
          <w:tcPr>
            <w:tcW w:type="dxa" w:w="2088"/>
          </w:tcPr>
          <w:p>
            <w:pPr>
              <w:spacing w:after="20" w:before="0" w:line="240" w:lineRule="auto"/>
            </w:pPr>
            <w:r>
              <w:rPr>
                <w:color w:val="1C3A36"/>
                <w:sz w:val="14"/>
              </w:rPr>
              <w:t>g26h np group</w:t>
            </w:r>
          </w:p>
        </w:tc>
        <w:tc>
          <w:tcPr>
            <w:tcW w:type="dxa" w:w="1238"/>
          </w:tcPr>
          <w:p>
            <w:pPr>
              <w:spacing w:after="20" w:before="0" w:line="240" w:lineRule="auto"/>
              <w:jc w:val="right"/>
            </w:pPr>
            <w:r>
              <w:rPr>
                <w:color w:val="1C3A36"/>
                <w:sz w:val="14"/>
              </w:rPr>
              <w:t>1.1</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Management Discussion and Analysis, First Half 2026 (11 Aug 2026) — raised full-year 2026 guidance: high 110 per cent net profit growth</w:t>
            </w:r>
          </w:p>
        </w:tc>
      </w:tr>
      <w:tr>
        <w:trPr>
          <w:cantSplit w:val="true"/>
        </w:trPr>
        <w:tc>
          <w:tcPr>
            <w:tcW w:type="dxa" w:w="2088"/>
          </w:tcPr>
          <w:p>
            <w:pPr>
              <w:spacing w:after="20" w:before="0" w:line="240" w:lineRule="auto"/>
            </w:pPr>
            <w:r>
              <w:rPr>
                <w:color w:val="1C3A36"/>
                <w:sz w:val="14"/>
              </w:rPr>
              <w:t>g26h rev shipping</w:t>
            </w:r>
          </w:p>
        </w:tc>
        <w:tc>
          <w:tcPr>
            <w:tcW w:type="dxa" w:w="1238"/>
          </w:tcPr>
          <w:p>
            <w:pPr>
              <w:spacing w:after="20" w:before="0" w:line="240" w:lineRule="auto"/>
              <w:jc w:val="right"/>
            </w:pPr>
            <w:r>
              <w:rPr>
                <w:color w:val="1C3A36"/>
                <w:sz w:val="14"/>
              </w:rPr>
              <w:t>0.85</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Management Discussion and Analysis, First Half 2026 (11 Aug 2026) — raised 2026 segment guidance: mid 80 per cent Shipping revenue growth</w:t>
            </w:r>
          </w:p>
        </w:tc>
      </w:tr>
      <w:tr>
        <w:trPr>
          <w:cantSplit w:val="true"/>
        </w:trPr>
        <w:tc>
          <w:tcPr>
            <w:tcW w:type="dxa" w:w="2088"/>
          </w:tcPr>
          <w:p>
            <w:pPr>
              <w:spacing w:after="20" w:before="0" w:line="240" w:lineRule="auto"/>
            </w:pPr>
            <w:r>
              <w:rPr>
                <w:color w:val="1C3A36"/>
                <w:sz w:val="14"/>
              </w:rPr>
              <w:t>g26h rev il</w:t>
            </w:r>
          </w:p>
        </w:tc>
        <w:tc>
          <w:tcPr>
            <w:tcW w:type="dxa" w:w="1238"/>
          </w:tcPr>
          <w:p>
            <w:pPr>
              <w:spacing w:after="20" w:before="0" w:line="240" w:lineRule="auto"/>
              <w:jc w:val="right"/>
            </w:pPr>
            <w:r>
              <w:rPr>
                <w:color w:val="1C3A36"/>
                <w:sz w:val="14"/>
              </w:rPr>
              <w:t>-0.25</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Management Discussion and Analysis, First Half 2026 (11 Aug 2026) — raised 2026 segment guidance: a mid 20 per cent reduction in Integrated Logistics revenue</w:t>
            </w:r>
          </w:p>
        </w:tc>
      </w:tr>
      <w:tr>
        <w:trPr>
          <w:cantSplit w:val="true"/>
        </w:trPr>
        <w:tc>
          <w:tcPr>
            <w:tcW w:type="dxa" w:w="2088"/>
          </w:tcPr>
          <w:p>
            <w:pPr>
              <w:spacing w:after="20" w:before="0" w:line="240" w:lineRule="auto"/>
            </w:pPr>
            <w:r>
              <w:rPr>
                <w:color w:val="1C3A36"/>
                <w:sz w:val="14"/>
              </w:rPr>
              <w:t>g26h rev services</w:t>
            </w:r>
          </w:p>
        </w:tc>
        <w:tc>
          <w:tcPr>
            <w:tcW w:type="dxa" w:w="1238"/>
          </w:tcPr>
          <w:p>
            <w:pPr>
              <w:spacing w:after="20" w:before="0" w:line="240" w:lineRule="auto"/>
              <w:jc w:val="right"/>
            </w:pPr>
            <w:r>
              <w:rPr>
                <w:color w:val="1C3A36"/>
                <w:sz w:val="14"/>
              </w:rPr>
              <w:t>0.05</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Management Discussion and Analysis, First Half 2026 (11 Aug 2026) — raised 2026 segment guidance: mid single-digit Services revenue growth</w:t>
            </w:r>
          </w:p>
        </w:tc>
      </w:tr>
      <w:tr>
        <w:trPr>
          <w:cantSplit w:val="true"/>
        </w:trPr>
        <w:tc>
          <w:tcPr>
            <w:tcW w:type="dxa" w:w="2088"/>
          </w:tcPr>
          <w:p>
            <w:pPr>
              <w:spacing w:after="20" w:before="0" w:line="240" w:lineRule="auto"/>
            </w:pPr>
            <w:r>
              <w:rPr>
                <w:color w:val="1C3A36"/>
                <w:sz w:val="14"/>
              </w:rPr>
              <w:t>g26h ebitda il</w:t>
            </w:r>
          </w:p>
        </w:tc>
        <w:tc>
          <w:tcPr>
            <w:tcW w:type="dxa" w:w="1238"/>
          </w:tcPr>
          <w:p>
            <w:pPr>
              <w:spacing w:after="20" w:before="0" w:line="240" w:lineRule="auto"/>
              <w:jc w:val="right"/>
            </w:pPr>
            <w:r>
              <w:rPr>
                <w:color w:val="1C3A36"/>
                <w:sz w:val="14"/>
              </w:rPr>
              <w:t>-0.25</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Management Discussion and Analysis, First Half 2026 (11 Aug 2026) — raised 2026 segment guidance: a mid 20 per cent reduction in Integrated Logistics earnings</w:t>
            </w:r>
          </w:p>
        </w:tc>
      </w:tr>
      <w:tr>
        <w:trPr>
          <w:cantSplit w:val="true"/>
        </w:trPr>
        <w:tc>
          <w:tcPr>
            <w:tcW w:type="dxa" w:w="2088"/>
          </w:tcPr>
          <w:p>
            <w:pPr>
              <w:spacing w:after="20" w:before="0" w:line="240" w:lineRule="auto"/>
            </w:pPr>
            <w:r>
              <w:rPr>
                <w:color w:val="1C3A36"/>
                <w:sz w:val="14"/>
              </w:rPr>
              <w:t>g26h ebitda shipping</w:t>
            </w:r>
          </w:p>
        </w:tc>
        <w:tc>
          <w:tcPr>
            <w:tcW w:type="dxa" w:w="1238"/>
          </w:tcPr>
          <w:p>
            <w:pPr>
              <w:spacing w:after="20" w:before="0" w:line="240" w:lineRule="auto"/>
              <w:jc w:val="right"/>
            </w:pPr>
            <w:r>
              <w:rPr>
                <w:color w:val="1C3A36"/>
                <w:sz w:val="14"/>
              </w:rPr>
              <w:t>1.9</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Management Discussion and Analysis, First Half 2026 (11 Aug 2026) — raised 2026 segment guidance: low 190 per cent growth in Shipping earnings</w:t>
            </w:r>
          </w:p>
        </w:tc>
      </w:tr>
      <w:tr>
        <w:trPr>
          <w:cantSplit w:val="true"/>
        </w:trPr>
        <w:tc>
          <w:tcPr>
            <w:tcW w:type="dxa" w:w="2088"/>
          </w:tcPr>
          <w:p>
            <w:pPr>
              <w:spacing w:after="20" w:before="0" w:line="240" w:lineRule="auto"/>
            </w:pPr>
            <w:r>
              <w:rPr>
                <w:color w:val="1C3A36"/>
                <w:sz w:val="14"/>
              </w:rPr>
              <w:t>g26h ebitda services</w:t>
            </w:r>
          </w:p>
        </w:tc>
        <w:tc>
          <w:tcPr>
            <w:tcW w:type="dxa" w:w="1238"/>
          </w:tcPr>
          <w:p>
            <w:pPr>
              <w:spacing w:after="20" w:before="0" w:line="240" w:lineRule="auto"/>
              <w:jc w:val="right"/>
            </w:pPr>
            <w:r>
              <w:rPr>
                <w:color w:val="1C3A36"/>
                <w:sz w:val="14"/>
              </w:rPr>
              <w:t>0.2</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Management Discussion and Analysis, First Half 2026 (11 Aug 2026) — raised 2026 segment guidance: low 20 per cent growth in Services earnings</w:t>
            </w:r>
          </w:p>
        </w:tc>
      </w:tr>
      <w:tr>
        <w:trPr>
          <w:cantSplit w:val="true"/>
        </w:trPr>
        <w:tc>
          <w:tcPr>
            <w:tcW w:type="dxa" w:w="2088"/>
          </w:tcPr>
          <w:p>
            <w:pPr>
              <w:spacing w:after="20" w:before="0" w:line="240" w:lineRule="auto"/>
            </w:pPr>
            <w:r>
              <w:rPr>
                <w:color w:val="1C3A36"/>
                <w:sz w:val="14"/>
              </w:rPr>
              <w:t>contracted revenue h126</w:t>
            </w:r>
          </w:p>
        </w:tc>
        <w:tc>
          <w:tcPr>
            <w:tcW w:type="dxa" w:w="1238"/>
          </w:tcPr>
          <w:p>
            <w:pPr>
              <w:spacing w:after="20" w:before="0" w:line="240" w:lineRule="auto"/>
              <w:jc w:val="right"/>
            </w:pPr>
            <w:r>
              <w:rPr>
                <w:color w:val="1C3A36"/>
                <w:sz w:val="14"/>
              </w:rPr>
              <w:t>25,000,000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Management Discussion and Analysis, First Half 2026 (11 Aug 2026) — forward-contracted revenue of about USD 25 billion at 30 June 2026</w:t>
            </w:r>
          </w:p>
        </w:tc>
      </w:tr>
      <w:tr>
        <w:trPr>
          <w:cantSplit w:val="true"/>
        </w:trPr>
        <w:tc>
          <w:tcPr>
            <w:tcW w:type="dxa" w:w="2088"/>
          </w:tcPr>
          <w:p>
            <w:pPr>
              <w:spacing w:after="20" w:before="0" w:line="240" w:lineRule="auto"/>
            </w:pPr>
            <w:r>
              <w:rPr>
                <w:color w:val="1C3A36"/>
                <w:sz w:val="14"/>
              </w:rPr>
              <w:t>g terminal</w:t>
            </w:r>
          </w:p>
        </w:tc>
        <w:tc>
          <w:tcPr>
            <w:tcW w:type="dxa" w:w="1238"/>
          </w:tcPr>
          <w:p>
            <w:pPr>
              <w:spacing w:after="20" w:before="0" w:line="240" w:lineRule="auto"/>
              <w:jc w:val="right"/>
            </w:pPr>
            <w:r>
              <w:rPr>
                <w:color w:val="1C3A36"/>
                <w:sz w:val="14"/>
              </w:rPr>
              <w:t>2%</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the company's own value-in-use test projects cash flows beyond its plan at a growth rate equal to an estimated 2% inflation rate; adopted here as the terminal growth rate</w:t>
            </w:r>
          </w:p>
        </w:tc>
      </w:tr>
      <w:tr>
        <w:trPr>
          <w:cantSplit w:val="true"/>
        </w:trPr>
        <w:tc>
          <w:tcPr>
            <w:tcW w:type="dxa" w:w="2088"/>
          </w:tcPr>
          <w:p>
            <w:pPr>
              <w:spacing w:after="20" w:before="0" w:line="240" w:lineRule="auto"/>
            </w:pPr>
            <w:r>
              <w:rPr>
                <w:color w:val="1C3A36"/>
                <w:sz w:val="14"/>
              </w:rPr>
              <w:t>nwc h126</w:t>
            </w:r>
          </w:p>
        </w:tc>
        <w:tc>
          <w:tcPr>
            <w:tcW w:type="dxa" w:w="1238"/>
          </w:tcPr>
          <w:p>
            <w:pPr>
              <w:spacing w:after="20" w:before="0" w:line="240" w:lineRule="auto"/>
              <w:jc w:val="right"/>
            </w:pPr>
            <w:r>
              <w:rPr>
                <w:color w:val="1C3A36"/>
                <w:sz w:val="14"/>
              </w:rPr>
              <w:t>718,017</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inventories plus trade and other receivables plus amounts due from related parties, less trade and other payables and amounts due to related parties, at 30 June 2026. DERIVED: the same construction as every historical year in this study</w:t>
            </w:r>
          </w:p>
        </w:tc>
      </w:tr>
      <w:tr>
        <w:trPr>
          <w:cantSplit w:val="true"/>
        </w:trPr>
        <w:tc>
          <w:tcPr>
            <w:tcW w:type="dxa" w:w="2088"/>
          </w:tcPr>
          <w:p>
            <w:pPr>
              <w:spacing w:after="20" w:before="0" w:line="240" w:lineRule="auto"/>
            </w:pPr>
            <w:r>
              <w:rPr>
                <w:color w:val="1C3A36"/>
                <w:sz w:val="14"/>
              </w:rPr>
              <w:t>charter navig8 macallister</w:t>
            </w:r>
          </w:p>
        </w:tc>
        <w:tc>
          <w:tcPr>
            <w:tcW w:type="dxa" w:w="1238"/>
          </w:tcPr>
          <w:p>
            <w:pPr>
              <w:spacing w:after="20" w:before="0" w:line="240" w:lineRule="auto"/>
              <w:jc w:val="right"/>
            </w:pPr>
            <w:r>
              <w:rPr>
                <w:color w:val="1C3A36"/>
                <w:sz w:val="14"/>
              </w:rPr>
              <w:t>19,750/day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charters out: Navig8 Macallister, a LR1 fixed for 18 months to 28 Mar 2027</w:t>
            </w:r>
          </w:p>
        </w:tc>
      </w:tr>
      <w:tr>
        <w:trPr>
          <w:cantSplit w:val="true"/>
        </w:trPr>
        <w:tc>
          <w:tcPr>
            <w:tcW w:type="dxa" w:w="2088"/>
          </w:tcPr>
          <w:p>
            <w:pPr>
              <w:spacing w:after="20" w:before="0" w:line="240" w:lineRule="auto"/>
            </w:pPr>
            <w:r>
              <w:rPr>
                <w:color w:val="1C3A36"/>
                <w:sz w:val="14"/>
              </w:rPr>
              <w:t>charter navig8 martinez</w:t>
            </w:r>
          </w:p>
        </w:tc>
        <w:tc>
          <w:tcPr>
            <w:tcW w:type="dxa" w:w="1238"/>
          </w:tcPr>
          <w:p>
            <w:pPr>
              <w:spacing w:after="20" w:before="0" w:line="240" w:lineRule="auto"/>
              <w:jc w:val="right"/>
            </w:pPr>
            <w:r>
              <w:rPr>
                <w:color w:val="1C3A36"/>
                <w:sz w:val="14"/>
              </w:rPr>
              <w:t>19,750/day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charters out: Navig8 Martinez, a LR1 fixed for 32 months to 28 Jul 2028</w:t>
            </w:r>
          </w:p>
        </w:tc>
      </w:tr>
      <w:tr>
        <w:trPr>
          <w:cantSplit w:val="true"/>
        </w:trPr>
        <w:tc>
          <w:tcPr>
            <w:tcW w:type="dxa" w:w="2088"/>
          </w:tcPr>
          <w:p>
            <w:pPr>
              <w:spacing w:after="20" w:before="0" w:line="240" w:lineRule="auto"/>
            </w:pPr>
            <w:r>
              <w:rPr>
                <w:color w:val="1C3A36"/>
                <w:sz w:val="14"/>
              </w:rPr>
              <w:t>charter navig8 prosperity</w:t>
            </w:r>
          </w:p>
        </w:tc>
        <w:tc>
          <w:tcPr>
            <w:tcW w:type="dxa" w:w="1238"/>
          </w:tcPr>
          <w:p>
            <w:pPr>
              <w:spacing w:after="20" w:before="0" w:line="240" w:lineRule="auto"/>
              <w:jc w:val="right"/>
            </w:pPr>
            <w:r>
              <w:rPr>
                <w:color w:val="1C3A36"/>
                <w:sz w:val="14"/>
              </w:rPr>
              <w:t>30,561/day</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charters out: Navig8 Prosperity, a LR2 fixed for 36 months to 04 May 2026</w:t>
            </w:r>
          </w:p>
        </w:tc>
      </w:tr>
      <w:tr>
        <w:trPr>
          <w:cantSplit w:val="true"/>
        </w:trPr>
        <w:tc>
          <w:tcPr>
            <w:tcW w:type="dxa" w:w="2088"/>
          </w:tcPr>
          <w:p>
            <w:pPr>
              <w:spacing w:after="20" w:before="0" w:line="240" w:lineRule="auto"/>
            </w:pPr>
            <w:r>
              <w:rPr>
                <w:color w:val="1C3A36"/>
                <w:sz w:val="14"/>
              </w:rPr>
              <w:t>charter navig8 promise</w:t>
            </w:r>
          </w:p>
        </w:tc>
        <w:tc>
          <w:tcPr>
            <w:tcW w:type="dxa" w:w="1238"/>
          </w:tcPr>
          <w:p>
            <w:pPr>
              <w:spacing w:after="20" w:before="0" w:line="240" w:lineRule="auto"/>
              <w:jc w:val="right"/>
            </w:pPr>
            <w:r>
              <w:rPr>
                <w:color w:val="1C3A36"/>
                <w:sz w:val="14"/>
              </w:rPr>
              <w:t>32,125/day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charters out: Navig8 Promise, a LR2 fixed for 12 months to 27 Aug 2026</w:t>
            </w:r>
          </w:p>
        </w:tc>
      </w:tr>
      <w:tr>
        <w:trPr>
          <w:cantSplit w:val="true"/>
        </w:trPr>
        <w:tc>
          <w:tcPr>
            <w:tcW w:type="dxa" w:w="2088"/>
          </w:tcPr>
          <w:p>
            <w:pPr>
              <w:spacing w:after="20" w:before="0" w:line="240" w:lineRule="auto"/>
            </w:pPr>
            <w:r>
              <w:rPr>
                <w:color w:val="1C3A36"/>
                <w:sz w:val="14"/>
              </w:rPr>
              <w:t>charter navig8 pride</w:t>
            </w:r>
          </w:p>
        </w:tc>
        <w:tc>
          <w:tcPr>
            <w:tcW w:type="dxa" w:w="1238"/>
          </w:tcPr>
          <w:p>
            <w:pPr>
              <w:spacing w:after="20" w:before="0" w:line="240" w:lineRule="auto"/>
              <w:jc w:val="right"/>
            </w:pPr>
            <w:r>
              <w:rPr>
                <w:color w:val="1C3A36"/>
                <w:sz w:val="14"/>
              </w:rPr>
              <w:t>32,125/day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charters out: Navig8 Pride, a LR2 fixed for 12 months to 07 Oct 2026</w:t>
            </w:r>
          </w:p>
        </w:tc>
      </w:tr>
      <w:tr>
        <w:trPr>
          <w:cantSplit w:val="true"/>
        </w:trPr>
        <w:tc>
          <w:tcPr>
            <w:tcW w:type="dxa" w:w="2088"/>
          </w:tcPr>
          <w:p>
            <w:pPr>
              <w:spacing w:after="20" w:before="0" w:line="240" w:lineRule="auto"/>
            </w:pPr>
            <w:r>
              <w:rPr>
                <w:color w:val="1C3A36"/>
                <w:sz w:val="14"/>
              </w:rPr>
              <w:t>charter navig8 prestige</w:t>
            </w:r>
          </w:p>
        </w:tc>
        <w:tc>
          <w:tcPr>
            <w:tcW w:type="dxa" w:w="1238"/>
          </w:tcPr>
          <w:p>
            <w:pPr>
              <w:spacing w:after="20" w:before="0" w:line="240" w:lineRule="auto"/>
              <w:jc w:val="right"/>
            </w:pPr>
            <w:r>
              <w:rPr>
                <w:color w:val="1C3A36"/>
                <w:sz w:val="14"/>
              </w:rPr>
              <w:t>36,850/day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charters out: Navig8 Prestige, a LR2 fixed for 12 months to 07 Dec 2026</w:t>
            </w:r>
          </w:p>
        </w:tc>
      </w:tr>
      <w:tr>
        <w:trPr>
          <w:cantSplit w:val="true"/>
        </w:trPr>
        <w:tc>
          <w:tcPr>
            <w:tcW w:type="dxa" w:w="2088"/>
          </w:tcPr>
          <w:p>
            <w:pPr>
              <w:spacing w:after="20" w:before="0" w:line="240" w:lineRule="auto"/>
            </w:pPr>
            <w:r>
              <w:rPr>
                <w:color w:val="1C3A36"/>
                <w:sz w:val="14"/>
              </w:rPr>
              <w:t>charter navig8 providence</w:t>
            </w:r>
          </w:p>
        </w:tc>
        <w:tc>
          <w:tcPr>
            <w:tcW w:type="dxa" w:w="1238"/>
          </w:tcPr>
          <w:p>
            <w:pPr>
              <w:spacing w:after="20" w:before="0" w:line="240" w:lineRule="auto"/>
              <w:jc w:val="right"/>
            </w:pPr>
            <w:r>
              <w:rPr>
                <w:color w:val="1C3A36"/>
                <w:sz w:val="14"/>
              </w:rPr>
              <w:t>42,000/day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charters out: Navig8 Providence, a LR2 fixed for 12 months to 18 Apr 2027</w:t>
            </w:r>
          </w:p>
        </w:tc>
      </w:tr>
      <w:tr>
        <w:trPr>
          <w:cantSplit w:val="true"/>
        </w:trPr>
        <w:tc>
          <w:tcPr>
            <w:tcW w:type="dxa" w:w="2088"/>
          </w:tcPr>
          <w:p>
            <w:pPr>
              <w:spacing w:after="20" w:before="0" w:line="240" w:lineRule="auto"/>
            </w:pPr>
            <w:r>
              <w:rPr>
                <w:color w:val="1C3A36"/>
                <w:sz w:val="14"/>
              </w:rPr>
              <w:t>charter navig8 passion</w:t>
            </w:r>
          </w:p>
        </w:tc>
        <w:tc>
          <w:tcPr>
            <w:tcW w:type="dxa" w:w="1238"/>
          </w:tcPr>
          <w:p>
            <w:pPr>
              <w:spacing w:after="20" w:before="0" w:line="240" w:lineRule="auto"/>
              <w:jc w:val="right"/>
            </w:pPr>
            <w:r>
              <w:rPr>
                <w:color w:val="1C3A36"/>
                <w:sz w:val="14"/>
              </w:rPr>
              <w:t>42,000/day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charters out: Navig8 Passion, a LR2 fixed for 12 months to 20 Jun 2027</w:t>
            </w:r>
          </w:p>
        </w:tc>
      </w:tr>
      <w:tr>
        <w:trPr>
          <w:cantSplit w:val="true"/>
        </w:trPr>
        <w:tc>
          <w:tcPr>
            <w:tcW w:type="dxa" w:w="2088"/>
          </w:tcPr>
          <w:p>
            <w:pPr>
              <w:spacing w:after="20" w:before="0" w:line="240" w:lineRule="auto"/>
            </w:pPr>
            <w:r>
              <w:rPr>
                <w:color w:val="1C3A36"/>
                <w:sz w:val="14"/>
              </w:rPr>
              <w:t>charter zakum</w:t>
            </w:r>
          </w:p>
        </w:tc>
        <w:tc>
          <w:tcPr>
            <w:tcW w:type="dxa" w:w="1238"/>
          </w:tcPr>
          <w:p>
            <w:pPr>
              <w:spacing w:after="20" w:before="0" w:line="240" w:lineRule="auto"/>
              <w:jc w:val="right"/>
            </w:pPr>
            <w:r>
              <w:rPr>
                <w:color w:val="1C3A36"/>
                <w:sz w:val="14"/>
              </w:rPr>
              <w:t>50,633/day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charters out: Zakum, a VLCC fixed for 22 months to 02 Jan 2028</w:t>
            </w:r>
          </w:p>
        </w:tc>
      </w:tr>
      <w:tr>
        <w:trPr>
          <w:cantSplit w:val="true"/>
        </w:trPr>
        <w:tc>
          <w:tcPr>
            <w:tcW w:type="dxa" w:w="2088"/>
          </w:tcPr>
          <w:p>
            <w:pPr>
              <w:spacing w:after="20" w:before="0" w:line="240" w:lineRule="auto"/>
            </w:pPr>
            <w:r>
              <w:rPr>
                <w:color w:val="1C3A36"/>
                <w:sz w:val="14"/>
              </w:rPr>
              <w:t>charter hili</w:t>
            </w:r>
          </w:p>
        </w:tc>
        <w:tc>
          <w:tcPr>
            <w:tcW w:type="dxa" w:w="1238"/>
          </w:tcPr>
          <w:p>
            <w:pPr>
              <w:spacing w:after="20" w:before="0" w:line="240" w:lineRule="auto"/>
              <w:jc w:val="right"/>
            </w:pPr>
            <w:r>
              <w:rPr>
                <w:color w:val="1C3A36"/>
                <w:sz w:val="14"/>
              </w:rPr>
              <w:t>50,633/day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charters out: Hili, a VLCC fixed for 22 months to 16 Jan 2028</w:t>
            </w:r>
          </w:p>
        </w:tc>
      </w:tr>
      <w:tr>
        <w:trPr>
          <w:cantSplit w:val="true"/>
        </w:trPr>
        <w:tc>
          <w:tcPr>
            <w:tcW w:type="dxa" w:w="2088"/>
          </w:tcPr>
          <w:p>
            <w:pPr>
              <w:spacing w:after="20" w:before="0" w:line="240" w:lineRule="auto"/>
            </w:pPr>
            <w:r>
              <w:rPr>
                <w:color w:val="1C3A36"/>
                <w:sz w:val="14"/>
              </w:rPr>
              <w:t>charter arzanah</w:t>
            </w:r>
          </w:p>
        </w:tc>
        <w:tc>
          <w:tcPr>
            <w:tcW w:type="dxa" w:w="1238"/>
          </w:tcPr>
          <w:p>
            <w:pPr>
              <w:spacing w:after="20" w:before="0" w:line="240" w:lineRule="auto"/>
              <w:jc w:val="right"/>
            </w:pPr>
            <w:r>
              <w:rPr>
                <w:color w:val="1C3A36"/>
                <w:sz w:val="14"/>
              </w:rPr>
              <w:t>70,000/day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charters out: Arzanah, a VLCC fixed for 12 months to 20 Apr 2027</w:t>
            </w:r>
          </w:p>
        </w:tc>
      </w:tr>
      <w:tr>
        <w:trPr>
          <w:cantSplit w:val="true"/>
        </w:trPr>
        <w:tc>
          <w:tcPr>
            <w:tcW w:type="dxa" w:w="2088"/>
          </w:tcPr>
          <w:p>
            <w:pPr>
              <w:spacing w:after="20" w:before="0" w:line="240" w:lineRule="auto"/>
            </w:pPr>
            <w:r>
              <w:rPr>
                <w:color w:val="1C3A36"/>
                <w:sz w:val="14"/>
              </w:rPr>
              <w:t>charter habshan</w:t>
            </w:r>
          </w:p>
        </w:tc>
        <w:tc>
          <w:tcPr>
            <w:tcW w:type="dxa" w:w="1238"/>
          </w:tcPr>
          <w:p>
            <w:pPr>
              <w:spacing w:after="20" w:before="0" w:line="240" w:lineRule="auto"/>
              <w:jc w:val="right"/>
            </w:pPr>
            <w:r>
              <w:rPr>
                <w:color w:val="1C3A36"/>
                <w:sz w:val="14"/>
              </w:rPr>
              <w:t>72,500/day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charters out: Habshan, a VLCC fixed for 12 months to 21 May 2027</w:t>
            </w:r>
          </w:p>
        </w:tc>
      </w:tr>
      <w:tr>
        <w:trPr>
          <w:cantSplit w:val="true"/>
        </w:trPr>
        <w:tc>
          <w:tcPr>
            <w:tcW w:type="dxa" w:w="2088"/>
          </w:tcPr>
          <w:p>
            <w:pPr>
              <w:spacing w:after="20" w:before="0" w:line="240" w:lineRule="auto"/>
            </w:pPr>
            <w:r>
              <w:rPr>
                <w:color w:val="1C3A36"/>
                <w:sz w:val="14"/>
              </w:rPr>
              <w:t>acq 2026 cost</w:t>
            </w:r>
          </w:p>
        </w:tc>
        <w:tc>
          <w:tcPr>
            <w:tcW w:type="dxa" w:w="1238"/>
          </w:tcPr>
          <w:p>
            <w:pPr>
              <w:spacing w:after="20" w:before="0" w:line="240" w:lineRule="auto"/>
              <w:jc w:val="right"/>
            </w:pPr>
            <w:r>
              <w:rPr>
                <w:color w:val="1C3A36"/>
                <w:sz w:val="14"/>
              </w:rPr>
              <w:t>1,300,000</w:t>
            </w:r>
          </w:p>
        </w:tc>
        <w:tc>
          <w:tcPr>
            <w:tcW w:type="dxa" w:w="1022"/>
          </w:tcPr>
          <w:p>
            <w:pPr>
              <w:spacing w:after="20" w:before="0" w:line="240" w:lineRule="auto"/>
            </w:pPr>
            <w:r>
              <w:rPr>
                <w:color w:val="1C3A36"/>
                <w:sz w:val="14"/>
              </w:rPr>
              <w:t>7 Aug 2026</w:t>
            </w:r>
          </w:p>
        </w:tc>
        <w:tc>
          <w:tcPr>
            <w:tcW w:type="dxa" w:w="5875"/>
          </w:tcPr>
          <w:p>
            <w:pPr>
              <w:spacing w:after="20" w:before="0" w:line="240" w:lineRule="auto"/>
            </w:pPr>
            <w:r>
              <w:rPr>
                <w:color w:val="1C3A36"/>
                <w:sz w:val="14"/>
              </w:rPr>
              <w:t>Announced 7 August 2026 — purchase of eleven vessels, six very large crude carriers and five gas carriers, for about USD 1.3 billion; nine delivering in the third quarter of 2026 and two gas carrier newbuildings in the fourth</w:t>
            </w:r>
          </w:p>
        </w:tc>
      </w:tr>
      <w:tr>
        <w:trPr>
          <w:cantSplit w:val="true"/>
        </w:trPr>
        <w:tc>
          <w:tcPr>
            <w:tcW w:type="dxa" w:w="2088"/>
          </w:tcPr>
          <w:p>
            <w:pPr>
              <w:spacing w:after="20" w:before="0" w:line="240" w:lineRule="auto"/>
            </w:pPr>
            <w:r>
              <w:rPr>
                <w:color w:val="1C3A36"/>
                <w:sz w:val="14"/>
              </w:rPr>
              <w:t>acq 2026 vlcc</w:t>
            </w:r>
          </w:p>
        </w:tc>
        <w:tc>
          <w:tcPr>
            <w:tcW w:type="dxa" w:w="1238"/>
          </w:tcPr>
          <w:p>
            <w:pPr>
              <w:spacing w:after="20" w:before="0" w:line="240" w:lineRule="auto"/>
              <w:jc w:val="right"/>
            </w:pPr>
            <w:r>
              <w:rPr>
                <w:color w:val="1C3A36"/>
                <w:sz w:val="14"/>
              </w:rPr>
              <w:t>6</w:t>
            </w:r>
          </w:p>
        </w:tc>
        <w:tc>
          <w:tcPr>
            <w:tcW w:type="dxa" w:w="1022"/>
          </w:tcPr>
          <w:p>
            <w:pPr>
              <w:spacing w:after="20" w:before="0" w:line="240" w:lineRule="auto"/>
            </w:pPr>
            <w:r>
              <w:rPr>
                <w:color w:val="1C3A36"/>
                <w:sz w:val="14"/>
              </w:rPr>
              <w:t>7 Aug 2026</w:t>
            </w:r>
          </w:p>
        </w:tc>
        <w:tc>
          <w:tcPr>
            <w:tcW w:type="dxa" w:w="5875"/>
          </w:tcPr>
          <w:p>
            <w:pPr>
              <w:spacing w:after="20" w:before="0" w:line="240" w:lineRule="auto"/>
            </w:pPr>
            <w:r>
              <w:rPr>
                <w:color w:val="1C3A36"/>
                <w:sz w:val="14"/>
              </w:rPr>
              <w:t>Announced 7 August 2026 — very large crude carriers in that purchase, taking the owned crude fleet to fourteen</w:t>
            </w:r>
          </w:p>
        </w:tc>
      </w:tr>
      <w:tr>
        <w:trPr>
          <w:cantSplit w:val="true"/>
        </w:trPr>
        <w:tc>
          <w:tcPr>
            <w:tcW w:type="dxa" w:w="2088"/>
          </w:tcPr>
          <w:p>
            <w:pPr>
              <w:spacing w:after="20" w:before="0" w:line="240" w:lineRule="auto"/>
            </w:pPr>
            <w:r>
              <w:rPr>
                <w:color w:val="1C3A36"/>
                <w:sz w:val="14"/>
              </w:rPr>
              <w:t>acq 2026 gas</w:t>
            </w:r>
          </w:p>
        </w:tc>
        <w:tc>
          <w:tcPr>
            <w:tcW w:type="dxa" w:w="1238"/>
          </w:tcPr>
          <w:p>
            <w:pPr>
              <w:spacing w:after="20" w:before="0" w:line="240" w:lineRule="auto"/>
              <w:jc w:val="right"/>
            </w:pPr>
            <w:r>
              <w:rPr>
                <w:color w:val="1C3A36"/>
                <w:sz w:val="14"/>
              </w:rPr>
              <w:t>5</w:t>
            </w:r>
          </w:p>
        </w:tc>
        <w:tc>
          <w:tcPr>
            <w:tcW w:type="dxa" w:w="1022"/>
          </w:tcPr>
          <w:p>
            <w:pPr>
              <w:spacing w:after="20" w:before="0" w:line="240" w:lineRule="auto"/>
            </w:pPr>
            <w:r>
              <w:rPr>
                <w:color w:val="1C3A36"/>
                <w:sz w:val="14"/>
              </w:rPr>
              <w:t>7 Aug 2026</w:t>
            </w:r>
          </w:p>
        </w:tc>
        <w:tc>
          <w:tcPr>
            <w:tcW w:type="dxa" w:w="5875"/>
          </w:tcPr>
          <w:p>
            <w:pPr>
              <w:spacing w:after="20" w:before="0" w:line="240" w:lineRule="auto"/>
            </w:pPr>
            <w:r>
              <w:rPr>
                <w:color w:val="1C3A36"/>
                <w:sz w:val="14"/>
              </w:rPr>
              <w:t>Announced 7 August 2026 — gas carriers in that purchase, taking the owned gas fleet to twelve very large gas carriers</w:t>
            </w:r>
          </w:p>
        </w:tc>
      </w:tr>
      <w:tr>
        <w:trPr>
          <w:cantSplit w:val="true"/>
        </w:trPr>
        <w:tc>
          <w:tcPr>
            <w:tcW w:type="dxa" w:w="2088"/>
          </w:tcPr>
          <w:p>
            <w:pPr>
              <w:spacing w:after="20" w:before="0" w:line="240" w:lineRule="auto"/>
            </w:pPr>
            <w:r>
              <w:rPr>
                <w:color w:val="1C3A36"/>
                <w:sz w:val="14"/>
              </w:rPr>
              <w:t>vlcc sold jan26</w:t>
            </w:r>
          </w:p>
        </w:tc>
        <w:tc>
          <w:tcPr>
            <w:tcW w:type="dxa" w:w="1238"/>
          </w:tcPr>
          <w:p>
            <w:pPr>
              <w:spacing w:after="20" w:before="0" w:line="240" w:lineRule="auto"/>
              <w:jc w:val="right"/>
            </w:pPr>
            <w:r>
              <w:rPr>
                <w:color w:val="1C3A36"/>
                <w:sz w:val="14"/>
              </w:rPr>
              <w:t>1</w:t>
            </w:r>
          </w:p>
        </w:tc>
        <w:tc>
          <w:tcPr>
            <w:tcW w:type="dxa" w:w="1022"/>
          </w:tcPr>
          <w:p>
            <w:pPr>
              <w:spacing w:after="20" w:before="0" w:line="240" w:lineRule="auto"/>
            </w:pPr>
            <w:r>
              <w:rPr>
                <w:color w:val="1C3A36"/>
                <w:sz w:val="14"/>
              </w:rPr>
              <w:t>31 Jan 2026</w:t>
            </w:r>
          </w:p>
        </w:tc>
        <w:tc>
          <w:tcPr>
            <w:tcW w:type="dxa" w:w="5875"/>
          </w:tcPr>
          <w:p>
            <w:pPr>
              <w:spacing w:after="20" w:before="0" w:line="240" w:lineRule="auto"/>
            </w:pPr>
            <w:r>
              <w:rPr>
                <w:color w:val="1C3A36"/>
                <w:sz w:val="14"/>
              </w:rPr>
              <w:t>ADNOC L&amp;S plc, FY2025 earnings release — the 2017-built very large crude carrier sold in January 2026, which reduces the owned fleet between the year end and the valuation date</w:t>
            </w:r>
          </w:p>
        </w:tc>
      </w:tr>
      <w:tr>
        <w:trPr>
          <w:cantSplit w:val="true"/>
        </w:trPr>
        <w:tc>
          <w:tcPr>
            <w:tcW w:type="dxa" w:w="2088"/>
          </w:tcPr>
          <w:p>
            <w:pPr>
              <w:spacing w:after="20" w:before="0" w:line="240" w:lineRule="auto"/>
            </w:pPr>
            <w:r>
              <w:rPr>
                <w:color w:val="1C3A36"/>
                <w:sz w:val="14"/>
              </w:rPr>
              <w:t>handysize relative</w:t>
            </w:r>
          </w:p>
        </w:tc>
        <w:tc>
          <w:tcPr>
            <w:tcW w:type="dxa" w:w="1238"/>
          </w:tcPr>
          <w:p>
            <w:pPr>
              <w:spacing w:after="20" w:before="0" w:line="240" w:lineRule="auto"/>
              <w:jc w:val="right"/>
            </w:pPr>
            <w:r>
              <w:rPr>
                <w:color w:val="1C3A36"/>
                <w:sz w:val="14"/>
              </w:rPr>
              <w:t>0.79</w:t>
            </w:r>
          </w:p>
        </w:tc>
        <w:tc>
          <w:tcPr>
            <w:tcW w:type="dxa" w:w="1022"/>
          </w:tcPr>
          <w:p>
            <w:pPr>
              <w:spacing w:after="20" w:before="0" w:line="240" w:lineRule="auto"/>
            </w:pPr>
            <w:r>
              <w:rPr>
                <w:color w:val="1C3A36"/>
                <w:sz w:val="14"/>
              </w:rPr>
              <w:t>14 May 2026</w:t>
            </w:r>
          </w:p>
        </w:tc>
        <w:tc>
          <w:tcPr>
            <w:tcW w:type="dxa" w:w="5875"/>
          </w:tcPr>
          <w:p>
            <w:pPr>
              <w:spacing w:after="20" w:before="0" w:line="240" w:lineRule="auto"/>
            </w:pPr>
            <w:r>
              <w:rPr>
                <w:color w:val="1C3A36"/>
                <w:sz w:val="14"/>
              </w:rPr>
              <w:t>ADNOC L&amp;S plc, Q1 2026 earnings call transcript — Handysize rates were softer, down 21%, against medium range up 29%; the two smallest classes moved in opposite directions, so the medium-range rate is scaled by the disclosed Handysize move rather than used unadjusted</w:t>
            </w:r>
          </w:p>
        </w:tc>
      </w:tr>
      <w:tr>
        <w:trPr>
          <w:cantSplit w:val="true"/>
        </w:trPr>
        <w:tc>
          <w:tcPr>
            <w:tcW w:type="dxa" w:w="2088"/>
          </w:tcPr>
          <w:p>
            <w:pPr>
              <w:spacing w:after="20" w:before="0" w:line="240" w:lineRule="auto"/>
            </w:pPr>
            <w:r>
              <w:rPr>
                <w:color w:val="1C3A36"/>
                <w:sz w:val="14"/>
              </w:rPr>
              <w:t>tce mr q3 26 built</w:t>
            </w:r>
          </w:p>
        </w:tc>
        <w:tc>
          <w:tcPr>
            <w:tcW w:type="dxa" w:w="1238"/>
          </w:tcPr>
          <w:p>
            <w:pPr>
              <w:spacing w:after="20" w:before="0" w:line="240" w:lineRule="auto"/>
              <w:jc w:val="right"/>
            </w:pPr>
            <w:r>
              <w:rPr>
                <w:color w:val="1C3A36"/>
                <w:sz w:val="14"/>
              </w:rPr>
              <w:t>28,235/day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the disclosed third-quarter rate on the disclosed share of contracted days, with the uncovered balance at the 2024-25 mid-cycle rate for the class</w:t>
            </w:r>
          </w:p>
        </w:tc>
      </w:tr>
      <w:tr>
        <w:trPr>
          <w:cantSplit w:val="true"/>
        </w:trPr>
        <w:tc>
          <w:tcPr>
            <w:tcW w:type="dxa" w:w="2088"/>
          </w:tcPr>
          <w:p>
            <w:pPr>
              <w:spacing w:after="20" w:before="0" w:line="240" w:lineRule="auto"/>
            </w:pPr>
            <w:r>
              <w:rPr>
                <w:color w:val="1C3A36"/>
                <w:sz w:val="14"/>
              </w:rPr>
              <w:t>tce lr1 q3 26 built</w:t>
            </w:r>
          </w:p>
        </w:tc>
        <w:tc>
          <w:tcPr>
            <w:tcW w:type="dxa" w:w="1238"/>
          </w:tcPr>
          <w:p>
            <w:pPr>
              <w:spacing w:after="20" w:before="0" w:line="240" w:lineRule="auto"/>
              <w:jc w:val="right"/>
            </w:pPr>
            <w:r>
              <w:rPr>
                <w:color w:val="1C3A36"/>
                <w:sz w:val="14"/>
              </w:rPr>
              <w:t>67,854/day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the disclosed third-quarter rate on the disclosed share of contracted days, with the uncovered balance at the 2024-25 mid-cycle rate for the class</w:t>
            </w:r>
          </w:p>
        </w:tc>
      </w:tr>
      <w:tr>
        <w:trPr>
          <w:cantSplit w:val="true"/>
        </w:trPr>
        <w:tc>
          <w:tcPr>
            <w:tcW w:type="dxa" w:w="2088"/>
          </w:tcPr>
          <w:p>
            <w:pPr>
              <w:spacing w:after="20" w:before="0" w:line="240" w:lineRule="auto"/>
            </w:pPr>
            <w:r>
              <w:rPr>
                <w:color w:val="1C3A36"/>
                <w:sz w:val="14"/>
              </w:rPr>
              <w:t>tce lr2 q3 26 built</w:t>
            </w:r>
          </w:p>
        </w:tc>
        <w:tc>
          <w:tcPr>
            <w:tcW w:type="dxa" w:w="1238"/>
          </w:tcPr>
          <w:p>
            <w:pPr>
              <w:spacing w:after="20" w:before="0" w:line="240" w:lineRule="auto"/>
              <w:jc w:val="right"/>
            </w:pPr>
            <w:r>
              <w:rPr>
                <w:color w:val="1C3A36"/>
                <w:sz w:val="14"/>
              </w:rPr>
              <w:t>80,179/day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the disclosed third-quarter rate on the disclosed share of contracted days, with the uncovered balance at the 2024-25 mid-cycle rate for the class</w:t>
            </w:r>
          </w:p>
        </w:tc>
      </w:tr>
      <w:tr>
        <w:trPr>
          <w:cantSplit w:val="true"/>
        </w:trPr>
        <w:tc>
          <w:tcPr>
            <w:tcW w:type="dxa" w:w="2088"/>
          </w:tcPr>
          <w:p>
            <w:pPr>
              <w:spacing w:after="20" w:before="0" w:line="240" w:lineRule="auto"/>
            </w:pPr>
            <w:r>
              <w:rPr>
                <w:color w:val="1C3A36"/>
                <w:sz w:val="14"/>
              </w:rPr>
              <w:t>tce vlcc q3 26 built</w:t>
            </w:r>
          </w:p>
        </w:tc>
        <w:tc>
          <w:tcPr>
            <w:tcW w:type="dxa" w:w="1238"/>
          </w:tcPr>
          <w:p>
            <w:pPr>
              <w:spacing w:after="20" w:before="0" w:line="240" w:lineRule="auto"/>
              <w:jc w:val="right"/>
            </w:pPr>
            <w:r>
              <w:rPr>
                <w:color w:val="1C3A36"/>
                <w:sz w:val="14"/>
              </w:rPr>
              <w:t>134,967/day</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the disclosed third-quarter rate on the disclosed share of contracted days, with the uncovered balance at the 2024-25 mid-cycle rate for the class</w:t>
            </w:r>
          </w:p>
        </w:tc>
      </w:tr>
      <w:tr>
        <w:trPr>
          <w:cantSplit w:val="true"/>
        </w:trPr>
        <w:tc>
          <w:tcPr>
            <w:tcW w:type="dxa" w:w="2088"/>
          </w:tcPr>
          <w:p>
            <w:pPr>
              <w:spacing w:after="20" w:before="0" w:line="240" w:lineRule="auto"/>
            </w:pPr>
            <w:r>
              <w:rPr>
                <w:color w:val="1C3A36"/>
                <w:sz w:val="14"/>
              </w:rPr>
              <w:t>tnk tce rev fy25</w:t>
            </w:r>
          </w:p>
        </w:tc>
        <w:tc>
          <w:tcPr>
            <w:tcW w:type="dxa" w:w="1238"/>
          </w:tcPr>
          <w:p>
            <w:pPr>
              <w:spacing w:after="20" w:before="0" w:line="240" w:lineRule="auto"/>
              <w:jc w:val="right"/>
            </w:pPr>
            <w:r>
              <w:rPr>
                <w:color w:val="1C3A36"/>
                <w:sz w:val="14"/>
              </w:rPr>
              <w:t>629,019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Charter-equivalent revenue the owned tanker fleet earned in 2025 — the fleet at 31 December 2025 priced quarter by quarter on the company's own published time-charter-equivalent rates for its classes</w:t>
            </w:r>
          </w:p>
        </w:tc>
      </w:tr>
      <w:tr>
        <w:trPr>
          <w:cantSplit w:val="true"/>
        </w:trPr>
        <w:tc>
          <w:tcPr>
            <w:tcW w:type="dxa" w:w="2088"/>
          </w:tcPr>
          <w:p>
            <w:pPr>
              <w:spacing w:after="20" w:before="0" w:line="240" w:lineRule="auto"/>
            </w:pPr>
            <w:r>
              <w:rPr>
                <w:color w:val="1C3A36"/>
                <w:sz w:val="14"/>
              </w:rPr>
              <w:t>tnk tce rev h126</w:t>
            </w:r>
          </w:p>
        </w:tc>
        <w:tc>
          <w:tcPr>
            <w:tcW w:type="dxa" w:w="1238"/>
          </w:tcPr>
          <w:p>
            <w:pPr>
              <w:spacing w:after="20" w:before="0" w:line="240" w:lineRule="auto"/>
              <w:jc w:val="right"/>
            </w:pPr>
            <w:r>
              <w:rPr>
                <w:color w:val="1C3A36"/>
                <w:sz w:val="14"/>
              </w:rPr>
              <w:t>805,808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same construction over the six months to 30 June 2026, on the fleet the company owned at that date and the published second-quarter rates</w:t>
            </w:r>
          </w:p>
        </w:tc>
      </w:tr>
      <w:tr>
        <w:trPr>
          <w:cantSplit w:val="true"/>
        </w:trPr>
        <w:tc>
          <w:tcPr>
            <w:tcW w:type="dxa" w:w="2088"/>
          </w:tcPr>
          <w:p>
            <w:pPr>
              <w:spacing w:after="20" w:before="0" w:line="240" w:lineRule="auto"/>
            </w:pPr>
            <w:r>
              <w:rPr>
                <w:color w:val="1C3A36"/>
                <w:sz w:val="14"/>
              </w:rPr>
              <w:t>tnk tce rev h125</w:t>
            </w:r>
          </w:p>
        </w:tc>
        <w:tc>
          <w:tcPr>
            <w:tcW w:type="dxa" w:w="1238"/>
          </w:tcPr>
          <w:p>
            <w:pPr>
              <w:spacing w:after="20" w:before="0" w:line="240" w:lineRule="auto"/>
              <w:jc w:val="right"/>
            </w:pPr>
            <w:r>
              <w:rPr>
                <w:color w:val="1C3A36"/>
                <w:sz w:val="14"/>
              </w:rPr>
              <w:t>285,223</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The same construction over the six months to 30 June 2025 — the HELD-OUT period, used to test the stack and not to fit it</w:t>
            </w:r>
          </w:p>
        </w:tc>
      </w:tr>
      <w:tr>
        <w:trPr>
          <w:cantSplit w:val="true"/>
        </w:trPr>
        <w:tc>
          <w:tcPr>
            <w:tcW w:type="dxa" w:w="2088"/>
          </w:tcPr>
          <w:p>
            <w:pPr>
              <w:spacing w:after="20" w:before="0" w:line="240" w:lineRule="auto"/>
            </w:pPr>
            <w:r>
              <w:rPr>
                <w:color w:val="1C3A36"/>
                <w:sz w:val="14"/>
              </w:rPr>
              <w:t>tnk cost fixed</w:t>
            </w:r>
          </w:p>
        </w:tc>
        <w:tc>
          <w:tcPr>
            <w:tcW w:type="dxa" w:w="1238"/>
          </w:tcPr>
          <w:p>
            <w:pPr>
              <w:spacing w:after="20" w:before="0" w:line="240" w:lineRule="auto"/>
              <w:jc w:val="right"/>
            </w:pPr>
            <w:r>
              <w:rPr>
                <w:color w:val="1C3A36"/>
                <w:sz w:val="14"/>
              </w:rPr>
              <w:t>529,987</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fixed component of the Tankers cost stack, USD thousand a year before escalation — crew, technical management, insurance, repairs and the shore organisation that do not move with the rate. SOLVED SIMULTANEOUSLY with the variable component from two disclosed periods: the audited 2025 year and the reviewed six months to 30 June 2026</w:t>
            </w:r>
          </w:p>
        </w:tc>
      </w:tr>
      <w:tr>
        <w:trPr>
          <w:cantSplit w:val="true"/>
        </w:trPr>
        <w:tc>
          <w:tcPr>
            <w:tcW w:type="dxa" w:w="2088"/>
          </w:tcPr>
          <w:p>
            <w:pPr>
              <w:spacing w:after="20" w:before="0" w:line="240" w:lineRule="auto"/>
            </w:pPr>
            <w:r>
              <w:rPr>
                <w:color w:val="1C3A36"/>
                <w:sz w:val="14"/>
              </w:rPr>
              <w:t>tnk cost var</w:t>
            </w:r>
          </w:p>
        </w:tc>
        <w:tc>
          <w:tcPr>
            <w:tcW w:type="dxa" w:w="1238"/>
          </w:tcPr>
          <w:p>
            <w:pPr>
              <w:spacing w:after="20" w:before="0" w:line="240" w:lineRule="auto"/>
              <w:jc w:val="right"/>
            </w:pPr>
            <w:r>
              <w:rPr>
                <w:color w:val="1C3A36"/>
                <w:sz w:val="14"/>
              </w:rPr>
              <w:t>1.049</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variable component of the Tankers cost stack, per unit of the owned fleet's charter-equivalent revenue — voyage costs, charter-in hire and the cost of the relet and parent-facing book, all of which scale with the tonnage traded. Solved with the fixed component from the same two periods</w:t>
            </w:r>
          </w:p>
        </w:tc>
      </w:tr>
      <w:tr>
        <w:trPr>
          <w:cantSplit w:val="true"/>
        </w:trPr>
        <w:tc>
          <w:tcPr>
            <w:tcW w:type="dxa" w:w="2088"/>
          </w:tcPr>
          <w:p>
            <w:pPr>
              <w:spacing w:after="20" w:before="0" w:line="240" w:lineRule="auto"/>
            </w:pPr>
            <w:r>
              <w:rPr>
                <w:color w:val="1C3A36"/>
                <w:sz w:val="14"/>
              </w:rPr>
              <w:t>tnk grossup 25</w:t>
            </w:r>
          </w:p>
        </w:tc>
        <w:tc>
          <w:tcPr>
            <w:tcW w:type="dxa" w:w="1238"/>
          </w:tcPr>
          <w:p>
            <w:pPr>
              <w:spacing w:after="20" w:before="0" w:line="240" w:lineRule="auto"/>
              <w:jc w:val="right"/>
            </w:pPr>
            <w:r>
              <w:rPr>
                <w:color w:val="1C3A36"/>
                <w:sz w:val="14"/>
              </w:rPr>
              <w:t>2.73x</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Ratio of reported Tankers revenue to owned-fleet charter-equivalent revenue in 2025 — the voyage-cost and low-margin relet and third-party trading content of gross revenue</w:t>
            </w:r>
          </w:p>
        </w:tc>
      </w:tr>
      <w:tr>
        <w:trPr>
          <w:cantSplit w:val="true"/>
        </w:trPr>
        <w:tc>
          <w:tcPr>
            <w:tcW w:type="dxa" w:w="2088"/>
          </w:tcPr>
          <w:p>
            <w:pPr>
              <w:spacing w:after="20" w:before="0" w:line="240" w:lineRule="auto"/>
            </w:pPr>
            <w:r>
              <w:rPr>
                <w:color w:val="1C3A36"/>
                <w:sz w:val="14"/>
              </w:rPr>
              <w:t>tnk grossup h125</w:t>
            </w:r>
          </w:p>
        </w:tc>
        <w:tc>
          <w:tcPr>
            <w:tcW w:type="dxa" w:w="1238"/>
          </w:tcPr>
          <w:p>
            <w:pPr>
              <w:spacing w:after="20" w:before="0" w:line="240" w:lineRule="auto"/>
              <w:jc w:val="right"/>
            </w:pPr>
            <w:r>
              <w:rPr>
                <w:color w:val="1C3A36"/>
                <w:sz w:val="14"/>
              </w:rPr>
              <w:t>2.794</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The same ratio over the six months to 30 June 2025</w:t>
            </w:r>
          </w:p>
        </w:tc>
      </w:tr>
      <w:tr>
        <w:trPr>
          <w:cantSplit w:val="true"/>
        </w:trPr>
        <w:tc>
          <w:tcPr>
            <w:tcW w:type="dxa" w:w="2088"/>
          </w:tcPr>
          <w:p>
            <w:pPr>
              <w:spacing w:after="20" w:before="0" w:line="240" w:lineRule="auto"/>
            </w:pPr>
            <w:r>
              <w:rPr>
                <w:color w:val="1C3A36"/>
                <w:sz w:val="14"/>
              </w:rPr>
              <w:t>tnk grossup 26</w:t>
            </w:r>
          </w:p>
        </w:tc>
        <w:tc>
          <w:tcPr>
            <w:tcW w:type="dxa" w:w="1238"/>
          </w:tcPr>
          <w:p>
            <w:pPr>
              <w:spacing w:after="20" w:before="0" w:line="240" w:lineRule="auto"/>
              <w:jc w:val="right"/>
            </w:pPr>
            <w:r>
              <w:rPr>
                <w:color w:val="1C3A36"/>
                <w:sz w:val="14"/>
              </w:rPr>
              <w:t>2.61x</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same ratio for 2026 onward, MEASURED on the reviewed six months to 30 June 2026 rather than assumed. The delivered edition carried 1.60, inferred from a single quarter in which reported revenue was flat year on year while the rate earned per vessel more than doubled. The half says 2.61, the 2025 year 2.73 and the first half of 2025 2.79 — the quarter was the outlier, and its own ratio of 1.51 against the second quarter's 3.16 is why one quarter is not an anchor for this line. The LATEST REVIEWED period is adopted and it is the LOWEST of the three, so the forecast faces the stricter comparison</w:t>
            </w:r>
          </w:p>
        </w:tc>
      </w:tr>
      <w:tr>
        <w:trPr>
          <w:cantSplit w:val="true"/>
        </w:trPr>
        <w:tc>
          <w:tcPr>
            <w:tcW w:type="dxa" w:w="2088"/>
          </w:tcPr>
          <w:p>
            <w:pPr>
              <w:spacing w:after="20" w:before="0" w:line="240" w:lineRule="auto"/>
            </w:pPr>
            <w:r>
              <w:rPr>
                <w:color w:val="1C3A36"/>
                <w:sz w:val="14"/>
              </w:rPr>
              <w:t>tnk holdout ebitda error</w:t>
            </w:r>
          </w:p>
        </w:tc>
        <w:tc>
          <w:tcPr>
            <w:tcW w:type="dxa" w:w="1238"/>
          </w:tcPr>
          <w:p>
            <w:pPr>
              <w:spacing w:after="20" w:before="0" w:line="240" w:lineRule="auto"/>
              <w:jc w:val="right"/>
            </w:pPr>
            <w:r>
              <w:rPr>
                <w:color w:val="1C3A36"/>
                <w:sz w:val="14"/>
              </w:rPr>
              <w:t>-0.107</w:t>
            </w:r>
          </w:p>
        </w:tc>
        <w:tc>
          <w:tcPr>
            <w:tcW w:type="dxa" w:w="1022"/>
          </w:tcPr>
          <w:p>
            <w:pPr>
              <w:spacing w:after="20" w:before="0" w:line="240" w:lineRule="auto"/>
            </w:pPr>
            <w:r>
              <w:rPr>
                <w:color w:val="1C3A36"/>
                <w:sz w:val="14"/>
              </w:rPr>
              <w:t>30 Jun 2025</w:t>
            </w:r>
          </w:p>
        </w:tc>
        <w:tc>
          <w:tcPr>
            <w:tcW w:type="dxa" w:w="5875"/>
          </w:tcPr>
          <w:p>
            <w:pPr>
              <w:spacing w:after="20" w:before="0" w:line="240" w:lineRule="auto"/>
            </w:pPr>
            <w:r>
              <w:rPr>
                <w:color w:val="1C3A36"/>
                <w:sz w:val="14"/>
              </w:rPr>
              <w:t>The stack's error on the HELD-OUT reviewed six months to 30 June 2025: it reproduces that period's Tankers earnings to within this fraction, understating them. Two parameters fitted on two periods and tested on a third</w:t>
            </w:r>
          </w:p>
        </w:tc>
      </w:tr>
      <w:tr>
        <w:trPr>
          <w:cantSplit w:val="true"/>
        </w:trPr>
        <w:tc>
          <w:tcPr>
            <w:tcW w:type="dxa" w:w="2088"/>
          </w:tcPr>
          <w:p>
            <w:pPr>
              <w:spacing w:after="20" w:before="0" w:line="240" w:lineRule="auto"/>
            </w:pPr>
            <w:r>
              <w:rPr>
                <w:color w:val="1C3A36"/>
                <w:sz w:val="14"/>
              </w:rPr>
              <w:t>gas vessel years h126</w:t>
            </w:r>
          </w:p>
        </w:tc>
        <w:tc>
          <w:tcPr>
            <w:tcW w:type="dxa" w:w="1238"/>
          </w:tcPr>
          <w:p>
            <w:pPr>
              <w:spacing w:after="20" w:before="0" w:line="240" w:lineRule="auto"/>
              <w:jc w:val="right"/>
            </w:pPr>
            <w:r>
              <w:rPr>
                <w:color w:val="1C3A36"/>
                <w:sz w:val="14"/>
              </w:rPr>
              <w:t>9.5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the gas fleet contract table's own first and second quarters of 2026, consolidated of the joint venture: seven vessels and then twelve as the five Das carriers enter. DERIVED from the disclosed table rather than assumed</w:t>
            </w:r>
          </w:p>
        </w:tc>
      </w:tr>
      <w:tr>
        <w:trPr>
          <w:cantSplit w:val="true"/>
        </w:trPr>
        <w:tc>
          <w:tcPr>
            <w:tcW w:type="dxa" w:w="2088"/>
          </w:tcPr>
          <w:p>
            <w:pPr>
              <w:spacing w:after="20" w:before="0" w:line="240" w:lineRule="auto"/>
            </w:pPr>
            <w:r>
              <w:rPr>
                <w:color w:val="1C3A36"/>
                <w:sz w:val="14"/>
              </w:rPr>
              <w:t>gas vessel years 26</w:t>
            </w:r>
          </w:p>
        </w:tc>
        <w:tc>
          <w:tcPr>
            <w:tcW w:type="dxa" w:w="1238"/>
          </w:tcPr>
          <w:p>
            <w:pPr>
              <w:spacing w:after="20" w:before="0" w:line="240" w:lineRule="auto"/>
              <w:jc w:val="right"/>
            </w:pPr>
            <w:r>
              <w:rPr>
                <w:color w:val="1C3A36"/>
                <w:sz w:val="14"/>
              </w:rPr>
              <w:t>12</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gas fleet contract table, consolidated vessel-quarters averaged over the year (floating storage 2, four liquefied natural gas carriers, one very large gas carrier and five Das carriers from the second quarter), plus the part-year on the August purchase</w:t>
            </w:r>
          </w:p>
        </w:tc>
      </w:tr>
      <w:tr>
        <w:trPr>
          <w:cantSplit w:val="true"/>
        </w:trPr>
        <w:tc>
          <w:tcPr>
            <w:tcW w:type="dxa" w:w="2088"/>
          </w:tcPr>
          <w:p>
            <w:pPr>
              <w:spacing w:after="20" w:before="0" w:line="240" w:lineRule="auto"/>
            </w:pPr>
            <w:r>
              <w:rPr>
                <w:color w:val="1C3A36"/>
                <w:sz w:val="14"/>
              </w:rPr>
              <w:t>gas vessel years 27</w:t>
            </w:r>
          </w:p>
        </w:tc>
        <w:tc>
          <w:tcPr>
            <w:tcW w:type="dxa" w:w="1238"/>
          </w:tcPr>
          <w:p>
            <w:pPr>
              <w:spacing w:after="20" w:before="0" w:line="240" w:lineRule="auto"/>
              <w:jc w:val="right"/>
            </w:pPr>
            <w:r>
              <w:rPr>
                <w:color w:val="1C3A36"/>
                <w:sz w:val="14"/>
              </w:rPr>
              <w:t>18</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the same table for 2027</w:t>
            </w:r>
          </w:p>
        </w:tc>
      </w:tr>
      <w:tr>
        <w:trPr>
          <w:cantSplit w:val="true"/>
        </w:trPr>
        <w:tc>
          <w:tcPr>
            <w:tcW w:type="dxa" w:w="2088"/>
          </w:tcPr>
          <w:p>
            <w:pPr>
              <w:spacing w:after="20" w:before="0" w:line="240" w:lineRule="auto"/>
            </w:pPr>
            <w:r>
              <w:rPr>
                <w:color w:val="1C3A36"/>
                <w:sz w:val="14"/>
              </w:rPr>
              <w:t>gas vessel years 28</w:t>
            </w:r>
          </w:p>
        </w:tc>
        <w:tc>
          <w:tcPr>
            <w:tcW w:type="dxa" w:w="1238"/>
          </w:tcPr>
          <w:p>
            <w:pPr>
              <w:spacing w:after="20" w:before="0" w:line="240" w:lineRule="auto"/>
              <w:jc w:val="right"/>
            </w:pPr>
            <w:r>
              <w:rPr>
                <w:color w:val="1C3A36"/>
                <w:sz w:val="14"/>
              </w:rPr>
              <w:t>26.25</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the same table for 2028, including the Ruwais carriers entering service</w:t>
            </w:r>
          </w:p>
        </w:tc>
      </w:tr>
      <w:tr>
        <w:trPr>
          <w:cantSplit w:val="true"/>
        </w:trPr>
        <w:tc>
          <w:tcPr>
            <w:tcW w:type="dxa" w:w="2088"/>
          </w:tcPr>
          <w:p>
            <w:pPr>
              <w:spacing w:after="20" w:before="0" w:line="240" w:lineRule="auto"/>
            </w:pPr>
            <w:r>
              <w:rPr>
                <w:color w:val="1C3A36"/>
                <w:sz w:val="14"/>
              </w:rPr>
              <w:t>gas vessel years 29</w:t>
            </w:r>
          </w:p>
        </w:tc>
        <w:tc>
          <w:tcPr>
            <w:tcW w:type="dxa" w:w="1238"/>
          </w:tcPr>
          <w:p>
            <w:pPr>
              <w:spacing w:after="20" w:before="0" w:line="240" w:lineRule="auto"/>
              <w:jc w:val="right"/>
            </w:pPr>
            <w:r>
              <w:rPr>
                <w:color w:val="1C3A36"/>
                <w:sz w:val="14"/>
              </w:rPr>
              <w:t>30</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the same table for 2029</w:t>
            </w:r>
          </w:p>
        </w:tc>
      </w:tr>
      <w:tr>
        <w:trPr>
          <w:cantSplit w:val="true"/>
        </w:trPr>
        <w:tc>
          <w:tcPr>
            <w:tcW w:type="dxa" w:w="2088"/>
          </w:tcPr>
          <w:p>
            <w:pPr>
              <w:spacing w:after="20" w:before="0" w:line="240" w:lineRule="auto"/>
            </w:pPr>
            <w:r>
              <w:rPr>
                <w:color w:val="1C3A36"/>
                <w:sz w:val="14"/>
              </w:rPr>
              <w:t>gas vessel years 30</w:t>
            </w:r>
          </w:p>
        </w:tc>
        <w:tc>
          <w:tcPr>
            <w:tcW w:type="dxa" w:w="1238"/>
          </w:tcPr>
          <w:p>
            <w:pPr>
              <w:spacing w:after="20" w:before="0" w:line="240" w:lineRule="auto"/>
              <w:jc w:val="right"/>
            </w:pPr>
            <w:r>
              <w:rPr>
                <w:color w:val="1C3A36"/>
                <w:sz w:val="14"/>
              </w:rPr>
              <w:t>30</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held at the 2029 level; the contract table ends in 2029</w:t>
            </w:r>
          </w:p>
        </w:tc>
      </w:tr>
      <w:tr>
        <w:trPr>
          <w:cantSplit w:val="true"/>
        </w:trPr>
        <w:tc>
          <w:tcPr>
            <w:tcW w:type="dxa" w:w="2088"/>
          </w:tcPr>
          <w:p>
            <w:pPr>
              <w:spacing w:after="20" w:before="0" w:line="240" w:lineRule="auto"/>
            </w:pPr>
            <w:r>
              <w:rPr>
                <w:color w:val="1C3A36"/>
                <w:sz w:val="14"/>
              </w:rPr>
              <w:t>gas vessel years contracted 2026</w:t>
            </w:r>
          </w:p>
        </w:tc>
        <w:tc>
          <w:tcPr>
            <w:tcW w:type="dxa" w:w="1238"/>
          </w:tcPr>
          <w:p>
            <w:pPr>
              <w:spacing w:after="20" w:before="0" w:line="240" w:lineRule="auto"/>
              <w:jc w:val="right"/>
            </w:pPr>
            <w:r>
              <w:rPr>
                <w:color w:val="1C3A36"/>
                <w:sz w:val="14"/>
              </w:rPr>
              <w:t>8.75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the SAME table as read in the first-half deck, whose heading is 'No. of Vessels Contracted' and which shows the four liquefied-natural-gas carriers' firm period ending in June 2026. Published beside the adopted figure and priced as a contested judgement; an input to nothing</w:t>
            </w:r>
          </w:p>
        </w:tc>
      </w:tr>
      <w:tr>
        <w:trPr>
          <w:cantSplit w:val="true"/>
        </w:trPr>
        <w:tc>
          <w:tcPr>
            <w:tcW w:type="dxa" w:w="2088"/>
          </w:tcPr>
          <w:p>
            <w:pPr>
              <w:spacing w:after="20" w:before="0" w:line="240" w:lineRule="auto"/>
            </w:pPr>
            <w:r>
              <w:rPr>
                <w:color w:val="1C3A36"/>
                <w:sz w:val="14"/>
              </w:rPr>
              <w:t>gas vessel years contracted 2027</w:t>
            </w:r>
          </w:p>
        </w:tc>
        <w:tc>
          <w:tcPr>
            <w:tcW w:type="dxa" w:w="1238"/>
          </w:tcPr>
          <w:p>
            <w:pPr>
              <w:spacing w:after="20" w:before="0" w:line="240" w:lineRule="auto"/>
              <w:jc w:val="right"/>
            </w:pPr>
            <w:r>
              <w:rPr>
                <w:color w:val="1C3A36"/>
                <w:sz w:val="14"/>
              </w:rPr>
              <w:t>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the SAME table as read in the first-half deck, whose heading is 'No. of Vessels Contracted' and which shows the four liquefied-natural-gas carriers' firm period ending in June 2026. Published beside the adopted figure and priced as a contested judgement; an input to nothing</w:t>
            </w:r>
          </w:p>
        </w:tc>
      </w:tr>
      <w:tr>
        <w:trPr>
          <w:cantSplit w:val="true"/>
        </w:trPr>
        <w:tc>
          <w:tcPr>
            <w:tcW w:type="dxa" w:w="2088"/>
          </w:tcPr>
          <w:p>
            <w:pPr>
              <w:spacing w:after="20" w:before="0" w:line="240" w:lineRule="auto"/>
            </w:pPr>
            <w:r>
              <w:rPr>
                <w:color w:val="1C3A36"/>
                <w:sz w:val="14"/>
              </w:rPr>
              <w:t>gas vessel years contracted 2028</w:t>
            </w:r>
          </w:p>
        </w:tc>
        <w:tc>
          <w:tcPr>
            <w:tcW w:type="dxa" w:w="1238"/>
          </w:tcPr>
          <w:p>
            <w:pPr>
              <w:spacing w:after="20" w:before="0" w:line="240" w:lineRule="auto"/>
              <w:jc w:val="right"/>
            </w:pPr>
            <w:r>
              <w:rPr>
                <w:color w:val="1C3A36"/>
                <w:sz w:val="14"/>
              </w:rPr>
              <w:t>12.5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the SAME table as read in the first-half deck, whose heading is 'No. of Vessels Contracted' and which shows the four liquefied-natural-gas carriers' firm period ending in June 2026. Published beside the adopted figure and priced as a contested judgement; an input to nothing</w:t>
            </w:r>
          </w:p>
        </w:tc>
      </w:tr>
      <w:tr>
        <w:trPr>
          <w:cantSplit w:val="true"/>
        </w:trPr>
        <w:tc>
          <w:tcPr>
            <w:tcW w:type="dxa" w:w="2088"/>
          </w:tcPr>
          <w:p>
            <w:pPr>
              <w:spacing w:after="20" w:before="0" w:line="240" w:lineRule="auto"/>
            </w:pPr>
            <w:r>
              <w:rPr>
                <w:color w:val="1C3A36"/>
                <w:sz w:val="14"/>
              </w:rPr>
              <w:t>gas vessel years contracted 2029</w:t>
            </w:r>
          </w:p>
        </w:tc>
        <w:tc>
          <w:tcPr>
            <w:tcW w:type="dxa" w:w="1238"/>
          </w:tcPr>
          <w:p>
            <w:pPr>
              <w:spacing w:after="20" w:before="0" w:line="240" w:lineRule="auto"/>
              <w:jc w:val="right"/>
            </w:pPr>
            <w:r>
              <w:rPr>
                <w:color w:val="1C3A36"/>
                <w:sz w:val="14"/>
              </w:rPr>
              <w:t>15.75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the SAME table as read in the first-half deck, whose heading is 'No. of Vessels Contracted' and which shows the four liquefied-natural-gas carriers' firm period ending in June 2026. Published beside the adopted figure and priced as a contested judgement; an input to nothing</w:t>
            </w:r>
          </w:p>
        </w:tc>
      </w:tr>
      <w:tr>
        <w:trPr>
          <w:cantSplit w:val="true"/>
        </w:trPr>
        <w:tc>
          <w:tcPr>
            <w:tcW w:type="dxa" w:w="2088"/>
          </w:tcPr>
          <w:p>
            <w:pPr>
              <w:spacing w:after="20" w:before="0" w:line="240" w:lineRule="auto"/>
            </w:pPr>
            <w:r>
              <w:rPr>
                <w:color w:val="1C3A36"/>
                <w:sz w:val="14"/>
              </w:rPr>
              <w:t>gas vessel years contracted 2030</w:t>
            </w:r>
          </w:p>
        </w:tc>
        <w:tc>
          <w:tcPr>
            <w:tcW w:type="dxa" w:w="1238"/>
          </w:tcPr>
          <w:p>
            <w:pPr>
              <w:spacing w:after="20" w:before="0" w:line="240" w:lineRule="auto"/>
              <w:jc w:val="right"/>
            </w:pPr>
            <w:r>
              <w:rPr>
                <w:color w:val="1C3A36"/>
                <w:sz w:val="14"/>
              </w:rPr>
              <w:t>15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First Half 2026 Earnings Presentation (11 Aug 2026) — the SAME table as read in the first-half deck, whose heading is 'No. of Vessels Contracted' and which shows the four liquefied-natural-gas carriers' firm period ending in June 2026. Published beside the adopted figure and priced as a contested judgement; an input to nothing</w:t>
            </w:r>
          </w:p>
        </w:tc>
      </w:tr>
      <w:tr>
        <w:trPr>
          <w:cantSplit w:val="true"/>
        </w:trPr>
        <w:tc>
          <w:tcPr>
            <w:tcW w:type="dxa" w:w="2088"/>
          </w:tcPr>
          <w:p>
            <w:pPr>
              <w:spacing w:after="20" w:before="0" w:line="240" w:lineRule="auto"/>
            </w:pPr>
            <w:r>
              <w:rPr>
                <w:color w:val="1C3A36"/>
                <w:sz w:val="14"/>
              </w:rPr>
              <w:t>gas vessel years 25</w:t>
            </w:r>
          </w:p>
        </w:tc>
        <w:tc>
          <w:tcPr>
            <w:tcW w:type="dxa" w:w="1238"/>
          </w:tcPr>
          <w:p>
            <w:pPr>
              <w:spacing w:after="20" w:before="0" w:line="240" w:lineRule="auto"/>
              <w:jc w:val="right"/>
            </w:pPr>
            <w:r>
              <w:rPr>
                <w:color w:val="1C3A36"/>
                <w:sz w:val="14"/>
              </w:rPr>
              <w:t>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Investor Presentation April 2026 — consolidated gas vessels in service through 2025 (two floating storage units, four liquefied natural gas carriers, one very large gas carrier and the first ethane carrier), excluding the six gas carriers held in the 50% joint venture</w:t>
            </w:r>
          </w:p>
        </w:tc>
      </w:tr>
      <w:tr>
        <w:trPr>
          <w:cantSplit w:val="true"/>
        </w:trPr>
        <w:tc>
          <w:tcPr>
            <w:tcW w:type="dxa" w:w="2088"/>
          </w:tcPr>
          <w:p>
            <w:pPr>
              <w:spacing w:after="20" w:before="0" w:line="240" w:lineRule="auto"/>
            </w:pPr>
            <w:r>
              <w:rPr>
                <w:color w:val="1C3A36"/>
                <w:sz w:val="14"/>
              </w:rPr>
              <w:t>gas rate day fy25</w:t>
            </w:r>
          </w:p>
        </w:tc>
        <w:tc>
          <w:tcPr>
            <w:tcW w:type="dxa" w:w="1238"/>
          </w:tcPr>
          <w:p>
            <w:pPr>
              <w:spacing w:after="20" w:before="0" w:line="240" w:lineRule="auto"/>
              <w:jc w:val="right"/>
            </w:pPr>
            <w:r>
              <w:rPr>
                <w:color w:val="1C3A36"/>
                <w:sz w:val="14"/>
              </w:rPr>
              <w:t>61,573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Implied average charter revenue per gas vessel per day over 2025 — a MEMORANDUM, published so the step to the half below can be read, and an input to nothing</w:t>
            </w:r>
          </w:p>
        </w:tc>
      </w:tr>
      <w:tr>
        <w:trPr>
          <w:cantSplit w:val="true"/>
        </w:trPr>
        <w:tc>
          <w:tcPr>
            <w:tcW w:type="dxa" w:w="2088"/>
          </w:tcPr>
          <w:p>
            <w:pPr>
              <w:spacing w:after="20" w:before="0" w:line="240" w:lineRule="auto"/>
            </w:pPr>
            <w:r>
              <w:rPr>
                <w:color w:val="1C3A36"/>
                <w:sz w:val="14"/>
              </w:rPr>
              <w:t>jv gas fy25</w:t>
            </w:r>
          </w:p>
        </w:tc>
        <w:tc>
          <w:tcPr>
            <w:tcW w:type="dxa" w:w="1238"/>
          </w:tcPr>
          <w:p>
            <w:pPr>
              <w:spacing w:after="20" w:before="0" w:line="240" w:lineRule="auto"/>
              <w:jc w:val="right"/>
            </w:pPr>
            <w:r>
              <w:rPr>
                <w:color w:val="1C3A36"/>
                <w:sz w:val="14"/>
              </w:rPr>
              <w:t>21,313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the share of profit from the AW Shipping joint venture carried inside the disclosed Gas Carriers earnings</w:t>
            </w:r>
          </w:p>
        </w:tc>
      </w:tr>
      <w:tr>
        <w:trPr>
          <w:cantSplit w:val="true"/>
        </w:trPr>
        <w:tc>
          <w:tcPr>
            <w:tcW w:type="dxa" w:w="2088"/>
          </w:tcPr>
          <w:p>
            <w:pPr>
              <w:spacing w:after="20" w:before="0" w:line="240" w:lineRule="auto"/>
            </w:pPr>
            <w:r>
              <w:rPr>
                <w:color w:val="1C3A36"/>
                <w:sz w:val="14"/>
              </w:rPr>
              <w:t>jv services fy25</w:t>
            </w:r>
          </w:p>
        </w:tc>
        <w:tc>
          <w:tcPr>
            <w:tcW w:type="dxa" w:w="1238"/>
          </w:tcPr>
          <w:p>
            <w:pPr>
              <w:spacing w:after="20" w:before="0" w:line="240" w:lineRule="auto"/>
              <w:jc w:val="right"/>
            </w:pPr>
            <w:r>
              <w:rPr>
                <w:color w:val="1C3A36"/>
                <w:sz w:val="14"/>
              </w:rPr>
              <w:t>16,079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the share of profit from joint ventures and associates carried inside the disclosed Services earnings</w:t>
            </w:r>
          </w:p>
        </w:tc>
      </w:tr>
      <w:tr>
        <w:trPr>
          <w:cantSplit w:val="true"/>
        </w:trPr>
        <w:tc>
          <w:tcPr>
            <w:tcW w:type="dxa" w:w="2088"/>
          </w:tcPr>
          <w:p>
            <w:pPr>
              <w:spacing w:after="20" w:before="0" w:line="240" w:lineRule="auto"/>
            </w:pPr>
            <w:r>
              <w:rPr>
                <w:color w:val="1C3A36"/>
                <w:sz w:val="14"/>
              </w:rPr>
              <w:t>gas margin</w:t>
            </w:r>
          </w:p>
        </w:tc>
        <w:tc>
          <w:tcPr>
            <w:tcW w:type="dxa" w:w="1238"/>
          </w:tcPr>
          <w:p>
            <w:pPr>
              <w:spacing w:after="20" w:before="0" w:line="240" w:lineRule="auto"/>
              <w:jc w:val="right"/>
            </w:pPr>
            <w:r>
              <w:rPr>
                <w:color w:val="1C3A36"/>
                <w:sz w:val="14"/>
              </w:rPr>
              <w:t>49.66%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Gas Carriers earnings margin, MEASURED on the reviewed six months to 30 June 2026 rather than typed. The delivered edition carried 0.70 on the 2025 outcome; the half printed this, on revenue up 128 per cent</w:t>
            </w:r>
          </w:p>
        </w:tc>
      </w:tr>
      <w:tr>
        <w:trPr>
          <w:cantSplit w:val="true"/>
        </w:trPr>
        <w:tc>
          <w:tcPr>
            <w:tcW w:type="dxa" w:w="2088"/>
          </w:tcPr>
          <w:p>
            <w:pPr>
              <w:spacing w:after="20" w:before="0" w:line="240" w:lineRule="auto"/>
            </w:pPr>
            <w:r>
              <w:rPr>
                <w:color w:val="1C3A36"/>
                <w:sz w:val="14"/>
              </w:rPr>
              <w:t>jv gas h126</w:t>
            </w:r>
          </w:p>
        </w:tc>
        <w:tc>
          <w:tcPr>
            <w:tcW w:type="dxa" w:w="1238"/>
          </w:tcPr>
          <w:p>
            <w:pPr>
              <w:spacing w:after="20" w:before="0" w:line="240" w:lineRule="auto"/>
              <w:jc w:val="right"/>
            </w:pPr>
            <w:r>
              <w:rPr>
                <w:color w:val="1C3A36"/>
                <w:sz w:val="14"/>
              </w:rPr>
              <w:t>24,880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the share of profit from joint ventures and associates carried inside the disclosed Gas Carriers earnings for the half, annualised</w:t>
            </w:r>
          </w:p>
        </w:tc>
      </w:tr>
      <w:tr>
        <w:trPr>
          <w:cantSplit w:val="true"/>
        </w:trPr>
        <w:tc>
          <w:tcPr>
            <w:tcW w:type="dxa" w:w="2088"/>
          </w:tcPr>
          <w:p>
            <w:pPr>
              <w:spacing w:after="20" w:before="0" w:line="240" w:lineRule="auto"/>
            </w:pPr>
            <w:r>
              <w:rPr>
                <w:color w:val="1C3A36"/>
                <w:sz w:val="14"/>
              </w:rPr>
              <w:t>jv services h126</w:t>
            </w:r>
          </w:p>
        </w:tc>
        <w:tc>
          <w:tcPr>
            <w:tcW w:type="dxa" w:w="1238"/>
          </w:tcPr>
          <w:p>
            <w:pPr>
              <w:spacing w:after="20" w:before="0" w:line="240" w:lineRule="auto"/>
              <w:jc w:val="right"/>
            </w:pPr>
            <w:r>
              <w:rPr>
                <w:color w:val="1C3A36"/>
                <w:sz w:val="14"/>
              </w:rPr>
              <w:t>52,160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operating segments note: the share of profit from joint ventures and associates carried inside the disclosed Services earnings for the half, annualised</w:t>
            </w:r>
          </w:p>
        </w:tc>
      </w:tr>
      <w:tr>
        <w:trPr>
          <w:cantSplit w:val="true"/>
        </w:trPr>
        <w:tc>
          <w:tcPr>
            <w:tcW w:type="dxa" w:w="2088"/>
          </w:tcPr>
          <w:p>
            <w:pPr>
              <w:spacing w:after="20" w:before="0" w:line="240" w:lineRule="auto"/>
            </w:pPr>
            <w:r>
              <w:rPr>
                <w:color w:val="1C3A36"/>
                <w:sz w:val="14"/>
              </w:rPr>
              <w:t>gas rate day</w:t>
            </w:r>
          </w:p>
        </w:tc>
        <w:tc>
          <w:tcPr>
            <w:tcW w:type="dxa" w:w="1238"/>
          </w:tcPr>
          <w:p>
            <w:pPr>
              <w:spacing w:after="20" w:before="0" w:line="240" w:lineRule="auto"/>
              <w:jc w:val="right"/>
            </w:pPr>
            <w:r>
              <w:rPr>
                <w:color w:val="1C3A36"/>
                <w:sz w:val="14"/>
              </w:rPr>
              <w:t>61,573/day</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Implied average charter revenue per gas vessel per day, solved from reported 2025 Gas Carriers revenue over consolidated vessel-years. Per-vessel rates are not disclosed, so this is the finest level the disclosure supports, and it is UNCHANGED from the delivered edition</w:t>
            </w:r>
          </w:p>
        </w:tc>
      </w:tr>
      <w:tr>
        <w:trPr>
          <w:cantSplit w:val="true"/>
        </w:trPr>
        <w:tc>
          <w:tcPr>
            <w:tcW w:type="dxa" w:w="2088"/>
          </w:tcPr>
          <w:p>
            <w:pPr>
              <w:spacing w:after="20" w:before="0" w:line="240" w:lineRule="auto"/>
            </w:pPr>
            <w:r>
              <w:rPr>
                <w:color w:val="1C3A36"/>
                <w:sz w:val="14"/>
              </w:rPr>
              <w:t>gas rate day h126</w:t>
            </w:r>
          </w:p>
        </w:tc>
        <w:tc>
          <w:tcPr>
            <w:tcW w:type="dxa" w:w="1238"/>
          </w:tcPr>
          <w:p>
            <w:pPr>
              <w:spacing w:after="20" w:before="0" w:line="240" w:lineRule="auto"/>
              <w:jc w:val="right"/>
            </w:pPr>
            <w:r>
              <w:rPr>
                <w:color w:val="1C3A36"/>
                <w:sz w:val="14"/>
              </w:rPr>
              <w:t>108,552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same construction on the reviewed six months to 30 June 2026 — a MEMORANDUM, not adopted, because its denominator counts CONTRACTED vessels while its numerator is the whole unit's revenue</w:t>
            </w:r>
          </w:p>
        </w:tc>
      </w:tr>
      <w:tr>
        <w:trPr>
          <w:cantSplit w:val="true"/>
        </w:trPr>
        <w:tc>
          <w:tcPr>
            <w:tcW w:type="dxa" w:w="2088"/>
          </w:tcPr>
          <w:p>
            <w:pPr>
              <w:spacing w:after="20" w:before="0" w:line="240" w:lineRule="auto"/>
            </w:pPr>
            <w:r>
              <w:rPr>
                <w:color w:val="1C3A36"/>
                <w:sz w:val="14"/>
              </w:rPr>
              <w:t>drv rev offshore contracting 2026</w:t>
            </w:r>
          </w:p>
        </w:tc>
        <w:tc>
          <w:tcPr>
            <w:tcW w:type="dxa" w:w="1238"/>
          </w:tcPr>
          <w:p>
            <w:pPr>
              <w:spacing w:after="20" w:before="0" w:line="240" w:lineRule="auto"/>
              <w:jc w:val="right"/>
            </w:pPr>
            <w:r>
              <w:rPr>
                <w:color w:val="1C3A36"/>
                <w:sz w:val="14"/>
              </w:rPr>
              <w:t>1,334,004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six months to 30 June 2026 as reported, plus a second half at the same revenue and at the margin the half itself delivered BEFORE the expected-credit-loss provision disclosed in the segment note, then 4% a year as further jack-up barges and support vessels are deployed on the contracted programme. The margin is held flat rather than recovering toward the 2025 level, because nothing disclosed measures a recovery in jack-up utilisation or pricing.</w:t>
            </w:r>
          </w:p>
        </w:tc>
      </w:tr>
      <w:tr>
        <w:trPr>
          <w:cantSplit w:val="true"/>
        </w:trPr>
        <w:tc>
          <w:tcPr>
            <w:tcW w:type="dxa" w:w="2088"/>
          </w:tcPr>
          <w:p>
            <w:pPr>
              <w:spacing w:after="20" w:before="0" w:line="240" w:lineRule="auto"/>
            </w:pPr>
            <w:r>
              <w:rPr>
                <w:color w:val="1C3A36"/>
                <w:sz w:val="14"/>
              </w:rPr>
              <w:t>drv mar offshore contracting 2026</w:t>
            </w:r>
          </w:p>
        </w:tc>
        <w:tc>
          <w:tcPr>
            <w:tcW w:type="dxa" w:w="1238"/>
          </w:tcPr>
          <w:p>
            <w:pPr>
              <w:spacing w:after="20" w:before="0" w:line="240" w:lineRule="auto"/>
              <w:jc w:val="right"/>
            </w:pPr>
            <w:r>
              <w:rPr>
                <w:color w:val="1C3A36"/>
                <w:sz w:val="14"/>
              </w:rPr>
              <w:t>38.76%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six months to 30 June 2026 as reported, plus a second half at the same revenue and at the margin the half itself delivered BEFORE the expected-credit-loss provision disclosed in the segment note, then 4% a year as further jack-up barges and support vessels are deployed on the contracted programme. The margin is held flat rather than recovering toward the 2025 level, because nothing disclosed measures a recovery in jack-up utilisation or pricing.</w:t>
            </w:r>
          </w:p>
        </w:tc>
      </w:tr>
      <w:tr>
        <w:trPr>
          <w:cantSplit w:val="true"/>
        </w:trPr>
        <w:tc>
          <w:tcPr>
            <w:tcW w:type="dxa" w:w="2088"/>
          </w:tcPr>
          <w:p>
            <w:pPr>
              <w:spacing w:after="20" w:before="0" w:line="240" w:lineRule="auto"/>
            </w:pPr>
            <w:r>
              <w:rPr>
                <w:color w:val="1C3A36"/>
                <w:sz w:val="14"/>
              </w:rPr>
              <w:t>drv rev offshore contracting 2027</w:t>
            </w:r>
          </w:p>
        </w:tc>
        <w:tc>
          <w:tcPr>
            <w:tcW w:type="dxa" w:w="1238"/>
          </w:tcPr>
          <w:p>
            <w:pPr>
              <w:spacing w:after="20" w:before="0" w:line="240" w:lineRule="auto"/>
              <w:jc w:val="right"/>
            </w:pPr>
            <w:r>
              <w:rPr>
                <w:color w:val="1C3A36"/>
                <w:sz w:val="14"/>
              </w:rPr>
              <w:t>1,387,364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six months to 30 June 2026 as reported, plus a second half at the same revenue and at the margin the half itself delivered BEFORE the expected-credit-loss provision disclosed in the segment note, then 4% a year as further jack-up barges and support vessels are deployed on the contracted programme. The margin is held flat rather than recovering toward the 2025 level, because nothing disclosed measures a recovery in jack-up utilisation or pricing.</w:t>
            </w:r>
          </w:p>
        </w:tc>
      </w:tr>
      <w:tr>
        <w:trPr>
          <w:cantSplit w:val="true"/>
        </w:trPr>
        <w:tc>
          <w:tcPr>
            <w:tcW w:type="dxa" w:w="2088"/>
          </w:tcPr>
          <w:p>
            <w:pPr>
              <w:spacing w:after="20" w:before="0" w:line="240" w:lineRule="auto"/>
            </w:pPr>
            <w:r>
              <w:rPr>
                <w:color w:val="1C3A36"/>
                <w:sz w:val="14"/>
              </w:rPr>
              <w:t>drv mar offshore contracting 2027</w:t>
            </w:r>
          </w:p>
        </w:tc>
        <w:tc>
          <w:tcPr>
            <w:tcW w:type="dxa" w:w="1238"/>
          </w:tcPr>
          <w:p>
            <w:pPr>
              <w:spacing w:after="20" w:before="0" w:line="240" w:lineRule="auto"/>
              <w:jc w:val="right"/>
            </w:pPr>
            <w:r>
              <w:rPr>
                <w:color w:val="1C3A36"/>
                <w:sz w:val="14"/>
              </w:rPr>
              <w:t>38.76%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six months to 30 June 2026 as reported, plus a second half at the same revenue and at the margin the half itself delivered BEFORE the expected-credit-loss provision disclosed in the segment note, then 4% a year as further jack-up barges and support vessels are deployed on the contracted programme. The margin is held flat rather than recovering toward the 2025 level, because nothing disclosed measures a recovery in jack-up utilisation or pricing.</w:t>
            </w:r>
          </w:p>
        </w:tc>
      </w:tr>
      <w:tr>
        <w:trPr>
          <w:cantSplit w:val="true"/>
        </w:trPr>
        <w:tc>
          <w:tcPr>
            <w:tcW w:type="dxa" w:w="2088"/>
          </w:tcPr>
          <w:p>
            <w:pPr>
              <w:spacing w:after="20" w:before="0" w:line="240" w:lineRule="auto"/>
            </w:pPr>
            <w:r>
              <w:rPr>
                <w:color w:val="1C3A36"/>
                <w:sz w:val="14"/>
              </w:rPr>
              <w:t>drv rev offshore contracting 2028</w:t>
            </w:r>
          </w:p>
        </w:tc>
        <w:tc>
          <w:tcPr>
            <w:tcW w:type="dxa" w:w="1238"/>
          </w:tcPr>
          <w:p>
            <w:pPr>
              <w:spacing w:after="20" w:before="0" w:line="240" w:lineRule="auto"/>
              <w:jc w:val="right"/>
            </w:pPr>
            <w:r>
              <w:rPr>
                <w:color w:val="1C3A36"/>
                <w:sz w:val="14"/>
              </w:rPr>
              <w:t>1,442,859</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six months to 30 June 2026 as reported, plus a second half at the same revenue and at the margin the half itself delivered BEFORE the expected-credit-loss provision disclosed in the segment note, then 4% a year as further jack-up barges and support vessels are deployed on the contracted programme. The margin is held flat rather than recovering toward the 2025 level, because nothing disclosed measures a recovery in jack-up utilisation or pricing.</w:t>
            </w:r>
          </w:p>
        </w:tc>
      </w:tr>
      <w:tr>
        <w:trPr>
          <w:cantSplit w:val="true"/>
        </w:trPr>
        <w:tc>
          <w:tcPr>
            <w:tcW w:type="dxa" w:w="2088"/>
          </w:tcPr>
          <w:p>
            <w:pPr>
              <w:spacing w:after="20" w:before="0" w:line="240" w:lineRule="auto"/>
            </w:pPr>
            <w:r>
              <w:rPr>
                <w:color w:val="1C3A36"/>
                <w:sz w:val="14"/>
              </w:rPr>
              <w:t>drv mar offshore contracting 2028</w:t>
            </w:r>
          </w:p>
        </w:tc>
        <w:tc>
          <w:tcPr>
            <w:tcW w:type="dxa" w:w="1238"/>
          </w:tcPr>
          <w:p>
            <w:pPr>
              <w:spacing w:after="20" w:before="0" w:line="240" w:lineRule="auto"/>
              <w:jc w:val="right"/>
            </w:pPr>
            <w:r>
              <w:rPr>
                <w:color w:val="1C3A36"/>
                <w:sz w:val="14"/>
              </w:rPr>
              <w:t>38.76%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six months to 30 June 2026 as reported, plus a second half at the same revenue and at the margin the half itself delivered BEFORE the expected-credit-loss provision disclosed in the segment note, then 4% a year as further jack-up barges and support vessels are deployed on the contracted programme. The margin is held flat rather than recovering toward the 2025 level, because nothing disclosed measures a recovery in jack-up utilisation or pricing.</w:t>
            </w:r>
          </w:p>
        </w:tc>
      </w:tr>
      <w:tr>
        <w:trPr>
          <w:cantSplit w:val="true"/>
        </w:trPr>
        <w:tc>
          <w:tcPr>
            <w:tcW w:type="dxa" w:w="2088"/>
          </w:tcPr>
          <w:p>
            <w:pPr>
              <w:spacing w:after="20" w:before="0" w:line="240" w:lineRule="auto"/>
            </w:pPr>
            <w:r>
              <w:rPr>
                <w:color w:val="1C3A36"/>
                <w:sz w:val="14"/>
              </w:rPr>
              <w:t>drv rev offshore contracting 2029</w:t>
            </w:r>
          </w:p>
        </w:tc>
        <w:tc>
          <w:tcPr>
            <w:tcW w:type="dxa" w:w="1238"/>
          </w:tcPr>
          <w:p>
            <w:pPr>
              <w:spacing w:after="20" w:before="0" w:line="240" w:lineRule="auto"/>
              <w:jc w:val="right"/>
            </w:pPr>
            <w:r>
              <w:rPr>
                <w:color w:val="1C3A36"/>
                <w:sz w:val="14"/>
              </w:rPr>
              <w:t>1,500,573</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six months to 30 June 2026 as reported, plus a second half at the same revenue and at the margin the half itself delivered BEFORE the expected-credit-loss provision disclosed in the segment note, then 4% a year as further jack-up barges and support vessels are deployed on the contracted programme. The margin is held flat rather than recovering toward the 2025 level, because nothing disclosed measures a recovery in jack-up utilisation or pricing.</w:t>
            </w:r>
          </w:p>
        </w:tc>
      </w:tr>
      <w:tr>
        <w:trPr>
          <w:cantSplit w:val="true"/>
        </w:trPr>
        <w:tc>
          <w:tcPr>
            <w:tcW w:type="dxa" w:w="2088"/>
          </w:tcPr>
          <w:p>
            <w:pPr>
              <w:spacing w:after="20" w:before="0" w:line="240" w:lineRule="auto"/>
            </w:pPr>
            <w:r>
              <w:rPr>
                <w:color w:val="1C3A36"/>
                <w:sz w:val="14"/>
              </w:rPr>
              <w:t>drv mar offshore contracting 2029</w:t>
            </w:r>
          </w:p>
        </w:tc>
        <w:tc>
          <w:tcPr>
            <w:tcW w:type="dxa" w:w="1238"/>
          </w:tcPr>
          <w:p>
            <w:pPr>
              <w:spacing w:after="20" w:before="0" w:line="240" w:lineRule="auto"/>
              <w:jc w:val="right"/>
            </w:pPr>
            <w:r>
              <w:rPr>
                <w:color w:val="1C3A36"/>
                <w:sz w:val="14"/>
              </w:rPr>
              <w:t>38.76%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six months to 30 June 2026 as reported, plus a second half at the same revenue and at the margin the half itself delivered BEFORE the expected-credit-loss provision disclosed in the segment note, then 4% a year as further jack-up barges and support vessels are deployed on the contracted programme. The margin is held flat rather than recovering toward the 2025 level, because nothing disclosed measures a recovery in jack-up utilisation or pricing.</w:t>
            </w:r>
          </w:p>
        </w:tc>
      </w:tr>
      <w:tr>
        <w:trPr>
          <w:cantSplit w:val="true"/>
        </w:trPr>
        <w:tc>
          <w:tcPr>
            <w:tcW w:type="dxa" w:w="2088"/>
          </w:tcPr>
          <w:p>
            <w:pPr>
              <w:spacing w:after="20" w:before="0" w:line="240" w:lineRule="auto"/>
            </w:pPr>
            <w:r>
              <w:rPr>
                <w:color w:val="1C3A36"/>
                <w:sz w:val="14"/>
              </w:rPr>
              <w:t>drv rev offshore contracting 2030</w:t>
            </w:r>
          </w:p>
        </w:tc>
        <w:tc>
          <w:tcPr>
            <w:tcW w:type="dxa" w:w="1238"/>
          </w:tcPr>
          <w:p>
            <w:pPr>
              <w:spacing w:after="20" w:before="0" w:line="240" w:lineRule="auto"/>
              <w:jc w:val="right"/>
            </w:pPr>
            <w:r>
              <w:rPr>
                <w:color w:val="1C3A36"/>
                <w:sz w:val="14"/>
              </w:rPr>
              <w:t>1,560,596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six months to 30 June 2026 as reported, plus a second half at the same revenue and at the margin the half itself delivered BEFORE the expected-credit-loss provision disclosed in the segment note, then 4% a year as further jack-up barges and support vessels are deployed on the contracted programme. The margin is held flat rather than recovering toward the 2025 level, because nothing disclosed measures a recovery in jack-up utilisation or pricing.</w:t>
            </w:r>
          </w:p>
        </w:tc>
      </w:tr>
      <w:tr>
        <w:trPr>
          <w:cantSplit w:val="true"/>
        </w:trPr>
        <w:tc>
          <w:tcPr>
            <w:tcW w:type="dxa" w:w="2088"/>
          </w:tcPr>
          <w:p>
            <w:pPr>
              <w:spacing w:after="20" w:before="0" w:line="240" w:lineRule="auto"/>
            </w:pPr>
            <w:r>
              <w:rPr>
                <w:color w:val="1C3A36"/>
                <w:sz w:val="14"/>
              </w:rPr>
              <w:t>drv mar offshore contracting 2030</w:t>
            </w:r>
          </w:p>
        </w:tc>
        <w:tc>
          <w:tcPr>
            <w:tcW w:type="dxa" w:w="1238"/>
          </w:tcPr>
          <w:p>
            <w:pPr>
              <w:spacing w:after="20" w:before="0" w:line="240" w:lineRule="auto"/>
              <w:jc w:val="right"/>
            </w:pPr>
            <w:r>
              <w:rPr>
                <w:color w:val="1C3A36"/>
                <w:sz w:val="14"/>
              </w:rPr>
              <w:t>38.76%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six months to 30 June 2026 as reported, plus a second half at the same revenue and at the margin the half itself delivered BEFORE the expected-credit-loss provision disclosed in the segment note, then 4% a year as further jack-up barges and support vessels are deployed on the contracted programme. The margin is held flat rather than recovering toward the 2025 level, because nothing disclosed measures a recovery in jack-up utilisation or pricing.</w:t>
            </w:r>
          </w:p>
        </w:tc>
      </w:tr>
      <w:tr>
        <w:trPr>
          <w:cantSplit w:val="true"/>
        </w:trPr>
        <w:tc>
          <w:tcPr>
            <w:tcW w:type="dxa" w:w="2088"/>
          </w:tcPr>
          <w:p>
            <w:pPr>
              <w:spacing w:after="20" w:before="0" w:line="240" w:lineRule="auto"/>
            </w:pPr>
            <w:r>
              <w:rPr>
                <w:color w:val="1C3A36"/>
                <w:sz w:val="14"/>
              </w:rPr>
              <w:t>drv rev offshore services 2026</w:t>
            </w:r>
          </w:p>
        </w:tc>
        <w:tc>
          <w:tcPr>
            <w:tcW w:type="dxa" w:w="1238"/>
          </w:tcPr>
          <w:p>
            <w:pPr>
              <w:spacing w:after="20" w:before="0" w:line="240" w:lineRule="auto"/>
              <w:jc w:val="right"/>
            </w:pPr>
            <w:r>
              <w:rPr>
                <w:color w:val="1C3A36"/>
                <w:sz w:val="14"/>
              </w:rPr>
              <w:t>742,314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the same margin, then 5% a year on the support-vessel fleet growth already under way. The margin is the half's own.</w:t>
            </w:r>
          </w:p>
        </w:tc>
      </w:tr>
      <w:tr>
        <w:trPr>
          <w:cantSplit w:val="true"/>
        </w:trPr>
        <w:tc>
          <w:tcPr>
            <w:tcW w:type="dxa" w:w="2088"/>
          </w:tcPr>
          <w:p>
            <w:pPr>
              <w:spacing w:after="20" w:before="0" w:line="240" w:lineRule="auto"/>
            </w:pPr>
            <w:r>
              <w:rPr>
                <w:color w:val="1C3A36"/>
                <w:sz w:val="14"/>
              </w:rPr>
              <w:t>drv mar offshore services 2026</w:t>
            </w:r>
          </w:p>
        </w:tc>
        <w:tc>
          <w:tcPr>
            <w:tcW w:type="dxa" w:w="1238"/>
          </w:tcPr>
          <w:p>
            <w:pPr>
              <w:spacing w:after="20" w:before="0" w:line="240" w:lineRule="auto"/>
              <w:jc w:val="right"/>
            </w:pPr>
            <w:r>
              <w:rPr>
                <w:color w:val="1C3A36"/>
                <w:sz w:val="14"/>
              </w:rPr>
              <w:t>24.05%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the same margin, then 5% a year on the support-vessel fleet growth already under way. The margin is the half's own.</w:t>
            </w:r>
          </w:p>
        </w:tc>
      </w:tr>
      <w:tr>
        <w:trPr>
          <w:cantSplit w:val="true"/>
        </w:trPr>
        <w:tc>
          <w:tcPr>
            <w:tcW w:type="dxa" w:w="2088"/>
          </w:tcPr>
          <w:p>
            <w:pPr>
              <w:spacing w:after="20" w:before="0" w:line="240" w:lineRule="auto"/>
            </w:pPr>
            <w:r>
              <w:rPr>
                <w:color w:val="1C3A36"/>
                <w:sz w:val="14"/>
              </w:rPr>
              <w:t>drv rev offshore services 2027</w:t>
            </w:r>
          </w:p>
        </w:tc>
        <w:tc>
          <w:tcPr>
            <w:tcW w:type="dxa" w:w="1238"/>
          </w:tcPr>
          <w:p>
            <w:pPr>
              <w:spacing w:after="20" w:before="0" w:line="240" w:lineRule="auto"/>
              <w:jc w:val="right"/>
            </w:pPr>
            <w:r>
              <w:rPr>
                <w:color w:val="1C3A36"/>
                <w:sz w:val="14"/>
              </w:rPr>
              <w:t>779,430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the same margin, then 5% a year on the support-vessel fleet growth already under way. The margin is the half's own.</w:t>
            </w:r>
          </w:p>
        </w:tc>
      </w:tr>
      <w:tr>
        <w:trPr>
          <w:cantSplit w:val="true"/>
        </w:trPr>
        <w:tc>
          <w:tcPr>
            <w:tcW w:type="dxa" w:w="2088"/>
          </w:tcPr>
          <w:p>
            <w:pPr>
              <w:spacing w:after="20" w:before="0" w:line="240" w:lineRule="auto"/>
            </w:pPr>
            <w:r>
              <w:rPr>
                <w:color w:val="1C3A36"/>
                <w:sz w:val="14"/>
              </w:rPr>
              <w:t>drv mar offshore services 2027</w:t>
            </w:r>
          </w:p>
        </w:tc>
        <w:tc>
          <w:tcPr>
            <w:tcW w:type="dxa" w:w="1238"/>
          </w:tcPr>
          <w:p>
            <w:pPr>
              <w:spacing w:after="20" w:before="0" w:line="240" w:lineRule="auto"/>
              <w:jc w:val="right"/>
            </w:pPr>
            <w:r>
              <w:rPr>
                <w:color w:val="1C3A36"/>
                <w:sz w:val="14"/>
              </w:rPr>
              <w:t>24.05%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the same margin, then 5% a year on the support-vessel fleet growth already under way. The margin is the half's own.</w:t>
            </w:r>
          </w:p>
        </w:tc>
      </w:tr>
      <w:tr>
        <w:trPr>
          <w:cantSplit w:val="true"/>
        </w:trPr>
        <w:tc>
          <w:tcPr>
            <w:tcW w:type="dxa" w:w="2088"/>
          </w:tcPr>
          <w:p>
            <w:pPr>
              <w:spacing w:after="20" w:before="0" w:line="240" w:lineRule="auto"/>
            </w:pPr>
            <w:r>
              <w:rPr>
                <w:color w:val="1C3A36"/>
                <w:sz w:val="14"/>
              </w:rPr>
              <w:t>drv rev offshore services 2028</w:t>
            </w:r>
          </w:p>
        </w:tc>
        <w:tc>
          <w:tcPr>
            <w:tcW w:type="dxa" w:w="1238"/>
          </w:tcPr>
          <w:p>
            <w:pPr>
              <w:spacing w:after="20" w:before="0" w:line="240" w:lineRule="auto"/>
              <w:jc w:val="right"/>
            </w:pPr>
            <w:r>
              <w:rPr>
                <w:color w:val="1C3A36"/>
                <w:sz w:val="14"/>
              </w:rPr>
              <w:t>818,401</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the same margin, then 5% a year on the support-vessel fleet growth already under way. The margin is the half's own.</w:t>
            </w:r>
          </w:p>
        </w:tc>
      </w:tr>
      <w:tr>
        <w:trPr>
          <w:cantSplit w:val="true"/>
        </w:trPr>
        <w:tc>
          <w:tcPr>
            <w:tcW w:type="dxa" w:w="2088"/>
          </w:tcPr>
          <w:p>
            <w:pPr>
              <w:spacing w:after="20" w:before="0" w:line="240" w:lineRule="auto"/>
            </w:pPr>
            <w:r>
              <w:rPr>
                <w:color w:val="1C3A36"/>
                <w:sz w:val="14"/>
              </w:rPr>
              <w:t>drv mar offshore services 2028</w:t>
            </w:r>
          </w:p>
        </w:tc>
        <w:tc>
          <w:tcPr>
            <w:tcW w:type="dxa" w:w="1238"/>
          </w:tcPr>
          <w:p>
            <w:pPr>
              <w:spacing w:after="20" w:before="0" w:line="240" w:lineRule="auto"/>
              <w:jc w:val="right"/>
            </w:pPr>
            <w:r>
              <w:rPr>
                <w:color w:val="1C3A36"/>
                <w:sz w:val="14"/>
              </w:rPr>
              <w:t>24.05%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the same margin, then 5% a year on the support-vessel fleet growth already under way. The margin is the half's own.</w:t>
            </w:r>
          </w:p>
        </w:tc>
      </w:tr>
      <w:tr>
        <w:trPr>
          <w:cantSplit w:val="true"/>
        </w:trPr>
        <w:tc>
          <w:tcPr>
            <w:tcW w:type="dxa" w:w="2088"/>
          </w:tcPr>
          <w:p>
            <w:pPr>
              <w:spacing w:after="20" w:before="0" w:line="240" w:lineRule="auto"/>
            </w:pPr>
            <w:r>
              <w:rPr>
                <w:color w:val="1C3A36"/>
                <w:sz w:val="14"/>
              </w:rPr>
              <w:t>drv rev offshore services 2029</w:t>
            </w:r>
          </w:p>
        </w:tc>
        <w:tc>
          <w:tcPr>
            <w:tcW w:type="dxa" w:w="1238"/>
          </w:tcPr>
          <w:p>
            <w:pPr>
              <w:spacing w:after="20" w:before="0" w:line="240" w:lineRule="auto"/>
              <w:jc w:val="right"/>
            </w:pPr>
            <w:r>
              <w:rPr>
                <w:color w:val="1C3A36"/>
                <w:sz w:val="14"/>
              </w:rPr>
              <w:t>859,321</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the same margin, then 5% a year on the support-vessel fleet growth already under way. The margin is the half's own.</w:t>
            </w:r>
          </w:p>
        </w:tc>
      </w:tr>
      <w:tr>
        <w:trPr>
          <w:cantSplit w:val="true"/>
        </w:trPr>
        <w:tc>
          <w:tcPr>
            <w:tcW w:type="dxa" w:w="2088"/>
          </w:tcPr>
          <w:p>
            <w:pPr>
              <w:spacing w:after="20" w:before="0" w:line="240" w:lineRule="auto"/>
            </w:pPr>
            <w:r>
              <w:rPr>
                <w:color w:val="1C3A36"/>
                <w:sz w:val="14"/>
              </w:rPr>
              <w:t>drv mar offshore services 2029</w:t>
            </w:r>
          </w:p>
        </w:tc>
        <w:tc>
          <w:tcPr>
            <w:tcW w:type="dxa" w:w="1238"/>
          </w:tcPr>
          <w:p>
            <w:pPr>
              <w:spacing w:after="20" w:before="0" w:line="240" w:lineRule="auto"/>
              <w:jc w:val="right"/>
            </w:pPr>
            <w:r>
              <w:rPr>
                <w:color w:val="1C3A36"/>
                <w:sz w:val="14"/>
              </w:rPr>
              <w:t>24.05%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the same margin, then 5% a year on the support-vessel fleet growth already under way. The margin is the half's own.</w:t>
            </w:r>
          </w:p>
        </w:tc>
      </w:tr>
      <w:tr>
        <w:trPr>
          <w:cantSplit w:val="true"/>
        </w:trPr>
        <w:tc>
          <w:tcPr>
            <w:tcW w:type="dxa" w:w="2088"/>
          </w:tcPr>
          <w:p>
            <w:pPr>
              <w:spacing w:after="20" w:before="0" w:line="240" w:lineRule="auto"/>
            </w:pPr>
            <w:r>
              <w:rPr>
                <w:color w:val="1C3A36"/>
                <w:sz w:val="14"/>
              </w:rPr>
              <w:t>drv rev offshore services 2030</w:t>
            </w:r>
          </w:p>
        </w:tc>
        <w:tc>
          <w:tcPr>
            <w:tcW w:type="dxa" w:w="1238"/>
          </w:tcPr>
          <w:p>
            <w:pPr>
              <w:spacing w:after="20" w:before="0" w:line="240" w:lineRule="auto"/>
              <w:jc w:val="right"/>
            </w:pPr>
            <w:r>
              <w:rPr>
                <w:color w:val="1C3A36"/>
                <w:sz w:val="14"/>
              </w:rPr>
              <w:t>902,287</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the same margin, then 5% a year on the support-vessel fleet growth already under way. The margin is the half's own.</w:t>
            </w:r>
          </w:p>
        </w:tc>
      </w:tr>
      <w:tr>
        <w:trPr>
          <w:cantSplit w:val="true"/>
        </w:trPr>
        <w:tc>
          <w:tcPr>
            <w:tcW w:type="dxa" w:w="2088"/>
          </w:tcPr>
          <w:p>
            <w:pPr>
              <w:spacing w:after="20" w:before="0" w:line="240" w:lineRule="auto"/>
            </w:pPr>
            <w:r>
              <w:rPr>
                <w:color w:val="1C3A36"/>
                <w:sz w:val="14"/>
              </w:rPr>
              <w:t>drv mar offshore services 2030</w:t>
            </w:r>
          </w:p>
        </w:tc>
        <w:tc>
          <w:tcPr>
            <w:tcW w:type="dxa" w:w="1238"/>
          </w:tcPr>
          <w:p>
            <w:pPr>
              <w:spacing w:after="20" w:before="0" w:line="240" w:lineRule="auto"/>
              <w:jc w:val="right"/>
            </w:pPr>
            <w:r>
              <w:rPr>
                <w:color w:val="1C3A36"/>
                <w:sz w:val="14"/>
              </w:rPr>
              <w:t>24.05%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the same margin, then 5% a year on the support-vessel fleet growth already under way. The margin is the half's own.</w:t>
            </w:r>
          </w:p>
        </w:tc>
      </w:tr>
      <w:tr>
        <w:trPr>
          <w:cantSplit w:val="true"/>
        </w:trPr>
        <w:tc>
          <w:tcPr>
            <w:tcW w:type="dxa" w:w="2088"/>
          </w:tcPr>
          <w:p>
            <w:pPr>
              <w:spacing w:after="20" w:before="0" w:line="240" w:lineRule="auto"/>
            </w:pPr>
            <w:r>
              <w:rPr>
                <w:color w:val="1C3A36"/>
                <w:sz w:val="14"/>
              </w:rPr>
              <w:t>drv rev offshore projects 2026</w:t>
            </w:r>
          </w:p>
        </w:tc>
        <w:tc>
          <w:tcPr>
            <w:tcW w:type="dxa" w:w="1238"/>
          </w:tcPr>
          <w:p>
            <w:pPr>
              <w:spacing w:after="20" w:before="0" w:line="240" w:lineRule="auto"/>
              <w:jc w:val="right"/>
            </w:pPr>
            <w:r>
              <w:rPr>
                <w:color w:val="1C3A36"/>
                <w:sz w:val="14"/>
              </w:rPr>
              <w:t>3,768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no margin, held FLAT thereafter. The large island project completed in the fourth quarter of 2025 and NO NEW AWARD IS DISCLOSED; the two projects the company names are loss-making. The delivered edition carried USD 125 million of 2026 revenue recovering to 300 million by 2030 on a company range the half has since falsified — the unit earned USD 1.9 million in six months. A recovery nothing discloses is not forecast.</w:t>
            </w:r>
          </w:p>
        </w:tc>
      </w:tr>
      <w:tr>
        <w:trPr>
          <w:cantSplit w:val="true"/>
        </w:trPr>
        <w:tc>
          <w:tcPr>
            <w:tcW w:type="dxa" w:w="2088"/>
          </w:tcPr>
          <w:p>
            <w:pPr>
              <w:spacing w:after="20" w:before="0" w:line="240" w:lineRule="auto"/>
            </w:pPr>
            <w:r>
              <w:rPr>
                <w:color w:val="1C3A36"/>
                <w:sz w:val="14"/>
              </w:rPr>
              <w:t>drv mar offshore projects 2026</w:t>
            </w:r>
          </w:p>
        </w:tc>
        <w:tc>
          <w:tcPr>
            <w:tcW w:type="dxa" w:w="1238"/>
          </w:tcPr>
          <w:p>
            <w:pPr>
              <w:spacing w:after="20" w:before="0" w:line="240" w:lineRule="auto"/>
              <w:jc w:val="right"/>
            </w:pPr>
            <w:r>
              <w:rPr>
                <w:color w:val="1C3A36"/>
                <w:sz w:val="14"/>
              </w:rPr>
              <w:t>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no margin, held FLAT thereafter. The large island project completed in the fourth quarter of 2025 and NO NEW AWARD IS DISCLOSED; the two projects the company names are loss-making. The delivered edition carried USD 125 million of 2026 revenue recovering to 300 million by 2030 on a company range the half has since falsified — the unit earned USD 1.9 million in six months. A recovery nothing discloses is not forecast.</w:t>
            </w:r>
          </w:p>
        </w:tc>
      </w:tr>
      <w:tr>
        <w:trPr>
          <w:cantSplit w:val="true"/>
        </w:trPr>
        <w:tc>
          <w:tcPr>
            <w:tcW w:type="dxa" w:w="2088"/>
          </w:tcPr>
          <w:p>
            <w:pPr>
              <w:spacing w:after="20" w:before="0" w:line="240" w:lineRule="auto"/>
            </w:pPr>
            <w:r>
              <w:rPr>
                <w:color w:val="1C3A36"/>
                <w:sz w:val="14"/>
              </w:rPr>
              <w:t>drv rev offshore projects 2027</w:t>
            </w:r>
          </w:p>
        </w:tc>
        <w:tc>
          <w:tcPr>
            <w:tcW w:type="dxa" w:w="1238"/>
          </w:tcPr>
          <w:p>
            <w:pPr>
              <w:spacing w:after="20" w:before="0" w:line="240" w:lineRule="auto"/>
              <w:jc w:val="right"/>
            </w:pPr>
            <w:r>
              <w:rPr>
                <w:color w:val="1C3A36"/>
                <w:sz w:val="14"/>
              </w:rPr>
              <w:t>3,768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no margin, held FLAT thereafter. The large island project completed in the fourth quarter of 2025 and NO NEW AWARD IS DISCLOSED; the two projects the company names are loss-making. The delivered edition carried USD 125 million of 2026 revenue recovering to 300 million by 2030 on a company range the half has since falsified — the unit earned USD 1.9 million in six months. A recovery nothing discloses is not forecast.</w:t>
            </w:r>
          </w:p>
        </w:tc>
      </w:tr>
      <w:tr>
        <w:trPr>
          <w:cantSplit w:val="true"/>
        </w:trPr>
        <w:tc>
          <w:tcPr>
            <w:tcW w:type="dxa" w:w="2088"/>
          </w:tcPr>
          <w:p>
            <w:pPr>
              <w:spacing w:after="20" w:before="0" w:line="240" w:lineRule="auto"/>
            </w:pPr>
            <w:r>
              <w:rPr>
                <w:color w:val="1C3A36"/>
                <w:sz w:val="14"/>
              </w:rPr>
              <w:t>drv mar offshore projects 2027</w:t>
            </w:r>
          </w:p>
        </w:tc>
        <w:tc>
          <w:tcPr>
            <w:tcW w:type="dxa" w:w="1238"/>
          </w:tcPr>
          <w:p>
            <w:pPr>
              <w:spacing w:after="20" w:before="0" w:line="240" w:lineRule="auto"/>
              <w:jc w:val="right"/>
            </w:pPr>
            <w:r>
              <w:rPr>
                <w:color w:val="1C3A36"/>
                <w:sz w:val="14"/>
              </w:rPr>
              <w:t>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no margin, held FLAT thereafter. The large island project completed in the fourth quarter of 2025 and NO NEW AWARD IS DISCLOSED; the two projects the company names are loss-making. The delivered edition carried USD 125 million of 2026 revenue recovering to 300 million by 2030 on a company range the half has since falsified — the unit earned USD 1.9 million in six months. A recovery nothing discloses is not forecast.</w:t>
            </w:r>
          </w:p>
        </w:tc>
      </w:tr>
      <w:tr>
        <w:trPr>
          <w:cantSplit w:val="true"/>
        </w:trPr>
        <w:tc>
          <w:tcPr>
            <w:tcW w:type="dxa" w:w="2088"/>
          </w:tcPr>
          <w:p>
            <w:pPr>
              <w:spacing w:after="20" w:before="0" w:line="240" w:lineRule="auto"/>
            </w:pPr>
            <w:r>
              <w:rPr>
                <w:color w:val="1C3A36"/>
                <w:sz w:val="14"/>
              </w:rPr>
              <w:t>drv rev offshore projects 2028</w:t>
            </w:r>
          </w:p>
        </w:tc>
        <w:tc>
          <w:tcPr>
            <w:tcW w:type="dxa" w:w="1238"/>
          </w:tcPr>
          <w:p>
            <w:pPr>
              <w:spacing w:after="20" w:before="0" w:line="240" w:lineRule="auto"/>
              <w:jc w:val="right"/>
            </w:pPr>
            <w:r>
              <w:rPr>
                <w:color w:val="1C3A36"/>
                <w:sz w:val="14"/>
              </w:rPr>
              <w:t>3,768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no margin, held FLAT thereafter. The large island project completed in the fourth quarter of 2025 and NO NEW AWARD IS DISCLOSED; the two projects the company names are loss-making. The delivered edition carried USD 125 million of 2026 revenue recovering to 300 million by 2030 on a company range the half has since falsified — the unit earned USD 1.9 million in six months. A recovery nothing discloses is not forecast.</w:t>
            </w:r>
          </w:p>
        </w:tc>
      </w:tr>
      <w:tr>
        <w:trPr>
          <w:cantSplit w:val="true"/>
        </w:trPr>
        <w:tc>
          <w:tcPr>
            <w:tcW w:type="dxa" w:w="2088"/>
          </w:tcPr>
          <w:p>
            <w:pPr>
              <w:spacing w:after="20" w:before="0" w:line="240" w:lineRule="auto"/>
            </w:pPr>
            <w:r>
              <w:rPr>
                <w:color w:val="1C3A36"/>
                <w:sz w:val="14"/>
              </w:rPr>
              <w:t>drv mar offshore projects 2028</w:t>
            </w:r>
          </w:p>
        </w:tc>
        <w:tc>
          <w:tcPr>
            <w:tcW w:type="dxa" w:w="1238"/>
          </w:tcPr>
          <w:p>
            <w:pPr>
              <w:spacing w:after="20" w:before="0" w:line="240" w:lineRule="auto"/>
              <w:jc w:val="right"/>
            </w:pPr>
            <w:r>
              <w:rPr>
                <w:color w:val="1C3A36"/>
                <w:sz w:val="14"/>
              </w:rPr>
              <w:t>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no margin, held FLAT thereafter. The large island project completed in the fourth quarter of 2025 and NO NEW AWARD IS DISCLOSED; the two projects the company names are loss-making. The delivered edition carried USD 125 million of 2026 revenue recovering to 300 million by 2030 on a company range the half has since falsified — the unit earned USD 1.9 million in six months. A recovery nothing discloses is not forecast.</w:t>
            </w:r>
          </w:p>
        </w:tc>
      </w:tr>
      <w:tr>
        <w:trPr>
          <w:cantSplit w:val="true"/>
        </w:trPr>
        <w:tc>
          <w:tcPr>
            <w:tcW w:type="dxa" w:w="2088"/>
          </w:tcPr>
          <w:p>
            <w:pPr>
              <w:spacing w:after="20" w:before="0" w:line="240" w:lineRule="auto"/>
            </w:pPr>
            <w:r>
              <w:rPr>
                <w:color w:val="1C3A36"/>
                <w:sz w:val="14"/>
              </w:rPr>
              <w:t>drv rev offshore projects 2029</w:t>
            </w:r>
          </w:p>
        </w:tc>
        <w:tc>
          <w:tcPr>
            <w:tcW w:type="dxa" w:w="1238"/>
          </w:tcPr>
          <w:p>
            <w:pPr>
              <w:spacing w:after="20" w:before="0" w:line="240" w:lineRule="auto"/>
              <w:jc w:val="right"/>
            </w:pPr>
            <w:r>
              <w:rPr>
                <w:color w:val="1C3A36"/>
                <w:sz w:val="14"/>
              </w:rPr>
              <w:t>3,768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no margin, held FLAT thereafter. The large island project completed in the fourth quarter of 2025 and NO NEW AWARD IS DISCLOSED; the two projects the company names are loss-making. The delivered edition carried USD 125 million of 2026 revenue recovering to 300 million by 2030 on a company range the half has since falsified — the unit earned USD 1.9 million in six months. A recovery nothing discloses is not forecast.</w:t>
            </w:r>
          </w:p>
        </w:tc>
      </w:tr>
      <w:tr>
        <w:trPr>
          <w:cantSplit w:val="true"/>
        </w:trPr>
        <w:tc>
          <w:tcPr>
            <w:tcW w:type="dxa" w:w="2088"/>
          </w:tcPr>
          <w:p>
            <w:pPr>
              <w:spacing w:after="20" w:before="0" w:line="240" w:lineRule="auto"/>
            </w:pPr>
            <w:r>
              <w:rPr>
                <w:color w:val="1C3A36"/>
                <w:sz w:val="14"/>
              </w:rPr>
              <w:t>drv mar offshore projects 2029</w:t>
            </w:r>
          </w:p>
        </w:tc>
        <w:tc>
          <w:tcPr>
            <w:tcW w:type="dxa" w:w="1238"/>
          </w:tcPr>
          <w:p>
            <w:pPr>
              <w:spacing w:after="20" w:before="0" w:line="240" w:lineRule="auto"/>
              <w:jc w:val="right"/>
            </w:pPr>
            <w:r>
              <w:rPr>
                <w:color w:val="1C3A36"/>
                <w:sz w:val="14"/>
              </w:rPr>
              <w:t>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no margin, held FLAT thereafter. The large island project completed in the fourth quarter of 2025 and NO NEW AWARD IS DISCLOSED; the two projects the company names are loss-making. The delivered edition carried USD 125 million of 2026 revenue recovering to 300 million by 2030 on a company range the half has since falsified — the unit earned USD 1.9 million in six months. A recovery nothing discloses is not forecast.</w:t>
            </w:r>
          </w:p>
        </w:tc>
      </w:tr>
      <w:tr>
        <w:trPr>
          <w:cantSplit w:val="true"/>
        </w:trPr>
        <w:tc>
          <w:tcPr>
            <w:tcW w:type="dxa" w:w="2088"/>
          </w:tcPr>
          <w:p>
            <w:pPr>
              <w:spacing w:after="20" w:before="0" w:line="240" w:lineRule="auto"/>
            </w:pPr>
            <w:r>
              <w:rPr>
                <w:color w:val="1C3A36"/>
                <w:sz w:val="14"/>
              </w:rPr>
              <w:t>drv rev offshore projects 2030</w:t>
            </w:r>
          </w:p>
        </w:tc>
        <w:tc>
          <w:tcPr>
            <w:tcW w:type="dxa" w:w="1238"/>
          </w:tcPr>
          <w:p>
            <w:pPr>
              <w:spacing w:after="20" w:before="0" w:line="240" w:lineRule="auto"/>
              <w:jc w:val="right"/>
            </w:pPr>
            <w:r>
              <w:rPr>
                <w:color w:val="1C3A36"/>
                <w:sz w:val="14"/>
              </w:rPr>
              <w:t>3,768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no margin, held FLAT thereafter. The large island project completed in the fourth quarter of 2025 and NO NEW AWARD IS DISCLOSED; the two projects the company names are loss-making. The delivered edition carried USD 125 million of 2026 revenue recovering to 300 million by 2030 on a company range the half has since falsified — the unit earned USD 1.9 million in six months. A recovery nothing discloses is not forecast.</w:t>
            </w:r>
          </w:p>
        </w:tc>
      </w:tr>
      <w:tr>
        <w:trPr>
          <w:cantSplit w:val="true"/>
        </w:trPr>
        <w:tc>
          <w:tcPr>
            <w:tcW w:type="dxa" w:w="2088"/>
          </w:tcPr>
          <w:p>
            <w:pPr>
              <w:spacing w:after="20" w:before="0" w:line="240" w:lineRule="auto"/>
            </w:pPr>
            <w:r>
              <w:rPr>
                <w:color w:val="1C3A36"/>
                <w:sz w:val="14"/>
              </w:rPr>
              <w:t>drv mar offshore projects 2030</w:t>
            </w:r>
          </w:p>
        </w:tc>
        <w:tc>
          <w:tcPr>
            <w:tcW w:type="dxa" w:w="1238"/>
          </w:tcPr>
          <w:p>
            <w:pPr>
              <w:spacing w:after="20" w:before="0" w:line="240" w:lineRule="auto"/>
              <w:jc w:val="right"/>
            </w:pPr>
            <w:r>
              <w:rPr>
                <w:color w:val="1C3A36"/>
                <w:sz w:val="14"/>
              </w:rPr>
              <w:t>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at the same revenue and no margin, held FLAT thereafter. The large island project completed in the fourth quarter of 2025 and NO NEW AWARD IS DISCLOSED; the two projects the company names are loss-making. The delivered edition carried USD 125 million of 2026 revenue recovering to 300 million by 2030 on a company range the half has since falsified — the unit earned USD 1.9 million in six months. A recovery nothing discloses is not forecast.</w:t>
            </w:r>
          </w:p>
        </w:tc>
      </w:tr>
      <w:tr>
        <w:trPr>
          <w:cantSplit w:val="true"/>
        </w:trPr>
        <w:tc>
          <w:tcPr>
            <w:tcW w:type="dxa" w:w="2088"/>
          </w:tcPr>
          <w:p>
            <w:pPr>
              <w:spacing w:after="20" w:before="0" w:line="240" w:lineRule="auto"/>
            </w:pPr>
            <w:r>
              <w:rPr>
                <w:color w:val="1C3A36"/>
                <w:sz w:val="14"/>
              </w:rPr>
              <w:t>drv rev dry bulk and containers 2026</w:t>
            </w:r>
          </w:p>
        </w:tc>
        <w:tc>
          <w:tcPr>
            <w:tcW w:type="dxa" w:w="1238"/>
          </w:tcPr>
          <w:p>
            <w:pPr>
              <w:spacing w:after="20" w:before="0" w:line="240" w:lineRule="auto"/>
              <w:jc w:val="right"/>
            </w:pPr>
            <w:r>
              <w:rPr>
                <w:color w:val="1C3A36"/>
                <w:sz w:val="14"/>
              </w:rPr>
              <w:t>298,076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a straight-line reversion of both revenue and margin to the 2025 outcome by 2030. Bulk charter rates spiked with tanker rates and the company publishes the series that shows it; the container vessels sit on a fifteen-year contract and do not.</w:t>
            </w:r>
          </w:p>
        </w:tc>
      </w:tr>
      <w:tr>
        <w:trPr>
          <w:cantSplit w:val="true"/>
        </w:trPr>
        <w:tc>
          <w:tcPr>
            <w:tcW w:type="dxa" w:w="2088"/>
          </w:tcPr>
          <w:p>
            <w:pPr>
              <w:spacing w:after="20" w:before="0" w:line="240" w:lineRule="auto"/>
            </w:pPr>
            <w:r>
              <w:rPr>
                <w:color w:val="1C3A36"/>
                <w:sz w:val="14"/>
              </w:rPr>
              <w:t>drv mar dry bulk and containers 2026</w:t>
            </w:r>
          </w:p>
        </w:tc>
        <w:tc>
          <w:tcPr>
            <w:tcW w:type="dxa" w:w="1238"/>
          </w:tcPr>
          <w:p>
            <w:pPr>
              <w:spacing w:after="20" w:before="0" w:line="240" w:lineRule="auto"/>
              <w:jc w:val="right"/>
            </w:pPr>
            <w:r>
              <w:rPr>
                <w:color w:val="1C3A36"/>
                <w:sz w:val="14"/>
              </w:rPr>
              <w:t>35.46%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a straight-line reversion of both revenue and margin to the 2025 outcome by 2030. Bulk charter rates spiked with tanker rates and the company publishes the series that shows it; the container vessels sit on a fifteen-year contract and do not.</w:t>
            </w:r>
          </w:p>
        </w:tc>
      </w:tr>
      <w:tr>
        <w:trPr>
          <w:cantSplit w:val="true"/>
        </w:trPr>
        <w:tc>
          <w:tcPr>
            <w:tcW w:type="dxa" w:w="2088"/>
          </w:tcPr>
          <w:p>
            <w:pPr>
              <w:spacing w:after="20" w:before="0" w:line="240" w:lineRule="auto"/>
            </w:pPr>
            <w:r>
              <w:rPr>
                <w:color w:val="1C3A36"/>
                <w:sz w:val="14"/>
              </w:rPr>
              <w:t>drv rev dry bulk and containers 2027</w:t>
            </w:r>
          </w:p>
        </w:tc>
        <w:tc>
          <w:tcPr>
            <w:tcW w:type="dxa" w:w="1238"/>
          </w:tcPr>
          <w:p>
            <w:pPr>
              <w:spacing w:after="20" w:before="0" w:line="240" w:lineRule="auto"/>
              <w:jc w:val="right"/>
            </w:pPr>
            <w:r>
              <w:rPr>
                <w:color w:val="1C3A36"/>
                <w:sz w:val="14"/>
              </w:rPr>
              <w:t>279,819</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a straight-line reversion of both revenue and margin to the 2025 outcome by 2030. Bulk charter rates spiked with tanker rates and the company publishes the series that shows it; the container vessels sit on a fifteen-year contract and do not.</w:t>
            </w:r>
          </w:p>
        </w:tc>
      </w:tr>
      <w:tr>
        <w:trPr>
          <w:cantSplit w:val="true"/>
        </w:trPr>
        <w:tc>
          <w:tcPr>
            <w:tcW w:type="dxa" w:w="2088"/>
          </w:tcPr>
          <w:p>
            <w:pPr>
              <w:spacing w:after="20" w:before="0" w:line="240" w:lineRule="auto"/>
            </w:pPr>
            <w:r>
              <w:rPr>
                <w:color w:val="1C3A36"/>
                <w:sz w:val="14"/>
              </w:rPr>
              <w:t>drv mar dry bulk and containers 2027</w:t>
            </w:r>
          </w:p>
        </w:tc>
        <w:tc>
          <w:tcPr>
            <w:tcW w:type="dxa" w:w="1238"/>
          </w:tcPr>
          <w:p>
            <w:pPr>
              <w:spacing w:after="20" w:before="0" w:line="240" w:lineRule="auto"/>
              <w:jc w:val="right"/>
            </w:pPr>
            <w:r>
              <w:rPr>
                <w:color w:val="1C3A36"/>
                <w:sz w:val="14"/>
              </w:rPr>
              <w:t>30.80%</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a straight-line reversion of both revenue and margin to the 2025 outcome by 2030. Bulk charter rates spiked with tanker rates and the company publishes the series that shows it; the container vessels sit on a fifteen-year contract and do not.</w:t>
            </w:r>
          </w:p>
        </w:tc>
      </w:tr>
      <w:tr>
        <w:trPr>
          <w:cantSplit w:val="true"/>
        </w:trPr>
        <w:tc>
          <w:tcPr>
            <w:tcW w:type="dxa" w:w="2088"/>
          </w:tcPr>
          <w:p>
            <w:pPr>
              <w:spacing w:after="20" w:before="0" w:line="240" w:lineRule="auto"/>
            </w:pPr>
            <w:r>
              <w:rPr>
                <w:color w:val="1C3A36"/>
                <w:sz w:val="14"/>
              </w:rPr>
              <w:t>drv rev dry bulk and containers 2028</w:t>
            </w:r>
          </w:p>
        </w:tc>
        <w:tc>
          <w:tcPr>
            <w:tcW w:type="dxa" w:w="1238"/>
          </w:tcPr>
          <w:p>
            <w:pPr>
              <w:spacing w:after="20" w:before="0" w:line="240" w:lineRule="auto"/>
              <w:jc w:val="right"/>
            </w:pPr>
            <w:r>
              <w:rPr>
                <w:color w:val="1C3A36"/>
                <w:sz w:val="14"/>
              </w:rPr>
              <w:t>261,562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a straight-line reversion of both revenue and margin to the 2025 outcome by 2030. Bulk charter rates spiked with tanker rates and the company publishes the series that shows it; the container vessels sit on a fifteen-year contract and do not.</w:t>
            </w:r>
          </w:p>
        </w:tc>
      </w:tr>
      <w:tr>
        <w:trPr>
          <w:cantSplit w:val="true"/>
        </w:trPr>
        <w:tc>
          <w:tcPr>
            <w:tcW w:type="dxa" w:w="2088"/>
          </w:tcPr>
          <w:p>
            <w:pPr>
              <w:spacing w:after="20" w:before="0" w:line="240" w:lineRule="auto"/>
            </w:pPr>
            <w:r>
              <w:rPr>
                <w:color w:val="1C3A36"/>
                <w:sz w:val="14"/>
              </w:rPr>
              <w:t>drv mar dry bulk and containers 2028</w:t>
            </w:r>
          </w:p>
        </w:tc>
        <w:tc>
          <w:tcPr>
            <w:tcW w:type="dxa" w:w="1238"/>
          </w:tcPr>
          <w:p>
            <w:pPr>
              <w:spacing w:after="20" w:before="0" w:line="240" w:lineRule="auto"/>
              <w:jc w:val="right"/>
            </w:pPr>
            <w:r>
              <w:rPr>
                <w:color w:val="1C3A36"/>
                <w:sz w:val="14"/>
              </w:rPr>
              <w:t>26.14%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a straight-line reversion of both revenue and margin to the 2025 outcome by 2030. Bulk charter rates spiked with tanker rates and the company publishes the series that shows it; the container vessels sit on a fifteen-year contract and do not.</w:t>
            </w:r>
          </w:p>
        </w:tc>
      </w:tr>
      <w:tr>
        <w:trPr>
          <w:cantSplit w:val="true"/>
        </w:trPr>
        <w:tc>
          <w:tcPr>
            <w:tcW w:type="dxa" w:w="2088"/>
          </w:tcPr>
          <w:p>
            <w:pPr>
              <w:spacing w:after="20" w:before="0" w:line="240" w:lineRule="auto"/>
            </w:pPr>
            <w:r>
              <w:rPr>
                <w:color w:val="1C3A36"/>
                <w:sz w:val="14"/>
              </w:rPr>
              <w:t>drv rev dry bulk and containers 2029</w:t>
            </w:r>
          </w:p>
        </w:tc>
        <w:tc>
          <w:tcPr>
            <w:tcW w:type="dxa" w:w="1238"/>
          </w:tcPr>
          <w:p>
            <w:pPr>
              <w:spacing w:after="20" w:before="0" w:line="240" w:lineRule="auto"/>
              <w:jc w:val="right"/>
            </w:pPr>
            <w:r>
              <w:rPr>
                <w:color w:val="1C3A36"/>
                <w:sz w:val="14"/>
              </w:rPr>
              <w:t>243,305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a straight-line reversion of both revenue and margin to the 2025 outcome by 2030. Bulk charter rates spiked with tanker rates and the company publishes the series that shows it; the container vessels sit on a fifteen-year contract and do not.</w:t>
            </w:r>
          </w:p>
        </w:tc>
      </w:tr>
      <w:tr>
        <w:trPr>
          <w:cantSplit w:val="true"/>
        </w:trPr>
        <w:tc>
          <w:tcPr>
            <w:tcW w:type="dxa" w:w="2088"/>
          </w:tcPr>
          <w:p>
            <w:pPr>
              <w:spacing w:after="20" w:before="0" w:line="240" w:lineRule="auto"/>
            </w:pPr>
            <w:r>
              <w:rPr>
                <w:color w:val="1C3A36"/>
                <w:sz w:val="14"/>
              </w:rPr>
              <w:t>drv mar dry bulk and containers 2029</w:t>
            </w:r>
          </w:p>
        </w:tc>
        <w:tc>
          <w:tcPr>
            <w:tcW w:type="dxa" w:w="1238"/>
          </w:tcPr>
          <w:p>
            <w:pPr>
              <w:spacing w:after="20" w:before="0" w:line="240" w:lineRule="auto"/>
              <w:jc w:val="right"/>
            </w:pPr>
            <w:r>
              <w:rPr>
                <w:color w:val="1C3A36"/>
                <w:sz w:val="14"/>
              </w:rPr>
              <w:t>21.48%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a straight-line reversion of both revenue and margin to the 2025 outcome by 2030. Bulk charter rates spiked with tanker rates and the company publishes the series that shows it; the container vessels sit on a fifteen-year contract and do not.</w:t>
            </w:r>
          </w:p>
        </w:tc>
      </w:tr>
      <w:tr>
        <w:trPr>
          <w:cantSplit w:val="true"/>
        </w:trPr>
        <w:tc>
          <w:tcPr>
            <w:tcW w:type="dxa" w:w="2088"/>
          </w:tcPr>
          <w:p>
            <w:pPr>
              <w:spacing w:after="20" w:before="0" w:line="240" w:lineRule="auto"/>
            </w:pPr>
            <w:r>
              <w:rPr>
                <w:color w:val="1C3A36"/>
                <w:sz w:val="14"/>
              </w:rPr>
              <w:t>drv rev dry bulk and containers 2030</w:t>
            </w:r>
          </w:p>
        </w:tc>
        <w:tc>
          <w:tcPr>
            <w:tcW w:type="dxa" w:w="1238"/>
          </w:tcPr>
          <w:p>
            <w:pPr>
              <w:spacing w:after="20" w:before="0" w:line="240" w:lineRule="auto"/>
              <w:jc w:val="right"/>
            </w:pPr>
            <w:r>
              <w:rPr>
                <w:color w:val="1C3A36"/>
                <w:sz w:val="14"/>
              </w:rPr>
              <w:t>225,048</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a straight-line reversion of both revenue and margin to the 2025 outcome by 2030. Bulk charter rates spiked with tanker rates and the company publishes the series that shows it; the container vessels sit on a fifteen-year contract and do not.</w:t>
            </w:r>
          </w:p>
        </w:tc>
      </w:tr>
      <w:tr>
        <w:trPr>
          <w:cantSplit w:val="true"/>
        </w:trPr>
        <w:tc>
          <w:tcPr>
            <w:tcW w:type="dxa" w:w="2088"/>
          </w:tcPr>
          <w:p>
            <w:pPr>
              <w:spacing w:after="20" w:before="0" w:line="240" w:lineRule="auto"/>
            </w:pPr>
            <w:r>
              <w:rPr>
                <w:color w:val="1C3A36"/>
                <w:sz w:val="14"/>
              </w:rPr>
              <w:t>drv mar dry bulk and containers 2030</w:t>
            </w:r>
          </w:p>
        </w:tc>
        <w:tc>
          <w:tcPr>
            <w:tcW w:type="dxa" w:w="1238"/>
          </w:tcPr>
          <w:p>
            <w:pPr>
              <w:spacing w:after="20" w:before="0" w:line="240" w:lineRule="auto"/>
              <w:jc w:val="right"/>
            </w:pPr>
            <w:r>
              <w:rPr>
                <w:color w:val="1C3A36"/>
                <w:sz w:val="14"/>
              </w:rPr>
              <w:t>16.82%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a straight-line reversion of both revenue and margin to the 2025 outcome by 2030. Bulk charter rates spiked with tanker rates and the company publishes the series that shows it; the container vessels sit on a fifteen-year contract and do not.</w:t>
            </w:r>
          </w:p>
        </w:tc>
      </w:tr>
      <w:tr>
        <w:trPr>
          <w:cantSplit w:val="true"/>
        </w:trPr>
        <w:tc>
          <w:tcPr>
            <w:tcW w:type="dxa" w:w="2088"/>
          </w:tcPr>
          <w:p>
            <w:pPr>
              <w:spacing w:after="20" w:before="0" w:line="240" w:lineRule="auto"/>
            </w:pPr>
            <w:r>
              <w:rPr>
                <w:color w:val="1C3A36"/>
                <w:sz w:val="14"/>
              </w:rPr>
              <w:t>drv rev services 2026</w:t>
            </w:r>
          </w:p>
        </w:tc>
        <w:tc>
          <w:tcPr>
            <w:tcW w:type="dxa" w:w="1238"/>
          </w:tcPr>
          <w:p>
            <w:pPr>
              <w:spacing w:after="20" w:before="0" w:line="240" w:lineRule="auto"/>
              <w:jc w:val="right"/>
            </w:pPr>
            <w:r>
              <w:rPr>
                <w:color w:val="1C3A36"/>
                <w:sz w:val="14"/>
              </w:rPr>
              <w:t>377,862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4% a year. The margin is the half's own and reflects the warehouse activity moved into this unit; the profit share from the bunkering associate is removed separately so it is not counted twice.</w:t>
            </w:r>
          </w:p>
        </w:tc>
      </w:tr>
      <w:tr>
        <w:trPr>
          <w:cantSplit w:val="true"/>
        </w:trPr>
        <w:tc>
          <w:tcPr>
            <w:tcW w:type="dxa" w:w="2088"/>
          </w:tcPr>
          <w:p>
            <w:pPr>
              <w:spacing w:after="20" w:before="0" w:line="240" w:lineRule="auto"/>
            </w:pPr>
            <w:r>
              <w:rPr>
                <w:color w:val="1C3A36"/>
                <w:sz w:val="14"/>
              </w:rPr>
              <w:t>drv mar services 2026</w:t>
            </w:r>
          </w:p>
        </w:tc>
        <w:tc>
          <w:tcPr>
            <w:tcW w:type="dxa" w:w="1238"/>
          </w:tcPr>
          <w:p>
            <w:pPr>
              <w:spacing w:after="20" w:before="0" w:line="240" w:lineRule="auto"/>
              <w:jc w:val="right"/>
            </w:pPr>
            <w:r>
              <w:rPr>
                <w:color w:val="1C3A36"/>
                <w:sz w:val="14"/>
              </w:rPr>
              <w:t>27.54%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4% a year. The margin is the half's own and reflects the warehouse activity moved into this unit; the profit share from the bunkering associate is removed separately so it is not counted twice.</w:t>
            </w:r>
          </w:p>
        </w:tc>
      </w:tr>
      <w:tr>
        <w:trPr>
          <w:cantSplit w:val="true"/>
        </w:trPr>
        <w:tc>
          <w:tcPr>
            <w:tcW w:type="dxa" w:w="2088"/>
          </w:tcPr>
          <w:p>
            <w:pPr>
              <w:spacing w:after="20" w:before="0" w:line="240" w:lineRule="auto"/>
            </w:pPr>
            <w:r>
              <w:rPr>
                <w:color w:val="1C3A36"/>
                <w:sz w:val="14"/>
              </w:rPr>
              <w:t>drv rev services 2027</w:t>
            </w:r>
          </w:p>
        </w:tc>
        <w:tc>
          <w:tcPr>
            <w:tcW w:type="dxa" w:w="1238"/>
          </w:tcPr>
          <w:p>
            <w:pPr>
              <w:spacing w:after="20" w:before="0" w:line="240" w:lineRule="auto"/>
              <w:jc w:val="right"/>
            </w:pPr>
            <w:r>
              <w:rPr>
                <w:color w:val="1C3A36"/>
                <w:sz w:val="14"/>
              </w:rPr>
              <w:t>392,976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4% a year. The margin is the half's own and reflects the warehouse activity moved into this unit; the profit share from the bunkering associate is removed separately so it is not counted twice.</w:t>
            </w:r>
          </w:p>
        </w:tc>
      </w:tr>
      <w:tr>
        <w:trPr>
          <w:cantSplit w:val="true"/>
        </w:trPr>
        <w:tc>
          <w:tcPr>
            <w:tcW w:type="dxa" w:w="2088"/>
          </w:tcPr>
          <w:p>
            <w:pPr>
              <w:spacing w:after="20" w:before="0" w:line="240" w:lineRule="auto"/>
            </w:pPr>
            <w:r>
              <w:rPr>
                <w:color w:val="1C3A36"/>
                <w:sz w:val="14"/>
              </w:rPr>
              <w:t>drv mar services 2027</w:t>
            </w:r>
          </w:p>
        </w:tc>
        <w:tc>
          <w:tcPr>
            <w:tcW w:type="dxa" w:w="1238"/>
          </w:tcPr>
          <w:p>
            <w:pPr>
              <w:spacing w:after="20" w:before="0" w:line="240" w:lineRule="auto"/>
              <w:jc w:val="right"/>
            </w:pPr>
            <w:r>
              <w:rPr>
                <w:color w:val="1C3A36"/>
                <w:sz w:val="14"/>
              </w:rPr>
              <w:t>27.54%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4% a year. The margin is the half's own and reflects the warehouse activity moved into this unit; the profit share from the bunkering associate is removed separately so it is not counted twice.</w:t>
            </w:r>
          </w:p>
        </w:tc>
      </w:tr>
      <w:tr>
        <w:trPr>
          <w:cantSplit w:val="true"/>
        </w:trPr>
        <w:tc>
          <w:tcPr>
            <w:tcW w:type="dxa" w:w="2088"/>
          </w:tcPr>
          <w:p>
            <w:pPr>
              <w:spacing w:after="20" w:before="0" w:line="240" w:lineRule="auto"/>
            </w:pPr>
            <w:r>
              <w:rPr>
                <w:color w:val="1C3A36"/>
                <w:sz w:val="14"/>
              </w:rPr>
              <w:t>drv rev services 2028</w:t>
            </w:r>
          </w:p>
        </w:tc>
        <w:tc>
          <w:tcPr>
            <w:tcW w:type="dxa" w:w="1238"/>
          </w:tcPr>
          <w:p>
            <w:pPr>
              <w:spacing w:after="20" w:before="0" w:line="240" w:lineRule="auto"/>
              <w:jc w:val="right"/>
            </w:pPr>
            <w:r>
              <w:rPr>
                <w:color w:val="1C3A36"/>
                <w:sz w:val="14"/>
              </w:rPr>
              <w:t>408,696</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4% a year. The margin is the half's own and reflects the warehouse activity moved into this unit; the profit share from the bunkering associate is removed separately so it is not counted twice.</w:t>
            </w:r>
          </w:p>
        </w:tc>
      </w:tr>
      <w:tr>
        <w:trPr>
          <w:cantSplit w:val="true"/>
        </w:trPr>
        <w:tc>
          <w:tcPr>
            <w:tcW w:type="dxa" w:w="2088"/>
          </w:tcPr>
          <w:p>
            <w:pPr>
              <w:spacing w:after="20" w:before="0" w:line="240" w:lineRule="auto"/>
            </w:pPr>
            <w:r>
              <w:rPr>
                <w:color w:val="1C3A36"/>
                <w:sz w:val="14"/>
              </w:rPr>
              <w:t>drv mar services 2028</w:t>
            </w:r>
          </w:p>
        </w:tc>
        <w:tc>
          <w:tcPr>
            <w:tcW w:type="dxa" w:w="1238"/>
          </w:tcPr>
          <w:p>
            <w:pPr>
              <w:spacing w:after="20" w:before="0" w:line="240" w:lineRule="auto"/>
              <w:jc w:val="right"/>
            </w:pPr>
            <w:r>
              <w:rPr>
                <w:color w:val="1C3A36"/>
                <w:sz w:val="14"/>
              </w:rPr>
              <w:t>27.54%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4% a year. The margin is the half's own and reflects the warehouse activity moved into this unit; the profit share from the bunkering associate is removed separately so it is not counted twice.</w:t>
            </w:r>
          </w:p>
        </w:tc>
      </w:tr>
      <w:tr>
        <w:trPr>
          <w:cantSplit w:val="true"/>
        </w:trPr>
        <w:tc>
          <w:tcPr>
            <w:tcW w:type="dxa" w:w="2088"/>
          </w:tcPr>
          <w:p>
            <w:pPr>
              <w:spacing w:after="20" w:before="0" w:line="240" w:lineRule="auto"/>
            </w:pPr>
            <w:r>
              <w:rPr>
                <w:color w:val="1C3A36"/>
                <w:sz w:val="14"/>
              </w:rPr>
              <w:t>drv rev services 2029</w:t>
            </w:r>
          </w:p>
        </w:tc>
        <w:tc>
          <w:tcPr>
            <w:tcW w:type="dxa" w:w="1238"/>
          </w:tcPr>
          <w:p>
            <w:pPr>
              <w:spacing w:after="20" w:before="0" w:line="240" w:lineRule="auto"/>
              <w:jc w:val="right"/>
            </w:pPr>
            <w:r>
              <w:rPr>
                <w:color w:val="1C3A36"/>
                <w:sz w:val="14"/>
              </w:rPr>
              <w:t>425,043</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4% a year. The margin is the half's own and reflects the warehouse activity moved into this unit; the profit share from the bunkering associate is removed separately so it is not counted twice.</w:t>
            </w:r>
          </w:p>
        </w:tc>
      </w:tr>
      <w:tr>
        <w:trPr>
          <w:cantSplit w:val="true"/>
        </w:trPr>
        <w:tc>
          <w:tcPr>
            <w:tcW w:type="dxa" w:w="2088"/>
          </w:tcPr>
          <w:p>
            <w:pPr>
              <w:spacing w:after="20" w:before="0" w:line="240" w:lineRule="auto"/>
            </w:pPr>
            <w:r>
              <w:rPr>
                <w:color w:val="1C3A36"/>
                <w:sz w:val="14"/>
              </w:rPr>
              <w:t>drv mar services 2029</w:t>
            </w:r>
          </w:p>
        </w:tc>
        <w:tc>
          <w:tcPr>
            <w:tcW w:type="dxa" w:w="1238"/>
          </w:tcPr>
          <w:p>
            <w:pPr>
              <w:spacing w:after="20" w:before="0" w:line="240" w:lineRule="auto"/>
              <w:jc w:val="right"/>
            </w:pPr>
            <w:r>
              <w:rPr>
                <w:color w:val="1C3A36"/>
                <w:sz w:val="14"/>
              </w:rPr>
              <w:t>27.54%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4% a year. The margin is the half's own and reflects the warehouse activity moved into this unit; the profit share from the bunkering associate is removed separately so it is not counted twice.</w:t>
            </w:r>
          </w:p>
        </w:tc>
      </w:tr>
      <w:tr>
        <w:trPr>
          <w:cantSplit w:val="true"/>
        </w:trPr>
        <w:tc>
          <w:tcPr>
            <w:tcW w:type="dxa" w:w="2088"/>
          </w:tcPr>
          <w:p>
            <w:pPr>
              <w:spacing w:after="20" w:before="0" w:line="240" w:lineRule="auto"/>
            </w:pPr>
            <w:r>
              <w:rPr>
                <w:color w:val="1C3A36"/>
                <w:sz w:val="14"/>
              </w:rPr>
              <w:t>drv rev services 2030</w:t>
            </w:r>
          </w:p>
        </w:tc>
        <w:tc>
          <w:tcPr>
            <w:tcW w:type="dxa" w:w="1238"/>
          </w:tcPr>
          <w:p>
            <w:pPr>
              <w:spacing w:after="20" w:before="0" w:line="240" w:lineRule="auto"/>
              <w:jc w:val="right"/>
            </w:pPr>
            <w:r>
              <w:rPr>
                <w:color w:val="1C3A36"/>
                <w:sz w:val="14"/>
              </w:rPr>
              <w:t>442,045</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4% a year. The margin is the half's own and reflects the warehouse activity moved into this unit; the profit share from the bunkering associate is removed separately so it is not counted twice.</w:t>
            </w:r>
          </w:p>
        </w:tc>
      </w:tr>
      <w:tr>
        <w:trPr>
          <w:cantSplit w:val="true"/>
        </w:trPr>
        <w:tc>
          <w:tcPr>
            <w:tcW w:type="dxa" w:w="2088"/>
          </w:tcPr>
          <w:p>
            <w:pPr>
              <w:spacing w:after="20" w:before="0" w:line="240" w:lineRule="auto"/>
            </w:pPr>
            <w:r>
              <w:rPr>
                <w:color w:val="1C3A36"/>
                <w:sz w:val="14"/>
              </w:rPr>
              <w:t>drv mar services 2030</w:t>
            </w:r>
          </w:p>
        </w:tc>
        <w:tc>
          <w:tcPr>
            <w:tcW w:type="dxa" w:w="1238"/>
          </w:tcPr>
          <w:p>
            <w:pPr>
              <w:spacing w:after="20" w:before="0" w:line="240" w:lineRule="auto"/>
              <w:jc w:val="right"/>
            </w:pPr>
            <w:r>
              <w:rPr>
                <w:color w:val="1C3A36"/>
                <w:sz w:val="14"/>
              </w:rPr>
              <w:t>27.54%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The reviewed half as reported plus a second half on the same terms, then 4% a year. The margin is the half's own and reflects the warehouse activity moved into this unit; the profit share from the bunkering associate is removed separately so it is not counted twice.</w:t>
            </w:r>
          </w:p>
        </w:tc>
      </w:tr>
      <w:tr>
        <w:trPr>
          <w:cantSplit w:val="true"/>
        </w:trPr>
        <w:tc>
          <w:tcPr>
            <w:tcW w:type="dxa" w:w="2088"/>
          </w:tcPr>
          <w:p>
            <w:pPr>
              <w:spacing w:after="20" w:before="0" w:line="240" w:lineRule="auto"/>
            </w:pPr>
            <w:r>
              <w:rPr>
                <w:color w:val="1C3A36"/>
                <w:sz w:val="14"/>
              </w:rPr>
              <w:t>seg dna offshore contracting fy25</w:t>
            </w:r>
          </w:p>
        </w:tc>
        <w:tc>
          <w:tcPr>
            <w:tcW w:type="dxa" w:w="1238"/>
          </w:tcPr>
          <w:p>
            <w:pPr>
              <w:spacing w:after="20" w:before="0" w:line="240" w:lineRule="auto"/>
              <w:jc w:val="right"/>
            </w:pPr>
            <w:r>
              <w:rPr>
                <w:color w:val="1C3A36"/>
                <w:sz w:val="14"/>
              </w:rPr>
              <w:t>151,367</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depreciation and amortisation carried in direct costs plus that carried in general and administrative expenses</w:t>
            </w:r>
          </w:p>
        </w:tc>
      </w:tr>
      <w:tr>
        <w:trPr>
          <w:cantSplit w:val="true"/>
        </w:trPr>
        <w:tc>
          <w:tcPr>
            <w:tcW w:type="dxa" w:w="2088"/>
          </w:tcPr>
          <w:p>
            <w:pPr>
              <w:spacing w:after="20" w:before="0" w:line="240" w:lineRule="auto"/>
            </w:pPr>
            <w:r>
              <w:rPr>
                <w:color w:val="1C3A36"/>
                <w:sz w:val="14"/>
              </w:rPr>
              <w:t>seg dna offshore services fy25</w:t>
            </w:r>
          </w:p>
        </w:tc>
        <w:tc>
          <w:tcPr>
            <w:tcW w:type="dxa" w:w="1238"/>
          </w:tcPr>
          <w:p>
            <w:pPr>
              <w:spacing w:after="20" w:before="0" w:line="240" w:lineRule="auto"/>
              <w:jc w:val="right"/>
            </w:pPr>
            <w:r>
              <w:rPr>
                <w:color w:val="1C3A36"/>
                <w:sz w:val="14"/>
              </w:rPr>
              <w:t>62,963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depreciation and amortisation carried in direct costs plus that carried in general and administrative expenses</w:t>
            </w:r>
          </w:p>
        </w:tc>
      </w:tr>
      <w:tr>
        <w:trPr>
          <w:cantSplit w:val="true"/>
        </w:trPr>
        <w:tc>
          <w:tcPr>
            <w:tcW w:type="dxa" w:w="2088"/>
          </w:tcPr>
          <w:p>
            <w:pPr>
              <w:spacing w:after="20" w:before="0" w:line="240" w:lineRule="auto"/>
            </w:pPr>
            <w:r>
              <w:rPr>
                <w:color w:val="1C3A36"/>
                <w:sz w:val="14"/>
              </w:rPr>
              <w:t>seg dna offshore projects fy25</w:t>
            </w:r>
          </w:p>
        </w:tc>
        <w:tc>
          <w:tcPr>
            <w:tcW w:type="dxa" w:w="1238"/>
          </w:tcPr>
          <w:p>
            <w:pPr>
              <w:spacing w:after="20" w:before="0" w:line="240" w:lineRule="auto"/>
              <w:jc w:val="right"/>
            </w:pPr>
            <w:r>
              <w:rPr>
                <w:color w:val="1C3A36"/>
                <w:sz w:val="14"/>
              </w:rPr>
              <w:t>8,860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depreciation and amortisation carried in direct costs plus that carried in general and administrative expenses</w:t>
            </w:r>
          </w:p>
        </w:tc>
      </w:tr>
      <w:tr>
        <w:trPr>
          <w:cantSplit w:val="true"/>
        </w:trPr>
        <w:tc>
          <w:tcPr>
            <w:tcW w:type="dxa" w:w="2088"/>
          </w:tcPr>
          <w:p>
            <w:pPr>
              <w:spacing w:after="20" w:before="0" w:line="240" w:lineRule="auto"/>
            </w:pPr>
            <w:r>
              <w:rPr>
                <w:color w:val="1C3A36"/>
                <w:sz w:val="14"/>
              </w:rPr>
              <w:t>seg dna tankers fy25</w:t>
            </w:r>
          </w:p>
        </w:tc>
        <w:tc>
          <w:tcPr>
            <w:tcW w:type="dxa" w:w="1238"/>
          </w:tcPr>
          <w:p>
            <w:pPr>
              <w:spacing w:after="20" w:before="0" w:line="240" w:lineRule="auto"/>
              <w:jc w:val="right"/>
            </w:pPr>
            <w:r>
              <w:rPr>
                <w:color w:val="1C3A36"/>
                <w:sz w:val="14"/>
              </w:rPr>
              <w:t>195,374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depreciation and amortisation carried in direct costs plus that carried in general and administrative expenses</w:t>
            </w:r>
          </w:p>
        </w:tc>
      </w:tr>
      <w:tr>
        <w:trPr>
          <w:cantSplit w:val="true"/>
        </w:trPr>
        <w:tc>
          <w:tcPr>
            <w:tcW w:type="dxa" w:w="2088"/>
          </w:tcPr>
          <w:p>
            <w:pPr>
              <w:spacing w:after="20" w:before="0" w:line="240" w:lineRule="auto"/>
            </w:pPr>
            <w:r>
              <w:rPr>
                <w:color w:val="1C3A36"/>
                <w:sz w:val="14"/>
              </w:rPr>
              <w:t>seg dna gas carriers fy25</w:t>
            </w:r>
          </w:p>
        </w:tc>
        <w:tc>
          <w:tcPr>
            <w:tcW w:type="dxa" w:w="1238"/>
          </w:tcPr>
          <w:p>
            <w:pPr>
              <w:spacing w:after="20" w:before="0" w:line="240" w:lineRule="auto"/>
              <w:jc w:val="right"/>
            </w:pPr>
            <w:r>
              <w:rPr>
                <w:color w:val="1C3A36"/>
                <w:sz w:val="14"/>
              </w:rPr>
              <w:t>50,526</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depreciation and amortisation carried in direct costs plus that carried in general and administrative expenses</w:t>
            </w:r>
          </w:p>
        </w:tc>
      </w:tr>
      <w:tr>
        <w:trPr>
          <w:cantSplit w:val="true"/>
        </w:trPr>
        <w:tc>
          <w:tcPr>
            <w:tcW w:type="dxa" w:w="2088"/>
          </w:tcPr>
          <w:p>
            <w:pPr>
              <w:spacing w:after="20" w:before="0" w:line="240" w:lineRule="auto"/>
            </w:pPr>
            <w:r>
              <w:rPr>
                <w:color w:val="1C3A36"/>
                <w:sz w:val="14"/>
              </w:rPr>
              <w:t>seg dna dry bulk and containers fy25</w:t>
            </w:r>
          </w:p>
        </w:tc>
        <w:tc>
          <w:tcPr>
            <w:tcW w:type="dxa" w:w="1238"/>
          </w:tcPr>
          <w:p>
            <w:pPr>
              <w:spacing w:after="20" w:before="0" w:line="240" w:lineRule="auto"/>
              <w:jc w:val="right"/>
            </w:pPr>
            <w:r>
              <w:rPr>
                <w:color w:val="1C3A36"/>
                <w:sz w:val="14"/>
              </w:rPr>
              <w:t>25,225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depreciation and amortisation carried in direct costs plus that carried in general and administrative expenses</w:t>
            </w:r>
          </w:p>
        </w:tc>
      </w:tr>
      <w:tr>
        <w:trPr>
          <w:cantSplit w:val="true"/>
        </w:trPr>
        <w:tc>
          <w:tcPr>
            <w:tcW w:type="dxa" w:w="2088"/>
          </w:tcPr>
          <w:p>
            <w:pPr>
              <w:spacing w:after="20" w:before="0" w:line="240" w:lineRule="auto"/>
            </w:pPr>
            <w:r>
              <w:rPr>
                <w:color w:val="1C3A36"/>
                <w:sz w:val="14"/>
              </w:rPr>
              <w:t>seg dna services fy25</w:t>
            </w:r>
          </w:p>
        </w:tc>
        <w:tc>
          <w:tcPr>
            <w:tcW w:type="dxa" w:w="1238"/>
          </w:tcPr>
          <w:p>
            <w:pPr>
              <w:spacing w:after="20" w:before="0" w:line="240" w:lineRule="auto"/>
              <w:jc w:val="right"/>
            </w:pPr>
            <w:r>
              <w:rPr>
                <w:color w:val="1C3A36"/>
                <w:sz w:val="14"/>
              </w:rPr>
              <w:t>30,297</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depreciation and amortisation carried in direct costs plus that carried in general and administrative expenses</w:t>
            </w:r>
          </w:p>
        </w:tc>
      </w:tr>
      <w:tr>
        <w:trPr>
          <w:cantSplit w:val="true"/>
        </w:trPr>
        <w:tc>
          <w:tcPr>
            <w:tcW w:type="dxa" w:w="2088"/>
          </w:tcPr>
          <w:p>
            <w:pPr>
              <w:spacing w:after="20" w:before="0" w:line="240" w:lineRule="auto"/>
            </w:pPr>
            <w:r>
              <w:rPr>
                <w:color w:val="1C3A36"/>
                <w:sz w:val="14"/>
              </w:rPr>
              <w:t>capex 2026</w:t>
            </w:r>
          </w:p>
        </w:tc>
        <w:tc>
          <w:tcPr>
            <w:tcW w:type="dxa" w:w="1238"/>
          </w:tcPr>
          <w:p>
            <w:pPr>
              <w:spacing w:after="20" w:before="0" w:line="240" w:lineRule="auto"/>
              <w:jc w:val="right"/>
            </w:pPr>
            <w:r>
              <w:rPr>
                <w:color w:val="1C3A36"/>
                <w:sz w:val="14"/>
              </w:rPr>
              <w:t>1,375,000</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the company's own capital-expenditure path, about USD 7.0 billion in total to 2028</w:t>
            </w:r>
          </w:p>
        </w:tc>
      </w:tr>
      <w:tr>
        <w:trPr>
          <w:cantSplit w:val="true"/>
        </w:trPr>
        <w:tc>
          <w:tcPr>
            <w:tcW w:type="dxa" w:w="2088"/>
          </w:tcPr>
          <w:p>
            <w:pPr>
              <w:spacing w:after="20" w:before="0" w:line="240" w:lineRule="auto"/>
            </w:pPr>
            <w:r>
              <w:rPr>
                <w:color w:val="1C3A36"/>
                <w:sz w:val="14"/>
              </w:rPr>
              <w:t>capex 2027</w:t>
            </w:r>
          </w:p>
        </w:tc>
        <w:tc>
          <w:tcPr>
            <w:tcW w:type="dxa" w:w="1238"/>
          </w:tcPr>
          <w:p>
            <w:pPr>
              <w:spacing w:after="20" w:before="0" w:line="240" w:lineRule="auto"/>
              <w:jc w:val="right"/>
            </w:pPr>
            <w:r>
              <w:rPr>
                <w:color w:val="1C3A36"/>
                <w:sz w:val="14"/>
              </w:rPr>
              <w:t>1,245,000</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the company's own capital-expenditure path, about USD 7.0 billion in total to 2028</w:t>
            </w:r>
          </w:p>
        </w:tc>
      </w:tr>
      <w:tr>
        <w:trPr>
          <w:cantSplit w:val="true"/>
        </w:trPr>
        <w:tc>
          <w:tcPr>
            <w:tcW w:type="dxa" w:w="2088"/>
          </w:tcPr>
          <w:p>
            <w:pPr>
              <w:spacing w:after="20" w:before="0" w:line="240" w:lineRule="auto"/>
            </w:pPr>
            <w:r>
              <w:rPr>
                <w:color w:val="1C3A36"/>
                <w:sz w:val="14"/>
              </w:rPr>
              <w:t>capex 2028</w:t>
            </w:r>
          </w:p>
        </w:tc>
        <w:tc>
          <w:tcPr>
            <w:tcW w:type="dxa" w:w="1238"/>
          </w:tcPr>
          <w:p>
            <w:pPr>
              <w:spacing w:after="20" w:before="0" w:line="240" w:lineRule="auto"/>
              <w:jc w:val="right"/>
            </w:pPr>
            <w:r>
              <w:rPr>
                <w:color w:val="1C3A36"/>
                <w:sz w:val="14"/>
              </w:rPr>
              <w:t>1,245,000</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ADNOC L&amp;S plc, Investor Presentation April 2026 — the company's own capital-expenditure path, about USD 7.0 billion in total to 2028</w:t>
            </w:r>
          </w:p>
        </w:tc>
      </w:tr>
      <w:tr>
        <w:trPr>
          <w:cantSplit w:val="true"/>
        </w:trPr>
        <w:tc>
          <w:tcPr>
            <w:tcW w:type="dxa" w:w="2088"/>
          </w:tcPr>
          <w:p>
            <w:pPr>
              <w:spacing w:after="20" w:before="0" w:line="240" w:lineRule="auto"/>
            </w:pPr>
            <w:r>
              <w:rPr>
                <w:color w:val="1C3A36"/>
                <w:sz w:val="14"/>
              </w:rPr>
              <w:t>capex 2029</w:t>
            </w:r>
          </w:p>
        </w:tc>
        <w:tc>
          <w:tcPr>
            <w:tcW w:type="dxa" w:w="1238"/>
          </w:tcPr>
          <w:p>
            <w:pPr>
              <w:spacing w:after="20" w:before="0" w:line="240" w:lineRule="auto"/>
              <w:jc w:val="right"/>
            </w:pPr>
            <w:r>
              <w:rPr>
                <w:color w:val="1C3A36"/>
                <w:sz w:val="14"/>
              </w:rPr>
              <w:t>700,000</w:t>
            </w:r>
          </w:p>
        </w:tc>
        <w:tc>
          <w:tcPr>
            <w:tcW w:type="dxa" w:w="1022"/>
          </w:tcPr>
          <w:p>
            <w:pPr>
              <w:spacing w:after="20" w:before="0" w:line="240" w:lineRule="auto"/>
            </w:pPr>
            <w:r>
              <w:rPr>
                <w:color w:val="1C3A36"/>
                <w:sz w:val="14"/>
              </w:rPr>
              <w:t>9 Aug 2026</w:t>
            </w:r>
          </w:p>
        </w:tc>
        <w:tc>
          <w:tcPr>
            <w:tcW w:type="dxa" w:w="5875"/>
          </w:tcPr>
          <w:p>
            <w:pPr>
              <w:spacing w:after="20" w:before="0" w:line="240" w:lineRule="auto"/>
            </w:pPr>
            <w:r>
              <w:rPr>
                <w:color w:val="1C3A36"/>
                <w:sz w:val="14"/>
              </w:rPr>
              <w:t>Study forecast driver — beyond the guided window the newbuild programme has delivered, so spending falls back toward the stated USD 100-150 million a year of maintenance capital expenditure plus continuing fleet renewal</w:t>
            </w:r>
          </w:p>
        </w:tc>
      </w:tr>
      <w:tr>
        <w:trPr>
          <w:cantSplit w:val="true"/>
        </w:trPr>
        <w:tc>
          <w:tcPr>
            <w:tcW w:type="dxa" w:w="2088"/>
          </w:tcPr>
          <w:p>
            <w:pPr>
              <w:spacing w:after="20" w:before="0" w:line="240" w:lineRule="auto"/>
            </w:pPr>
            <w:r>
              <w:rPr>
                <w:color w:val="1C3A36"/>
                <w:sz w:val="14"/>
              </w:rPr>
              <w:t>capex 2030</w:t>
            </w:r>
          </w:p>
        </w:tc>
        <w:tc>
          <w:tcPr>
            <w:tcW w:type="dxa" w:w="1238"/>
          </w:tcPr>
          <w:p>
            <w:pPr>
              <w:spacing w:after="20" w:before="0" w:line="240" w:lineRule="auto"/>
              <w:jc w:val="right"/>
            </w:pPr>
            <w:r>
              <w:rPr>
                <w:color w:val="1C3A36"/>
                <w:sz w:val="14"/>
              </w:rPr>
              <w:t>650,000</w:t>
            </w:r>
          </w:p>
        </w:tc>
        <w:tc>
          <w:tcPr>
            <w:tcW w:type="dxa" w:w="1022"/>
          </w:tcPr>
          <w:p>
            <w:pPr>
              <w:spacing w:after="20" w:before="0" w:line="240" w:lineRule="auto"/>
            </w:pPr>
            <w:r>
              <w:rPr>
                <w:color w:val="1C3A36"/>
                <w:sz w:val="14"/>
              </w:rPr>
              <w:t>9 Aug 2026</w:t>
            </w:r>
          </w:p>
        </w:tc>
        <w:tc>
          <w:tcPr>
            <w:tcW w:type="dxa" w:w="5875"/>
          </w:tcPr>
          <w:p>
            <w:pPr>
              <w:spacing w:after="20" w:before="0" w:line="240" w:lineRule="auto"/>
            </w:pPr>
            <w:r>
              <w:rPr>
                <w:color w:val="1C3A36"/>
                <w:sz w:val="14"/>
              </w:rPr>
              <w:t>Study forecast driver — beyond the guided window the newbuild programme has delivered, so spending falls back toward the stated USD 100-150 million a year of maintenance capital expenditure plus continuing fleet renewal</w:t>
            </w:r>
          </w:p>
        </w:tc>
      </w:tr>
      <w:tr>
        <w:trPr>
          <w:cantSplit w:val="true"/>
        </w:trPr>
        <w:tc>
          <w:tcPr>
            <w:tcW w:type="dxa" w:w="2088"/>
          </w:tcPr>
          <w:p>
            <w:pPr>
              <w:spacing w:after="20" w:before="0" w:line="240" w:lineRule="auto"/>
            </w:pPr>
            <w:r>
              <w:rPr>
                <w:color w:val="1C3A36"/>
                <w:sz w:val="14"/>
              </w:rPr>
              <w:t>dep rate ppe</w:t>
            </w:r>
          </w:p>
        </w:tc>
        <w:tc>
          <w:tcPr>
            <w:tcW w:type="dxa" w:w="1238"/>
          </w:tcPr>
          <w:p>
            <w:pPr>
              <w:spacing w:after="20" w:before="0" w:line="240" w:lineRule="auto"/>
              <w:jc w:val="right"/>
            </w:pPr>
            <w:r>
              <w:rPr>
                <w:color w:val="1C3A36"/>
                <w:sz w:val="14"/>
              </w:rPr>
              <w:t>5.91%</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Depreciation charged on property, plant and equipment in the six months to 30 June 2026, annualised, over the average balance for that half. The half replaces the first quarter as the basis: the quarter is a shorter window on the same fleet and the half is the latest reviewed period. It stays a better forward basis than the 2025 full year, whose average balance is distorted by the fleet acquired at the start of that year</w:t>
            </w:r>
          </w:p>
        </w:tc>
      </w:tr>
      <w:tr>
        <w:trPr>
          <w:cantSplit w:val="true"/>
        </w:trPr>
        <w:tc>
          <w:tcPr>
            <w:tcW w:type="dxa" w:w="2088"/>
          </w:tcPr>
          <w:p>
            <w:pPr>
              <w:spacing w:after="20" w:before="0" w:line="240" w:lineRule="auto"/>
            </w:pPr>
            <w:r>
              <w:rPr>
                <w:color w:val="1C3A36"/>
                <w:sz w:val="14"/>
              </w:rPr>
              <w:t>life tankers</w:t>
            </w:r>
          </w:p>
        </w:tc>
        <w:tc>
          <w:tcPr>
            <w:tcW w:type="dxa" w:w="1238"/>
          </w:tcPr>
          <w:p>
            <w:pPr>
              <w:spacing w:after="20" w:before="0" w:line="240" w:lineRule="auto"/>
              <w:jc w:val="right"/>
            </w:pPr>
            <w:r>
              <w:rPr>
                <w:color w:val="1C3A36"/>
                <w:sz w:val="14"/>
              </w:rPr>
              <w:t>25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accounting policies: tankers are depreciated straight line over 25 years, dry-bulk and containers 25, gas carriers 25 to 40, offshore vessels 20 to 25 and jack-up barges 40, with dry-docking components over 2 to 5</w:t>
            </w:r>
          </w:p>
        </w:tc>
      </w:tr>
      <w:tr>
        <w:trPr>
          <w:cantSplit w:val="true"/>
        </w:trPr>
        <w:tc>
          <w:tcPr>
            <w:tcW w:type="dxa" w:w="2088"/>
          </w:tcPr>
          <w:p>
            <w:pPr>
              <w:spacing w:after="20" w:before="0" w:line="240" w:lineRule="auto"/>
            </w:pPr>
            <w:r>
              <w:rPr>
                <w:color w:val="1C3A36"/>
                <w:sz w:val="14"/>
              </w:rPr>
              <w:t>dep rate realised fy25</w:t>
            </w:r>
          </w:p>
        </w:tc>
        <w:tc>
          <w:tcPr>
            <w:tcW w:type="dxa" w:w="1238"/>
          </w:tcPr>
          <w:p>
            <w:pPr>
              <w:spacing w:after="20" w:before="0" w:line="240" w:lineRule="auto"/>
              <w:jc w:val="right"/>
            </w:pPr>
            <w:r>
              <w:rPr>
                <w:color w:val="1C3A36"/>
                <w:sz w:val="14"/>
              </w:rPr>
              <w:t>0.068</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depreciation charged on property, plant and equipment in 2025 over the average balance for the year. It is higher than the rate used here, and both are higher than the disclosed useful lives imply for a fleet written off over 25 to 40 years, because dry-docking components are written off over 2 to 5 years. The rate used is the more conservative of the two available forward bases and is sensitised</w:t>
            </w:r>
          </w:p>
        </w:tc>
      </w:tr>
      <w:tr>
        <w:trPr>
          <w:cantSplit w:val="true"/>
        </w:trPr>
        <w:tc>
          <w:tcPr>
            <w:tcW w:type="dxa" w:w="2088"/>
          </w:tcPr>
          <w:p>
            <w:pPr>
              <w:spacing w:after="20" w:before="0" w:line="240" w:lineRule="auto"/>
            </w:pPr>
            <w:r>
              <w:rPr>
                <w:color w:val="1C3A36"/>
                <w:sz w:val="14"/>
              </w:rPr>
              <w:t>other dna run rate</w:t>
            </w:r>
          </w:p>
        </w:tc>
        <w:tc>
          <w:tcPr>
            <w:tcW w:type="dxa" w:w="1238"/>
          </w:tcPr>
          <w:p>
            <w:pPr>
              <w:spacing w:after="20" w:before="0" w:line="240" w:lineRule="auto"/>
              <w:jc w:val="right"/>
            </w:pPr>
            <w:r>
              <w:rPr>
                <w:color w:val="1C3A36"/>
                <w:sz w:val="14"/>
              </w:rPr>
              <w:t>112,962</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depreciation on right-of-use assets and investment properties plus amortisation of intangibles in the six months to 30 June 2026, annualised</w:t>
            </w:r>
          </w:p>
        </w:tc>
      </w:tr>
      <w:tr>
        <w:trPr>
          <w:cantSplit w:val="true"/>
        </w:trPr>
        <w:tc>
          <w:tcPr>
            <w:tcW w:type="dxa" w:w="2088"/>
          </w:tcPr>
          <w:p>
            <w:pPr>
              <w:spacing w:after="20" w:before="0" w:line="240" w:lineRule="auto"/>
            </w:pPr>
            <w:r>
              <w:rPr>
                <w:color w:val="1C3A36"/>
                <w:sz w:val="14"/>
              </w:rPr>
              <w:t>dso days reported</w:t>
            </w:r>
          </w:p>
        </w:tc>
        <w:tc>
          <w:tcPr>
            <w:tcW w:type="dxa" w:w="1238"/>
          </w:tcPr>
          <w:p>
            <w:pPr>
              <w:spacing w:after="20" w:before="0" w:line="240" w:lineRule="auto"/>
              <w:jc w:val="right"/>
            </w:pPr>
            <w:r>
              <w:rPr>
                <w:color w:val="1C3A36"/>
                <w:sz w:val="14"/>
              </w:rPr>
              <w:t>108.4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trade and other receivables plus amounts due from related parties over reported 2025 revenue</w:t>
            </w:r>
          </w:p>
        </w:tc>
      </w:tr>
      <w:tr>
        <w:trPr>
          <w:cantSplit w:val="true"/>
        </w:trPr>
        <w:tc>
          <w:tcPr>
            <w:tcW w:type="dxa" w:w="2088"/>
          </w:tcPr>
          <w:p>
            <w:pPr>
              <w:spacing w:after="20" w:before="0" w:line="240" w:lineRule="auto"/>
            </w:pPr>
            <w:r>
              <w:rPr>
                <w:color w:val="1C3A36"/>
                <w:sz w:val="14"/>
              </w:rPr>
              <w:t>dso days</w:t>
            </w:r>
          </w:p>
        </w:tc>
        <w:tc>
          <w:tcPr>
            <w:tcW w:type="dxa" w:w="1238"/>
          </w:tcPr>
          <w:p>
            <w:pPr>
              <w:spacing w:after="20" w:before="0" w:line="240" w:lineRule="auto"/>
              <w:jc w:val="right"/>
            </w:pPr>
            <w:r>
              <w:rPr>
                <w:color w:val="1C3A36"/>
                <w:sz w:val="14"/>
              </w:rPr>
              <w:t>110.1 days</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trade and other receivables plus amounts due from related parties over revenue, in days</w:t>
            </w:r>
          </w:p>
        </w:tc>
      </w:tr>
      <w:tr>
        <w:trPr>
          <w:cantSplit w:val="true"/>
        </w:trPr>
        <w:tc>
          <w:tcPr>
            <w:tcW w:type="dxa" w:w="2088"/>
          </w:tcPr>
          <w:p>
            <w:pPr>
              <w:spacing w:after="20" w:before="0" w:line="240" w:lineRule="auto"/>
            </w:pPr>
            <w:r>
              <w:rPr>
                <w:color w:val="1C3A36"/>
                <w:sz w:val="14"/>
              </w:rPr>
              <w:t>dio days</w:t>
            </w:r>
          </w:p>
        </w:tc>
        <w:tc>
          <w:tcPr>
            <w:tcW w:type="dxa" w:w="1238"/>
          </w:tcPr>
          <w:p>
            <w:pPr>
              <w:spacing w:after="20" w:before="0" w:line="240" w:lineRule="auto"/>
              <w:jc w:val="right"/>
            </w:pPr>
            <w:r>
              <w:rPr>
                <w:color w:val="1C3A36"/>
                <w:sz w:val="14"/>
              </w:rPr>
              <w:t>14.1 days</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inventories over total operating cost, in days</w:t>
            </w:r>
          </w:p>
        </w:tc>
      </w:tr>
      <w:tr>
        <w:trPr>
          <w:cantSplit w:val="true"/>
        </w:trPr>
        <w:tc>
          <w:tcPr>
            <w:tcW w:type="dxa" w:w="2088"/>
          </w:tcPr>
          <w:p>
            <w:pPr>
              <w:spacing w:after="20" w:before="0" w:line="240" w:lineRule="auto"/>
            </w:pPr>
            <w:r>
              <w:rPr>
                <w:color w:val="1C3A36"/>
                <w:sz w:val="14"/>
              </w:rPr>
              <w:t>dpo days</w:t>
            </w:r>
          </w:p>
        </w:tc>
        <w:tc>
          <w:tcPr>
            <w:tcW w:type="dxa" w:w="1238"/>
          </w:tcPr>
          <w:p>
            <w:pPr>
              <w:spacing w:after="20" w:before="0" w:line="240" w:lineRule="auto"/>
              <w:jc w:val="right"/>
            </w:pPr>
            <w:r>
              <w:rPr>
                <w:color w:val="1C3A36"/>
                <w:sz w:val="14"/>
              </w:rPr>
              <w:t>131.7 days</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trade and other payables plus amounts due to related parties over total operating cost, in days</w:t>
            </w:r>
          </w:p>
        </w:tc>
      </w:tr>
      <w:tr>
        <w:trPr>
          <w:cantSplit w:val="true"/>
        </w:trPr>
        <w:tc>
          <w:tcPr>
            <w:tcW w:type="dxa" w:w="2088"/>
          </w:tcPr>
          <w:p>
            <w:pPr>
              <w:spacing w:after="20" w:before="0" w:line="240" w:lineRule="auto"/>
            </w:pPr>
            <w:r>
              <w:rPr>
                <w:color w:val="1C3A36"/>
                <w:sz w:val="14"/>
              </w:rPr>
              <w:t>lease open fy25</w:t>
            </w:r>
          </w:p>
        </w:tc>
        <w:tc>
          <w:tcPr>
            <w:tcW w:type="dxa" w:w="1238"/>
          </w:tcPr>
          <w:p>
            <w:pPr>
              <w:spacing w:after="20" w:before="0" w:line="240" w:lineRule="auto"/>
              <w:jc w:val="right"/>
            </w:pPr>
            <w:r>
              <w:rPr>
                <w:color w:val="1C3A36"/>
                <w:sz w:val="14"/>
              </w:rPr>
              <w:t>170,274</w:t>
            </w:r>
          </w:p>
        </w:tc>
        <w:tc>
          <w:tcPr>
            <w:tcW w:type="dxa" w:w="1022"/>
          </w:tcPr>
          <w:p>
            <w:pPr>
              <w:spacing w:after="20" w:before="0" w:line="240" w:lineRule="auto"/>
            </w:pPr>
            <w:r>
              <w:rPr>
                <w:color w:val="1C3A36"/>
                <w:sz w:val="14"/>
              </w:rPr>
              <w:t>1 Jan 2025</w:t>
            </w:r>
          </w:p>
        </w:tc>
        <w:tc>
          <w:tcPr>
            <w:tcW w:type="dxa" w:w="5875"/>
          </w:tcPr>
          <w:p>
            <w:pPr>
              <w:spacing w:after="20" w:before="0" w:line="240" w:lineRule="auto"/>
            </w:pPr>
            <w:r>
              <w:rPr>
                <w:color w:val="1C3A36"/>
                <w:sz w:val="14"/>
              </w:rPr>
              <w:t>ADNOC L&amp;S plc, Consolidated Financial Statements FY2025 (PwC-audited, signed 10 Feb 2026) — lease liabilities note, opening balance</w:t>
            </w:r>
          </w:p>
        </w:tc>
      </w:tr>
      <w:tr>
        <w:trPr>
          <w:cantSplit w:val="true"/>
        </w:trPr>
        <w:tc>
          <w:tcPr>
            <w:tcW w:type="dxa" w:w="2088"/>
          </w:tcPr>
          <w:p>
            <w:pPr>
              <w:spacing w:after="20" w:before="0" w:line="240" w:lineRule="auto"/>
            </w:pPr>
            <w:r>
              <w:rPr>
                <w:color w:val="1C3A36"/>
                <w:sz w:val="14"/>
              </w:rPr>
              <w:t>lease close fy25</w:t>
            </w:r>
          </w:p>
        </w:tc>
        <w:tc>
          <w:tcPr>
            <w:tcW w:type="dxa" w:w="1238"/>
          </w:tcPr>
          <w:p>
            <w:pPr>
              <w:spacing w:after="20" w:before="0" w:line="240" w:lineRule="auto"/>
              <w:jc w:val="right"/>
            </w:pPr>
            <w:r>
              <w:rPr>
                <w:color w:val="1C3A36"/>
                <w:sz w:val="14"/>
              </w:rPr>
              <w:t>223,153</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lease liabilities note, closing balance</w:t>
            </w:r>
          </w:p>
        </w:tc>
      </w:tr>
      <w:tr>
        <w:trPr>
          <w:cantSplit w:val="true"/>
        </w:trPr>
        <w:tc>
          <w:tcPr>
            <w:tcW w:type="dxa" w:w="2088"/>
          </w:tcPr>
          <w:p>
            <w:pPr>
              <w:spacing w:after="20" w:before="0" w:line="240" w:lineRule="auto"/>
            </w:pPr>
            <w:r>
              <w:rPr>
                <w:color w:val="1C3A36"/>
                <w:sz w:val="14"/>
              </w:rPr>
              <w:t>nci navig8</w:t>
            </w:r>
          </w:p>
        </w:tc>
        <w:tc>
          <w:tcPr>
            <w:tcW w:type="dxa" w:w="1238"/>
          </w:tcPr>
          <w:p>
            <w:pPr>
              <w:spacing w:after="20" w:before="0" w:line="240" w:lineRule="auto"/>
              <w:jc w:val="right"/>
            </w:pPr>
            <w:r>
              <w:rPr>
                <w:color w:val="1C3A36"/>
                <w:sz w:val="14"/>
              </w:rPr>
              <w:t>251,985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statement of changes in equity: non-controlling interests arising on business combinations, being the 20% of the acquired tanker business</w:t>
            </w:r>
          </w:p>
        </w:tc>
      </w:tr>
      <w:tr>
        <w:trPr>
          <w:cantSplit w:val="true"/>
        </w:trPr>
        <w:tc>
          <w:tcPr>
            <w:tcW w:type="dxa" w:w="2088"/>
          </w:tcPr>
          <w:p>
            <w:pPr>
              <w:spacing w:after="20" w:before="0" w:line="240" w:lineRule="auto"/>
            </w:pPr>
            <w:r>
              <w:rPr>
                <w:color w:val="1C3A36"/>
                <w:sz w:val="14"/>
              </w:rPr>
              <w:t>gross ppe ex cwip fy25</w:t>
            </w:r>
          </w:p>
        </w:tc>
        <w:tc>
          <w:tcPr>
            <w:tcW w:type="dxa" w:w="1238"/>
          </w:tcPr>
          <w:p>
            <w:pPr>
              <w:spacing w:after="20" w:before="0" w:line="240" w:lineRule="auto"/>
              <w:jc w:val="right"/>
            </w:pPr>
            <w:r>
              <w:rPr>
                <w:color w:val="1C3A36"/>
                <w:sz w:val="14"/>
              </w:rPr>
              <w:t>7,595,070</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note 11, gross cost of property, plant and equipment at 31 December 2025 of USD 8,167,686 thousand LESS capital work in progress of USD 572,616 thousand, which is not depreciated. Buildings 148,743, vessels and marine equipment 7,279,939, plant 5,305, equipment and vehicles 114,636, furniture and office equipment 46,447</w:t>
            </w:r>
          </w:p>
        </w:tc>
      </w:tr>
      <w:tr>
        <w:trPr>
          <w:cantSplit w:val="true"/>
        </w:trPr>
        <w:tc>
          <w:tcPr>
            <w:tcW w:type="dxa" w:w="2088"/>
          </w:tcPr>
          <w:p>
            <w:pPr>
              <w:spacing w:after="20" w:before="0" w:line="240" w:lineRule="auto"/>
            </w:pPr>
            <w:r>
              <w:rPr>
                <w:color w:val="1C3A36"/>
                <w:sz w:val="14"/>
              </w:rPr>
              <w:t>vessel life years</w:t>
            </w:r>
          </w:p>
        </w:tc>
        <w:tc>
          <w:tcPr>
            <w:tcW w:type="dxa" w:w="1238"/>
          </w:tcPr>
          <w:p>
            <w:pPr>
              <w:spacing w:after="20" w:before="0" w:line="240" w:lineRule="auto"/>
              <w:jc w:val="right"/>
            </w:pPr>
            <w:r>
              <w:rPr>
                <w:color w:val="1C3A36"/>
                <w:sz w:val="14"/>
              </w:rPr>
              <w:t>25</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the accounting-policies note states the estimated useful lives directly: tankers 25 years, dry-bulk and containers 25 years, gas carriers 25-40 years, offshore vessels 20-25 years, jack-up barges 40 years, plant 20 years, buildings and port infrastructure 7-50 years. TWENTY-FIVE IS THE STATED LIFE FOR THE MAJORITY VESSEL TYPES and the bottom of the gas-carrier range; the note does not split the USD 7,279,939 thousand vessel line by type, so a gross-cost-weighted blend across vessel classes cannot be computed from this disclosure and is NOT invented. Using the longer end instead would lengthen the life and raise the value, and that alternative is priced in the sensitivity rather than chosen silently</w:t>
            </w:r>
          </w:p>
        </w:tc>
      </w:tr>
      <w:tr>
        <w:trPr>
          <w:cantSplit w:val="true"/>
        </w:trPr>
        <w:tc>
          <w:tcPr>
            <w:tcW w:type="dxa" w:w="2088"/>
          </w:tcPr>
          <w:p>
            <w:pPr>
              <w:spacing w:after="20" w:before="0" w:line="240" w:lineRule="auto"/>
            </w:pPr>
            <w:r>
              <w:rPr>
                <w:color w:val="1C3A36"/>
                <w:sz w:val="14"/>
              </w:rPr>
              <w:t>div declared q2 26</w:t>
            </w:r>
          </w:p>
        </w:tc>
        <w:tc>
          <w:tcPr>
            <w:tcW w:type="dxa" w:w="1238"/>
          </w:tcPr>
          <w:p>
            <w:pPr>
              <w:spacing w:after="20" w:before="0" w:line="240" w:lineRule="auto"/>
              <w:jc w:val="right"/>
            </w:pPr>
            <w:r>
              <w:rPr>
                <w:color w:val="1C3A36"/>
                <w:sz w:val="14"/>
              </w:rPr>
              <w:t>85,300</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Management Discussion and Analysis, First Half 2026 (11 Aug 2026) — interim cash dividend of USD 85.3 million, equivalent to AED 313.3 million, approved by the board for the second quarter of 2026 on a record date of 20 August 2026</w:t>
            </w:r>
          </w:p>
        </w:tc>
      </w:tr>
      <w:tr>
        <w:trPr>
          <w:cantSplit w:val="true"/>
        </w:trPr>
        <w:tc>
          <w:tcPr>
            <w:tcW w:type="dxa" w:w="2088"/>
          </w:tcPr>
          <w:p>
            <w:pPr>
              <w:spacing w:after="20" w:before="0" w:line="240" w:lineRule="auto"/>
            </w:pPr>
            <w:r>
              <w:rPr>
                <w:color w:val="1C3A36"/>
                <w:sz w:val="14"/>
              </w:rPr>
              <w:t>nci share</w:t>
            </w:r>
          </w:p>
        </w:tc>
        <w:tc>
          <w:tcPr>
            <w:tcW w:type="dxa" w:w="1238"/>
          </w:tcPr>
          <w:p>
            <w:pPr>
              <w:spacing w:after="20" w:before="0" w:line="240" w:lineRule="auto"/>
              <w:jc w:val="right"/>
            </w:pPr>
            <w:r>
              <w:rPr>
                <w:color w:val="1C3A36"/>
                <w:sz w:val="14"/>
              </w:rPr>
              <w:t>4.54%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ADNOC L&amp;S plc, Condensed Consolidated Interim Financial Information, six months ended 30 June 2026 (PwC review report signed 10 Aug 2026) — profit attributable to non-controlling interests over profit for the period, over the reviewed six months to 30 June 2026. The two quarters inside it read 8.8 and 3.5 per cent, so the half is used rather than either</w:t>
            </w:r>
          </w:p>
        </w:tc>
      </w:tr>
      <w:tr>
        <w:trPr>
          <w:cantSplit w:val="true"/>
        </w:trPr>
        <w:tc>
          <w:tcPr>
            <w:tcW w:type="dxa" w:w="2088"/>
          </w:tcPr>
          <w:p>
            <w:pPr>
              <w:spacing w:after="20" w:before="0" w:line="240" w:lineRule="auto"/>
            </w:pPr>
            <w:r>
              <w:rPr>
                <w:color w:val="1C3A36"/>
                <w:sz w:val="14"/>
              </w:rPr>
              <w:t>gas vy alt fv</w:t>
            </w:r>
          </w:p>
        </w:tc>
        <w:tc>
          <w:tcPr>
            <w:tcW w:type="dxa" w:w="1238"/>
          </w:tcPr>
          <w:p>
            <w:pPr>
              <w:spacing w:after="20" w:before="0" w:line="240" w:lineRule="auto"/>
              <w:jc w:val="right"/>
            </w:pPr>
            <w:r>
              <w:rPr>
                <w:color w:val="1C3A36"/>
                <w:sz w:val="14"/>
              </w:rPr>
              <w:t>4.561</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ADNOC L&amp;S plc, First Half 2026 Earnings Presentation (11 Aug 2026) — fair value per share on the first-half deck's own reading of the gas contract table, computed through the same model. Published beside the adopted figure; an input to nothing</w:t>
            </w:r>
          </w:p>
        </w:tc>
      </w:tr>
      <w:tr>
        <w:trPr>
          <w:cantSplit w:val="true"/>
        </w:trPr>
        <w:tc>
          <w:tcPr>
            <w:tcW w:type="dxa" w:w="2088"/>
          </w:tcPr>
          <w:p>
            <w:pPr>
              <w:spacing w:after="20" w:before="0" w:line="240" w:lineRule="auto"/>
            </w:pPr>
            <w:r>
              <w:rPr>
                <w:color w:val="1C3A36"/>
                <w:sz w:val="14"/>
              </w:rPr>
              <w:t>tnk leverage alt fv</w:t>
            </w:r>
          </w:p>
        </w:tc>
        <w:tc>
          <w:tcPr>
            <w:tcW w:type="dxa" w:w="1238"/>
          </w:tcPr>
          <w:p>
            <w:pPr>
              <w:spacing w:after="20" w:before="0" w:line="240" w:lineRule="auto"/>
              <w:jc w:val="right"/>
            </w:pPr>
            <w:r>
              <w:rPr>
                <w:color w:val="1C3A36"/>
                <w:sz w:val="14"/>
              </w:rPr>
              <w:t>4.524</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Fair value per share if the tanker unit's earnings leverage on its own fleet's charter-equivalent revenue were 1.0 — the delivered edition's construction — with the fixed base re-solved on the audited 2025 year at that leverage. Computed through the same model; an input to nothing</w:t>
            </w:r>
          </w:p>
        </w:tc>
      </w:tr>
    </w:tbl>
    <w:p>
      <w:pPr>
        <w:spacing w:after="40"/>
      </w:pPr>
    </w:p>
    <w:p>
      <w:pPr>
        <w:spacing w:after="60" w:before="180"/>
      </w:pPr>
      <w:r>
        <w:rPr>
          <w:b/>
          <w:i w:val="0"/>
          <w:color w:val="1C3A36"/>
          <w:sz w:val="22"/>
        </w:rPr>
        <w:t>Industry layer — 6 inputs</w:t>
      </w:r>
    </w:p>
    <w:tbl>
      <w:tblPr>
        <w:tblW w:type="auto" w:w="0"/>
        <w:jc w:val="center"/>
        <w:tblLook w:firstColumn="1" w:firstRow="1" w:lastColumn="0" w:lastRow="0" w:noHBand="0" w:noVBand="1" w:val="04A0"/>
        <w:tblLayout w:type="fixed"/>
        <w:tblCellMar>
          <w:top w:w="34" w:type="dxa"/>
          <w:left w:w="58" w:type="dxa"/>
          <w:bottom w:w="34" w:type="dxa"/>
          <w:right w:w="58"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238"/>
        <w:gridCol w:w="1022"/>
        <w:gridCol w:w="5875"/>
      </w:tblGrid>
      <w:tr>
        <w:trPr>
          <w:cantSplit w:val="true"/>
          <w:tblHeader w:val="true"/>
        </w:trPr>
        <w:tc>
          <w:tcPr>
            <w:tcW w:type="dxa" w:w="2088"/>
            <w:shd w:val="clear" w:color="auto" w:fill="EAF0EE"/>
          </w:tcPr>
          <w:p>
            <w:pPr>
              <w:spacing w:after="20" w:before="0" w:line="240" w:lineRule="auto"/>
            </w:pPr>
            <w:r>
              <w:rPr>
                <w:b/>
                <w:color w:val="1C3A36"/>
                <w:sz w:val="14"/>
              </w:rPr>
              <w:t>Input</w:t>
            </w:r>
          </w:p>
        </w:tc>
        <w:tc>
          <w:tcPr>
            <w:tcW w:type="dxa" w:w="1238"/>
            <w:shd w:val="clear" w:color="auto" w:fill="EAF0EE"/>
          </w:tcPr>
          <w:p>
            <w:pPr>
              <w:spacing w:after="20" w:before="0" w:line="240" w:lineRule="auto"/>
            </w:pPr>
            <w:r>
              <w:rPr>
                <w:b/>
                <w:color w:val="1C3A36"/>
                <w:sz w:val="14"/>
              </w:rPr>
              <w:t>Value</w:t>
            </w:r>
          </w:p>
        </w:tc>
        <w:tc>
          <w:tcPr>
            <w:tcW w:type="dxa" w:w="1022"/>
            <w:shd w:val="clear" w:color="auto" w:fill="EAF0EE"/>
          </w:tcPr>
          <w:p>
            <w:pPr>
              <w:spacing w:after="20" w:before="0" w:line="240" w:lineRule="auto"/>
            </w:pPr>
            <w:r>
              <w:rPr>
                <w:b/>
                <w:color w:val="1C3A36"/>
                <w:sz w:val="14"/>
              </w:rPr>
              <w:t>Date</w:t>
            </w:r>
          </w:p>
        </w:tc>
        <w:tc>
          <w:tcPr>
            <w:tcW w:type="dxa" w:w="5875"/>
            <w:shd w:val="clear" w:color="auto" w:fill="EAF0EE"/>
          </w:tcPr>
          <w:p>
            <w:pPr>
              <w:spacing w:after="20" w:before="0" w:line="240" w:lineRule="auto"/>
            </w:pPr>
            <w:r>
              <w:rPr>
                <w:b/>
                <w:color w:val="1C3A36"/>
                <w:sz w:val="14"/>
              </w:rPr>
              <w:t>Source and construction</w:t>
            </w:r>
          </w:p>
        </w:tc>
      </w:tr>
      <w:tr>
        <w:trPr>
          <w:cantSplit w:val="true"/>
        </w:trPr>
        <w:tc>
          <w:tcPr>
            <w:tcW w:type="dxa" w:w="2088"/>
          </w:tcPr>
          <w:p>
            <w:pPr>
              <w:spacing w:after="20" w:before="0" w:line="240" w:lineRule="auto"/>
            </w:pPr>
            <w:r>
              <w:rPr>
                <w:color w:val="1C3A36"/>
                <w:sz w:val="14"/>
              </w:rPr>
              <w:t>vlcc 1y tc market</w:t>
            </w:r>
          </w:p>
        </w:tc>
        <w:tc>
          <w:tcPr>
            <w:tcW w:type="dxa" w:w="1238"/>
          </w:tcPr>
          <w:p>
            <w:pPr>
              <w:spacing w:after="20" w:before="0" w:line="240" w:lineRule="auto"/>
              <w:jc w:val="right"/>
            </w:pPr>
            <w:r>
              <w:rPr>
                <w:color w:val="1C3A36"/>
                <w:sz w:val="14"/>
              </w:rPr>
              <w:t>76,900/day</w:t>
            </w:r>
          </w:p>
        </w:tc>
        <w:tc>
          <w:tcPr>
            <w:tcW w:type="dxa" w:w="1022"/>
          </w:tcPr>
          <w:p>
            <w:pPr>
              <w:spacing w:after="20" w:before="0" w:line="240" w:lineRule="auto"/>
            </w:pPr>
            <w:r>
              <w:rPr>
                <w:color w:val="1C3A36"/>
                <w:sz w:val="14"/>
              </w:rPr>
              <w:t>31 Jan 2026</w:t>
            </w:r>
          </w:p>
        </w:tc>
        <w:tc>
          <w:tcPr>
            <w:tcW w:type="dxa" w:w="5875"/>
          </w:tcPr>
          <w:p>
            <w:pPr>
              <w:spacing w:after="20" w:before="0" w:line="240" w:lineRule="auto"/>
            </w:pPr>
            <w:r>
              <w:rPr>
                <w:color w:val="1C3A36"/>
                <w:sz w:val="14"/>
              </w:rPr>
              <w:t>One-year time charters fixed by a listed crude tanker owner in early 2026 for seven very large crude carriers, commencing between late January and April 2026, as reported in trade coverage of its results</w:t>
            </w:r>
          </w:p>
        </w:tc>
      </w:tr>
      <w:tr>
        <w:trPr>
          <w:cantSplit w:val="true"/>
        </w:trPr>
        <w:tc>
          <w:tcPr>
            <w:tcW w:type="dxa" w:w="2088"/>
          </w:tcPr>
          <w:p>
            <w:pPr>
              <w:spacing w:after="20" w:before="0" w:line="240" w:lineRule="auto"/>
            </w:pPr>
            <w:r>
              <w:rPr>
                <w:color w:val="1C3A36"/>
                <w:sz w:val="14"/>
              </w:rPr>
              <w:t>vlcc spot clarksons jan26</w:t>
            </w:r>
          </w:p>
        </w:tc>
        <w:tc>
          <w:tcPr>
            <w:tcW w:type="dxa" w:w="1238"/>
          </w:tcPr>
          <w:p>
            <w:pPr>
              <w:spacing w:after="20" w:before="0" w:line="240" w:lineRule="auto"/>
              <w:jc w:val="right"/>
            </w:pPr>
            <w:r>
              <w:rPr>
                <w:color w:val="1C3A36"/>
                <w:sz w:val="14"/>
              </w:rPr>
              <w:t>102,897/day</w:t>
            </w:r>
          </w:p>
        </w:tc>
        <w:tc>
          <w:tcPr>
            <w:tcW w:type="dxa" w:w="1022"/>
          </w:tcPr>
          <w:p>
            <w:pPr>
              <w:spacing w:after="20" w:before="0" w:line="240" w:lineRule="auto"/>
            </w:pPr>
            <w:r>
              <w:rPr>
                <w:color w:val="1C3A36"/>
                <w:sz w:val="14"/>
              </w:rPr>
              <w:t>23 Jan 2026</w:t>
            </w:r>
          </w:p>
        </w:tc>
        <w:tc>
          <w:tcPr>
            <w:tcW w:type="dxa" w:w="5875"/>
          </w:tcPr>
          <w:p>
            <w:pPr>
              <w:spacing w:after="20" w:before="0" w:line="240" w:lineRule="auto"/>
            </w:pPr>
            <w:r>
              <w:rPr>
                <w:color w:val="1C3A36"/>
                <w:sz w:val="14"/>
              </w:rPr>
              <w:t>Weighted average very large crude carrier earnings reported by a shipbroker for the week to 23 January 2026, down from USD 115,635 a week earlier</w:t>
            </w:r>
          </w:p>
        </w:tc>
      </w:tr>
      <w:tr>
        <w:trPr>
          <w:cantSplit w:val="true"/>
        </w:trPr>
        <w:tc>
          <w:tcPr>
            <w:tcW w:type="dxa" w:w="2088"/>
          </w:tcPr>
          <w:p>
            <w:pPr>
              <w:spacing w:after="20" w:before="0" w:line="240" w:lineRule="auto"/>
            </w:pPr>
            <w:r>
              <w:rPr>
                <w:color w:val="1C3A36"/>
                <w:sz w:val="14"/>
              </w:rPr>
              <w:t>tanker orderbook pct fleet</w:t>
            </w:r>
          </w:p>
        </w:tc>
        <w:tc>
          <w:tcPr>
            <w:tcW w:type="dxa" w:w="1238"/>
          </w:tcPr>
          <w:p>
            <w:pPr>
              <w:spacing w:after="20" w:before="0" w:line="240" w:lineRule="auto"/>
              <w:jc w:val="right"/>
            </w:pPr>
            <w:r>
              <w:rPr>
                <w:color w:val="1C3A36"/>
                <w:sz w:val="14"/>
              </w:rPr>
              <w:t>27%</w:t>
            </w:r>
          </w:p>
        </w:tc>
        <w:tc>
          <w:tcPr>
            <w:tcW w:type="dxa" w:w="1022"/>
          </w:tcPr>
          <w:p>
            <w:pPr>
              <w:spacing w:after="20" w:before="0" w:line="240" w:lineRule="auto"/>
            </w:pPr>
            <w:r>
              <w:rPr>
                <w:color w:val="1C3A36"/>
                <w:sz w:val="14"/>
              </w:rPr>
              <w:t>30 Jun 2026</w:t>
            </w:r>
          </w:p>
        </w:tc>
        <w:tc>
          <w:tcPr>
            <w:tcW w:type="dxa" w:w="5875"/>
          </w:tcPr>
          <w:p>
            <w:pPr>
              <w:spacing w:after="20" w:before="0" w:line="240" w:lineRule="auto"/>
            </w:pPr>
            <w:r>
              <w:rPr>
                <w:color w:val="1C3A36"/>
                <w:sz w:val="14"/>
              </w:rPr>
              <w:t>Crude tanker order book as a share of the trading fleet, about 130 million deadweight tonnes, reported by trade coverage as a seventeen-year high, with the very large crude carrier order book near 30%</w:t>
            </w:r>
          </w:p>
        </w:tc>
      </w:tr>
      <w:tr>
        <w:trPr>
          <w:cantSplit w:val="true"/>
        </w:trPr>
        <w:tc>
          <w:tcPr>
            <w:tcW w:type="dxa" w:w="2088"/>
          </w:tcPr>
          <w:p>
            <w:pPr>
              <w:spacing w:after="20" w:before="0" w:line="240" w:lineRule="auto"/>
            </w:pPr>
            <w:r>
              <w:rPr>
                <w:color w:val="1C3A36"/>
                <w:sz w:val="14"/>
              </w:rPr>
              <w:t>h2 2026 reversion</w:t>
            </w:r>
          </w:p>
        </w:tc>
        <w:tc>
          <w:tcPr>
            <w:tcW w:type="dxa" w:w="1238"/>
          </w:tcPr>
          <w:p>
            <w:pPr>
              <w:spacing w:after="20" w:before="0" w:line="240" w:lineRule="auto"/>
              <w:jc w:val="right"/>
            </w:pPr>
            <w:r>
              <w:rPr>
                <w:color w:val="1C3A36"/>
                <w:sz w:val="14"/>
              </w:rPr>
              <w:t>50%</w:t>
            </w:r>
          </w:p>
        </w:tc>
        <w:tc>
          <w:tcPr>
            <w:tcW w:type="dxa" w:w="1022"/>
          </w:tcPr>
          <w:p>
            <w:pPr>
              <w:spacing w:after="20" w:before="0" w:line="240" w:lineRule="auto"/>
            </w:pPr>
            <w:r>
              <w:rPr>
                <w:color w:val="1C3A36"/>
                <w:sz w:val="14"/>
              </w:rPr>
              <w:t>11 Aug 2026</w:t>
            </w:r>
          </w:p>
        </w:tc>
        <w:tc>
          <w:tcPr>
            <w:tcW w:type="dxa" w:w="5875"/>
          </w:tcPr>
          <w:p>
            <w:pPr>
              <w:spacing w:after="20" w:before="0" w:line="240" w:lineRule="auto"/>
            </w:pPr>
            <w:r>
              <w:rPr>
                <w:color w:val="1C3A36"/>
                <w:sz w:val="14"/>
              </w:rPr>
              <w:t>Weight placed on the 2024-25 mid-cycle rate, against the disclosed third-quarter 2026 rate, in setting the fourth quarter of 2026. The value is unchanged from the delivered edition; the rate it reverts FROM is the latest disclosed quarter rather than the first</w:t>
            </w:r>
          </w:p>
        </w:tc>
      </w:tr>
      <w:tr>
        <w:trPr>
          <w:cantSplit w:val="true"/>
        </w:trPr>
        <w:tc>
          <w:tcPr>
            <w:tcW w:type="dxa" w:w="2088"/>
          </w:tcPr>
          <w:p>
            <w:pPr>
              <w:spacing w:after="20" w:before="0" w:line="240" w:lineRule="auto"/>
            </w:pPr>
            <w:r>
              <w:rPr>
                <w:color w:val="1C3A36"/>
                <w:sz w:val="14"/>
              </w:rPr>
              <w:t>ri fade</w:t>
            </w:r>
          </w:p>
        </w:tc>
        <w:tc>
          <w:tcPr>
            <w:tcW w:type="dxa" w:w="1238"/>
          </w:tcPr>
          <w:p>
            <w:pPr>
              <w:spacing w:after="20" w:before="0" w:line="240" w:lineRule="auto"/>
              <w:jc w:val="right"/>
            </w:pPr>
            <w:r>
              <w:rPr>
                <w:color w:val="1C3A36"/>
                <w:sz w:val="14"/>
              </w:rPr>
              <w:t>10%</w:t>
            </w:r>
          </w:p>
        </w:tc>
        <w:tc>
          <w:tcPr>
            <w:tcW w:type="dxa" w:w="1022"/>
          </w:tcPr>
          <w:p>
            <w:pPr>
              <w:spacing w:after="20" w:before="0" w:line="240" w:lineRule="auto"/>
            </w:pPr>
            <w:r>
              <w:rPr>
                <w:color w:val="1C3A36"/>
                <w:sz w:val="14"/>
              </w:rPr>
              <w:t>9 Aug 2026</w:t>
            </w:r>
          </w:p>
        </w:tc>
        <w:tc>
          <w:tcPr>
            <w:tcW w:type="dxa" w:w="5875"/>
          </w:tcPr>
          <w:p>
            <w:pPr>
              <w:spacing w:after="20" w:before="0" w:line="240" w:lineRule="auto"/>
            </w:pPr>
            <w:r>
              <w:rPr>
                <w:color w:val="1C3A36"/>
                <w:sz w:val="14"/>
              </w:rPr>
              <w:t>Rate at which the return above the cost of equity is assumed to decay beyond the forecast. A fleet has to be replaced at market prices rather than at the book value it is carried at, so an excess return cannot persist unchanged; a fifth a year is the house convention for an asset-heavy business and is sensitised from 5% to 30% in the sensitivity section</w:t>
            </w:r>
          </w:p>
        </w:tc>
      </w:tr>
      <w:tr>
        <w:trPr>
          <w:cantSplit w:val="true"/>
        </w:trPr>
        <w:tc>
          <w:tcPr>
            <w:tcW w:type="dxa" w:w="2088"/>
          </w:tcPr>
          <w:p>
            <w:pPr>
              <w:spacing w:after="20" w:before="0" w:line="240" w:lineRule="auto"/>
            </w:pPr>
            <w:r>
              <w:rPr>
                <w:color w:val="1C3A36"/>
                <w:sz w:val="14"/>
              </w:rPr>
              <w:t>rel weight ev ebitda</w:t>
            </w:r>
          </w:p>
        </w:tc>
        <w:tc>
          <w:tcPr>
            <w:tcW w:type="dxa" w:w="1238"/>
          </w:tcPr>
          <w:p>
            <w:pPr>
              <w:spacing w:after="20" w:before="0" w:line="240" w:lineRule="auto"/>
              <w:jc w:val="right"/>
            </w:pPr>
            <w:r>
              <w:rPr>
                <w:color w:val="1C3A36"/>
                <w:sz w:val="14"/>
              </w:rPr>
              <w:t>70%</w:t>
            </w:r>
          </w:p>
        </w:tc>
        <w:tc>
          <w:tcPr>
            <w:tcW w:type="dxa" w:w="1022"/>
          </w:tcPr>
          <w:p>
            <w:pPr>
              <w:spacing w:after="20" w:before="0" w:line="240" w:lineRule="auto"/>
            </w:pPr>
            <w:r>
              <w:rPr>
                <w:color w:val="1C3A36"/>
                <w:sz w:val="14"/>
              </w:rPr>
              <w:t>9 Aug 2026</w:t>
            </w:r>
          </w:p>
        </w:tc>
        <w:tc>
          <w:tcPr>
            <w:tcW w:type="dxa" w:w="5875"/>
          </w:tcPr>
          <w:p>
            <w:pPr>
              <w:spacing w:after="20" w:before="0" w:line="240" w:lineRule="auto"/>
            </w:pPr>
            <w:r>
              <w:rPr>
                <w:color w:val="1C3A36"/>
                <w:sz w:val="14"/>
              </w:rPr>
              <w:t>Study judgement — see the judgements table</w:t>
            </w:r>
          </w:p>
        </w:tc>
      </w:tr>
    </w:tbl>
    <w:p>
      <w:pPr>
        <w:spacing w:after="40"/>
      </w:pPr>
    </w:p>
    <w:p>
      <w:pPr>
        <w:spacing w:after="60" w:before="180"/>
      </w:pPr>
      <w:r>
        <w:rPr>
          <w:b/>
          <w:i w:val="0"/>
          <w:color w:val="1C3A36"/>
          <w:sz w:val="22"/>
        </w:rPr>
        <w:t>Country layer — 17 inputs</w:t>
      </w:r>
    </w:p>
    <w:tbl>
      <w:tblPr>
        <w:tblW w:type="auto" w:w="0"/>
        <w:jc w:val="center"/>
        <w:tblLook w:firstColumn="1" w:firstRow="1" w:lastColumn="0" w:lastRow="0" w:noHBand="0" w:noVBand="1" w:val="04A0"/>
        <w:tblLayout w:type="fixed"/>
        <w:tblCellMar>
          <w:top w:w="34" w:type="dxa"/>
          <w:left w:w="58" w:type="dxa"/>
          <w:bottom w:w="34" w:type="dxa"/>
          <w:right w:w="58"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238"/>
        <w:gridCol w:w="1022"/>
        <w:gridCol w:w="5875"/>
      </w:tblGrid>
      <w:tr>
        <w:trPr>
          <w:cantSplit w:val="true"/>
          <w:tblHeader w:val="true"/>
        </w:trPr>
        <w:tc>
          <w:tcPr>
            <w:tcW w:type="dxa" w:w="2088"/>
            <w:shd w:val="clear" w:color="auto" w:fill="EAF0EE"/>
          </w:tcPr>
          <w:p>
            <w:pPr>
              <w:spacing w:after="20" w:before="0" w:line="240" w:lineRule="auto"/>
            </w:pPr>
            <w:r>
              <w:rPr>
                <w:b/>
                <w:color w:val="1C3A36"/>
                <w:sz w:val="14"/>
              </w:rPr>
              <w:t>Input</w:t>
            </w:r>
          </w:p>
        </w:tc>
        <w:tc>
          <w:tcPr>
            <w:tcW w:type="dxa" w:w="1238"/>
            <w:shd w:val="clear" w:color="auto" w:fill="EAF0EE"/>
          </w:tcPr>
          <w:p>
            <w:pPr>
              <w:spacing w:after="20" w:before="0" w:line="240" w:lineRule="auto"/>
            </w:pPr>
            <w:r>
              <w:rPr>
                <w:b/>
                <w:color w:val="1C3A36"/>
                <w:sz w:val="14"/>
              </w:rPr>
              <w:t>Value</w:t>
            </w:r>
          </w:p>
        </w:tc>
        <w:tc>
          <w:tcPr>
            <w:tcW w:type="dxa" w:w="1022"/>
            <w:shd w:val="clear" w:color="auto" w:fill="EAF0EE"/>
          </w:tcPr>
          <w:p>
            <w:pPr>
              <w:spacing w:after="20" w:before="0" w:line="240" w:lineRule="auto"/>
            </w:pPr>
            <w:r>
              <w:rPr>
                <w:b/>
                <w:color w:val="1C3A36"/>
                <w:sz w:val="14"/>
              </w:rPr>
              <w:t>Date</w:t>
            </w:r>
          </w:p>
        </w:tc>
        <w:tc>
          <w:tcPr>
            <w:tcW w:type="dxa" w:w="5875"/>
            <w:shd w:val="clear" w:color="auto" w:fill="EAF0EE"/>
          </w:tcPr>
          <w:p>
            <w:pPr>
              <w:spacing w:after="20" w:before="0" w:line="240" w:lineRule="auto"/>
            </w:pPr>
            <w:r>
              <w:rPr>
                <w:b/>
                <w:color w:val="1C3A36"/>
                <w:sz w:val="14"/>
              </w:rPr>
              <w:t>Source and construction</w:t>
            </w:r>
          </w:p>
        </w:tc>
      </w:tr>
      <w:tr>
        <w:trPr>
          <w:cantSplit w:val="true"/>
        </w:trPr>
        <w:tc>
          <w:tcPr>
            <w:tcW w:type="dxa" w:w="2088"/>
          </w:tcPr>
          <w:p>
            <w:pPr>
              <w:spacing w:after="20" w:before="0" w:line="240" w:lineRule="auto"/>
            </w:pPr>
            <w:r>
              <w:rPr>
                <w:color w:val="1C3A36"/>
                <w:sz w:val="14"/>
              </w:rPr>
              <w:t>fx aed usd</w:t>
            </w:r>
          </w:p>
        </w:tc>
        <w:tc>
          <w:tcPr>
            <w:tcW w:type="dxa" w:w="1238"/>
          </w:tcPr>
          <w:p>
            <w:pPr>
              <w:spacing w:after="20" w:before="0" w:line="240" w:lineRule="auto"/>
              <w:jc w:val="right"/>
            </w:pPr>
            <w:r>
              <w:rPr>
                <w:color w:val="1C3A36"/>
                <w:sz w:val="14"/>
              </w:rPr>
              <w:t>3.6725</w:t>
            </w:r>
          </w:p>
        </w:tc>
        <w:tc>
          <w:tcPr>
            <w:tcW w:type="dxa" w:w="1022"/>
          </w:tcPr>
          <w:p>
            <w:pPr>
              <w:spacing w:after="20" w:before="0" w:line="240" w:lineRule="auto"/>
            </w:pPr>
            <w:r>
              <w:rPr>
                <w:color w:val="1C3A36"/>
                <w:sz w:val="14"/>
              </w:rPr>
              <w:t>7 Aug 2026</w:t>
            </w:r>
          </w:p>
        </w:tc>
        <w:tc>
          <w:tcPr>
            <w:tcW w:type="dxa" w:w="5875"/>
          </w:tcPr>
          <w:p>
            <w:pPr>
              <w:spacing w:after="20" w:before="0" w:line="240" w:lineRule="auto"/>
            </w:pPr>
            <w:r>
              <w:rPr>
                <w:color w:val="1C3A36"/>
                <w:sz w:val="14"/>
              </w:rPr>
              <w:t>UAE dirham's fixed parity to the US dollar, unchanged since 1997 and maintained by the Central Bank of the UAE</w:t>
            </w:r>
          </w:p>
        </w:tc>
      </w:tr>
      <w:tr>
        <w:trPr>
          <w:cantSplit w:val="true"/>
        </w:trPr>
        <w:tc>
          <w:tcPr>
            <w:tcW w:type="dxa" w:w="2088"/>
          </w:tcPr>
          <w:p>
            <w:pPr>
              <w:spacing w:after="20" w:before="0" w:line="240" w:lineRule="auto"/>
            </w:pPr>
            <w:r>
              <w:rPr>
                <w:color w:val="1C3A36"/>
                <w:sz w:val="14"/>
              </w:rPr>
              <w:t>rf observed</w:t>
            </w:r>
          </w:p>
        </w:tc>
        <w:tc>
          <w:tcPr>
            <w:tcW w:type="dxa" w:w="1238"/>
          </w:tcPr>
          <w:p>
            <w:pPr>
              <w:spacing w:after="20" w:before="0" w:line="240" w:lineRule="auto"/>
              <w:jc w:val="right"/>
            </w:pPr>
            <w:r>
              <w:rPr>
                <w:color w:val="1C3A36"/>
                <w:sz w:val="14"/>
              </w:rPr>
              <w:t>4.48%</w:t>
            </w:r>
          </w:p>
        </w:tc>
        <w:tc>
          <w:tcPr>
            <w:tcW w:type="dxa" w:w="1022"/>
          </w:tcPr>
          <w:p>
            <w:pPr>
              <w:spacing w:after="20" w:before="0" w:line="240" w:lineRule="auto"/>
            </w:pPr>
            <w:r>
              <w:rPr>
                <w:color w:val="1C3A36"/>
                <w:sz w:val="14"/>
              </w:rPr>
              <w:t>30 Jul 2026</w:t>
            </w:r>
          </w:p>
        </w:tc>
        <w:tc>
          <w:tcPr>
            <w:tcW w:type="dxa" w:w="5875"/>
          </w:tcPr>
          <w:p>
            <w:pPr>
              <w:spacing w:after="20" w:before="0" w:line="240" w:lineRule="auto"/>
            </w:pPr>
            <w:r>
              <w:rPr>
                <w:color w:val="1C3A36"/>
                <w:sz w:val="14"/>
              </w:rPr>
              <w:t>UAE Ministry of Finance dirham Treasury Bond auction, July 2026 — the tranche maturing January 2031 cleared at a 4.48% yield to maturity (Emirates News Agency report of the Ministry's auction result)</w:t>
            </w:r>
          </w:p>
        </w:tc>
      </w:tr>
      <w:tr>
        <w:trPr>
          <w:cantSplit w:val="true"/>
        </w:trPr>
        <w:tc>
          <w:tcPr>
            <w:tcW w:type="dxa" w:w="2088"/>
          </w:tcPr>
          <w:p>
            <w:pPr>
              <w:spacing w:after="20" w:before="0" w:line="240" w:lineRule="auto"/>
            </w:pPr>
            <w:r>
              <w:rPr>
                <w:color w:val="1C3A36"/>
                <w:sz w:val="14"/>
              </w:rPr>
              <w:t>sov spread</w:t>
            </w:r>
          </w:p>
        </w:tc>
        <w:tc>
          <w:tcPr>
            <w:tcW w:type="dxa" w:w="1238"/>
          </w:tcPr>
          <w:p>
            <w:pPr>
              <w:spacing w:after="20" w:before="0" w:line="240" w:lineRule="auto"/>
              <w:jc w:val="right"/>
            </w:pPr>
            <w:r>
              <w:rPr>
                <w:color w:val="1C3A36"/>
                <w:sz w:val="14"/>
              </w:rPr>
              <w:t>0.42%</w:t>
            </w:r>
          </w:p>
        </w:tc>
        <w:tc>
          <w:tcPr>
            <w:tcW w:type="dxa" w:w="1022"/>
          </w:tcPr>
          <w:p>
            <w:pPr>
              <w:spacing w:after="20" w:before="0" w:line="240" w:lineRule="auto"/>
            </w:pPr>
            <w:r>
              <w:rPr>
                <w:color w:val="1C3A36"/>
                <w:sz w:val="14"/>
              </w:rPr>
              <w:t>5 Jan 2026</w:t>
            </w:r>
          </w:p>
        </w:tc>
        <w:tc>
          <w:tcPr>
            <w:tcW w:type="dxa" w:w="5875"/>
          </w:tcPr>
          <w:p>
            <w:pPr>
              <w:spacing w:after="20" w:before="0" w:line="240" w:lineRule="auto"/>
            </w:pPr>
            <w:r>
              <w:rPr>
                <w:color w:val="1C3A36"/>
                <w:sz w:val="14"/>
              </w:rPr>
              <w:t>Damodaran country risk file, January 2026 edition — United Arab Emirates row, Moody's Aa2, adjusted default spread</w:t>
            </w:r>
          </w:p>
        </w:tc>
      </w:tr>
      <w:tr>
        <w:trPr>
          <w:cantSplit w:val="true"/>
        </w:trPr>
        <w:tc>
          <w:tcPr>
            <w:tcW w:type="dxa" w:w="2088"/>
          </w:tcPr>
          <w:p>
            <w:pPr>
              <w:spacing w:after="20" w:before="0" w:line="240" w:lineRule="auto"/>
            </w:pPr>
            <w:r>
              <w:rPr>
                <w:color w:val="1C3A36"/>
                <w:sz w:val="14"/>
              </w:rPr>
              <w:t>erp total</w:t>
            </w:r>
          </w:p>
        </w:tc>
        <w:tc>
          <w:tcPr>
            <w:tcW w:type="dxa" w:w="1238"/>
          </w:tcPr>
          <w:p>
            <w:pPr>
              <w:spacing w:after="20" w:before="0" w:line="240" w:lineRule="auto"/>
              <w:jc w:val="right"/>
            </w:pPr>
            <w:r>
              <w:rPr>
                <w:color w:val="1C3A36"/>
                <w:sz w:val="14"/>
              </w:rPr>
              <w:t>4.87%</w:t>
            </w:r>
          </w:p>
        </w:tc>
        <w:tc>
          <w:tcPr>
            <w:tcW w:type="dxa" w:w="1022"/>
          </w:tcPr>
          <w:p>
            <w:pPr>
              <w:spacing w:after="20" w:before="0" w:line="240" w:lineRule="auto"/>
            </w:pPr>
            <w:r>
              <w:rPr>
                <w:color w:val="1C3A36"/>
                <w:sz w:val="14"/>
              </w:rPr>
              <w:t>5 Jan 2026</w:t>
            </w:r>
          </w:p>
        </w:tc>
        <w:tc>
          <w:tcPr>
            <w:tcW w:type="dxa" w:w="5875"/>
          </w:tcPr>
          <w:p>
            <w:pPr>
              <w:spacing w:after="20" w:before="0" w:line="240" w:lineRule="auto"/>
            </w:pPr>
            <w:r>
              <w:rPr>
                <w:color w:val="1C3A36"/>
                <w:sz w:val="14"/>
              </w:rPr>
              <w:t>Damodaran country risk file, January 2026 edition — United Arab Emirates total equity risk premium</w:t>
            </w:r>
          </w:p>
        </w:tc>
      </w:tr>
      <w:tr>
        <w:trPr>
          <w:cantSplit w:val="true"/>
        </w:trPr>
        <w:tc>
          <w:tcPr>
            <w:tcW w:type="dxa" w:w="2088"/>
          </w:tcPr>
          <w:p>
            <w:pPr>
              <w:spacing w:after="20" w:before="0" w:line="240" w:lineRule="auto"/>
            </w:pPr>
            <w:r>
              <w:rPr>
                <w:color w:val="1C3A36"/>
                <w:sz w:val="14"/>
              </w:rPr>
              <w:t>crp</w:t>
            </w:r>
          </w:p>
        </w:tc>
        <w:tc>
          <w:tcPr>
            <w:tcW w:type="dxa" w:w="1238"/>
          </w:tcPr>
          <w:p>
            <w:pPr>
              <w:spacing w:after="20" w:before="0" w:line="240" w:lineRule="auto"/>
              <w:jc w:val="right"/>
            </w:pPr>
            <w:r>
              <w:rPr>
                <w:color w:val="1C3A36"/>
                <w:sz w:val="14"/>
              </w:rPr>
              <w:t>0.64%</w:t>
            </w:r>
          </w:p>
        </w:tc>
        <w:tc>
          <w:tcPr>
            <w:tcW w:type="dxa" w:w="1022"/>
          </w:tcPr>
          <w:p>
            <w:pPr>
              <w:spacing w:after="20" w:before="0" w:line="240" w:lineRule="auto"/>
            </w:pPr>
            <w:r>
              <w:rPr>
                <w:color w:val="1C3A36"/>
                <w:sz w:val="14"/>
              </w:rPr>
              <w:t>5 Jan 2026</w:t>
            </w:r>
          </w:p>
        </w:tc>
        <w:tc>
          <w:tcPr>
            <w:tcW w:type="dxa" w:w="5875"/>
          </w:tcPr>
          <w:p>
            <w:pPr>
              <w:spacing w:after="20" w:before="0" w:line="240" w:lineRule="auto"/>
            </w:pPr>
            <w:r>
              <w:rPr>
                <w:color w:val="1C3A36"/>
                <w:sz w:val="14"/>
              </w:rPr>
              <w:t>Damodaran country risk file, January 2026 edition — United Arab Emirates country risk premium</w:t>
            </w:r>
          </w:p>
        </w:tc>
      </w:tr>
      <w:tr>
        <w:trPr>
          <w:cantSplit w:val="true"/>
        </w:trPr>
        <w:tc>
          <w:tcPr>
            <w:tcW w:type="dxa" w:w="2088"/>
          </w:tcPr>
          <w:p>
            <w:pPr>
              <w:spacing w:after="20" w:before="0" w:line="240" w:lineRule="auto"/>
            </w:pPr>
            <w:r>
              <w:rPr>
                <w:color w:val="1C3A36"/>
                <w:sz w:val="14"/>
              </w:rPr>
              <w:t>cb rate</w:t>
            </w:r>
          </w:p>
        </w:tc>
        <w:tc>
          <w:tcPr>
            <w:tcW w:type="dxa" w:w="1238"/>
          </w:tcPr>
          <w:p>
            <w:pPr>
              <w:spacing w:after="20" w:before="0" w:line="240" w:lineRule="auto"/>
              <w:jc w:val="right"/>
            </w:pPr>
            <w:r>
              <w:rPr>
                <w:color w:val="1C3A36"/>
                <w:sz w:val="14"/>
              </w:rPr>
              <w:t>3.65%</w:t>
            </w:r>
          </w:p>
        </w:tc>
        <w:tc>
          <w:tcPr>
            <w:tcW w:type="dxa" w:w="1022"/>
          </w:tcPr>
          <w:p>
            <w:pPr>
              <w:spacing w:after="20" w:before="0" w:line="240" w:lineRule="auto"/>
            </w:pPr>
            <w:r>
              <w:rPr>
                <w:color w:val="1C3A36"/>
                <w:sz w:val="14"/>
              </w:rPr>
              <w:t>29 Jul 2026</w:t>
            </w:r>
          </w:p>
        </w:tc>
        <w:tc>
          <w:tcPr>
            <w:tcW w:type="dxa" w:w="5875"/>
          </w:tcPr>
          <w:p>
            <w:pPr>
              <w:spacing w:after="20" w:before="0" w:line="240" w:lineRule="auto"/>
            </w:pPr>
            <w:r>
              <w:rPr>
                <w:color w:val="1C3A36"/>
                <w:sz w:val="14"/>
              </w:rPr>
              <w:t>Central Bank of the UAE Base Rate, maintained at the 29 July 2026 decision. The last change was a 25 basis point cut from 3.90% on 10 December 2025</w:t>
            </w:r>
          </w:p>
        </w:tc>
      </w:tr>
      <w:tr>
        <w:trPr>
          <w:cantSplit w:val="true"/>
        </w:trPr>
        <w:tc>
          <w:tcPr>
            <w:tcW w:type="dxa" w:w="2088"/>
          </w:tcPr>
          <w:p>
            <w:pPr>
              <w:spacing w:after="20" w:before="0" w:line="240" w:lineRule="auto"/>
            </w:pPr>
            <w:r>
              <w:rPr>
                <w:color w:val="1C3A36"/>
                <w:sz w:val="14"/>
              </w:rPr>
              <w:t>erp cds available</w:t>
            </w:r>
          </w:p>
        </w:tc>
        <w:tc>
          <w:tcPr>
            <w:tcW w:type="dxa" w:w="1238"/>
          </w:tcPr>
          <w:p>
            <w:pPr>
              <w:spacing w:after="20" w:before="0" w:line="240" w:lineRule="auto"/>
              <w:jc w:val="right"/>
            </w:pPr>
            <w:r>
              <w:rPr>
                <w:color w:val="1C3A36"/>
                <w:sz w:val="14"/>
              </w:rPr>
              <w:t>none</w:t>
            </w:r>
          </w:p>
        </w:tc>
        <w:tc>
          <w:tcPr>
            <w:tcW w:type="dxa" w:w="1022"/>
          </w:tcPr>
          <w:p>
            <w:pPr>
              <w:spacing w:after="20" w:before="0" w:line="240" w:lineRule="auto"/>
            </w:pPr>
            <w:r>
              <w:rPr>
                <w:color w:val="1C3A36"/>
                <w:sz w:val="14"/>
              </w:rPr>
              <w:t>5 Jan 2026</w:t>
            </w:r>
          </w:p>
        </w:tc>
        <w:tc>
          <w:tcPr>
            <w:tcW w:type="dxa" w:w="5875"/>
          </w:tcPr>
          <w:p>
            <w:pPr>
              <w:spacing w:after="20" w:before="0" w:line="240" w:lineRule="auto"/>
            </w:pPr>
            <w:r>
              <w:rPr>
                <w:color w:val="1C3A36"/>
                <w:sz w:val="14"/>
              </w:rPr>
              <w:t>Damodaran country risk file, January 2026 edition — the United Arab Emirates has no sovereign credit-default-swap entry in the file, so the second premium basis cannot be built for this country. Gulf comparators that do carry one show the two bases are not interchangeable: Saudi Arabia's swap basis gives 5.72% against 5.01% on the rating basis</w:t>
            </w:r>
          </w:p>
        </w:tc>
      </w:tr>
      <w:tr>
        <w:trPr>
          <w:cantSplit w:val="true"/>
        </w:trPr>
        <w:tc>
          <w:tcPr>
            <w:tcW w:type="dxa" w:w="2088"/>
          </w:tcPr>
          <w:p>
            <w:pPr>
              <w:spacing w:after="20" w:before="0" w:line="240" w:lineRule="auto"/>
            </w:pPr>
            <w:r>
              <w:rPr>
                <w:color w:val="1C3A36"/>
                <w:sz w:val="14"/>
              </w:rPr>
              <w:t>gdp growth 26</w:t>
            </w:r>
          </w:p>
        </w:tc>
        <w:tc>
          <w:tcPr>
            <w:tcW w:type="dxa" w:w="1238"/>
          </w:tcPr>
          <w:p>
            <w:pPr>
              <w:spacing w:after="20" w:before="0" w:line="240" w:lineRule="auto"/>
              <w:jc w:val="right"/>
            </w:pPr>
            <w:r>
              <w:rPr>
                <w:color w:val="1C3A36"/>
                <w:sz w:val="14"/>
              </w:rPr>
              <w:t>3.10%</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International Monetary Fund World Economic Outlook database, United Arab Emirates real GDP growth</w:t>
            </w:r>
          </w:p>
        </w:tc>
      </w:tr>
      <w:tr>
        <w:trPr>
          <w:cantSplit w:val="true"/>
        </w:trPr>
        <w:tc>
          <w:tcPr>
            <w:tcW w:type="dxa" w:w="2088"/>
          </w:tcPr>
          <w:p>
            <w:pPr>
              <w:spacing w:after="20" w:before="0" w:line="240" w:lineRule="auto"/>
            </w:pPr>
            <w:r>
              <w:rPr>
                <w:color w:val="1C3A36"/>
                <w:sz w:val="14"/>
              </w:rPr>
              <w:t>inflation 26</w:t>
            </w:r>
          </w:p>
        </w:tc>
        <w:tc>
          <w:tcPr>
            <w:tcW w:type="dxa" w:w="1238"/>
          </w:tcPr>
          <w:p>
            <w:pPr>
              <w:spacing w:after="20" w:before="0" w:line="240" w:lineRule="auto"/>
              <w:jc w:val="right"/>
            </w:pPr>
            <w:r>
              <w:rPr>
                <w:color w:val="1C3A36"/>
                <w:sz w:val="14"/>
              </w:rPr>
              <w:t>2.50%</w:t>
            </w:r>
          </w:p>
        </w:tc>
        <w:tc>
          <w:tcPr>
            <w:tcW w:type="dxa" w:w="1022"/>
          </w:tcPr>
          <w:p>
            <w:pPr>
              <w:spacing w:after="20" w:before="0" w:line="240" w:lineRule="auto"/>
            </w:pPr>
            <w:r>
              <w:rPr>
                <w:color w:val="1C3A36"/>
                <w:sz w:val="14"/>
              </w:rPr>
              <w:t>30 Apr 2026</w:t>
            </w:r>
          </w:p>
        </w:tc>
        <w:tc>
          <w:tcPr>
            <w:tcW w:type="dxa" w:w="5875"/>
          </w:tcPr>
          <w:p>
            <w:pPr>
              <w:spacing w:after="20" w:before="0" w:line="240" w:lineRule="auto"/>
            </w:pPr>
            <w:r>
              <w:rPr>
                <w:color w:val="1C3A36"/>
                <w:sz w:val="14"/>
              </w:rPr>
              <w:t>International Monetary Fund World Economic Outlook database, United Arab Emirates consumer price inflation; the projection settles at 2.0% from 2027 onward, which is the anchor the terminal growth rate rests on</w:t>
            </w:r>
          </w:p>
        </w:tc>
      </w:tr>
      <w:tr>
        <w:trPr>
          <w:cantSplit w:val="true"/>
        </w:trPr>
        <w:tc>
          <w:tcPr>
            <w:tcW w:type="dxa" w:w="2088"/>
          </w:tcPr>
          <w:p>
            <w:pPr>
              <w:spacing w:after="20" w:before="0" w:line="240" w:lineRule="auto"/>
            </w:pPr>
            <w:r>
              <w:rPr>
                <w:color w:val="1C3A36"/>
                <w:sz w:val="14"/>
              </w:rPr>
              <w:t>tax topup rate</w:t>
            </w:r>
          </w:p>
        </w:tc>
        <w:tc>
          <w:tcPr>
            <w:tcW w:type="dxa" w:w="1238"/>
          </w:tcPr>
          <w:p>
            <w:pPr>
              <w:spacing w:after="20" w:before="0" w:line="240" w:lineRule="auto"/>
              <w:jc w:val="right"/>
            </w:pPr>
            <w:r>
              <w:rPr>
                <w:color w:val="1C3A36"/>
                <w:sz w:val="14"/>
              </w:rPr>
              <w:t>15%</w:t>
            </w:r>
          </w:p>
        </w:tc>
        <w:tc>
          <w:tcPr>
            <w:tcW w:type="dxa" w:w="1022"/>
          </w:tcPr>
          <w:p>
            <w:pPr>
              <w:spacing w:after="20" w:before="0" w:line="240" w:lineRule="auto"/>
            </w:pPr>
            <w:r>
              <w:rPr>
                <w:color w:val="1C3A36"/>
                <w:sz w:val="14"/>
              </w:rPr>
              <w:t>1 Jan 2025</w:t>
            </w:r>
          </w:p>
        </w:tc>
        <w:tc>
          <w:tcPr>
            <w:tcW w:type="dxa" w:w="5875"/>
          </w:tcPr>
          <w:p>
            <w:pPr>
              <w:spacing w:after="20" w:before="0" w:line="240" w:lineRule="auto"/>
            </w:pPr>
            <w:r>
              <w:rPr>
                <w:color w:val="1C3A36"/>
                <w:sz w:val="14"/>
              </w:rPr>
              <w:t>Domestic minimum top-up tax of 15% applying in the UAE to groups within the global minimum tax rules for financial years beginning on or after 1 January 2025. International shipping income is excluded from those rules, which is consistent with the sub-1% charge the company's shipping units actually bore in 2025, but the exposure is priced as a downside case rather than assumed away</w:t>
            </w:r>
          </w:p>
        </w:tc>
      </w:tr>
      <w:tr>
        <w:trPr>
          <w:cantSplit w:val="true"/>
        </w:trPr>
        <w:tc>
          <w:tcPr>
            <w:tcW w:type="dxa" w:w="2088"/>
          </w:tcPr>
          <w:p>
            <w:pPr>
              <w:spacing w:after="20" w:before="0" w:line="240" w:lineRule="auto"/>
            </w:pPr>
            <w:r>
              <w:rPr>
                <w:color w:val="1C3A36"/>
                <w:sz w:val="14"/>
              </w:rPr>
              <w:t>tax stat</w:t>
            </w:r>
          </w:p>
        </w:tc>
        <w:tc>
          <w:tcPr>
            <w:tcW w:type="dxa" w:w="1238"/>
          </w:tcPr>
          <w:p>
            <w:pPr>
              <w:spacing w:after="20" w:before="0" w:line="240" w:lineRule="auto"/>
              <w:jc w:val="right"/>
            </w:pPr>
            <w:r>
              <w:rPr>
                <w:color w:val="1C3A36"/>
                <w:sz w:val="14"/>
              </w:rPr>
              <w:t>9%</w:t>
            </w:r>
          </w:p>
        </w:tc>
        <w:tc>
          <w:tcPr>
            <w:tcW w:type="dxa" w:w="1022"/>
          </w:tcPr>
          <w:p>
            <w:pPr>
              <w:spacing w:after="20" w:before="0" w:line="240" w:lineRule="auto"/>
            </w:pPr>
            <w:r>
              <w:rPr>
                <w:color w:val="1C3A36"/>
                <w:sz w:val="14"/>
              </w:rPr>
              <w:t>1 Jun 2023</w:t>
            </w:r>
          </w:p>
        </w:tc>
        <w:tc>
          <w:tcPr>
            <w:tcW w:type="dxa" w:w="5875"/>
          </w:tcPr>
          <w:p>
            <w:pPr>
              <w:spacing w:after="20" w:before="0" w:line="240" w:lineRule="auto"/>
            </w:pPr>
            <w:r>
              <w:rPr>
                <w:color w:val="1C3A36"/>
                <w:sz w:val="14"/>
              </w:rPr>
              <w:t>UAE corporate tax, Federal Decree-Law 47 of 2022 — the 9% standard rate applying to taxable income above the threshold</w:t>
            </w:r>
          </w:p>
        </w:tc>
      </w:tr>
      <w:tr>
        <w:trPr>
          <w:cantSplit w:val="true"/>
        </w:trPr>
        <w:tc>
          <w:tcPr>
            <w:tcW w:type="dxa" w:w="2088"/>
          </w:tcPr>
          <w:p>
            <w:pPr>
              <w:spacing w:after="20" w:before="0" w:line="240" w:lineRule="auto"/>
            </w:pPr>
            <w:r>
              <w:rPr>
                <w:color w:val="1C3A36"/>
                <w:sz w:val="14"/>
              </w:rPr>
              <w:t>rf terminal</w:t>
            </w:r>
          </w:p>
        </w:tc>
        <w:tc>
          <w:tcPr>
            <w:tcW w:type="dxa" w:w="1238"/>
          </w:tcPr>
          <w:p>
            <w:pPr>
              <w:spacing w:after="20" w:before="0" w:line="240" w:lineRule="auto"/>
              <w:jc w:val="right"/>
            </w:pPr>
            <w:r>
              <w:rPr>
                <w:color w:val="1C3A36"/>
                <w:sz w:val="14"/>
              </w:rPr>
              <w:t>3.98%</w:t>
            </w:r>
          </w:p>
        </w:tc>
        <w:tc>
          <w:tcPr>
            <w:tcW w:type="dxa" w:w="1022"/>
          </w:tcPr>
          <w:p>
            <w:pPr>
              <w:spacing w:after="20" w:before="0" w:line="240" w:lineRule="auto"/>
            </w:pPr>
            <w:r>
              <w:rPr>
                <w:color w:val="1C3A36"/>
                <w:sz w:val="14"/>
              </w:rPr>
              <w:t>3 Sep 2026</w:t>
            </w:r>
          </w:p>
        </w:tc>
        <w:tc>
          <w:tcPr>
            <w:tcW w:type="dxa" w:w="5875"/>
          </w:tcPr>
          <w:p>
            <w:pPr>
              <w:spacing w:after="20" w:before="0" w:line="240" w:lineRule="auto"/>
            </w:pPr>
            <w:r>
              <w:rPr>
                <w:color w:val="1C3A36"/>
                <w:sz w:val="14"/>
              </w:rPr>
              <w:t>Terminal risk-free rate, DERIVED from the house macro path as the terminal inflation of 2.00% plus the long-run real rate, NEVER quoted — a terminal rate somebody types is the single most terminal-value-sensitive number in a model. Under the peg the dirham real rate IS the dollar real rate, and the house convention builds it from the Federal Open Market Committee's own longer-run median policy projection plus the ten-year term premium less long-run United States inflation. This study had typed 3.25% on a 1.25% real assumption of its own; the derived figure is higher, so conforming LOWERS this study's value, which is the direction that shows the rule is not being fitted to a price</w:t>
            </w:r>
          </w:p>
        </w:tc>
      </w:tr>
      <w:tr>
        <w:trPr>
          <w:cantSplit w:val="true"/>
        </w:trPr>
        <w:tc>
          <w:tcPr>
            <w:tcW w:type="dxa" w:w="2088"/>
          </w:tcPr>
          <w:p>
            <w:pPr>
              <w:spacing w:after="20" w:before="0" w:line="240" w:lineRule="auto"/>
            </w:pPr>
            <w:r>
              <w:rPr>
                <w:color w:val="1C3A36"/>
                <w:sz w:val="14"/>
              </w:rPr>
              <w:t>opex escalation</w:t>
            </w:r>
          </w:p>
        </w:tc>
        <w:tc>
          <w:tcPr>
            <w:tcW w:type="dxa" w:w="1238"/>
          </w:tcPr>
          <w:p>
            <w:pPr>
              <w:spacing w:after="20" w:before="0" w:line="240" w:lineRule="auto"/>
              <w:jc w:val="right"/>
            </w:pPr>
            <w:r>
              <w:rPr>
                <w:color w:val="1C3A36"/>
                <w:sz w:val="14"/>
              </w:rPr>
              <w:t>2%</w:t>
            </w:r>
          </w:p>
        </w:tc>
        <w:tc>
          <w:tcPr>
            <w:tcW w:type="dxa" w:w="1022"/>
          </w:tcPr>
          <w:p>
            <w:pPr>
              <w:spacing w:after="20" w:before="0" w:line="240" w:lineRule="auto"/>
            </w:pPr>
            <w:r>
              <w:rPr>
                <w:color w:val="1C3A36"/>
                <w:sz w:val="14"/>
              </w:rPr>
              <w:t>3 Sep 2026</w:t>
            </w:r>
          </w:p>
        </w:tc>
        <w:tc>
          <w:tcPr>
            <w:tcW w:type="dxa" w:w="5875"/>
          </w:tcPr>
          <w:p>
            <w:pPr>
              <w:spacing w:after="20" w:before="0" w:line="240" w:lineRule="auto"/>
            </w:pPr>
            <w:r>
              <w:rPr>
                <w:color w:val="1C3A36"/>
                <w:sz w:val="14"/>
              </w:rPr>
              <w:t>Running-cost escalation on crew, technical management, insurance and repairs — the HOUSE inflation ladder for this market, read from the macro path rather than typed. The terminal rate is quoted here; the per-year path is opex_escalation_path and is what the model applies</w:t>
            </w:r>
          </w:p>
        </w:tc>
      </w:tr>
      <w:tr>
        <w:trPr>
          <w:cantSplit w:val="true"/>
        </w:trPr>
        <w:tc>
          <w:tcPr>
            <w:tcW w:type="dxa" w:w="2088"/>
          </w:tcPr>
          <w:p>
            <w:pPr>
              <w:spacing w:after="20" w:before="0" w:line="240" w:lineRule="auto"/>
            </w:pPr>
            <w:r>
              <w:rPr>
                <w:color w:val="1C3A36"/>
                <w:sz w:val="14"/>
              </w:rPr>
              <w:t>opex escalation path</w:t>
            </w:r>
          </w:p>
        </w:tc>
        <w:tc>
          <w:tcPr>
            <w:tcW w:type="dxa" w:w="1238"/>
          </w:tcPr>
          <w:p>
            <w:pPr>
              <w:spacing w:after="20" w:before="0" w:line="240" w:lineRule="auto"/>
              <w:jc w:val="right"/>
            </w:pPr>
            <w:r>
              <w:rPr>
                <w:color w:val="1C3A36"/>
                <w:sz w:val="14"/>
              </w:rPr>
              <w:t>0.025 · 0.02 · 0.02 · 0.02 · 0.02</w:t>
            </w:r>
          </w:p>
        </w:tc>
        <w:tc>
          <w:tcPr>
            <w:tcW w:type="dxa" w:w="1022"/>
          </w:tcPr>
          <w:p>
            <w:pPr>
              <w:spacing w:after="20" w:before="0" w:line="240" w:lineRule="auto"/>
            </w:pPr>
            <w:r>
              <w:rPr>
                <w:color w:val="1C3A36"/>
                <w:sz w:val="14"/>
              </w:rPr>
              <w:t>3 Sep 2026</w:t>
            </w:r>
          </w:p>
        </w:tc>
        <w:tc>
          <w:tcPr>
            <w:tcW w:type="dxa" w:w="5875"/>
          </w:tcPr>
          <w:p>
            <w:pPr>
              <w:spacing w:after="20" w:before="0" w:line="240" w:lineRule="auto"/>
            </w:pPr>
            <w:r>
              <w:rPr>
                <w:color w:val="1C3A36"/>
                <w:sz w:val="14"/>
              </w:rPr>
              <w:t>The house calendar ladder 2026-2030, compounded into opex_index and applied to every dirham cost line. A study may not carry an inflation number of its own</w:t>
            </w:r>
          </w:p>
        </w:tc>
      </w:tr>
      <w:tr>
        <w:trPr>
          <w:cantSplit w:val="true"/>
        </w:trPr>
        <w:tc>
          <w:tcPr>
            <w:tcW w:type="dxa" w:w="2088"/>
          </w:tcPr>
          <w:p>
            <w:pPr>
              <w:spacing w:after="20" w:before="0" w:line="240" w:lineRule="auto"/>
            </w:pPr>
            <w:r>
              <w:rPr>
                <w:color w:val="1C3A36"/>
                <w:sz w:val="14"/>
              </w:rPr>
              <w:t>tax integrated logistics</w:t>
            </w:r>
          </w:p>
        </w:tc>
        <w:tc>
          <w:tcPr>
            <w:tcW w:type="dxa" w:w="1238"/>
          </w:tcPr>
          <w:p>
            <w:pPr>
              <w:spacing w:after="20" w:before="0" w:line="240" w:lineRule="auto"/>
              <w:jc w:val="right"/>
            </w:pPr>
            <w:r>
              <w:rPr>
                <w:color w:val="1C3A36"/>
                <w:sz w:val="14"/>
              </w:rPr>
              <w:t>9%</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the income tax charge borne by each business unit over its own profit before tax in 2025. International shipping income is relieved under the UAE corporate tax law, which is why the shipping units carry almost no charge</w:t>
            </w:r>
          </w:p>
        </w:tc>
      </w:tr>
      <w:tr>
        <w:trPr>
          <w:cantSplit w:val="true"/>
        </w:trPr>
        <w:tc>
          <w:tcPr>
            <w:tcW w:type="dxa" w:w="2088"/>
          </w:tcPr>
          <w:p>
            <w:pPr>
              <w:spacing w:after="20" w:before="0" w:line="240" w:lineRule="auto"/>
            </w:pPr>
            <w:r>
              <w:rPr>
                <w:color w:val="1C3A36"/>
                <w:sz w:val="14"/>
              </w:rPr>
              <w:t>tax shipping</w:t>
            </w:r>
          </w:p>
        </w:tc>
        <w:tc>
          <w:tcPr>
            <w:tcW w:type="dxa" w:w="1238"/>
          </w:tcPr>
          <w:p>
            <w:pPr>
              <w:spacing w:after="20" w:before="0" w:line="240" w:lineRule="auto"/>
              <w:jc w:val="right"/>
            </w:pPr>
            <w:r>
              <w:rPr>
                <w:color w:val="1C3A36"/>
                <w:sz w:val="14"/>
              </w:rPr>
              <w:t>1%</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the income tax charge borne by each business unit over its own profit before tax in 2025. International shipping income is relieved under the UAE corporate tax law, which is why the shipping units carry almost no charge</w:t>
            </w:r>
          </w:p>
        </w:tc>
      </w:tr>
      <w:tr>
        <w:trPr>
          <w:cantSplit w:val="true"/>
        </w:trPr>
        <w:tc>
          <w:tcPr>
            <w:tcW w:type="dxa" w:w="2088"/>
          </w:tcPr>
          <w:p>
            <w:pPr>
              <w:spacing w:after="20" w:before="0" w:line="240" w:lineRule="auto"/>
            </w:pPr>
            <w:r>
              <w:rPr>
                <w:color w:val="1C3A36"/>
                <w:sz w:val="14"/>
              </w:rPr>
              <w:t>tax services</w:t>
            </w:r>
          </w:p>
        </w:tc>
        <w:tc>
          <w:tcPr>
            <w:tcW w:type="dxa" w:w="1238"/>
          </w:tcPr>
          <w:p>
            <w:pPr>
              <w:spacing w:after="20" w:before="0" w:line="240" w:lineRule="auto"/>
              <w:jc w:val="right"/>
            </w:pPr>
            <w:r>
              <w:rPr>
                <w:color w:val="1C3A36"/>
                <w:sz w:val="14"/>
              </w:rPr>
              <w:t>4%</w:t>
            </w:r>
          </w:p>
        </w:tc>
        <w:tc>
          <w:tcPr>
            <w:tcW w:type="dxa" w:w="1022"/>
          </w:tcPr>
          <w:p>
            <w:pPr>
              <w:spacing w:after="20" w:before="0" w:line="240" w:lineRule="auto"/>
            </w:pPr>
            <w:r>
              <w:rPr>
                <w:color w:val="1C3A36"/>
                <w:sz w:val="14"/>
              </w:rPr>
              <w:t>31 Dec 2025</w:t>
            </w:r>
          </w:p>
        </w:tc>
        <w:tc>
          <w:tcPr>
            <w:tcW w:type="dxa" w:w="5875"/>
          </w:tcPr>
          <w:p>
            <w:pPr>
              <w:spacing w:after="20" w:before="0" w:line="240" w:lineRule="auto"/>
            </w:pPr>
            <w:r>
              <w:rPr>
                <w:color w:val="1C3A36"/>
                <w:sz w:val="14"/>
              </w:rPr>
              <w:t>ADNOC L&amp;S plc, Consolidated Financial Statements FY2025 (PwC-audited, signed 10 Feb 2026) — operating segments note: the income tax charge borne by each business unit over its own profit before tax in 2025. International shipping income is relieved under the UAE corporate tax law, which is why the shipping units carry almost no charge</w:t>
            </w:r>
          </w:p>
        </w:tc>
      </w:tr>
    </w:tbl>
    <w:p>
      <w:pPr>
        <w:spacing w:after="40"/>
      </w:pPr>
    </w:p>
    <w:p>
      <w:pPr>
        <w:spacing w:after="60" w:before="180"/>
      </w:pPr>
      <w:r>
        <w:rPr>
          <w:b/>
          <w:i w:val="0"/>
          <w:color w:val="1C3A36"/>
          <w:sz w:val="22"/>
        </w:rPr>
        <w:t>Global layer — 2 inputs</w:t>
      </w:r>
    </w:p>
    <w:tbl>
      <w:tblPr>
        <w:tblW w:type="auto" w:w="0"/>
        <w:jc w:val="center"/>
        <w:tblLook w:firstColumn="1" w:firstRow="1" w:lastColumn="0" w:lastRow="0" w:noHBand="0" w:noVBand="1" w:val="04A0"/>
        <w:tblLayout w:type="fixed"/>
        <w:tblCellMar>
          <w:top w:w="34" w:type="dxa"/>
          <w:left w:w="58" w:type="dxa"/>
          <w:bottom w:w="34" w:type="dxa"/>
          <w:right w:w="58"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238"/>
        <w:gridCol w:w="1022"/>
        <w:gridCol w:w="5875"/>
      </w:tblGrid>
      <w:tr>
        <w:trPr>
          <w:cantSplit w:val="true"/>
          <w:tblHeader w:val="true"/>
        </w:trPr>
        <w:tc>
          <w:tcPr>
            <w:tcW w:type="dxa" w:w="2088"/>
            <w:shd w:val="clear" w:color="auto" w:fill="EAF0EE"/>
          </w:tcPr>
          <w:p>
            <w:pPr>
              <w:spacing w:after="20" w:before="0" w:line="240" w:lineRule="auto"/>
            </w:pPr>
            <w:r>
              <w:rPr>
                <w:b/>
                <w:color w:val="1C3A36"/>
                <w:sz w:val="14"/>
              </w:rPr>
              <w:t>Input</w:t>
            </w:r>
          </w:p>
        </w:tc>
        <w:tc>
          <w:tcPr>
            <w:tcW w:type="dxa" w:w="1238"/>
            <w:shd w:val="clear" w:color="auto" w:fill="EAF0EE"/>
          </w:tcPr>
          <w:p>
            <w:pPr>
              <w:spacing w:after="20" w:before="0" w:line="240" w:lineRule="auto"/>
            </w:pPr>
            <w:r>
              <w:rPr>
                <w:b/>
                <w:color w:val="1C3A36"/>
                <w:sz w:val="14"/>
              </w:rPr>
              <w:t>Value</w:t>
            </w:r>
          </w:p>
        </w:tc>
        <w:tc>
          <w:tcPr>
            <w:tcW w:type="dxa" w:w="1022"/>
            <w:shd w:val="clear" w:color="auto" w:fill="EAF0EE"/>
          </w:tcPr>
          <w:p>
            <w:pPr>
              <w:spacing w:after="20" w:before="0" w:line="240" w:lineRule="auto"/>
            </w:pPr>
            <w:r>
              <w:rPr>
                <w:b/>
                <w:color w:val="1C3A36"/>
                <w:sz w:val="14"/>
              </w:rPr>
              <w:t>Date</w:t>
            </w:r>
          </w:p>
        </w:tc>
        <w:tc>
          <w:tcPr>
            <w:tcW w:type="dxa" w:w="5875"/>
            <w:shd w:val="clear" w:color="auto" w:fill="EAF0EE"/>
          </w:tcPr>
          <w:p>
            <w:pPr>
              <w:spacing w:after="20" w:before="0" w:line="240" w:lineRule="auto"/>
            </w:pPr>
            <w:r>
              <w:rPr>
                <w:b/>
                <w:color w:val="1C3A36"/>
                <w:sz w:val="14"/>
              </w:rPr>
              <w:t>Source and construction</w:t>
            </w:r>
          </w:p>
        </w:tc>
      </w:tr>
      <w:tr>
        <w:trPr>
          <w:cantSplit w:val="true"/>
        </w:trPr>
        <w:tc>
          <w:tcPr>
            <w:tcW w:type="dxa" w:w="2088"/>
          </w:tcPr>
          <w:p>
            <w:pPr>
              <w:spacing w:after="20" w:before="0" w:line="240" w:lineRule="auto"/>
            </w:pPr>
            <w:r>
              <w:rPr>
                <w:color w:val="1C3A36"/>
                <w:sz w:val="14"/>
              </w:rPr>
              <w:t>erp mature</w:t>
            </w:r>
          </w:p>
        </w:tc>
        <w:tc>
          <w:tcPr>
            <w:tcW w:type="dxa" w:w="1238"/>
          </w:tcPr>
          <w:p>
            <w:pPr>
              <w:spacing w:after="20" w:before="0" w:line="240" w:lineRule="auto"/>
              <w:jc w:val="right"/>
            </w:pPr>
            <w:r>
              <w:rPr>
                <w:color w:val="1C3A36"/>
                <w:sz w:val="14"/>
              </w:rPr>
              <w:t>4.23%</w:t>
            </w:r>
          </w:p>
        </w:tc>
        <w:tc>
          <w:tcPr>
            <w:tcW w:type="dxa" w:w="1022"/>
          </w:tcPr>
          <w:p>
            <w:pPr>
              <w:spacing w:after="20" w:before="0" w:line="240" w:lineRule="auto"/>
            </w:pPr>
            <w:r>
              <w:rPr>
                <w:color w:val="1C3A36"/>
                <w:sz w:val="14"/>
              </w:rPr>
              <w:t>5 Jan 2026</w:t>
            </w:r>
          </w:p>
        </w:tc>
        <w:tc>
          <w:tcPr>
            <w:tcW w:type="dxa" w:w="5875"/>
          </w:tcPr>
          <w:p>
            <w:pPr>
              <w:spacing w:after="20" w:before="0" w:line="240" w:lineRule="auto"/>
            </w:pPr>
            <w:r>
              <w:rPr>
                <w:color w:val="1C3A36"/>
                <w:sz w:val="14"/>
              </w:rPr>
              <w:t>Damodaran country risk file, January 2026 edition — mature-market equity risk premium, the United States premium net of its own default spread</w:t>
            </w:r>
          </w:p>
        </w:tc>
      </w:tr>
      <w:tr>
        <w:trPr>
          <w:cantSplit w:val="true"/>
        </w:trPr>
        <w:tc>
          <w:tcPr>
            <w:tcW w:type="dxa" w:w="2088"/>
          </w:tcPr>
          <w:p>
            <w:pPr>
              <w:spacing w:after="20" w:before="0" w:line="240" w:lineRule="auto"/>
            </w:pPr>
            <w:r>
              <w:rPr>
                <w:color w:val="1C3A36"/>
                <w:sz w:val="14"/>
              </w:rPr>
              <w:t>sofr</w:t>
            </w:r>
          </w:p>
        </w:tc>
        <w:tc>
          <w:tcPr>
            <w:tcW w:type="dxa" w:w="1238"/>
          </w:tcPr>
          <w:p>
            <w:pPr>
              <w:spacing w:after="20" w:before="0" w:line="240" w:lineRule="auto"/>
              <w:jc w:val="right"/>
            </w:pPr>
            <w:r>
              <w:rPr>
                <w:color w:val="1C3A36"/>
                <w:sz w:val="14"/>
              </w:rPr>
              <w:t>3.65%</w:t>
            </w:r>
          </w:p>
        </w:tc>
        <w:tc>
          <w:tcPr>
            <w:tcW w:type="dxa" w:w="1022"/>
          </w:tcPr>
          <w:p>
            <w:pPr>
              <w:spacing w:after="20" w:before="0" w:line="240" w:lineRule="auto"/>
            </w:pPr>
            <w:r>
              <w:rPr>
                <w:color w:val="1C3A36"/>
                <w:sz w:val="14"/>
              </w:rPr>
              <w:t>6 Aug 2026</w:t>
            </w:r>
          </w:p>
        </w:tc>
        <w:tc>
          <w:tcPr>
            <w:tcW w:type="dxa" w:w="5875"/>
          </w:tcPr>
          <w:p>
            <w:pPr>
              <w:spacing w:after="20" w:before="0" w:line="240" w:lineRule="auto"/>
            </w:pPr>
            <w:r>
              <w:rPr>
                <w:color w:val="1C3A36"/>
                <w:sz w:val="14"/>
              </w:rPr>
              <w:t>Secured Overnight Financing Rate published by the Federal Reserve Bank of New York</w:t>
            </w:r>
          </w:p>
        </w:tc>
      </w:tr>
    </w:tbl>
    <w:p>
      <w:pPr>
        <w:spacing w:after="40"/>
      </w:pPr>
    </w:p>
    <w:p>
      <w:pPr>
        <w:spacing w:after="60" w:before="180"/>
      </w:pPr>
      <w:r>
        <w:rPr>
          <w:b/>
          <w:i w:val="0"/>
          <w:color w:val="1C3A36"/>
          <w:sz w:val="22"/>
        </w:rPr>
        <w:t>Market layer — 9 inputs</w:t>
      </w:r>
    </w:p>
    <w:tbl>
      <w:tblPr>
        <w:tblW w:type="auto" w:w="0"/>
        <w:jc w:val="center"/>
        <w:tblLook w:firstColumn="1" w:firstRow="1" w:lastColumn="0" w:lastRow="0" w:noHBand="0" w:noVBand="1" w:val="04A0"/>
        <w:tblLayout w:type="fixed"/>
        <w:tblCellMar>
          <w:top w:w="34" w:type="dxa"/>
          <w:left w:w="58" w:type="dxa"/>
          <w:bottom w:w="34" w:type="dxa"/>
          <w:right w:w="58"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1238"/>
        <w:gridCol w:w="1022"/>
        <w:gridCol w:w="5875"/>
      </w:tblGrid>
      <w:tr>
        <w:trPr>
          <w:cantSplit w:val="true"/>
          <w:tblHeader w:val="true"/>
        </w:trPr>
        <w:tc>
          <w:tcPr>
            <w:tcW w:type="dxa" w:w="2088"/>
            <w:shd w:val="clear" w:color="auto" w:fill="EAF0EE"/>
          </w:tcPr>
          <w:p>
            <w:pPr>
              <w:spacing w:after="20" w:before="0" w:line="240" w:lineRule="auto"/>
            </w:pPr>
            <w:r>
              <w:rPr>
                <w:b/>
                <w:color w:val="1C3A36"/>
                <w:sz w:val="14"/>
              </w:rPr>
              <w:t>Input</w:t>
            </w:r>
          </w:p>
        </w:tc>
        <w:tc>
          <w:tcPr>
            <w:tcW w:type="dxa" w:w="1238"/>
            <w:shd w:val="clear" w:color="auto" w:fill="EAF0EE"/>
          </w:tcPr>
          <w:p>
            <w:pPr>
              <w:spacing w:after="20" w:before="0" w:line="240" w:lineRule="auto"/>
            </w:pPr>
            <w:r>
              <w:rPr>
                <w:b/>
                <w:color w:val="1C3A36"/>
                <w:sz w:val="14"/>
              </w:rPr>
              <w:t>Value</w:t>
            </w:r>
          </w:p>
        </w:tc>
        <w:tc>
          <w:tcPr>
            <w:tcW w:type="dxa" w:w="1022"/>
            <w:shd w:val="clear" w:color="auto" w:fill="EAF0EE"/>
          </w:tcPr>
          <w:p>
            <w:pPr>
              <w:spacing w:after="20" w:before="0" w:line="240" w:lineRule="auto"/>
            </w:pPr>
            <w:r>
              <w:rPr>
                <w:b/>
                <w:color w:val="1C3A36"/>
                <w:sz w:val="14"/>
              </w:rPr>
              <w:t>Date</w:t>
            </w:r>
          </w:p>
        </w:tc>
        <w:tc>
          <w:tcPr>
            <w:tcW w:type="dxa" w:w="5875"/>
            <w:shd w:val="clear" w:color="auto" w:fill="EAF0EE"/>
          </w:tcPr>
          <w:p>
            <w:pPr>
              <w:spacing w:after="20" w:before="0" w:line="240" w:lineRule="auto"/>
            </w:pPr>
            <w:r>
              <w:rPr>
                <w:b/>
                <w:color w:val="1C3A36"/>
                <w:sz w:val="14"/>
              </w:rPr>
              <w:t>Source and construction</w:t>
            </w:r>
          </w:p>
        </w:tc>
      </w:tr>
      <w:tr>
        <w:trPr>
          <w:cantSplit w:val="true"/>
        </w:trPr>
        <w:tc>
          <w:tcPr>
            <w:tcW w:type="dxa" w:w="2088"/>
          </w:tcPr>
          <w:p>
            <w:pPr>
              <w:spacing w:after="20" w:before="0" w:line="240" w:lineRule="auto"/>
            </w:pPr>
            <w:r>
              <w:rPr>
                <w:color w:val="1C3A36"/>
                <w:sz w:val="14"/>
              </w:rPr>
              <w:t>spot aed</w:t>
            </w:r>
          </w:p>
        </w:tc>
        <w:tc>
          <w:tcPr>
            <w:tcW w:type="dxa" w:w="1238"/>
          </w:tcPr>
          <w:p>
            <w:pPr>
              <w:spacing w:after="20" w:before="0" w:line="240" w:lineRule="auto"/>
              <w:jc w:val="right"/>
            </w:pPr>
            <w:r>
              <w:rPr>
                <w:color w:val="1C3A36"/>
                <w:sz w:val="14"/>
              </w:rPr>
              <w:t>6.80 AED</w:t>
            </w:r>
          </w:p>
        </w:tc>
        <w:tc>
          <w:tcPr>
            <w:tcW w:type="dxa" w:w="1022"/>
          </w:tcPr>
          <w:p>
            <w:pPr>
              <w:spacing w:after="20" w:before="0" w:line="240" w:lineRule="auto"/>
            </w:pPr>
            <w:r>
              <w:rPr>
                <w:color w:val="1C3A36"/>
                <w:sz w:val="14"/>
              </w:rPr>
              <w:t>7 Sep 2026</w:t>
            </w:r>
          </w:p>
        </w:tc>
        <w:tc>
          <w:tcPr>
            <w:tcW w:type="dxa" w:w="5875"/>
          </w:tcPr>
          <w:p>
            <w:pPr>
              <w:spacing w:after="20" w:before="0" w:line="240" w:lineRule="auto"/>
            </w:pPr>
            <w:r>
              <w:rPr>
                <w:color w:val="1C3A36"/>
                <w:sz w:val="14"/>
              </w:rPr>
              <w:t>The latest known close for ADNOCLS, supplied by the principal and committed at this house's own committed record This study is DELIVERED against it: a fair value published against a month-old price is a comparison a reader cannot use</w:t>
            </w:r>
          </w:p>
        </w:tc>
      </w:tr>
      <w:tr>
        <w:trPr>
          <w:cantSplit w:val="true"/>
        </w:trPr>
        <w:tc>
          <w:tcPr>
            <w:tcW w:type="dxa" w:w="2088"/>
          </w:tcPr>
          <w:p>
            <w:pPr>
              <w:spacing w:after="20" w:before="0" w:line="240" w:lineRule="auto"/>
            </w:pPr>
            <w:r>
              <w:rPr>
                <w:color w:val="1C3A36"/>
                <w:sz w:val="14"/>
              </w:rPr>
              <w:t>price close engine</w:t>
            </w:r>
          </w:p>
        </w:tc>
        <w:tc>
          <w:tcPr>
            <w:tcW w:type="dxa" w:w="1238"/>
          </w:tcPr>
          <w:p>
            <w:pPr>
              <w:spacing w:after="20" w:before="0" w:line="240" w:lineRule="auto"/>
              <w:jc w:val="right"/>
            </w:pPr>
            <w:r>
              <w:rPr>
                <w:color w:val="1C3A36"/>
                <w:sz w:val="14"/>
              </w:rPr>
              <w:t>6.16</w:t>
            </w:r>
          </w:p>
        </w:tc>
        <w:tc>
          <w:tcPr>
            <w:tcW w:type="dxa" w:w="1022"/>
          </w:tcPr>
          <w:p>
            <w:pPr>
              <w:spacing w:after="20" w:before="0" w:line="240" w:lineRule="auto"/>
            </w:pPr>
            <w:r>
              <w:rPr>
                <w:color w:val="1C3A36"/>
                <w:sz w:val="14"/>
              </w:rPr>
              <w:t>7 Aug 2026</w:t>
            </w:r>
          </w:p>
        </w:tc>
        <w:tc>
          <w:tcPr>
            <w:tcW w:type="dxa" w:w="5875"/>
          </w:tcPr>
          <w:p>
            <w:pPr>
              <w:spacing w:after="20" w:before="0" w:line="240" w:lineRule="auto"/>
            </w:pPr>
            <w:r>
              <w:rPr>
                <w:color w:val="1C3A36"/>
                <w:sz w:val="14"/>
              </w:rPr>
              <w:t>ADX daily price history for ADNOCLS, last close in the series this repository holds — the close the probability cone and the technical read were struck on, and a different clock from the valuation strike above</w:t>
            </w:r>
          </w:p>
        </w:tc>
      </w:tr>
      <w:tr>
        <w:trPr>
          <w:cantSplit w:val="true"/>
        </w:trPr>
        <w:tc>
          <w:tcPr>
            <w:tcW w:type="dxa" w:w="2088"/>
          </w:tcPr>
          <w:p>
            <w:pPr>
              <w:spacing w:after="20" w:before="0" w:line="240" w:lineRule="auto"/>
            </w:pPr>
            <w:r>
              <w:rPr>
                <w:color w:val="1C3A36"/>
                <w:sz w:val="14"/>
              </w:rPr>
              <w:t>beta</w:t>
            </w:r>
          </w:p>
        </w:tc>
        <w:tc>
          <w:tcPr>
            <w:tcW w:type="dxa" w:w="1238"/>
          </w:tcPr>
          <w:p>
            <w:pPr>
              <w:spacing w:after="20" w:before="0" w:line="240" w:lineRule="auto"/>
              <w:jc w:val="right"/>
            </w:pPr>
            <w:r>
              <w:rPr>
                <w:color w:val="1C3A36"/>
                <w:sz w:val="14"/>
              </w:rPr>
              <w:t>1.103</w:t>
            </w:r>
          </w:p>
        </w:tc>
        <w:tc>
          <w:tcPr>
            <w:tcW w:type="dxa" w:w="1022"/>
          </w:tcPr>
          <w:p>
            <w:pPr>
              <w:spacing w:after="20" w:before="0" w:line="240" w:lineRule="auto"/>
            </w:pPr>
            <w:r>
              <w:rPr>
                <w:color w:val="1C3A36"/>
                <w:sz w:val="14"/>
              </w:rPr>
              <w:t>24 Jul 2026</w:t>
            </w:r>
          </w:p>
        </w:tc>
        <w:tc>
          <w:tcPr>
            <w:tcW w:type="dxa" w:w="5875"/>
          </w:tcPr>
          <w:p>
            <w:pPr>
              <w:spacing w:after="20" w:before="0" w:line="240" w:lineRule="auto"/>
            </w:pPr>
            <w:r>
              <w:rPr>
                <w:color w:val="1C3A36"/>
                <w:sz w:val="14"/>
              </w:rPr>
              <w:t>Weekly regression of the share's own returns on the FTSE ADX General Index (FADGI), the published index of the exchange the share is listed on — the market series is resolved from that listing rather than chosen by this study, and it is taken as of 2026-07-24. 159 weekly observations measured Friday close to Friday close on the exchange's own trading week, from 2023-06-16 to 2026-07-17, with both series screened for data quality before they are paired. The slope is a lead-lag sum — one lag, the contemporaneous return and one lead, added together. R-squared 0.1814, standard error 0.3147</w:t>
            </w:r>
          </w:p>
        </w:tc>
      </w:tr>
      <w:tr>
        <w:trPr>
          <w:cantSplit w:val="true"/>
        </w:trPr>
        <w:tc>
          <w:tcPr>
            <w:tcW w:type="dxa" w:w="2088"/>
          </w:tcPr>
          <w:p>
            <w:pPr>
              <w:spacing w:after="20" w:before="0" w:line="240" w:lineRule="auto"/>
            </w:pPr>
            <w:r>
              <w:rPr>
                <w:color w:val="1C3A36"/>
                <w:sz w:val="14"/>
              </w:rPr>
              <w:t>beta se</w:t>
            </w:r>
          </w:p>
        </w:tc>
        <w:tc>
          <w:tcPr>
            <w:tcW w:type="dxa" w:w="1238"/>
          </w:tcPr>
          <w:p>
            <w:pPr>
              <w:spacing w:after="20" w:before="0" w:line="240" w:lineRule="auto"/>
              <w:jc w:val="right"/>
            </w:pPr>
            <w:r>
              <w:rPr>
                <w:color w:val="1C3A36"/>
                <w:sz w:val="14"/>
              </w:rPr>
              <w:t>0.315</w:t>
            </w:r>
          </w:p>
        </w:tc>
        <w:tc>
          <w:tcPr>
            <w:tcW w:type="dxa" w:w="1022"/>
          </w:tcPr>
          <w:p>
            <w:pPr>
              <w:spacing w:after="20" w:before="0" w:line="240" w:lineRule="auto"/>
            </w:pPr>
            <w:r>
              <w:rPr>
                <w:color w:val="1C3A36"/>
                <w:sz w:val="14"/>
              </w:rPr>
              <w:t>24 Jul 2026</w:t>
            </w:r>
          </w:p>
        </w:tc>
        <w:tc>
          <w:tcPr>
            <w:tcW w:type="dxa" w:w="5875"/>
          </w:tcPr>
          <w:p>
            <w:pPr>
              <w:spacing w:after="20" w:before="0" w:line="240" w:lineRule="auto"/>
            </w:pPr>
            <w:r>
              <w:rPr>
                <w:color w:val="1C3A36"/>
                <w:sz w:val="14"/>
              </w:rPr>
              <w:t>Standard error of the same regression</w:t>
            </w:r>
          </w:p>
        </w:tc>
      </w:tr>
      <w:tr>
        <w:trPr>
          <w:cantSplit w:val="true"/>
        </w:trPr>
        <w:tc>
          <w:tcPr>
            <w:tcW w:type="dxa" w:w="2088"/>
          </w:tcPr>
          <w:p>
            <w:pPr>
              <w:spacing w:after="20" w:before="0" w:line="240" w:lineRule="auto"/>
            </w:pPr>
            <w:r>
              <w:rPr>
                <w:color w:val="1C3A36"/>
                <w:sz w:val="14"/>
              </w:rPr>
              <w:t>beta r2</w:t>
            </w:r>
          </w:p>
        </w:tc>
        <w:tc>
          <w:tcPr>
            <w:tcW w:type="dxa" w:w="1238"/>
          </w:tcPr>
          <w:p>
            <w:pPr>
              <w:spacing w:after="20" w:before="0" w:line="240" w:lineRule="auto"/>
              <w:jc w:val="right"/>
            </w:pPr>
            <w:r>
              <w:rPr>
                <w:color w:val="1C3A36"/>
                <w:sz w:val="14"/>
              </w:rPr>
              <w:t>0.181</w:t>
            </w:r>
          </w:p>
        </w:tc>
        <w:tc>
          <w:tcPr>
            <w:tcW w:type="dxa" w:w="1022"/>
          </w:tcPr>
          <w:p>
            <w:pPr>
              <w:spacing w:after="20" w:before="0" w:line="240" w:lineRule="auto"/>
            </w:pPr>
            <w:r>
              <w:rPr>
                <w:color w:val="1C3A36"/>
                <w:sz w:val="14"/>
              </w:rPr>
              <w:t>24 Jul 2026</w:t>
            </w:r>
          </w:p>
        </w:tc>
        <w:tc>
          <w:tcPr>
            <w:tcW w:type="dxa" w:w="5875"/>
          </w:tcPr>
          <w:p>
            <w:pPr>
              <w:spacing w:after="20" w:before="0" w:line="240" w:lineRule="auto"/>
            </w:pPr>
            <w:r>
              <w:rPr>
                <w:color w:val="1C3A36"/>
                <w:sz w:val="14"/>
              </w:rPr>
              <w:t>R-squared of the same regression</w:t>
            </w:r>
          </w:p>
        </w:tc>
      </w:tr>
      <w:tr>
        <w:trPr>
          <w:cantSplit w:val="true"/>
        </w:trPr>
        <w:tc>
          <w:tcPr>
            <w:tcW w:type="dxa" w:w="2088"/>
          </w:tcPr>
          <w:p>
            <w:pPr>
              <w:spacing w:after="20" w:before="0" w:line="240" w:lineRule="auto"/>
            </w:pPr>
            <w:r>
              <w:rPr>
                <w:color w:val="1C3A36"/>
                <w:sz w:val="14"/>
              </w:rPr>
              <w:t>beta blume</w:t>
            </w:r>
          </w:p>
        </w:tc>
        <w:tc>
          <w:tcPr>
            <w:tcW w:type="dxa" w:w="1238"/>
          </w:tcPr>
          <w:p>
            <w:pPr>
              <w:spacing w:after="20" w:before="0" w:line="240" w:lineRule="auto"/>
              <w:jc w:val="right"/>
            </w:pPr>
            <w:r>
              <w:rPr>
                <w:color w:val="1C3A36"/>
                <w:sz w:val="14"/>
              </w:rPr>
              <w:t>1.069</w:t>
            </w:r>
          </w:p>
        </w:tc>
        <w:tc>
          <w:tcPr>
            <w:tcW w:type="dxa" w:w="1022"/>
          </w:tcPr>
          <w:p>
            <w:pPr>
              <w:spacing w:after="20" w:before="0" w:line="240" w:lineRule="auto"/>
            </w:pPr>
            <w:r>
              <w:rPr>
                <w:color w:val="1C3A36"/>
                <w:sz w:val="14"/>
              </w:rPr>
              <w:t>24 Jul 2026</w:t>
            </w:r>
          </w:p>
        </w:tc>
        <w:tc>
          <w:tcPr>
            <w:tcW w:type="dxa" w:w="5875"/>
          </w:tcPr>
          <w:p>
            <w:pPr>
              <w:spacing w:after="20" w:before="0" w:line="240" w:lineRule="auto"/>
            </w:pPr>
            <w:r>
              <w:rPr>
                <w:color w:val="1C3A36"/>
                <w:sz w:val="14"/>
              </w:rPr>
              <w:t>Blume cross-check reported with the same regression — two-thirds of the measured slope plus one-third of 1.0, the standard adjustment for the tendency of a measured beta to drift toward the market over time. Published as a check on the adopted figure; the study does not discount at it</w:t>
            </w:r>
          </w:p>
        </w:tc>
      </w:tr>
      <w:tr>
        <w:trPr>
          <w:cantSplit w:val="true"/>
        </w:trPr>
        <w:tc>
          <w:tcPr>
            <w:tcW w:type="dxa" w:w="2088"/>
          </w:tcPr>
          <w:p>
            <w:pPr>
              <w:spacing w:after="20" w:before="0" w:line="240" w:lineRule="auto"/>
            </w:pPr>
            <w:r>
              <w:rPr>
                <w:color w:val="1C3A36"/>
                <w:sz w:val="14"/>
              </w:rPr>
              <w:t>beta composite</w:t>
            </w:r>
          </w:p>
        </w:tc>
        <w:tc>
          <w:tcPr>
            <w:tcW w:type="dxa" w:w="1238"/>
          </w:tcPr>
          <w:p>
            <w:pPr>
              <w:spacing w:after="20" w:before="0" w:line="240" w:lineRule="auto"/>
              <w:jc w:val="right"/>
            </w:pPr>
            <w:r>
              <w:rPr>
                <w:color w:val="1C3A36"/>
                <w:sz w:val="14"/>
              </w:rPr>
              <w:t>0.690</w:t>
            </w:r>
          </w:p>
        </w:tc>
        <w:tc>
          <w:tcPr>
            <w:tcW w:type="dxa" w:w="1022"/>
          </w:tcPr>
          <w:p>
            <w:pPr>
              <w:spacing w:after="20" w:before="0" w:line="240" w:lineRule="auto"/>
            </w:pPr>
            <w:r>
              <w:rPr>
                <w:color w:val="1C3A36"/>
                <w:sz w:val="14"/>
              </w:rPr>
              <w:t>7 Aug 2026</w:t>
            </w:r>
          </w:p>
        </w:tc>
        <w:tc>
          <w:tcPr>
            <w:tcW w:type="dxa" w:w="5875"/>
          </w:tcPr>
          <w:p>
            <w:pPr>
              <w:spacing w:after="20" w:before="0" w:line="240" w:lineRule="auto"/>
            </w:pPr>
            <w:r>
              <w:rPr>
                <w:color w:val="1C3A36"/>
                <w:sz w:val="14"/>
              </w:rPr>
              <w:t>The share's own returns regressed against an equal-weight composite of the exchange's own listed names instead of the published index — a basket assembled for this study alone, published for comparison and never adopted, because a hand-built basket is not the market this share is listed against. Reported because the gap between the two is large and is a property of index construction, not of the company: the published index is weighted by size and is dominated by the same large-capitalisation group the subject belongs to</w:t>
            </w:r>
          </w:p>
        </w:tc>
      </w:tr>
      <w:tr>
        <w:trPr>
          <w:cantSplit w:val="true"/>
        </w:trPr>
        <w:tc>
          <w:tcPr>
            <w:tcW w:type="dxa" w:w="2088"/>
          </w:tcPr>
          <w:p>
            <w:pPr>
              <w:spacing w:after="20" w:before="0" w:line="240" w:lineRule="auto"/>
            </w:pPr>
            <w:r>
              <w:rPr>
                <w:color w:val="1C3A36"/>
                <w:sz w:val="14"/>
              </w:rPr>
              <w:t>beta ci lo</w:t>
            </w:r>
          </w:p>
        </w:tc>
        <w:tc>
          <w:tcPr>
            <w:tcW w:type="dxa" w:w="1238"/>
          </w:tcPr>
          <w:p>
            <w:pPr>
              <w:spacing w:after="20" w:before="0" w:line="240" w:lineRule="auto"/>
              <w:jc w:val="right"/>
            </w:pPr>
            <w:r>
              <w:rPr>
                <w:color w:val="1C3A36"/>
                <w:sz w:val="14"/>
              </w:rPr>
              <w:t>0.586</w:t>
            </w:r>
          </w:p>
        </w:tc>
        <w:tc>
          <w:tcPr>
            <w:tcW w:type="dxa" w:w="1022"/>
          </w:tcPr>
          <w:p>
            <w:pPr>
              <w:spacing w:after="20" w:before="0" w:line="240" w:lineRule="auto"/>
            </w:pPr>
            <w:r>
              <w:rPr>
                <w:color w:val="1C3A36"/>
                <w:sz w:val="14"/>
              </w:rPr>
              <w:t>24 Jul 2026</w:t>
            </w:r>
          </w:p>
        </w:tc>
        <w:tc>
          <w:tcPr>
            <w:tcW w:type="dxa" w:w="5875"/>
          </w:tcPr>
          <w:p>
            <w:pPr>
              <w:spacing w:after="20" w:before="0" w:line="240" w:lineRule="auto"/>
            </w:pPr>
            <w:r>
              <w:rPr>
                <w:color w:val="1C3A36"/>
                <w:sz w:val="14"/>
              </w:rPr>
              <w:t>Lower bound of the 90% confidence interval on the regressed beta</w:t>
            </w:r>
          </w:p>
        </w:tc>
      </w:tr>
      <w:tr>
        <w:trPr>
          <w:cantSplit w:val="true"/>
        </w:trPr>
        <w:tc>
          <w:tcPr>
            <w:tcW w:type="dxa" w:w="2088"/>
          </w:tcPr>
          <w:p>
            <w:pPr>
              <w:spacing w:after="20" w:before="0" w:line="240" w:lineRule="auto"/>
            </w:pPr>
            <w:r>
              <w:rPr>
                <w:color w:val="1C3A36"/>
                <w:sz w:val="14"/>
              </w:rPr>
              <w:t>beta ci hi</w:t>
            </w:r>
          </w:p>
        </w:tc>
        <w:tc>
          <w:tcPr>
            <w:tcW w:type="dxa" w:w="1238"/>
          </w:tcPr>
          <w:p>
            <w:pPr>
              <w:spacing w:after="20" w:before="0" w:line="240" w:lineRule="auto"/>
              <w:jc w:val="right"/>
            </w:pPr>
            <w:r>
              <w:rPr>
                <w:color w:val="1C3A36"/>
                <w:sz w:val="14"/>
              </w:rPr>
              <w:t>1.621</w:t>
            </w:r>
          </w:p>
        </w:tc>
        <w:tc>
          <w:tcPr>
            <w:tcW w:type="dxa" w:w="1022"/>
          </w:tcPr>
          <w:p>
            <w:pPr>
              <w:spacing w:after="20" w:before="0" w:line="240" w:lineRule="auto"/>
            </w:pPr>
            <w:r>
              <w:rPr>
                <w:color w:val="1C3A36"/>
                <w:sz w:val="14"/>
              </w:rPr>
              <w:t>24 Jul 2026</w:t>
            </w:r>
          </w:p>
        </w:tc>
        <w:tc>
          <w:tcPr>
            <w:tcW w:type="dxa" w:w="5875"/>
          </w:tcPr>
          <w:p>
            <w:pPr>
              <w:spacing w:after="20" w:before="0" w:line="240" w:lineRule="auto"/>
            </w:pPr>
            <w:r>
              <w:rPr>
                <w:color w:val="1C3A36"/>
                <w:sz w:val="14"/>
              </w:rPr>
              <w:t>Upper bound of the 90% confidence interval on the regressed beta</w:t>
            </w:r>
          </w:p>
        </w:tc>
      </w:tr>
    </w:tbl>
    <w:p>
      <w:pPr>
        <w:pageBreakBefore/>
        <w:spacing w:after="100" w:before="260"/>
      </w:pPr>
      <w:r>
        <w:rPr>
          <w:b/>
          <w:i w:val="0"/>
          <w:color w:val="1C3A36"/>
          <w:sz w:val="28"/>
        </w:rPr>
        <w:t>The judgements, stated separately</w:t>
      </w:r>
    </w:p>
    <w:p>
      <w:pPr>
        <w:spacing w:after="100" w:before="0"/>
      </w:pPr>
      <w:r>
        <w:rPr>
          <w:b w:val="0"/>
          <w:i w:val="0"/>
          <w:color w:val="1C3A36"/>
          <w:sz w:val="19"/>
        </w:rPr>
        <w:t>These are the places where the study chose rather than read. Each row states what was taken, and what evidence would overturn it — written before the outcome is known, so that a reader can hold the study to it. They are collected here so they can be found without reading the whole study.</w:t>
      </w:r>
    </w:p>
    <w:tbl>
      <w:tblPr>
        <w:tblW w:type="auto" w:w="0"/>
        <w:jc w:val="center"/>
        <w:tblLook w:firstColumn="1" w:firstRow="1" w:lastColumn="0" w:lastRow="0" w:noHBand="0" w:noVBand="1" w:val="04A0"/>
        <w:tblLayout w:type="fixed"/>
        <w:tblCellMar>
          <w:top w:w="34" w:type="dxa"/>
          <w:left w:w="70" w:type="dxa"/>
          <w:bottom w:w="34" w:type="dxa"/>
          <w:right w:w="7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3917"/>
        <w:gridCol w:w="4262"/>
      </w:tblGrid>
      <w:tr>
        <w:trPr>
          <w:cantSplit w:val="true"/>
          <w:tblHeader w:val="true"/>
        </w:trPr>
        <w:tc>
          <w:tcPr>
            <w:tcW w:type="dxa" w:w="2045"/>
            <w:shd w:val="clear" w:color="auto" w:fill="EAF0EE"/>
          </w:tcPr>
          <w:p>
            <w:pPr>
              <w:spacing w:after="20" w:before="0" w:line="240" w:lineRule="auto"/>
            </w:pPr>
            <w:r>
              <w:rPr>
                <w:b/>
                <w:color w:val="1C3A36"/>
                <w:sz w:val="15"/>
              </w:rPr>
              <w:t>The judgement</w:t>
            </w:r>
          </w:p>
        </w:tc>
        <w:tc>
          <w:tcPr>
            <w:tcW w:type="dxa" w:w="3917"/>
            <w:shd w:val="clear" w:color="auto" w:fill="EAF0EE"/>
          </w:tcPr>
          <w:p>
            <w:pPr>
              <w:spacing w:after="20" w:before="0" w:line="240" w:lineRule="auto"/>
            </w:pPr>
            <w:r>
              <w:rPr>
                <w:b/>
                <w:color w:val="1C3A36"/>
                <w:sz w:val="15"/>
              </w:rPr>
              <w:t>What the study took</w:t>
            </w:r>
          </w:p>
        </w:tc>
        <w:tc>
          <w:tcPr>
            <w:tcW w:type="dxa" w:w="4262"/>
            <w:shd w:val="clear" w:color="auto" w:fill="EAF0EE"/>
          </w:tcPr>
          <w:p>
            <w:pPr>
              <w:spacing w:after="20" w:before="0" w:line="240" w:lineRule="auto"/>
            </w:pPr>
            <w:r>
              <w:rPr>
                <w:b/>
                <w:color w:val="1C3A36"/>
                <w:sz w:val="15"/>
              </w:rPr>
              <w:t>What would overturn it</w:t>
            </w:r>
          </w:p>
        </w:tc>
      </w:tr>
      <w:tr>
        <w:trPr>
          <w:cantSplit w:val="true"/>
        </w:trPr>
        <w:tc>
          <w:tcPr>
            <w:tcW w:type="dxa" w:w="2045"/>
          </w:tcPr>
          <w:p>
            <w:pPr>
              <w:spacing w:after="20" w:before="0" w:line="240" w:lineRule="auto"/>
            </w:pPr>
            <w:r>
              <w:rPr>
                <w:color w:val="1C3A36"/>
                <w:sz w:val="15"/>
              </w:rPr>
              <w:t>Where tanker rates settle after 2026</w:t>
            </w:r>
          </w:p>
        </w:tc>
        <w:tc>
          <w:tcPr>
            <w:tcW w:type="dxa" w:w="3917"/>
          </w:tcPr>
          <w:p>
            <w:pPr>
              <w:spacing w:after="20" w:before="0" w:line="240" w:lineRule="auto"/>
            </w:pPr>
            <w:r>
              <w:rPr>
                <w:color w:val="1C3A36"/>
                <w:sz w:val="15"/>
              </w:rPr>
              <w:t>Not resolved into one number. The whole valuation is computed twice and published side by side: rates reverting to the average of the 2024 and 2025 outcomes gives AED 5.34 a share, rates settling 30% above that gives AED 7.46. This is the study's central contested judgement and the largest single driver in it.</w:t>
            </w:r>
          </w:p>
        </w:tc>
        <w:tc>
          <w:tcPr>
            <w:tcW w:type="dxa" w:w="4262"/>
          </w:tcPr>
          <w:p>
            <w:pPr>
              <w:spacing w:after="20" w:before="0" w:line="240" w:lineRule="auto"/>
            </w:pPr>
            <w:r>
              <w:rPr>
                <w:color w:val="1C3A36"/>
                <w:sz w:val="15"/>
              </w:rPr>
              <w:t>A published forward curve or a third-party rate forecast would replace the judgement outright; none is obtainable. Failing that, a second and third quarter printing at either level settles it — the second-quarter results were scheduled for 11 August 2026, days after this study was struck.</w:t>
            </w:r>
          </w:p>
        </w:tc>
      </w:tr>
      <w:tr>
        <w:trPr>
          <w:cantSplit w:val="true"/>
        </w:trPr>
        <w:tc>
          <w:tcPr>
            <w:tcW w:type="dxa" w:w="2045"/>
          </w:tcPr>
          <w:p>
            <w:pPr>
              <w:spacing w:after="20" w:before="0" w:line="240" w:lineRule="auto"/>
            </w:pPr>
            <w:r>
              <w:rPr>
                <w:color w:val="1C3A36"/>
                <w:sz w:val="15"/>
              </w:rPr>
              <w:t>How the tanker fleet is built, vessel by vessel, off the published charter table</w:t>
            </w:r>
          </w:p>
        </w:tc>
        <w:tc>
          <w:tcPr>
            <w:tcW w:type="dxa" w:w="3917"/>
          </w:tcPr>
          <w:p>
            <w:pPr>
              <w:spacing w:after="20" w:before="0" w:line="240" w:lineRule="auto"/>
            </w:pPr>
            <w:r>
              <w:rPr>
                <w:color w:val="1C3A36"/>
                <w:sz w:val="15"/>
              </w:rPr>
              <w:t>Each of the 12 vessels chartered out is carried at its own disclosed rate for exactly the days its own contract runs, and the rate an uncommitted vessel earns is SOLVED out of the class average the company publishes rather than assumed — the average multiplied by the class's vessel-days, less what the committed vessels earned, over the days the uncommitted vessels had. Nothing about the market rate is assumed. What IS judged is that the published average is a straight vessel-day average of the whole class, which is what the chief financial officer's own description of it implies. Only the expiry and the period are published for each charter, so each start date is the expiry less the period; no date is invented.</w:t>
            </w:r>
          </w:p>
        </w:tc>
        <w:tc>
          <w:tcPr>
            <w:tcW w:type="dxa" w:w="4262"/>
          </w:tcPr>
          <w:p>
            <w:pPr>
              <w:spacing w:after="20" w:before="0" w:line="240" w:lineRule="auto"/>
            </w:pPr>
            <w:r>
              <w:rPr>
                <w:color w:val="1C3A36"/>
                <w:sz w:val="15"/>
              </w:rPr>
              <w:t>A disclosed split between committed and uncommitted earnings, which the company does not publish, would replace the construction outright. Failing that, the check available is internal and it passes: where a class has no vessel on charter out, the published average and the solved rate come out identical. If the company weights its published average differently — by revenue rather than by vessel-days, say, or excluding off-hire — the solved rate is too high by the amount the average is understated, and a reported half-year would show it.</w:t>
            </w:r>
          </w:p>
        </w:tc>
      </w:tr>
      <w:tr>
        <w:trPr>
          <w:cantSplit w:val="true"/>
        </w:trPr>
        <w:tc>
          <w:tcPr>
            <w:tcW w:type="dxa" w:w="2045"/>
          </w:tcPr>
          <w:p>
            <w:pPr>
              <w:spacing w:after="20" w:before="0" w:line="240" w:lineRule="auto"/>
            </w:pPr>
            <w:r>
              <w:rPr>
                <w:color w:val="1C3A36"/>
                <w:sz w:val="15"/>
              </w:rPr>
              <w:t>How the eleven vessels bought on 7 August 2026 are phased into the model</w:t>
            </w:r>
          </w:p>
        </w:tc>
        <w:tc>
          <w:tcPr>
            <w:tcW w:type="dxa" w:w="3917"/>
          </w:tcPr>
          <w:p>
            <w:pPr>
              <w:spacing w:after="20" w:before="0" w:line="240" w:lineRule="auto"/>
            </w:pPr>
            <w:r>
              <w:rPr>
                <w:color w:val="1C3A36"/>
                <w:sz w:val="15"/>
              </w:rPr>
              <w:t>On their announced delivery dates, and not before. The announcement gives delivery quarters rather than dates, so each group is placed at the start of the quarter it is announced for: the crude carriers and the secondhand gas carriers in the third quarter of 2026, the gas carrier newbuildings in the fourth. From those dates they earn the same open-market rate the rest of their class earns, and they depreciate on the same rate as the rest of the fleet. The whole consideration of USD 1,300m is deducted in the bridge at once, because it is committed at the valuation date whether or not the ships have arrived. What is judged is the phasing WITHIN the announced quarters and the assumption that the ships trade on the class rate rather than on terms of their own.</w:t>
            </w:r>
          </w:p>
        </w:tc>
        <w:tc>
          <w:tcPr>
            <w:tcW w:type="dxa" w:w="4262"/>
          </w:tcPr>
          <w:p>
            <w:pPr>
              <w:spacing w:after="20" w:before="0" w:line="240" w:lineRule="auto"/>
            </w:pPr>
            <w:r>
              <w:rPr>
                <w:color w:val="1C3A36"/>
                <w:sz w:val="15"/>
              </w:rPr>
              <w:t>A delivery notice, or the half-year and full-year statements, which will show the vessels on the balance sheet and the consideration paid. A slipped delivery would take earnings out of 2026 while leaving the deduction in, which is the direction the phasing risk runs. Note that only the part-year matters: from 2027 every vessel is in for the full year on any phasing inside the announced quarters.</w:t>
            </w:r>
          </w:p>
        </w:tc>
      </w:tr>
      <w:tr>
        <w:trPr>
          <w:cantSplit w:val="true"/>
        </w:trPr>
        <w:tc>
          <w:tcPr>
            <w:tcW w:type="dxa" w:w="2045"/>
          </w:tcPr>
          <w:p>
            <w:pPr>
              <w:spacing w:after="20" w:before="0" w:line="240" w:lineRule="auto"/>
            </w:pPr>
            <w:r>
              <w:rPr>
                <w:color w:val="1C3A36"/>
                <w:sz w:val="15"/>
              </w:rPr>
              <w:t>The rate carried for the smallest tanker class</w:t>
            </w:r>
          </w:p>
        </w:tc>
        <w:tc>
          <w:tcPr>
            <w:tcW w:type="dxa" w:w="3917"/>
          </w:tcPr>
          <w:p>
            <w:pPr>
              <w:spacing w:after="20" w:before="0" w:line="240" w:lineRule="auto"/>
            </w:pPr>
            <w:r>
              <w:rPr>
                <w:color w:val="1C3A36"/>
                <w:sz w:val="15"/>
              </w:rPr>
              <w:t>0.79 of the medium-range rate. No quarterly rate is published for the handysize class at any point in the record. The previous edition stood the medium-range rate in for it unadjusted; on the first-quarter call the company said handysize rates were softer while medium range was up, so the two classes were moving in opposite directions and the substitution was importing a rise into a class that was falling. The disclosed relative move is used instead of the substitution.</w:t>
            </w:r>
          </w:p>
        </w:tc>
        <w:tc>
          <w:tcPr>
            <w:tcW w:type="dxa" w:w="4262"/>
          </w:tcPr>
          <w:p>
            <w:pPr>
              <w:spacing w:after="20" w:before="0" w:line="240" w:lineRule="auto"/>
            </w:pPr>
            <w:r>
              <w:rPr>
                <w:color w:val="1C3A36"/>
                <w:sz w:val="15"/>
              </w:rPr>
              <w:t>A published handysize rate, which would replace the scaling outright. Failing that, a second disclosure of the relative move in a later quarter. The class is 2 of 52 owned tankers and the lowest earner in the fleet, so the amount at stake is small — but a substitution that points the wrong way is a different kind of error from one that is merely approximate.</w:t>
            </w:r>
          </w:p>
        </w:tc>
      </w:tr>
      <w:tr>
        <w:trPr>
          <w:cantSplit w:val="true"/>
        </w:trPr>
        <w:tc>
          <w:tcPr>
            <w:tcW w:type="dxa" w:w="2045"/>
          </w:tcPr>
          <w:p>
            <w:pPr>
              <w:spacing w:after="20" w:before="0" w:line="240" w:lineRule="auto"/>
            </w:pPr>
            <w:r>
              <w:rPr>
                <w:color w:val="1C3A36"/>
                <w:sz w:val="15"/>
              </w:rPr>
              <w:t>The revenue basis the receivable cycle is measured against</w:t>
            </w:r>
          </w:p>
        </w:tc>
        <w:tc>
          <w:tcPr>
            <w:tcW w:type="dxa" w:w="3917"/>
          </w:tcPr>
          <w:p>
            <w:pPr>
              <w:spacing w:after="20" w:before="0" w:line="240" w:lineRule="auto"/>
            </w:pPr>
            <w:r>
              <w:rPr>
                <w:color w:val="1C3A36"/>
                <w:sz w:val="15"/>
              </w:rPr>
              <w:t>Receivable days are 110.1, not the 108.4 that receivables over REPORTED 2025 revenue gives. The two differ because 2025 revenue carries a gross-up of 2.73x over the owned tanker fleet's own charter-equivalent revenue, from chartered-in and relet trading, while the forecast revenue line is built at 2.61x. A day count calibrated on one basis and applied to the other understates the receivable balance by the whole difference between the two conventions, so the count is re-based onto the basis the forecast uses.</w:t>
            </w:r>
          </w:p>
        </w:tc>
        <w:tc>
          <w:tcPr>
            <w:tcW w:type="dxa" w:w="4262"/>
          </w:tcPr>
          <w:p>
            <w:pPr>
              <w:spacing w:after="20" w:before="0" w:line="240" w:lineRule="auto"/>
            </w:pPr>
            <w:r>
              <w:rPr>
                <w:color w:val="1C3A36"/>
                <w:sz w:val="15"/>
              </w:rPr>
              <w:t>A change in the trading mix that moves the gross-up itself, which would move both the ratio and its base together. This correction also falsified a claim the previous edition printed — that the gross-up moves the revenue line and never the earnings line, and therefore cannot affect the valuation. The first half is true and the conclusion does not follow: revenue is the denominator the conversion cycle is expressed in, so the convention reaches the valuation through receivables and the change in working capital. The claim is reprinted and corrected in the study's own caveats rather than dropped.</w:t>
            </w:r>
          </w:p>
        </w:tc>
      </w:tr>
      <w:tr>
        <w:trPr>
          <w:cantSplit w:val="true"/>
        </w:trPr>
        <w:tc>
          <w:tcPr>
            <w:tcW w:type="dxa" w:w="2045"/>
          </w:tcPr>
          <w:p>
            <w:pPr>
              <w:spacing w:after="20" w:before="0" w:line="240" w:lineRule="auto"/>
            </w:pPr>
            <w:r>
              <w:rPr>
                <w:color w:val="1C3A36"/>
                <w:sz w:val="15"/>
              </w:rPr>
              <w:t>The rate at which the excess return fades in the asset lens</w:t>
            </w:r>
          </w:p>
        </w:tc>
        <w:tc>
          <w:tcPr>
            <w:tcW w:type="dxa" w:w="3917"/>
          </w:tcPr>
          <w:p>
            <w:pPr>
              <w:spacing w:after="20" w:before="0" w:line="240" w:lineRule="auto"/>
            </w:pPr>
            <w:r>
              <w:rPr>
                <w:color w:val="1C3A36"/>
                <w:sz w:val="15"/>
              </w:rPr>
              <w:t>10% a year. The asset lens is built as residual income — opening ordinary book, plus the return earned above the cost of equity on that book for five years discounted, plus a remainder beyond the forecast in which the excess return decays at this rate. The remainder is -5% of what the lens produces. The economic case for a fade is that a fleet has to be replaced at market prices rather than at the value it is carried at, so a return above the cost of equity cannot persist unchanged; the SPEED is chosen rather than measured.</w:t>
            </w:r>
          </w:p>
        </w:tc>
        <w:tc>
          <w:tcPr>
            <w:tcW w:type="dxa" w:w="4262"/>
          </w:tcPr>
          <w:p>
            <w:pPr>
              <w:spacing w:after="20" w:before="0" w:line="240" w:lineRule="auto"/>
            </w:pPr>
            <w:r>
              <w:rPr>
                <w:color w:val="1C3A36"/>
                <w:sz w:val="15"/>
              </w:rPr>
              <w:t>Nothing observable fixes it, and that is the honest answer. A longer record of this company earning above its cost of equity through a full rate cycle would argue for a slower fade; a period of newbuild deliveries competing the return away would argue for a faster one. A slower fade raises this lens and a faster one lowers it, which is one reason it carries the lowest weight of the four.</w:t>
            </w:r>
          </w:p>
        </w:tc>
      </w:tr>
      <w:tr>
        <w:trPr>
          <w:cantSplit w:val="true"/>
        </w:trPr>
        <w:tc>
          <w:tcPr>
            <w:tcW w:type="dxa" w:w="2045"/>
          </w:tcPr>
          <w:p>
            <w:pPr>
              <w:spacing w:after="20" w:before="0" w:line="240" w:lineRule="auto"/>
            </w:pPr>
            <w:r>
              <w:rPr>
                <w:color w:val="1C3A36"/>
                <w:sz w:val="15"/>
              </w:rPr>
              <w:t>How the minority interests are deducted</w:t>
            </w:r>
          </w:p>
        </w:tc>
        <w:tc>
          <w:tcPr>
            <w:tcW w:type="dxa" w:w="3917"/>
          </w:tcPr>
          <w:p>
            <w:pPr>
              <w:spacing w:after="20" w:before="0" w:line="240" w:lineRule="auto"/>
            </w:pPr>
            <w:r>
              <w:rPr>
                <w:color w:val="1C3A36"/>
                <w:sz w:val="15"/>
              </w:rPr>
              <w:t>Not at book, and not at a flat share of equity value either. Of the USD 272.1m of minority book at the valuation date (USD 264.5m at the 2025 year end), USD 252.0m arose on the tanker combination, and that 20% is contracted for purchase in mid-2027 at a price already carried in the bridge as deferred consideration (USD 301.5m). Deducting it again at a share of equity value would count the same claim twice, so it stays at book. Only the remaining USD 37.2m is lifted from book to its share of value, giving a total deduction of USD 316.7m.</w:t>
            </w:r>
          </w:p>
        </w:tc>
        <w:tc>
          <w:tcPr>
            <w:tcW w:type="dxa" w:w="4262"/>
          </w:tcPr>
          <w:p>
            <w:pPr>
              <w:spacing w:after="20" w:before="0" w:line="240" w:lineRule="auto"/>
            </w:pPr>
            <w:r>
              <w:rPr>
                <w:color w:val="1C3A36"/>
                <w:sz w:val="15"/>
              </w:rPr>
              <w:t>A review of the first edition called it a critical failure that minorities were deducted at book when they take 4.54% of profit. The premise is right and the conclusion is not, and the arithmetic is published so a reader can decide for themselves: at book the deduction is USD 272.1m, as taken here it is USD 316.7m, and applying the profit share to the whole equity value with nothing netted off would make it USD 506.5m. What would overturn it is the purchase not completing, or completing at a different price — at which point the deferred-consideration line changes and this one follows it.</w:t>
            </w:r>
          </w:p>
        </w:tc>
      </w:tr>
      <w:tr>
        <w:trPr>
          <w:cantSplit w:val="true"/>
        </w:trPr>
        <w:tc>
          <w:tcPr>
            <w:tcW w:type="dxa" w:w="2045"/>
          </w:tcPr>
          <w:p>
            <w:pPr>
              <w:spacing w:after="20" w:before="0" w:line="240" w:lineRule="auto"/>
            </w:pPr>
            <w:r>
              <w:rPr>
                <w:color w:val="1C3A36"/>
                <w:sz w:val="15"/>
              </w:rPr>
              <w:t>The step-down in rates assumed for the second half of 2026</w:t>
            </w:r>
          </w:p>
        </w:tc>
        <w:tc>
          <w:tcPr>
            <w:tcW w:type="dxa" w:w="3917"/>
          </w:tcPr>
          <w:p>
            <w:pPr>
              <w:spacing w:after="20" w:before="0" w:line="240" w:lineRule="auto"/>
            </w:pPr>
            <w:r>
              <w:rPr>
                <w:color w:val="1C3A36"/>
                <w:sz w:val="15"/>
              </w:rPr>
              <w:t>A half-and-half blend: 50% weight on the 2025 average rate against the rate achieved in the first quarter of 2026. A deliberate step down from a first half running far above the 2025 average.</w:t>
            </w:r>
          </w:p>
        </w:tc>
        <w:tc>
          <w:tcPr>
            <w:tcW w:type="dxa" w:w="4262"/>
          </w:tcPr>
          <w:p>
            <w:pPr>
              <w:spacing w:after="20" w:before="0" w:line="240" w:lineRule="auto"/>
            </w:pPr>
            <w:r>
              <w:rPr>
                <w:color w:val="1C3A36"/>
                <w:sz w:val="15"/>
              </w:rPr>
              <w:t>Third-quarter rates printing at first-half levels would make the blend too conservative; a collapse to the 2025 average would make it too generous. The sensitivity is carried in the study rather than buried, because the first half is already realised and only the back half is assumed.</w:t>
            </w:r>
          </w:p>
        </w:tc>
      </w:tr>
      <w:tr>
        <w:trPr>
          <w:cantSplit w:val="true"/>
        </w:trPr>
        <w:tc>
          <w:tcPr>
            <w:tcW w:type="dxa" w:w="2045"/>
          </w:tcPr>
          <w:p>
            <w:pPr>
              <w:spacing w:after="20" w:before="0" w:line="240" w:lineRule="auto"/>
            </w:pPr>
            <w:r>
              <w:rPr>
                <w:color w:val="1C3A36"/>
                <w:sz w:val="15"/>
              </w:rPr>
              <w:t>Which measurement of the market the beta is regressed against</w:t>
            </w:r>
          </w:p>
        </w:tc>
        <w:tc>
          <w:tcPr>
            <w:tcW w:type="dxa" w:w="3917"/>
          </w:tcPr>
          <w:p>
            <w:pPr>
              <w:spacing w:after="20" w:before="0" w:line="240" w:lineRule="auto"/>
            </w:pPr>
            <w:r>
              <w:rPr>
                <w:color w:val="1C3A36"/>
                <w:sz w:val="15"/>
              </w:rPr>
              <w:t>The published index of the exchange the share is listed on — the FTSE ADX General Index — because that is the market the share actually trades in and the measurement the method calls for. It is resolved from the exchange the share is listed on rather than chosen here, and it is the FADGI series taken as of 2026-07-24. Weekly returns from 2023-06-16 to 2026-07-17, measured on that exchange's own trading week, give a slope of 1.103 (159 paired observations, R-squared 0.181, standard error 0.315) and a cost of equity of 9.43%. The slope is a lead-lag sum — one lag, the contemporaneous return and one lead — so the co-movement a thinly traded share books late is inside it rather than added to it afterwards. The same returns measured against an equal-weight composite of that exchange's own names instead, a basket assembled for this study and never adopted, give 0.690, a cost of equity of 7.42% and a central figure of AED 7.37 against the published AED 5.34. Both constructions are computed in full and published side by side; neither is averaged into the other.</w:t>
            </w:r>
          </w:p>
        </w:tc>
        <w:tc>
          <w:tcPr>
            <w:tcW w:type="dxa" w:w="4262"/>
          </w:tcPr>
          <w:p>
            <w:pPr>
              <w:spacing w:after="20" w:before="0" w:line="240" w:lineRule="auto"/>
            </w:pPr>
            <w:r>
              <w:rPr>
                <w:color w:val="1C3A36"/>
                <w:sz w:val="15"/>
              </w:rPr>
              <w:t>A longer price history — the paired record is only 3.09 years (2023-06-16 to 2026-07-17), and length is the one thing that cannot be manufactured. A different definition of the index, since what the two constructions disagree about is which names are in the market and how much say each of them gets. Or evidence that the share's own membership of the index it is measured against materially inflates the slope: it is a constituent, so its own returns sit on both sides of the regression and cannot be taken out of a capitalisation-weighted index. How large that pull is has been measured on the composite, where the share CAN be removed, and it is set out with the empty searches that follow.</w:t>
            </w:r>
          </w:p>
        </w:tc>
      </w:tr>
      <w:tr>
        <w:trPr>
          <w:cantSplit w:val="true"/>
        </w:trPr>
        <w:tc>
          <w:tcPr>
            <w:tcW w:type="dxa" w:w="2045"/>
          </w:tcPr>
          <w:p>
            <w:pPr>
              <w:spacing w:after="20" w:before="0" w:line="240" w:lineRule="auto"/>
            </w:pPr>
            <w:r>
              <w:rPr>
                <w:color w:val="1C3A36"/>
                <w:sz w:val="15"/>
              </w:rPr>
              <w:t>The beta used in the low and the high case</w:t>
            </w:r>
          </w:p>
        </w:tc>
        <w:tc>
          <w:tcPr>
            <w:tcW w:type="dxa" w:w="3917"/>
          </w:tcPr>
          <w:p>
            <w:pPr>
              <w:spacing w:after="20" w:before="0" w:line="240" w:lineRule="auto"/>
            </w:pPr>
            <w:r>
              <w:rPr>
                <w:color w:val="1C3A36"/>
                <w:sz w:val="15"/>
              </w:rPr>
              <w:t>The regression's own 90% confidence bounds rather than round numbers picked by hand: 1.621 in the low case and 0.586 in the high case. A higher slope discounts harder, so the upper bound is what belongs in the low case. On the cash-flow lens those give AED 2.76 and AED 9.98 a share against a base of AED 5.34.</w:t>
            </w:r>
          </w:p>
        </w:tc>
        <w:tc>
          <w:tcPr>
            <w:tcW w:type="dxa" w:w="4262"/>
          </w:tcPr>
          <w:p>
            <w:pPr>
              <w:spacing w:after="20" w:before="0" w:line="240" w:lineRule="auto"/>
            </w:pPr>
            <w:r>
              <w:rPr>
                <w:color w:val="1C3A36"/>
                <w:sz w:val="15"/>
              </w:rPr>
              <w:t>A tighter interval, which only more observations give. The standard error is 0.315 on a slope of 1.103, so the two bounds are 94% of the estimate apart and the cases inherit that width honestly. Round betas chosen by hand would look tidier and would be telling the reader less. This interval is WIDER than the one the previous edition of this study published, because the regression was re-measured on the exchange's own trading week; the low and high cases widened with it, which is the width the evidence supports rather than a loss of precision. The same slope shrunk toward the market on the Blume adjustment, 1.069, sits inside these bounds.</w:t>
            </w:r>
          </w:p>
        </w:tc>
      </w:tr>
      <w:tr>
        <w:trPr>
          <w:cantSplit w:val="true"/>
        </w:trPr>
        <w:tc>
          <w:tcPr>
            <w:tcW w:type="dxa" w:w="2045"/>
          </w:tcPr>
          <w:p>
            <w:pPr>
              <w:spacing w:after="20" w:before="0" w:line="240" w:lineRule="auto"/>
            </w:pPr>
            <w:r>
              <w:rPr>
                <w:color w:val="1C3A36"/>
                <w:sz w:val="15"/>
              </w:rPr>
              <w:t>The recovery in engineering and construction revenue after 2026</w:t>
            </w:r>
          </w:p>
        </w:tc>
        <w:tc>
          <w:tcPr>
            <w:tcW w:type="dxa" w:w="3917"/>
          </w:tcPr>
          <w:p>
            <w:pPr>
              <w:spacing w:after="20" w:before="0" w:line="240" w:lineRule="auto"/>
            </w:pPr>
            <w:r>
              <w:rPr>
                <w:color w:val="1C3A36"/>
                <w:sz w:val="15"/>
              </w:rPr>
              <w:t>Revenue of USD 4m in 2026 — inside the company's own stated range — recovering to USD 4m by 2030, at margins moving from 0% to 0%. This is the least visible line in the model.</w:t>
            </w:r>
          </w:p>
        </w:tc>
        <w:tc>
          <w:tcPr>
            <w:tcW w:type="dxa" w:w="4262"/>
          </w:tcPr>
          <w:p>
            <w:pPr>
              <w:spacing w:after="20" w:before="0" w:line="240" w:lineRule="auto"/>
            </w:pPr>
            <w:r>
              <w:rPr>
                <w:color w:val="1C3A36"/>
                <w:sz w:val="15"/>
              </w:rPr>
              <w:t>A disclosed award pipeline or tender book. Nothing of the kind is published — the empty search is recorded overleaf — so a single announced contract, or a second year at the 2026 level with none, would settle the line in either direction.</w:t>
            </w:r>
          </w:p>
        </w:tc>
      </w:tr>
      <w:tr>
        <w:trPr>
          <w:cantSplit w:val="true"/>
        </w:trPr>
        <w:tc>
          <w:tcPr>
            <w:tcW w:type="dxa" w:w="2045"/>
          </w:tcPr>
          <w:p>
            <w:pPr>
              <w:spacing w:after="20" w:before="0" w:line="240" w:lineRule="auto"/>
            </w:pPr>
            <w:r>
              <w:rPr>
                <w:color w:val="1C3A36"/>
                <w:sz w:val="15"/>
              </w:rPr>
              <w:t>The capital-expenditure path beyond the guided window</w:t>
            </w:r>
          </w:p>
        </w:tc>
        <w:tc>
          <w:tcPr>
            <w:tcW w:type="dxa" w:w="3917"/>
          </w:tcPr>
          <w:p>
            <w:pPr>
              <w:spacing w:after="20" w:before="0" w:line="240" w:lineRule="auto"/>
            </w:pPr>
            <w:r>
              <w:rPr>
                <w:color w:val="1C3A36"/>
                <w:sz w:val="15"/>
              </w:rPr>
              <w:t>The company's own published path is used to 2028 (USD 1,375m / USD 1,245m / USD 1,245m). Beyond it the study steps spending down to USD 700m and USD 650m as the newbuild programme delivers, toward stated maintenance spending plus continuing fleet renewal.</w:t>
            </w:r>
          </w:p>
        </w:tc>
        <w:tc>
          <w:tcPr>
            <w:tcW w:type="dxa" w:w="4262"/>
          </w:tcPr>
          <w:p>
            <w:pPr>
              <w:spacing w:after="20" w:before="0" w:line="240" w:lineRule="auto"/>
            </w:pPr>
            <w:r>
              <w:rPr>
                <w:color w:val="1C3A36"/>
                <w:sz w:val="15"/>
              </w:rPr>
              <w:t>A new order. The order book and its remaining committed spending are disclosed, so an addition to either is visible immediately and would lift the path; equally, a programme that delivers with nothing behind it would push the tail lower still.</w:t>
            </w:r>
          </w:p>
        </w:tc>
      </w:tr>
      <w:tr>
        <w:trPr>
          <w:cantSplit w:val="true"/>
        </w:trPr>
        <w:tc>
          <w:tcPr>
            <w:tcW w:type="dxa" w:w="2045"/>
          </w:tcPr>
          <w:p>
            <w:pPr>
              <w:spacing w:after="20" w:before="0" w:line="240" w:lineRule="auto"/>
            </w:pPr>
            <w:r>
              <w:rPr>
                <w:color w:val="1C3A36"/>
                <w:sz w:val="15"/>
              </w:rPr>
              <w:t>The weighting between the contracted and the spot comparison multiple</w:t>
            </w:r>
          </w:p>
        </w:tc>
        <w:tc>
          <w:tcPr>
            <w:tcW w:type="dxa" w:w="3917"/>
          </w:tcPr>
          <w:p>
            <w:pPr>
              <w:spacing w:after="20" w:before="0" w:line="240" w:lineRule="auto"/>
            </w:pPr>
            <w:r>
              <w:rPr>
                <w:color w:val="1C3A36"/>
                <w:sz w:val="15"/>
              </w:rPr>
              <w:t>Not chosen. The blend uses the company's OWN disclosed share of earnings exposed to spot rates — 31% in 2026 — to weight a contracted-fleet multiple of 12.26x against a spot-fleet multiple of 8.53x, giving 11.10x. What IS judged is the 70% weight placed on the enterprise-multiple reading against the earnings-multiple reading inside that lens, and the choice of three comparable operators rather than a wider set.</w:t>
            </w:r>
          </w:p>
        </w:tc>
        <w:tc>
          <w:tcPr>
            <w:tcW w:type="dxa" w:w="4262"/>
          </w:tcPr>
          <w:p>
            <w:pPr>
              <w:spacing w:after="20" w:before="0" w:line="240" w:lineRule="auto"/>
            </w:pPr>
            <w:r>
              <w:rPr>
                <w:color w:val="1C3A36"/>
                <w:sz w:val="15"/>
              </w:rPr>
              <w:t>A wider comparable set, or the two spot operators re-rating. The three used are the only listed operators whose business model maps cleanly onto one of the company's two halves; adding a mixed operator would blur the very split the weighting exists to respect.</w:t>
            </w:r>
          </w:p>
        </w:tc>
      </w:tr>
      <w:tr>
        <w:trPr>
          <w:cantSplit w:val="true"/>
        </w:trPr>
        <w:tc>
          <w:tcPr>
            <w:tcW w:type="dxa" w:w="2045"/>
          </w:tcPr>
          <w:p>
            <w:pPr>
              <w:spacing w:after="20" w:before="0" w:line="240" w:lineRule="auto"/>
            </w:pPr>
            <w:r>
              <w:rPr>
                <w:color w:val="1C3A36"/>
                <w:sz w:val="15"/>
              </w:rPr>
              <w:t>How much weight each valuation lens carries</w:t>
            </w:r>
          </w:p>
        </w:tc>
        <w:tc>
          <w:tcPr>
            <w:tcW w:type="dxa" w:w="3917"/>
          </w:tcPr>
          <w:p>
            <w:pPr>
              <w:spacing w:after="20" w:before="0" w:line="240" w:lineRule="auto"/>
            </w:pPr>
            <w:r>
              <w:rPr>
                <w:color w:val="1C3A36"/>
                <w:sz w:val="15"/>
              </w:rPr>
              <w:t>Cash flow 40%, comparison 25%, normalised earnings 20%, book and sustainable return 15%. The cash-flow lens carries the most because it is the only one that prices the contracted revenue and the delivery of the order book explicitly.</w:t>
            </w:r>
          </w:p>
        </w:tc>
        <w:tc>
          <w:tcPr>
            <w:tcW w:type="dxa" w:w="4262"/>
          </w:tcPr>
          <w:p>
            <w:pPr>
              <w:spacing w:after="20" w:before="0" w:line="240" w:lineRule="auto"/>
            </w:pPr>
            <w:r>
              <w:rPr>
                <w:color w:val="1C3A36"/>
                <w:sz w:val="15"/>
              </w:rPr>
              <w:t>Weighting the four equally instead gives AED 8.13 a share against the published AED 5.34 — small enough that the weighting is not what the answer rests on, which is the point of stating it. A reader who rejects the cash-flow lens entirely is reading a different study, and the four lens values are published separately so that they can.</w:t>
            </w:r>
          </w:p>
        </w:tc>
      </w:tr>
      <w:tr>
        <w:trPr>
          <w:cantSplit w:val="true"/>
        </w:trPr>
        <w:tc>
          <w:tcPr>
            <w:tcW w:type="dxa" w:w="2045"/>
          </w:tcPr>
          <w:p>
            <w:pPr>
              <w:spacing w:after="20" w:before="0" w:line="240" w:lineRule="auto"/>
            </w:pPr>
            <w:r>
              <w:rPr>
                <w:color w:val="1C3A36"/>
                <w:sz w:val="15"/>
              </w:rPr>
              <w:t>The treatment of the perpetual capital securities</w:t>
            </w:r>
          </w:p>
        </w:tc>
        <w:tc>
          <w:tcPr>
            <w:tcW w:type="dxa" w:w="3917"/>
          </w:tcPr>
          <w:p>
            <w:pPr>
              <w:spacing w:after="20" w:before="0" w:line="240" w:lineRule="auto"/>
            </w:pPr>
            <w:r>
              <w:rPr>
                <w:color w:val="1C3A36"/>
                <w:sz w:val="15"/>
              </w:rPr>
              <w:t>Two things at once, and they are the two halves of one treatment. They are deducted in full — USD 1,978.6m — in the bridge from enterprise to equity value, because they rank ahead of the ordinary shares however the company classifies them; and they are WEIGHTED in the cost of capital at 12.0% of total capital at their own coupon of 4.90%, because they are a third kind of capital funding the same enterprise. That coupon floats, so it normalises with the risk-free rate in the terminal, at 5.23%. Their coupons never touch the income statement, so earnings available to ordinary holders are struck after them.</w:t>
            </w:r>
          </w:p>
        </w:tc>
        <w:tc>
          <w:tcPr>
            <w:tcW w:type="dxa" w:w="4262"/>
          </w:tcPr>
          <w:p>
            <w:pPr>
              <w:spacing w:after="20" w:before="0" w:line="240" w:lineRule="auto"/>
            </w:pPr>
            <w:r>
              <w:rPr>
                <w:color w:val="1C3A36"/>
                <w:sz w:val="15"/>
              </w:rPr>
              <w:t>The first edition deducted them but did NOT weight them, on the ground that doing both would charge for them twice. That was wrong, and two independent reviews said so: deducting a claim from value and pricing the capital it supplies are different operations, and doing only the first removed a cheap tranche of funding from the enterprise without letting it lower the rate the enterprise is discounted at. Correcting it moves the cost of capital to 8.71% and the terminal rate to 8.68%. Treating the securities as ordinary equity instead — deducting nothing — would add about AED 0.98 a share. A redemption, or a coupon actually deferred, would resolve the classification in one direction or the other.</w:t>
            </w:r>
          </w:p>
        </w:tc>
      </w:tr>
      <w:tr>
        <w:trPr>
          <w:cantSplit w:val="true"/>
        </w:trPr>
        <w:tc>
          <w:tcPr>
            <w:tcW w:type="dxa" w:w="2045"/>
          </w:tcPr>
          <w:p>
            <w:pPr>
              <w:spacing w:after="20" w:before="0" w:line="240" w:lineRule="auto"/>
            </w:pPr>
            <w:r>
              <w:rPr>
                <w:color w:val="1C3A36"/>
                <w:sz w:val="15"/>
              </w:rPr>
              <w:t>The terminal growth rate</w:t>
            </w:r>
          </w:p>
        </w:tc>
        <w:tc>
          <w:tcPr>
            <w:tcW w:type="dxa" w:w="3917"/>
          </w:tcPr>
          <w:p>
            <w:pPr>
              <w:spacing w:after="20" w:before="0" w:line="240" w:lineRule="auto"/>
            </w:pPr>
            <w:r>
              <w:rPr>
                <w:color w:val="1C3A36"/>
                <w:sz w:val="15"/>
              </w:rPr>
              <w:t>2%, taken from the company's own goodwill value-in-use test, which projects cash flows beyond its plan at a rate equal to an estimated 2% inflation. Sensitised from 1.0% to 2.5% rather than asserted.</w:t>
            </w:r>
          </w:p>
        </w:tc>
        <w:tc>
          <w:tcPr>
            <w:tcW w:type="dxa" w:w="4262"/>
          </w:tcPr>
          <w:p>
            <w:pPr>
              <w:spacing w:after="20" w:before="0" w:line="240" w:lineRule="auto"/>
            </w:pPr>
            <w:r>
              <w:rPr>
                <w:color w:val="1C3A36"/>
                <w:sz w:val="15"/>
              </w:rPr>
              <w:t>It sits at, not above, projected long-run inflation for the economy (2.50% for 2026, settling lower thereafter), so a structurally faster-growing franchise would justify more. The terminal value is 62% of the cash-flow lens, so this row and the discount rate are where that lens is won or lost.</w:t>
            </w:r>
          </w:p>
        </w:tc>
      </w:tr>
      <w:tr>
        <w:trPr>
          <w:cantSplit w:val="true"/>
        </w:trPr>
        <w:tc>
          <w:tcPr>
            <w:tcW w:type="dxa" w:w="2045"/>
          </w:tcPr>
          <w:p>
            <w:pPr>
              <w:spacing w:after="20" w:before="0" w:line="240" w:lineRule="auto"/>
            </w:pPr>
            <w:r>
              <w:rPr>
                <w:color w:val="1C3A36"/>
                <w:sz w:val="15"/>
              </w:rPr>
              <w:t>The cost of debt</w:t>
            </w:r>
          </w:p>
        </w:tc>
        <w:tc>
          <w:tcPr>
            <w:tcW w:type="dxa" w:w="3917"/>
          </w:tcPr>
          <w:p>
            <w:pPr>
              <w:spacing w:after="20" w:before="0" w:line="240" w:lineRule="auto"/>
            </w:pPr>
            <w:r>
              <w:rPr>
                <w:color w:val="1C3A36"/>
                <w:sz w:val="15"/>
              </w:rPr>
              <w:t>6.35%, the average of three constructions rather than one assertion: the marginal drawdown rate on the parent facility (4.45%), the weighted blend of the instruments actually outstanding (6.35%), and the midpoint of the disclosed third-party bank-loan range (7.33%). It sits above the local sovereign yield of 4.48%, as a corporate borrowing in its sovereign's own currency must.</w:t>
            </w:r>
          </w:p>
        </w:tc>
        <w:tc>
          <w:tcPr>
            <w:tcW w:type="dxa" w:w="4262"/>
          </w:tcPr>
          <w:p>
            <w:pPr>
              <w:spacing w:after="20" w:before="0" w:line="240" w:lineRule="auto"/>
            </w:pPr>
            <w:r>
              <w:rPr>
                <w:color w:val="1C3A36"/>
                <w:sz w:val="15"/>
              </w:rPr>
              <w:t>A new issue at a rate outside that spread, or a refinancing that shifts the mix away from the parent facility. The three constructions are published separately so a reader can take whichever they find most representative.</w:t>
            </w:r>
          </w:p>
        </w:tc>
      </w:tr>
      <w:tr>
        <w:trPr>
          <w:cantSplit w:val="true"/>
        </w:trPr>
        <w:tc>
          <w:tcPr>
            <w:tcW w:type="dxa" w:w="2045"/>
          </w:tcPr>
          <w:p>
            <w:pPr>
              <w:spacing w:after="20" w:before="0" w:line="240" w:lineRule="auto"/>
            </w:pPr>
            <w:r>
              <w:rPr>
                <w:color w:val="1C3A36"/>
                <w:sz w:val="15"/>
              </w:rPr>
              <w:t>The tanker cost stack</w:t>
            </w:r>
          </w:p>
        </w:tc>
        <w:tc>
          <w:tcPr>
            <w:tcW w:type="dxa" w:w="3917"/>
          </w:tcPr>
          <w:p>
            <w:pPr>
              <w:spacing w:after="20" w:before="0" w:line="240" w:lineRule="auto"/>
            </w:pPr>
            <w:r>
              <w:rPr>
                <w:color w:val="1C3A36"/>
                <w:sz w:val="15"/>
              </w:rPr>
              <w:t>A fixed base of 529,987 a year and a variable component of 1.049 for every dollar the owned fleet earns on a charter-equivalent basis. The two are solved TOGETHER so that the same construction reproduces reported tanker earnings in the audited 2025 year AND in the reviewed six months to 30 June 2026; the reviewed six months to 30 June 2025 are HELD OUT, and it reproduces them to within -0.107, understating them. That makes it a calibration to two disclosed outcomes tested on a third rather than a free assumption, but it is still not a disclosed figure.</w:t>
            </w:r>
          </w:p>
        </w:tc>
        <w:tc>
          <w:tcPr>
            <w:tcW w:type="dxa" w:w="4262"/>
          </w:tcPr>
          <w:p>
            <w:pPr>
              <w:spacing w:after="20" w:before="0" w:line="240" w:lineRule="auto"/>
            </w:pPr>
            <w:r>
              <w:rPr>
                <w:color w:val="1C3A36"/>
                <w:sz w:val="15"/>
              </w:rPr>
              <w:t>A disclosed operating cost per vessel. Escalation is applied at 2% a year as a wage and services escalator, not a commodity index, because crew, technical management, insurance and repairs are what the line actually consists of; a fuel-linked escalator would be the wrong instrument for it.</w:t>
            </w:r>
          </w:p>
        </w:tc>
      </w:tr>
      <w:tr>
        <w:trPr>
          <w:cantSplit w:val="true"/>
        </w:trPr>
        <w:tc>
          <w:tcPr>
            <w:tcW w:type="dxa" w:w="2045"/>
          </w:tcPr>
          <w:p>
            <w:pPr>
              <w:spacing w:after="20" w:before="0" w:line="240" w:lineRule="auto"/>
            </w:pPr>
            <w:r>
              <w:rPr>
                <w:color w:val="1C3A36"/>
                <w:sz w:val="15"/>
              </w:rPr>
              <w:t>The gas carrier day rate</w:t>
            </w:r>
          </w:p>
        </w:tc>
        <w:tc>
          <w:tcPr>
            <w:tcW w:type="dxa" w:w="3917"/>
          </w:tcPr>
          <w:p>
            <w:pPr>
              <w:spacing w:after="20" w:before="0" w:line="240" w:lineRule="auto"/>
            </w:pPr>
            <w:r>
              <w:rPr>
                <w:color w:val="1C3A36"/>
                <w:sz w:val="15"/>
              </w:rPr>
              <w:t>61,573/day on average, implied by 2025 gas revenue over consolidated vessel-years read off the published contract table. Per-vessel rates are not disclosed, so the group average is the finest level the disclosure supports. The same solve on the reviewed six months to 30 June 2026 gives 108,552 and is NOT adopted, because its denominator counts CONTRACTED vessels while its numerator is the whole unit's revenue. The MARGIN is re-anchored: the delivered edition held it near the 2025 outcome at 70%, and the reviewed half printed 49.66% on revenue up 128 per cent.</w:t>
            </w:r>
          </w:p>
        </w:tc>
        <w:tc>
          <w:tcPr>
            <w:tcW w:type="dxa" w:w="4262"/>
          </w:tcPr>
          <w:p>
            <w:pPr>
              <w:spacing w:after="20" w:before="0" w:line="240" w:lineRule="auto"/>
            </w:pPr>
            <w:r>
              <w:rPr>
                <w:color w:val="1C3A36"/>
                <w:sz w:val="15"/>
              </w:rPr>
              <w:t>Per-vessel or per-contract rate disclosure. Fifteen of twenty owned vessels sit on long-term contracts, so the risk in this line is smaller than in tankers — but the gap is flagged rather than smoothed.</w:t>
            </w:r>
          </w:p>
        </w:tc>
      </w:tr>
      <w:tr>
        <w:trPr>
          <w:cantSplit w:val="true"/>
        </w:trPr>
        <w:tc>
          <w:tcPr>
            <w:tcW w:type="dxa" w:w="2045"/>
          </w:tcPr>
          <w:p>
            <w:pPr>
              <w:spacing w:after="20" w:before="0" w:line="240" w:lineRule="auto"/>
            </w:pPr>
            <w:r>
              <w:rPr>
                <w:color w:val="1C3A36"/>
                <w:sz w:val="15"/>
              </w:rPr>
              <w:t>Treating the company's guidance as a reconciliation, not as the forecast</w:t>
            </w:r>
          </w:p>
        </w:tc>
        <w:tc>
          <w:tcPr>
            <w:tcW w:type="dxa" w:w="3917"/>
          </w:tcPr>
          <w:p>
            <w:pPr>
              <w:spacing w:after="20" w:before="0" w:line="240" w:lineRule="auto"/>
            </w:pPr>
            <w:r>
              <w:rPr>
                <w:color w:val="1C3A36"/>
                <w:sz w:val="15"/>
              </w:rPr>
              <w:t>The build sits above guided 2026 group earnings by 8.7%, and the gap is reported rather than closed. Management states its shipping assumptions sit well below prevailing rates and its logistics guidance at minimum activity levels.</w:t>
            </w:r>
          </w:p>
        </w:tc>
        <w:tc>
          <w:tcPr>
            <w:tcW w:type="dxa" w:w="4262"/>
          </w:tcPr>
          <w:p>
            <w:pPr>
              <w:spacing w:after="20" w:before="0" w:line="240" w:lineRule="auto"/>
            </w:pPr>
            <w:r>
              <w:rPr>
                <w:color w:val="1C3A36"/>
                <w:sz w:val="15"/>
              </w:rPr>
              <w:t>A first half that lands on guidance rather than above it. Guidance was raised once already during the study year on the strength of realised performance, which is the evidence that it is set conservatively rather than centrally.</w:t>
            </w:r>
          </w:p>
        </w:tc>
      </w:tr>
      <w:tr>
        <w:trPr>
          <w:cantSplit w:val="true"/>
        </w:trPr>
        <w:tc>
          <w:tcPr>
            <w:tcW w:type="dxa" w:w="2045"/>
          </w:tcPr>
          <w:p>
            <w:pPr>
              <w:spacing w:after="20" w:before="0" w:line="240" w:lineRule="auto"/>
            </w:pPr>
            <w:r>
              <w:rPr>
                <w:color w:val="1C3A36"/>
                <w:sz w:val="15"/>
              </w:rPr>
              <w:t>Taxing each business unit at its own rate</w:t>
            </w:r>
          </w:p>
        </w:tc>
        <w:tc>
          <w:tcPr>
            <w:tcW w:type="dxa" w:w="3917"/>
          </w:tcPr>
          <w:p>
            <w:pPr>
              <w:spacing w:after="20" w:before="0" w:line="240" w:lineRule="auto"/>
            </w:pPr>
            <w:r>
              <w:rPr>
                <w:color w:val="1C3A36"/>
                <w:sz w:val="15"/>
              </w:rPr>
              <w:t>Each unit is taxed at the rate its own segment disclosure shows it bore in 2025 — 9% in logistics, 1% in shipping under the international transport relief, 4% in services — so the group rate is an output of the earnings mix and falls as shipping grows.</w:t>
            </w:r>
          </w:p>
        </w:tc>
        <w:tc>
          <w:tcPr>
            <w:tcW w:type="dxa" w:w="4262"/>
          </w:tcPr>
          <w:p>
            <w:pPr>
              <w:spacing w:after="20" w:before="0" w:line="240" w:lineRule="auto"/>
            </w:pPr>
            <w:r>
              <w:rPr>
                <w:color w:val="1C3A36"/>
                <w:sz w:val="15"/>
              </w:rPr>
              <w:t>The domestic minimum top-up rate of 15% applying to the relieved income would change the shipping leg materially. The relief is legislated and the segment disclosure shows it operating, so the judgement is that it persists.</w:t>
            </w:r>
          </w:p>
        </w:tc>
      </w:tr>
      <w:tr>
        <w:trPr>
          <w:cantSplit w:val="true"/>
        </w:trPr>
        <w:tc>
          <w:tcPr>
            <w:tcW w:type="dxa" w:w="2045"/>
          </w:tcPr>
          <w:p>
            <w:pPr>
              <w:spacing w:after="20" w:before="0" w:line="240" w:lineRule="auto"/>
            </w:pPr>
            <w:r>
              <w:rPr>
                <w:color w:val="1C3A36"/>
                <w:sz w:val="15"/>
              </w:rPr>
              <w:t>Holding the working-capital cycle at its 2025 shape</w:t>
            </w:r>
          </w:p>
        </w:tc>
        <w:tc>
          <w:tcPr>
            <w:tcW w:type="dxa" w:w="3917"/>
          </w:tcPr>
          <w:p>
            <w:pPr>
              <w:spacing w:after="20" w:before="0" w:line="240" w:lineRule="auto"/>
            </w:pPr>
            <w:r>
              <w:rPr>
                <w:color w:val="1C3A36"/>
                <w:sz w:val="15"/>
              </w:rPr>
              <w:t>Receivable days 110.1, inventory days 14.1 and payable days 131.7, computed from the 2025 statements and held, so the balance sheet and the cash flow are projected from the conversion cycle rather than plugged.</w:t>
            </w:r>
          </w:p>
        </w:tc>
        <w:tc>
          <w:tcPr>
            <w:tcW w:type="dxa" w:w="4262"/>
          </w:tcPr>
          <w:p>
            <w:pPr>
              <w:spacing w:after="20" w:before="0" w:line="240" w:lineRule="auto"/>
            </w:pPr>
            <w:r>
              <w:rPr>
                <w:color w:val="1C3A36"/>
                <w:sz w:val="15"/>
              </w:rPr>
              <w:t>Two consecutive periods of receivable days moving materially in either direction. The counterparty is overwhelmingly the parent group, which is why the cycle is stable enough to hold, and also why a change in it would be a real signal rather than noise.</w:t>
            </w:r>
          </w:p>
        </w:tc>
      </w:tr>
    </w:tbl>
    <w:p>
      <w:pPr>
        <w:pageBreakBefore/>
        <w:spacing w:after="100" w:before="260"/>
      </w:pPr>
      <w:r>
        <w:rPr>
          <w:b/>
          <w:i w:val="0"/>
          <w:color w:val="1C3A36"/>
          <w:sz w:val="28"/>
        </w:rPr>
        <w:t>Negative results — what was looked for and not found</w:t>
      </w:r>
    </w:p>
    <w:p>
      <w:pPr>
        <w:spacing w:after="100" w:before="0"/>
      </w:pPr>
      <w:r>
        <w:rPr>
          <w:b w:val="0"/>
          <w:i w:val="0"/>
          <w:color w:val="1C3A36"/>
          <w:sz w:val="19"/>
        </w:rPr>
        <w:t>An empty search is a result. Each row below is something the study went looking for, could not obtain, and therefore had to handle another way — recorded here so that a reader can see where the evidence stops and judgement starts, rather than discovering it by reverse-engineering the model.</w:t>
      </w:r>
    </w:p>
    <w:tbl>
      <w:tblPr>
        <w:tblW w:type="auto" w:w="0"/>
        <w:jc w:val="center"/>
        <w:tblLook w:firstColumn="1" w:firstRow="1" w:lastColumn="0" w:lastRow="0" w:noHBand="0" w:noVBand="1" w:val="04A0"/>
        <w:tblLayout w:type="fixed"/>
        <w:tblCellMar>
          <w:top w:w="34" w:type="dxa"/>
          <w:left w:w="70" w:type="dxa"/>
          <w:bottom w:w="34" w:type="dxa"/>
          <w:right w:w="7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037"/>
        <w:gridCol w:w="6451"/>
      </w:tblGrid>
      <w:tr>
        <w:trPr>
          <w:cantSplit w:val="true"/>
          <w:tblHeader w:val="true"/>
        </w:trPr>
        <w:tc>
          <w:tcPr>
            <w:tcW w:type="dxa" w:w="2736"/>
            <w:shd w:val="clear" w:color="auto" w:fill="EAF0EE"/>
          </w:tcPr>
          <w:p>
            <w:pPr>
              <w:spacing w:after="20" w:before="0" w:line="240" w:lineRule="auto"/>
            </w:pPr>
            <w:r>
              <w:rPr>
                <w:b/>
                <w:color w:val="1C3A36"/>
                <w:sz w:val="15"/>
              </w:rPr>
              <w:t>What was searched for</w:t>
            </w:r>
          </w:p>
        </w:tc>
        <w:tc>
          <w:tcPr>
            <w:tcW w:type="dxa" w:w="1037"/>
            <w:shd w:val="clear" w:color="auto" w:fill="EAF0EE"/>
          </w:tcPr>
          <w:p>
            <w:pPr>
              <w:spacing w:after="20" w:before="0" w:line="240" w:lineRule="auto"/>
            </w:pPr>
            <w:r>
              <w:rPr>
                <w:b/>
                <w:color w:val="1C3A36"/>
                <w:sz w:val="15"/>
              </w:rPr>
              <w:t>Date searched</w:t>
            </w:r>
          </w:p>
        </w:tc>
        <w:tc>
          <w:tcPr>
            <w:tcW w:type="dxa" w:w="6451"/>
            <w:shd w:val="clear" w:color="auto" w:fill="EAF0EE"/>
          </w:tcPr>
          <w:p>
            <w:pPr>
              <w:spacing w:after="20" w:before="0" w:line="240" w:lineRule="auto"/>
            </w:pPr>
            <w:r>
              <w:rPr>
                <w:b/>
                <w:color w:val="1C3A36"/>
                <w:sz w:val="15"/>
              </w:rPr>
              <w:t>Outcome, and how the study handled it</w:t>
            </w:r>
          </w:p>
        </w:tc>
      </w:tr>
      <w:tr>
        <w:trPr>
          <w:cantSplit w:val="true"/>
        </w:trPr>
        <w:tc>
          <w:tcPr>
            <w:tcW w:type="dxa" w:w="2736"/>
          </w:tcPr>
          <w:p>
            <w:pPr>
              <w:spacing w:after="20" w:before="0" w:line="240" w:lineRule="auto"/>
            </w:pPr>
            <w:r>
              <w:rPr>
                <w:color w:val="1C3A36"/>
                <w:sz w:val="15"/>
              </w:rPr>
              <w:t>A forward curve or third-party forecast of tanker rates beyond 2026</w:t>
            </w:r>
          </w:p>
        </w:tc>
        <w:tc>
          <w:tcPr>
            <w:tcW w:type="dxa" w:w="1037"/>
          </w:tcPr>
          <w:p>
            <w:pPr>
              <w:spacing w:after="20" w:before="0" w:line="240" w:lineRule="auto"/>
            </w:pPr>
            <w:r>
              <w:rPr>
                <w:color w:val="1C3A36"/>
                <w:sz w:val="15"/>
              </w:rPr>
              <w:t>9 Aug 2026</w:t>
            </w:r>
          </w:p>
        </w:tc>
        <w:tc>
          <w:tcPr>
            <w:tcW w:type="dxa" w:w="6451"/>
          </w:tcPr>
          <w:p>
            <w:pPr>
              <w:spacing w:after="20" w:before="0" w:line="240" w:lineRule="auto"/>
            </w:pPr>
            <w:r>
              <w:rPr>
                <w:color w:val="1C3A36"/>
                <w:sz w:val="15"/>
              </w:rPr>
              <w:t>Searched for a published forward curve or third-party forecast of crude and product tanker rates beyond 2026 that could be cited. None is obtainable here. The company says it sets its own guidance from a third-party forecasting house and deliberately below prevailing spot, but does not publish the path. Where rates settle after 2026 is therefore an unevidenced judgement and is treated as one — computed both ways and published side by side rather than resolved.</w:t>
            </w:r>
          </w:p>
        </w:tc>
      </w:tr>
      <w:tr>
        <w:trPr>
          <w:cantSplit w:val="true"/>
        </w:trPr>
        <w:tc>
          <w:tcPr>
            <w:tcW w:type="dxa" w:w="2736"/>
          </w:tcPr>
          <w:p>
            <w:pPr>
              <w:spacing w:after="20" w:before="0" w:line="240" w:lineRule="auto"/>
            </w:pPr>
            <w:r>
              <w:rPr>
                <w:color w:val="1C3A36"/>
                <w:sz w:val="15"/>
              </w:rPr>
              <w:t>An engineering and construction award pipeline or tender book</w:t>
            </w:r>
          </w:p>
        </w:tc>
        <w:tc>
          <w:tcPr>
            <w:tcW w:type="dxa" w:w="1037"/>
          </w:tcPr>
          <w:p>
            <w:pPr>
              <w:spacing w:after="20" w:before="0" w:line="240" w:lineRule="auto"/>
            </w:pPr>
            <w:r>
              <w:rPr>
                <w:color w:val="1C3A36"/>
                <w:sz w:val="15"/>
              </w:rPr>
              <w:t>9 Aug 2026</w:t>
            </w:r>
          </w:p>
        </w:tc>
        <w:tc>
          <w:tcPr>
            <w:tcW w:type="dxa" w:w="6451"/>
          </w:tcPr>
          <w:p>
            <w:pPr>
              <w:spacing w:after="20" w:before="0" w:line="240" w:lineRule="auto"/>
            </w:pPr>
            <w:r>
              <w:rPr>
                <w:color w:val="1C3A36"/>
                <w:sz w:val="15"/>
              </w:rPr>
              <w:t>Searched the annual report, every investor presentation and both earnings-call transcripts for an engineering and construction award pipeline or tender book beyond the 2026 revenue range and the one project still completing. Nothing is disclosed. The recovery in that line after 2026 is a judgement with no source behind it and is named as such in the study.</w:t>
            </w:r>
          </w:p>
        </w:tc>
      </w:tr>
      <w:tr>
        <w:trPr>
          <w:cantSplit w:val="true"/>
        </w:trPr>
        <w:tc>
          <w:tcPr>
            <w:tcW w:type="dxa" w:w="2736"/>
          </w:tcPr>
          <w:p>
            <w:pPr>
              <w:spacing w:after="20" w:before="0" w:line="240" w:lineRule="auto"/>
            </w:pPr>
            <w:r>
              <w:rPr>
                <w:color w:val="1C3A36"/>
                <w:sz w:val="15"/>
              </w:rPr>
              <w:t>Named new entrants into the offshore marine logistics market</w:t>
            </w:r>
          </w:p>
        </w:tc>
        <w:tc>
          <w:tcPr>
            <w:tcW w:type="dxa" w:w="1037"/>
          </w:tcPr>
          <w:p>
            <w:pPr>
              <w:spacing w:after="20" w:before="0" w:line="240" w:lineRule="auto"/>
            </w:pPr>
            <w:r>
              <w:rPr>
                <w:color w:val="1C3A36"/>
                <w:sz w:val="15"/>
              </w:rPr>
              <w:t>9 Aug 2026</w:t>
            </w:r>
          </w:p>
        </w:tc>
        <w:tc>
          <w:tcPr>
            <w:tcW w:type="dxa" w:w="6451"/>
          </w:tcPr>
          <w:p>
            <w:pPr>
              <w:spacing w:after="20" w:before="0" w:line="240" w:lineRule="auto"/>
            </w:pPr>
            <w:r>
              <w:rPr>
                <w:color w:val="1C3A36"/>
                <w:sz w:val="15"/>
              </w:rPr>
              <w:t>Searched for named new entrants into UAE offshore marine logistics and into the jack-up barge and offshore support vessel market serving the parent group. Nothing found: the work is let under long-term contracts by a single dominant customer, and the barriers are the contracts themselves rather than capital. Recorded as a negative result rather than left silent.</w:t>
            </w:r>
          </w:p>
        </w:tc>
      </w:tr>
      <w:tr>
        <w:trPr>
          <w:cantSplit w:val="true"/>
        </w:trPr>
        <w:tc>
          <w:tcPr>
            <w:tcW w:type="dxa" w:w="2736"/>
          </w:tcPr>
          <w:p>
            <w:pPr>
              <w:spacing w:after="20" w:before="0" w:line="240" w:lineRule="auto"/>
            </w:pPr>
            <w:r>
              <w:rPr>
                <w:color w:val="1C3A36"/>
                <w:sz w:val="15"/>
              </w:rPr>
              <w:t>A sovereign credit-default-swap spread for the United Arab Emirates</w:t>
            </w:r>
          </w:p>
        </w:tc>
        <w:tc>
          <w:tcPr>
            <w:tcW w:type="dxa" w:w="1037"/>
          </w:tcPr>
          <w:p>
            <w:pPr>
              <w:spacing w:after="20" w:before="0" w:line="240" w:lineRule="auto"/>
            </w:pPr>
            <w:r>
              <w:rPr>
                <w:color w:val="1C3A36"/>
                <w:sz w:val="15"/>
              </w:rPr>
              <w:t>5 Jan 2026</w:t>
            </w:r>
          </w:p>
        </w:tc>
        <w:tc>
          <w:tcPr>
            <w:tcW w:type="dxa" w:w="6451"/>
          </w:tcPr>
          <w:p>
            <w:pPr>
              <w:spacing w:after="20" w:before="0" w:line="240" w:lineRule="auto"/>
            </w:pPr>
            <w:r>
              <w:rPr>
                <w:color w:val="1C3A36"/>
                <w:sz w:val="15"/>
              </w:rPr>
              <w:t>The country risk file carries no swap entry for this sovereign, so the second premium basis cannot be built for it at all. A reader who expects a valuation to publish the cost of equity on both a rating basis and a swap basis should know that only one exists here. The two are not interchangeable where both are available: in the same file, a Gulf comparator that does carry a swap entry shows the swap basis running well above its rating basis. The rating basis is used, and the absence of the alternative is stated rather than papered over with a regional proxy.</w:t>
            </w:r>
          </w:p>
        </w:tc>
      </w:tr>
      <w:tr>
        <w:trPr>
          <w:cantSplit w:val="true"/>
        </w:trPr>
        <w:tc>
          <w:tcPr>
            <w:tcW w:type="dxa" w:w="2736"/>
          </w:tcPr>
          <w:p>
            <w:pPr>
              <w:spacing w:after="20" w:before="0" w:line="240" w:lineRule="auto"/>
            </w:pPr>
            <w:r>
              <w:rPr>
                <w:color w:val="1C3A36"/>
                <w:sz w:val="15"/>
              </w:rPr>
              <w:t>Per-vessel or per-contract charter rates for the gas fleet</w:t>
            </w:r>
          </w:p>
        </w:tc>
        <w:tc>
          <w:tcPr>
            <w:tcW w:type="dxa" w:w="1037"/>
          </w:tcPr>
          <w:p>
            <w:pPr>
              <w:spacing w:after="20" w:before="0" w:line="240" w:lineRule="auto"/>
            </w:pPr>
            <w:r>
              <w:rPr>
                <w:color w:val="1C3A36"/>
                <w:sz w:val="15"/>
              </w:rPr>
              <w:t>31 Dec 2025</w:t>
            </w:r>
          </w:p>
        </w:tc>
        <w:tc>
          <w:tcPr>
            <w:tcW w:type="dxa" w:w="6451"/>
          </w:tcPr>
          <w:p>
            <w:pPr>
              <w:spacing w:after="20" w:before="0" w:line="240" w:lineRule="auto"/>
            </w:pPr>
            <w:r>
              <w:rPr>
                <w:color w:val="1C3A36"/>
                <w:sz w:val="15"/>
              </w:rPr>
              <w:t>Not disclosed. The published contract table gives vessel counts and expiries but not rates, so the study solves an average revenue per vessel per day from reported segment revenue over consolidated vessel-years, and says so at the row itself. This is the finest level the disclosure supports.</w:t>
            </w:r>
          </w:p>
        </w:tc>
      </w:tr>
      <w:tr>
        <w:trPr>
          <w:cantSplit w:val="true"/>
        </w:trPr>
        <w:tc>
          <w:tcPr>
            <w:tcW w:type="dxa" w:w="2736"/>
          </w:tcPr>
          <w:p>
            <w:pPr>
              <w:spacing w:after="20" w:before="0" w:line="240" w:lineRule="auto"/>
            </w:pPr>
            <w:r>
              <w:rPr>
                <w:color w:val="1C3A36"/>
                <w:sz w:val="15"/>
              </w:rPr>
              <w:t>An operating cost per vessel per day for the tanker fleet</w:t>
            </w:r>
          </w:p>
        </w:tc>
        <w:tc>
          <w:tcPr>
            <w:tcW w:type="dxa" w:w="1037"/>
          </w:tcPr>
          <w:p>
            <w:pPr>
              <w:spacing w:after="20" w:before="0" w:line="240" w:lineRule="auto"/>
            </w:pPr>
            <w:r>
              <w:rPr>
                <w:color w:val="1C3A36"/>
                <w:sz w:val="15"/>
              </w:rPr>
              <w:t>31 Dec 2025</w:t>
            </w:r>
          </w:p>
        </w:tc>
        <w:tc>
          <w:tcPr>
            <w:tcW w:type="dxa" w:w="6451"/>
          </w:tcPr>
          <w:p>
            <w:pPr>
              <w:spacing w:after="20" w:before="0" w:line="240" w:lineRule="auto"/>
            </w:pPr>
            <w:r>
              <w:rPr>
                <w:color w:val="1C3A36"/>
                <w:sz w:val="15"/>
              </w:rPr>
              <w:t>Not disclosed at any level. The running cost is solved so that the disclosed rates less that cost reproduce reported 2025 segment earnings exactly, which anchors it to a disclosed outcome, but it remains a derived figure and is labelled as one.</w:t>
            </w:r>
          </w:p>
        </w:tc>
      </w:tr>
      <w:tr>
        <w:trPr>
          <w:cantSplit w:val="true"/>
        </w:trPr>
        <w:tc>
          <w:tcPr>
            <w:tcW w:type="dxa" w:w="2736"/>
          </w:tcPr>
          <w:p>
            <w:pPr>
              <w:spacing w:after="20" w:before="0" w:line="240" w:lineRule="auto"/>
            </w:pPr>
            <w:r>
              <w:rPr>
                <w:color w:val="1C3A36"/>
                <w:sz w:val="15"/>
              </w:rPr>
              <w:t>An index level for the last two weeks of the stock’s own price history</w:t>
            </w:r>
          </w:p>
        </w:tc>
        <w:tc>
          <w:tcPr>
            <w:tcW w:type="dxa" w:w="1037"/>
          </w:tcPr>
          <w:p>
            <w:pPr>
              <w:spacing w:after="20" w:before="0" w:line="240" w:lineRule="auto"/>
            </w:pPr>
            <w:r>
              <w:rPr>
                <w:color w:val="1C3A36"/>
                <w:sz w:val="15"/>
              </w:rPr>
              <w:t>7 Sep 2026</w:t>
            </w:r>
          </w:p>
        </w:tc>
        <w:tc>
          <w:tcPr>
            <w:tcW w:type="dxa" w:w="6451"/>
          </w:tcPr>
          <w:p>
            <w:pPr>
              <w:spacing w:after="20" w:before="0" w:line="240" w:lineRule="auto"/>
            </w:pPr>
            <w:r>
              <w:rPr>
                <w:color w:val="1C3A36"/>
                <w:sz w:val="15"/>
              </w:rPr>
              <w:t>The index series obtained ends 24 Jul 2026, while the stock's own history runs to 7 Sep 2026 and is used to that date everywhere else in the study. No later index level could be obtained, so 2 weekly stock observations fall outside the regression: the window stops where the index stops, rather than pairing the stock against an index level that has stopped moving. Related and not searchable at all: the share is itself a constituent of the index it is measured against, so on a capitalisation-weighted index its own returns cannot be removed from the thing they are being regressed on. That one is measured instead of searched for — the equal-weight composite is run both with the share inside it and with it taken out, giving 0.891 against 0.690. The difference of 0.202 is the scale of the upward pull the published-index slope also carries, and it is disclosed in the study. It works against the study's own conclusion, since removing it would lower the beta and lift the valuation.</w:t>
            </w:r>
          </w:p>
        </w:tc>
      </w:tr>
      <w:tr>
        <w:trPr>
          <w:cantSplit w:val="true"/>
        </w:trPr>
        <w:tc>
          <w:tcPr>
            <w:tcW w:type="dxa" w:w="2736"/>
          </w:tcPr>
          <w:p>
            <w:pPr>
              <w:spacing w:after="20" w:before="0" w:line="240" w:lineRule="auto"/>
            </w:pPr>
            <w:r>
              <w:rPr>
                <w:color w:val="1C3A36"/>
                <w:sz w:val="15"/>
              </w:rPr>
              <w:t>The comparators' own filings, for the multiples used in the comparison lens</w:t>
            </w:r>
          </w:p>
        </w:tc>
        <w:tc>
          <w:tcPr>
            <w:tcW w:type="dxa" w:w="1037"/>
          </w:tcPr>
          <w:p>
            <w:pPr>
              <w:spacing w:after="20" w:before="0" w:line="240" w:lineRule="auto"/>
            </w:pPr>
            <w:r>
              <w:rPr>
                <w:color w:val="1C3A36"/>
                <w:sz w:val="15"/>
              </w:rPr>
              <w:t>9 Aug 2026</w:t>
            </w:r>
          </w:p>
        </w:tc>
        <w:tc>
          <w:tcPr>
            <w:tcW w:type="dxa" w:w="6451"/>
          </w:tcPr>
          <w:p>
            <w:pPr>
              <w:spacing w:after="20" w:before="0" w:line="240" w:lineRule="auto"/>
            </w:pPr>
            <w:r>
              <w:rPr>
                <w:color w:val="1C3A36"/>
                <w:sz w:val="15"/>
              </w:rPr>
              <w:t>Not obtained, and not attempted at the level the subject's own accounts were. The three comparator multiples come from data-aggregator statistics pages, each named and dated in the external documents table above. Rebuilding them would mean three more sets of filings on three reporting conventions in three currencies. The rule that admits only a company's own issued documents governs the SUBJECT's reported history and is met in full for it; the comparators sit outside that rule and the consequence is specific rather than rhetorical — the study cannot show that a comparator's earnings are struck on the same definition as the subject's, which is why the comparison lens is presented as evidence about relative pricing rather than as an independent valuation. It is the largest block of non-company data behind the study, and the two lenses that use it — the relative multiple and normalised earnings — carry NONE of the answer: the central is the cash-flow lens alone and those two are published beside it as cross-checks. That is a deliberate change of architecture rather than a change of view, and it is why a block of data the study cannot fully verify does not reach the number a reader acts on.</w:t>
            </w:r>
          </w:p>
        </w:tc>
      </w:tr>
      <w:tr>
        <w:trPr>
          <w:cantSplit w:val="true"/>
        </w:trPr>
        <w:tc>
          <w:tcPr>
            <w:tcW w:type="dxa" w:w="2736"/>
          </w:tcPr>
          <w:p>
            <w:pPr>
              <w:spacing w:after="20" w:before="0" w:line="240" w:lineRule="auto"/>
            </w:pPr>
            <w:r>
              <w:rPr>
                <w:color w:val="1C3A36"/>
                <w:sz w:val="15"/>
              </w:rPr>
              <w:t>The Annual Report and Accounts for 2023 as a separate volume</w:t>
            </w:r>
          </w:p>
        </w:tc>
        <w:tc>
          <w:tcPr>
            <w:tcW w:type="dxa" w:w="1037"/>
          </w:tcPr>
          <w:p>
            <w:pPr>
              <w:spacing w:after="20" w:before="0" w:line="240" w:lineRule="auto"/>
            </w:pPr>
            <w:r>
              <w:rPr>
                <w:color w:val="1C3A36"/>
                <w:sz w:val="15"/>
              </w:rPr>
              <w:t>9 Aug 2026</w:t>
            </w:r>
          </w:p>
        </w:tc>
        <w:tc>
          <w:tcPr>
            <w:tcW w:type="dxa" w:w="6451"/>
          </w:tcPr>
          <w:p>
            <w:pPr>
              <w:spacing w:after="20" w:before="0" w:line="240" w:lineRule="auto"/>
            </w:pPr>
            <w:r>
              <w:rPr>
                <w:color w:val="1C3A36"/>
                <w:sz w:val="15"/>
              </w:rPr>
              <w:t>Not obtained from the investor pages. It costs the study nothing: the 2023 audited statements themselves were obtained and read, and the 2024 volume carries the 2023 comparatives, so every 2023 figure has an audited source. Recorded because the record of what was read should match what was actually read.</w:t>
            </w:r>
          </w:p>
        </w:tc>
      </w:tr>
    </w:tbl>
    <w:p>
      <w:pPr>
        <w:spacing w:after="40"/>
      </w:pPr>
    </w:p>
    <w:p>
      <w:pPr>
        <w:spacing w:after="100" w:before="260"/>
      </w:pPr>
      <w:r>
        <w:rPr>
          <w:b/>
          <w:i w:val="0"/>
          <w:color w:val="1C3A36"/>
          <w:sz w:val="28"/>
        </w:rPr>
        <w:t>Where two readings of the same figure disagreed</w:t>
      </w:r>
    </w:p>
    <w:p>
      <w:pPr>
        <w:spacing w:after="100" w:before="0"/>
      </w:pPr>
      <w:r>
        <w:rPr>
          <w:b w:val="0"/>
          <w:i w:val="0"/>
          <w:color w:val="1C3A36"/>
          <w:sz w:val="19"/>
        </w:rPr>
        <w:t>Every disagreement found between a secondary source and the company's own documents is recorded here with the resolution. In each case the filing was used. The point of the table is not that the study got it right; it is that a reader who has seen the other figure should be able to find out immediately why it is not the one in the model. The last row is a different animal and is included deliberately: there both readings are correct, and what separates them is not a source but a construction.</w:t>
      </w:r>
    </w:p>
    <w:tbl>
      <w:tblPr>
        <w:tblW w:type="auto" w:w="0"/>
        <w:jc w:val="center"/>
        <w:tblLook w:firstColumn="1" w:firstRow="1" w:lastColumn="0" w:lastRow="0" w:noHBand="0" w:noVBand="1" w:val="04A0"/>
        <w:tblLayout w:type="fixed"/>
        <w:tblCellMar>
          <w:top w:w="34" w:type="dxa"/>
          <w:left w:w="70" w:type="dxa"/>
          <w:bottom w:w="34" w:type="dxa"/>
          <w:right w:w="7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2664"/>
        <w:gridCol w:w="3024"/>
        <w:gridCol w:w="3024"/>
      </w:tblGrid>
      <w:tr>
        <w:trPr>
          <w:cantSplit w:val="true"/>
          <w:tblHeader w:val="true"/>
        </w:trPr>
        <w:tc>
          <w:tcPr>
            <w:tcW w:type="dxa" w:w="1512"/>
            <w:shd w:val="clear" w:color="auto" w:fill="EAF0EE"/>
          </w:tcPr>
          <w:p>
            <w:pPr>
              <w:spacing w:after="20" w:before="0" w:line="240" w:lineRule="auto"/>
            </w:pPr>
            <w:r>
              <w:rPr>
                <w:b/>
                <w:color w:val="1C3A36"/>
                <w:sz w:val="15"/>
              </w:rPr>
              <w:t>Where they disagree</w:t>
            </w:r>
          </w:p>
        </w:tc>
        <w:tc>
          <w:tcPr>
            <w:tcW w:type="dxa" w:w="2664"/>
            <w:shd w:val="clear" w:color="auto" w:fill="EAF0EE"/>
          </w:tcPr>
          <w:p>
            <w:pPr>
              <w:spacing w:after="20" w:before="0" w:line="240" w:lineRule="auto"/>
            </w:pPr>
            <w:r>
              <w:rPr>
                <w:b/>
                <w:color w:val="1C3A36"/>
                <w:sz w:val="15"/>
              </w:rPr>
              <w:t>The other reading, and where it comes from</w:t>
            </w:r>
          </w:p>
        </w:tc>
        <w:tc>
          <w:tcPr>
            <w:tcW w:type="dxa" w:w="3024"/>
            <w:shd w:val="clear" w:color="auto" w:fill="EAF0EE"/>
          </w:tcPr>
          <w:p>
            <w:pPr>
              <w:spacing w:after="20" w:before="0" w:line="240" w:lineRule="auto"/>
            </w:pPr>
            <w:r>
              <w:rPr>
                <w:b/>
                <w:color w:val="1C3A36"/>
                <w:sz w:val="15"/>
              </w:rPr>
              <w:t>The reading this study used, and where it comes from</w:t>
            </w:r>
          </w:p>
        </w:tc>
        <w:tc>
          <w:tcPr>
            <w:tcW w:type="dxa" w:w="3024"/>
            <w:shd w:val="clear" w:color="auto" w:fill="EAF0EE"/>
          </w:tcPr>
          <w:p>
            <w:pPr>
              <w:spacing w:after="20" w:before="0" w:line="240" w:lineRule="auto"/>
            </w:pPr>
            <w:r>
              <w:rPr>
                <w:b/>
                <w:color w:val="1C3A36"/>
                <w:sz w:val="15"/>
              </w:rPr>
              <w:t>Why that one</w:t>
            </w:r>
          </w:p>
        </w:tc>
      </w:tr>
      <w:tr>
        <w:trPr>
          <w:cantSplit w:val="true"/>
        </w:trPr>
        <w:tc>
          <w:tcPr>
            <w:tcW w:type="dxa" w:w="1512"/>
          </w:tcPr>
          <w:p>
            <w:pPr>
              <w:spacing w:after="20" w:before="0" w:line="240" w:lineRule="auto"/>
            </w:pPr>
            <w:r>
              <w:rPr>
                <w:color w:val="1C3A36"/>
                <w:sz w:val="15"/>
              </w:rPr>
              <w:t>2026 net profit guidance</w:t>
            </w:r>
          </w:p>
        </w:tc>
        <w:tc>
          <w:tcPr>
            <w:tcW w:type="dxa" w:w="2664"/>
          </w:tcPr>
          <w:p>
            <w:pPr>
              <w:spacing w:after="20" w:before="0" w:line="240" w:lineRule="auto"/>
            </w:pPr>
            <w:r>
              <w:rPr>
                <w:color w:val="1C3A36"/>
                <w:sz w:val="15"/>
              </w:rPr>
              <w:t>Press coverage of the guidance raise reported growth in the high-60% range for 2026 net profit.</w:t>
            </w:r>
          </w:p>
        </w:tc>
        <w:tc>
          <w:tcPr>
            <w:tcW w:type="dxa" w:w="3024"/>
          </w:tcPr>
          <w:p>
            <w:pPr>
              <w:spacing w:after="20" w:before="0" w:line="240" w:lineRule="auto"/>
            </w:pPr>
            <w:r>
              <w:rPr>
                <w:color w:val="1C3A36"/>
                <w:sz w:val="15"/>
              </w:rPr>
              <w:t>The management commentary of 14 May 2026 raises 2026 net-profit guidance to mid-to-high-teens growth — taken at the midpoint of the stated band as 16%. The only figure above 50% anywhere in that release is the SHIPPING earnings line, guided to mid-to-high 50% growth, which is a different metric on a different base.</w:t>
            </w:r>
          </w:p>
        </w:tc>
        <w:tc>
          <w:tcPr>
            <w:tcW w:type="dxa" w:w="3024"/>
          </w:tcPr>
          <w:p>
            <w:pPr>
              <w:spacing w:after="20" w:before="0" w:line="240" w:lineRule="auto"/>
            </w:pPr>
            <w:r>
              <w:rPr>
                <w:color w:val="1C3A36"/>
                <w:sz w:val="15"/>
              </w:rPr>
              <w:t>The filing. The press figure is discarded outright and appears nowhere in the model. It reads like a business-unit earnings number reported as a group profit number; the company’s own table distinguishes them line by line.</w:t>
            </w:r>
          </w:p>
        </w:tc>
      </w:tr>
      <w:tr>
        <w:trPr>
          <w:cantSplit w:val="true"/>
        </w:trPr>
        <w:tc>
          <w:tcPr>
            <w:tcW w:type="dxa" w:w="1512"/>
          </w:tcPr>
          <w:p>
            <w:pPr>
              <w:spacing w:after="20" w:before="0" w:line="240" w:lineRule="auto"/>
            </w:pPr>
            <w:r>
              <w:rPr>
                <w:color w:val="1C3A36"/>
                <w:sz w:val="15"/>
              </w:rPr>
              <w:t>First-quarter 2025 revenue</w:t>
            </w:r>
          </w:p>
        </w:tc>
        <w:tc>
          <w:tcPr>
            <w:tcW w:type="dxa" w:w="2664"/>
          </w:tcPr>
          <w:p>
            <w:pPr>
              <w:spacing w:after="20" w:before="0" w:line="240" w:lineRule="auto"/>
            </w:pPr>
            <w:r>
              <w:rPr>
                <w:color w:val="1C3A36"/>
                <w:sz w:val="15"/>
              </w:rPr>
              <w:t>The company's own management commentary reports first-quarter 2025 revenue of USD 1,204 million.</w:t>
            </w:r>
          </w:p>
        </w:tc>
        <w:tc>
          <w:tcPr>
            <w:tcW w:type="dxa" w:w="3024"/>
          </w:tcPr>
          <w:p>
            <w:pPr>
              <w:spacing w:after="20" w:before="0" w:line="240" w:lineRule="auto"/>
            </w:pPr>
            <w:r>
              <w:rPr>
                <w:color w:val="1C3A36"/>
                <w:sz w:val="15"/>
              </w:rPr>
              <w:t>The reviewed interim statements report 1,181,426 thousand for the same quarter. The company footnotes the difference itself: tanker revenue and direct costs for the first three quarters of 2025 were re-presented, with no effect on gross profit, net profit or earnings.</w:t>
            </w:r>
          </w:p>
        </w:tc>
        <w:tc>
          <w:tcPr>
            <w:tcW w:type="dxa" w:w="3024"/>
          </w:tcPr>
          <w:p>
            <w:pPr>
              <w:spacing w:after="20" w:before="0" w:line="240" w:lineRule="auto"/>
            </w:pPr>
            <w:r>
              <w:rPr>
                <w:color w:val="1C3A36"/>
                <w:sz w:val="15"/>
              </w:rPr>
              <w:t>Both, in their places. The statutory figure is used wherever a statement line is built, so the accounts tie to the filing; the management figures are used for the business-unit analysis, where they are the only basis on which 2025 and 2026 are comparable. Mixing the two inside one table is what the disclosure exists to prevent, so the difference is stated rather than reconciled away.</w:t>
            </w:r>
          </w:p>
        </w:tc>
      </w:tr>
      <w:tr>
        <w:trPr>
          <w:cantSplit w:val="true"/>
        </w:trPr>
        <w:tc>
          <w:tcPr>
            <w:tcW w:type="dxa" w:w="1512"/>
          </w:tcPr>
          <w:p>
            <w:pPr>
              <w:spacing w:after="20" w:before="0" w:line="240" w:lineRule="auto"/>
            </w:pPr>
            <w:r>
              <w:rPr>
                <w:color w:val="1C3A36"/>
                <w:sz w:val="15"/>
              </w:rPr>
              <w:t>The edition of the country risk file</w:t>
            </w:r>
          </w:p>
        </w:tc>
        <w:tc>
          <w:tcPr>
            <w:tcW w:type="dxa" w:w="2664"/>
          </w:tcPr>
          <w:p>
            <w:pPr>
              <w:spacing w:after="20" w:before="0" w:line="240" w:lineRule="auto"/>
            </w:pPr>
            <w:r>
              <w:rPr>
                <w:color w:val="1C3A36"/>
                <w:sz w:val="15"/>
              </w:rPr>
              <w:t>A mid-2026 update to the country risk work has been published by its author on his own blog, and two secondary write-ups of that update disagree with each other on the mature-market premium.</w:t>
            </w:r>
          </w:p>
        </w:tc>
        <w:tc>
          <w:tcPr>
            <w:tcW w:type="dxa" w:w="3024"/>
          </w:tcPr>
          <w:p>
            <w:pPr>
              <w:spacing w:after="20" w:before="0" w:line="240" w:lineRule="auto"/>
            </w:pPr>
            <w:r>
              <w:rPr>
                <w:color w:val="1C3A36"/>
                <w:sz w:val="15"/>
              </w:rPr>
              <w:t>The canonical file itself still returns the January 2026 edition, which is what was read: sovereign default spread 0.42%, total equity risk premium 4.87%, mature-market premium 4.23%.</w:t>
            </w:r>
          </w:p>
        </w:tc>
        <w:tc>
          <w:tcPr>
            <w:tcW w:type="dxa" w:w="3024"/>
          </w:tcPr>
          <w:p>
            <w:pPr>
              <w:spacing w:after="20" w:before="0" w:line="240" w:lineRule="auto"/>
            </w:pPr>
            <w:r>
              <w:rPr>
                <w:color w:val="1C3A36"/>
                <w:sz w:val="15"/>
              </w:rPr>
              <w:t>The published file. A number taken from a blog post, or from a write-up of one that another write-up contradicts, is not a source this study can cite and a reader cannot check it. Recorded because a reader who has seen the update would otherwise think the figure is simply stale.</w:t>
            </w:r>
          </w:p>
        </w:tc>
      </w:tr>
      <w:tr>
        <w:trPr>
          <w:cantSplit w:val="true"/>
        </w:trPr>
        <w:tc>
          <w:tcPr>
            <w:tcW w:type="dxa" w:w="1512"/>
          </w:tcPr>
          <w:p>
            <w:pPr>
              <w:spacing w:after="20" w:before="0" w:line="240" w:lineRule="auto"/>
            </w:pPr>
            <w:r>
              <w:rPr>
                <w:color w:val="1C3A36"/>
                <w:sz w:val="15"/>
              </w:rPr>
              <w:t>What the published rate per vessel class actually is</w:t>
            </w:r>
          </w:p>
        </w:tc>
        <w:tc>
          <w:tcPr>
            <w:tcW w:type="dxa" w:w="2664"/>
          </w:tcPr>
          <w:p>
            <w:pPr>
              <w:spacing w:after="20" w:before="0" w:line="240" w:lineRule="auto"/>
            </w:pPr>
            <w:r>
              <w:rPr>
                <w:color w:val="1C3A36"/>
                <w:sz w:val="15"/>
              </w:rPr>
              <w:t>Read as the rate a vessel earns in the open market. On that reading the largest class earned 145,000/day in the first quarter of 2026, and the vessels on charter out are a separate, lower, additional exposure. This is how the first edition of this study read it, and it is how the figure is usually quoted.</w:t>
            </w:r>
          </w:p>
        </w:tc>
        <w:tc>
          <w:tcPr>
            <w:tcW w:type="dxa" w:w="3024"/>
          </w:tcPr>
          <w:p>
            <w:pPr>
              <w:spacing w:after="20" w:before="0" w:line="240" w:lineRule="auto"/>
            </w:pPr>
            <w:r>
              <w:rPr>
                <w:color w:val="1C3A36"/>
                <w:sz w:val="15"/>
              </w:rPr>
              <w:t>A BLEND across the whole class, including the vessels already on charter out. The company said so itself on the first-quarter call — the quotation is set out in full with the documents above. Taking the 12 charters back out at their own disclosed rates, the rate an uncommitted vessel must have earned in the same quarter is 151,440/day.</w:t>
            </w:r>
          </w:p>
        </w:tc>
        <w:tc>
          <w:tcPr>
            <w:tcW w:type="dxa" w:w="3024"/>
          </w:tcPr>
          <w:p>
            <w:pPr>
              <w:spacing w:after="20" w:before="0" w:line="240" w:lineRule="auto"/>
            </w:pPr>
            <w:r>
              <w:rPr>
                <w:color w:val="1C3A36"/>
                <w:sz w:val="15"/>
              </w:rPr>
              <w:t>The company's own description of its own disclosure. This is not two sources disagreeing: there is one figure and two readings of what it covers, and only one of them is the company's. The consequence of the wrong reading was not a wrong rate but a double count — the first edition applied the blended rate to the whole class AND added the chartered vessels again at their own rates, charging the drag of the charters twice and understating the fleet. The correction is set out in the study's own section on what changed in this edition.</w:t>
            </w:r>
          </w:p>
        </w:tc>
      </w:tr>
      <w:tr>
        <w:trPr>
          <w:cantSplit w:val="true"/>
        </w:trPr>
        <w:tc>
          <w:tcPr>
            <w:tcW w:type="dxa" w:w="1512"/>
          </w:tcPr>
          <w:p>
            <w:pPr>
              <w:spacing w:after="20" w:before="0" w:line="240" w:lineRule="auto"/>
            </w:pPr>
            <w:r>
              <w:rPr>
                <w:color w:val="1C3A36"/>
                <w:sz w:val="15"/>
              </w:rPr>
              <w:t>Whether the tanker revenue gross-up can reach the valuation</w:t>
            </w:r>
          </w:p>
        </w:tc>
        <w:tc>
          <w:tcPr>
            <w:tcW w:type="dxa" w:w="2664"/>
          </w:tcPr>
          <w:p>
            <w:pPr>
              <w:spacing w:after="20" w:before="0" w:line="240" w:lineRule="auto"/>
            </w:pPr>
            <w:r>
              <w:rPr>
                <w:color w:val="1C3A36"/>
                <w:sz w:val="15"/>
              </w:rPr>
              <w:t>The previous edition of the study printed a caveat that said it could not: the ratio “moves the revenue line and never the earnings line, so it cannot affect the valuation”. That reading is stated here because the study itself made it, in print, and it was a falsifiable claim rather than an opinion.</w:t>
            </w:r>
          </w:p>
        </w:tc>
        <w:tc>
          <w:tcPr>
            <w:tcW w:type="dxa" w:w="3024"/>
          </w:tcPr>
          <w:p>
            <w:pPr>
              <w:spacing w:after="20" w:before="0" w:line="240" w:lineRule="auto"/>
            </w:pPr>
            <w:r>
              <w:rPr>
                <w:color w:val="1C3A36"/>
                <w:sz w:val="15"/>
              </w:rPr>
              <w:t>It does affect the valuation. Receivable days were calibrated on 2025 revenue, which carries the 2.73x gross-up, and applied to a forecast revenue line built at 2.61x. Re-based onto the basis the forecast uses, 108.4 days becomes 110.1, which moves the receivable balance, the change in working capital and therefore the cash flow being discounted.</w:t>
            </w:r>
          </w:p>
        </w:tc>
        <w:tc>
          <w:tcPr>
            <w:tcW w:type="dxa" w:w="3024"/>
          </w:tcPr>
          <w:p>
            <w:pPr>
              <w:spacing w:after="20" w:before="0" w:line="240" w:lineRule="auto"/>
            </w:pPr>
            <w:r>
              <w:rPr>
                <w:color w:val="1C3A36"/>
                <w:sz w:val="15"/>
              </w:rPr>
              <w:t>The second reading, and the first is corrected on the face of the study rather than deleted from it. This row is not a source disagreeing with a source: it is the study disagreeing with itself, one edition to the next, on a claim it could have tested and did not. A study that quietly withdraws a claim it has made leaves a reader unable to tell which of its other claims have been tested, so the withdrawal is recorded here with the arithmetic that forced it.</w:t>
            </w:r>
          </w:p>
        </w:tc>
      </w:tr>
      <w:tr>
        <w:trPr>
          <w:cantSplit w:val="true"/>
        </w:trPr>
        <w:tc>
          <w:tcPr>
            <w:tcW w:type="dxa" w:w="1512"/>
          </w:tcPr>
          <w:p>
            <w:pPr>
              <w:spacing w:after="20" w:before="0" w:line="240" w:lineRule="auto"/>
            </w:pPr>
            <w:r>
              <w:rPr>
                <w:color w:val="1C3A36"/>
                <w:sz w:val="15"/>
              </w:rPr>
              <w:t>What the adopted cost of debt is an average of</w:t>
            </w:r>
          </w:p>
        </w:tc>
        <w:tc>
          <w:tcPr>
            <w:tcW w:type="dxa" w:w="2664"/>
          </w:tcPr>
          <w:p>
            <w:pPr>
              <w:spacing w:after="20" w:before="0" w:line="240" w:lineRule="auto"/>
            </w:pPr>
            <w:r>
              <w:rPr>
                <w:color w:val="1C3A36"/>
                <w:sz w:val="15"/>
              </w:rPr>
              <w:t>The previous edition described the adopted pre-tax cost of debt as a figure “weighted across the drawn book”. On that description a reader would take 6.35% to be a balance-weighted number.</w:t>
            </w:r>
          </w:p>
        </w:tc>
        <w:tc>
          <w:tcPr>
            <w:tcW w:type="dxa" w:w="3024"/>
          </w:tcPr>
          <w:p>
            <w:pPr>
              <w:spacing w:after="20" w:before="0" w:line="240" w:lineRule="auto"/>
            </w:pPr>
            <w:r>
              <w:rPr>
                <w:color w:val="1C3A36"/>
                <w:sz w:val="15"/>
              </w:rPr>
              <w:t>It is the plain arithmetic AVERAGE of three constructions — the marginal drawdown rate on the parent facility (4.45%), the weighted blend of the instruments actually outstanding (6.35%), and the midpoint of the disclosed third-party bank range (7.33%). The genuinely balance-weighted construction is 6.35%, and it is one of the three being averaged rather than the answer.</w:t>
            </w:r>
          </w:p>
        </w:tc>
        <w:tc>
          <w:tcPr>
            <w:tcW w:type="dxa" w:w="3024"/>
          </w:tcPr>
          <w:p>
            <w:pPr>
              <w:spacing w:after="20" w:before="0" w:line="240" w:lineRule="auto"/>
            </w:pPr>
            <w:r>
              <w:rPr>
                <w:color w:val="1C3A36"/>
                <w:sz w:val="15"/>
              </w:rPr>
              <w:t>Both are published, and the average is now described as an average. The figure did not change; only the sentence describing it did, and a sentence that misdescribes a construction is a defect in the same way a wrong figure is.</w:t>
            </w:r>
          </w:p>
        </w:tc>
      </w:tr>
      <w:tr>
        <w:trPr>
          <w:cantSplit w:val="true"/>
        </w:trPr>
        <w:tc>
          <w:tcPr>
            <w:tcW w:type="dxa" w:w="1512"/>
          </w:tcPr>
          <w:p>
            <w:pPr>
              <w:spacing w:after="20" w:before="0" w:line="240" w:lineRule="auto"/>
            </w:pPr>
            <w:r>
              <w:rPr>
                <w:color w:val="1C3A36"/>
                <w:sz w:val="15"/>
              </w:rPr>
              <w:t>The beta, measured against two different definitions of the same market</w:t>
            </w:r>
          </w:p>
        </w:tc>
        <w:tc>
          <w:tcPr>
            <w:tcW w:type="dxa" w:w="2664"/>
          </w:tcPr>
          <w:p>
            <w:pPr>
              <w:spacing w:after="20" w:before="0" w:line="240" w:lineRule="auto"/>
            </w:pPr>
            <w:r>
              <w:rPr>
                <w:color w:val="1C3A36"/>
                <w:sz w:val="15"/>
              </w:rPr>
              <w:t>An equal-weight composite of the exchange's own listed names — 12 of them, the subject excluded — gives a slope of 0.690 over the same window (R-squared 0.167, standard error 0.121, 165 observations). This is the measurement the study used before the published index could be obtained.</w:t>
            </w:r>
          </w:p>
        </w:tc>
        <w:tc>
          <w:tcPr>
            <w:tcW w:type="dxa" w:w="3024"/>
          </w:tcPr>
          <w:p>
            <w:pPr>
              <w:spacing w:after="20" w:before="0" w:line="240" w:lineRule="auto"/>
            </w:pPr>
            <w:r>
              <w:rPr>
                <w:color w:val="1C3A36"/>
                <w:sz w:val="15"/>
              </w:rPr>
              <w:t>The FTSE ADX General Index, the capitalisation-weighted index the exchange itself publishes and the share is a constituent of, gives 1.103 on the same returns over the same window (R-squared 0.181, standard error 0.315, 159 observations).</w:t>
            </w:r>
          </w:p>
        </w:tc>
        <w:tc>
          <w:tcPr>
            <w:tcW w:type="dxa" w:w="3024"/>
          </w:tcPr>
          <w:p>
            <w:pPr>
              <w:spacing w:after="20" w:before="0" w:line="240" w:lineRule="auto"/>
            </w:pPr>
            <w:r>
              <w:rPr>
                <w:color w:val="1C3A36"/>
                <w:sz w:val="15"/>
              </w:rPr>
              <w:t>The published index, and the gap between the two is worth more than the answer. This is not two sources disagreeing about a fact — both slopes are correctly computed from the same price history. What differs is how the market itself is defined. A capitalisation-weighted index is dominated by the exchange's largest companies, which is exactly the group the subject sits in, so the share moves with that index more closely than it moves with an average in which the exchange's smallest names count for as much as its largest. The index of the exchange the share is listed on is the market the share actually trades in, so that is what is used; the composite is published beside it and the cost of equity is shown on both, because a difference of this size is a fact about index construction a reader is entitled to see rather than a detail to bury.</w:t>
            </w:r>
          </w:p>
        </w:tc>
      </w:tr>
    </w:tbl>
    <w:p>
      <w:pPr>
        <w:spacing w:after="40"/>
      </w:pPr>
    </w:p>
    <w:p>
      <w:pPr>
        <w:spacing w:after="60" w:before="180"/>
      </w:pPr>
      <w:r>
        <w:rPr>
          <w:b/>
          <w:i w:val="0"/>
          <w:color w:val="1C3A36"/>
          <w:sz w:val="22"/>
        </w:rPr>
        <w:t>Three definitions of net debt circulate in the company’s own documents</w:t>
      </w:r>
    </w:p>
    <w:p>
      <w:pPr>
        <w:spacing w:after="100" w:before="0"/>
      </w:pPr>
      <w:r>
        <w:rPr>
          <w:b w:val="0"/>
          <w:i w:val="0"/>
          <w:color w:val="1C3A36"/>
          <w:sz w:val="19"/>
        </w:rPr>
        <w:t>This is worth its own note, because the figure feeds straight into the bridge from enterprise value to equity value, and the narrowest and widest readings of it are 2,036 million dollars apart.</w:t>
      </w:r>
    </w:p>
    <w:tbl>
      <w:tblPr>
        <w:tblW w:type="auto" w:w="0"/>
        <w:jc w:val="center"/>
        <w:tblLook w:firstColumn="1" w:firstRow="1" w:lastColumn="0" w:lastRow="0" w:noHBand="0" w:noVBand="1" w:val="04A0"/>
        <w:tblLayout w:type="fixed"/>
        <w:tblCellMar>
          <w:top w:w="34" w:type="dxa"/>
          <w:left w:w="70" w:type="dxa"/>
          <w:bottom w:w="34" w:type="dxa"/>
          <w:right w:w="7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248"/>
        <w:gridCol w:w="1224"/>
        <w:gridCol w:w="4752"/>
      </w:tblGrid>
      <w:tr>
        <w:trPr>
          <w:cantSplit w:val="true"/>
          <w:tblHeader w:val="true"/>
        </w:trPr>
        <w:tc>
          <w:tcPr>
            <w:tcW w:type="dxa" w:w="4248"/>
            <w:shd w:val="clear" w:color="auto" w:fill="EAF0EE"/>
          </w:tcPr>
          <w:p>
            <w:pPr>
              <w:spacing w:after="20" w:before="0" w:line="240" w:lineRule="auto"/>
            </w:pPr>
            <w:r>
              <w:rPr>
                <w:b/>
                <w:color w:val="1C3A36"/>
                <w:sz w:val="15"/>
              </w:rPr>
              <w:t>The definition</w:t>
            </w:r>
          </w:p>
        </w:tc>
        <w:tc>
          <w:tcPr>
            <w:tcW w:type="dxa" w:w="1224"/>
            <w:shd w:val="clear" w:color="auto" w:fill="EAF0EE"/>
          </w:tcPr>
          <w:p>
            <w:pPr>
              <w:spacing w:after="20" w:before="0" w:line="240" w:lineRule="auto"/>
            </w:pPr>
            <w:r>
              <w:rPr>
                <w:b/>
                <w:color w:val="1C3A36"/>
                <w:sz w:val="15"/>
              </w:rPr>
              <w:t>At 31 Mar 2026</w:t>
            </w:r>
          </w:p>
        </w:tc>
        <w:tc>
          <w:tcPr>
            <w:tcW w:type="dxa" w:w="4752"/>
            <w:shd w:val="clear" w:color="auto" w:fill="EAF0EE"/>
          </w:tcPr>
          <w:p>
            <w:pPr>
              <w:spacing w:after="20" w:before="0" w:line="240" w:lineRule="auto"/>
            </w:pPr>
            <w:r>
              <w:rPr>
                <w:b/>
                <w:color w:val="1C3A36"/>
                <w:sz w:val="15"/>
              </w:rPr>
              <w:t>Used?</w:t>
            </w:r>
          </w:p>
        </w:tc>
      </w:tr>
      <w:tr>
        <w:trPr>
          <w:cantSplit w:val="true"/>
        </w:trPr>
        <w:tc>
          <w:tcPr>
            <w:tcW w:type="dxa" w:w="4248"/>
          </w:tcPr>
          <w:p>
            <w:pPr>
              <w:spacing w:after="20" w:before="0" w:line="240" w:lineRule="auto"/>
            </w:pPr>
            <w:r>
              <w:rPr>
                <w:color w:val="1C3A36"/>
                <w:sz w:val="15"/>
              </w:rPr>
              <w:t>As the management commentary DEFINES it in its own footnote — debt and debt-like items consisting of the shareholder loan and current and non-current lease liabilities, less cash</w:t>
            </w:r>
          </w:p>
        </w:tc>
        <w:tc>
          <w:tcPr>
            <w:tcW w:type="dxa" w:w="1224"/>
          </w:tcPr>
          <w:p>
            <w:pPr>
              <w:spacing w:after="20" w:before="0" w:line="240" w:lineRule="auto"/>
              <w:jc w:val="right"/>
            </w:pPr>
            <w:r>
              <w:rPr>
                <w:color w:val="1C3A36"/>
                <w:sz w:val="15"/>
              </w:rPr>
              <w:t>USD -174.0m</w:t>
            </w:r>
          </w:p>
        </w:tc>
        <w:tc>
          <w:tcPr>
            <w:tcW w:type="dxa" w:w="4752"/>
          </w:tcPr>
          <w:p>
            <w:pPr>
              <w:spacing w:after="20" w:before="0" w:line="240" w:lineRule="auto"/>
            </w:pPr>
            <w:r>
              <w:rPr>
                <w:color w:val="1C3A36"/>
                <w:sz w:val="15"/>
              </w:rPr>
              <w:t>No. Read literally the definition omits third-party borrowings, and it does not reproduce the number printed beside it.</w:t>
            </w:r>
          </w:p>
        </w:tc>
      </w:tr>
      <w:tr>
        <w:trPr>
          <w:cantSplit w:val="true"/>
        </w:trPr>
        <w:tc>
          <w:tcPr>
            <w:tcW w:type="dxa" w:w="4248"/>
          </w:tcPr>
          <w:p>
            <w:pPr>
              <w:spacing w:after="20" w:before="0" w:line="240" w:lineRule="auto"/>
            </w:pPr>
            <w:r>
              <w:rPr>
                <w:color w:val="1C3A36"/>
                <w:sz w:val="15"/>
              </w:rPr>
              <w:t>As the company PRINTS it — the USD 420 million headline in the same table, which reconciles only when third-party borrowings are added, exactly as the investor presentation's own net-debt bridge (cash, borrowings, leases, other) shows</w:t>
            </w:r>
          </w:p>
        </w:tc>
        <w:tc>
          <w:tcPr>
            <w:tcW w:type="dxa" w:w="1224"/>
          </w:tcPr>
          <w:p>
            <w:pPr>
              <w:spacing w:after="20" w:before="0" w:line="240" w:lineRule="auto"/>
              <w:jc w:val="right"/>
            </w:pPr>
            <w:r>
              <w:rPr>
                <w:color w:val="1C3A36"/>
                <w:sz w:val="15"/>
              </w:rPr>
              <w:t>USD 257.3m</w:t>
            </w:r>
          </w:p>
        </w:tc>
        <w:tc>
          <w:tcPr>
            <w:tcW w:type="dxa" w:w="4752"/>
          </w:tcPr>
          <w:p>
            <w:pPr>
              <w:spacing w:after="20" w:before="0" w:line="240" w:lineRule="auto"/>
            </w:pPr>
            <w:r>
              <w:rPr>
                <w:color w:val="1C3A36"/>
                <w:sz w:val="15"/>
              </w:rPr>
              <w:t>Yes, as the starting point. It is reconciled here from the balance sheet itself: shareholder facility USD 500m plus third-party borrowings USD 403m plus lease liabilities USD 212m less cash USD 695m.</w:t>
            </w:r>
          </w:p>
        </w:tc>
      </w:tr>
      <w:tr>
        <w:trPr>
          <w:cantSplit w:val="true"/>
        </w:trPr>
        <w:tc>
          <w:tcPr>
            <w:tcW w:type="dxa" w:w="4248"/>
          </w:tcPr>
          <w:p>
            <w:pPr>
              <w:spacing w:after="20" w:before="0" w:line="240" w:lineRule="auto"/>
            </w:pPr>
            <w:r>
              <w:rPr>
                <w:color w:val="1C3A36"/>
                <w:sz w:val="15"/>
              </w:rPr>
              <w:t>As this study uses it — the printed figure extended by the deferred consideration for the remaining 20% of the acquired tanker business, carried at a present value of USD 301.5m, which is contractually owed and therefore debt-like</w:t>
            </w:r>
          </w:p>
        </w:tc>
        <w:tc>
          <w:tcPr>
            <w:tcW w:type="dxa" w:w="1224"/>
          </w:tcPr>
          <w:p>
            <w:pPr>
              <w:spacing w:after="20" w:before="0" w:line="240" w:lineRule="auto"/>
              <w:jc w:val="right"/>
            </w:pPr>
            <w:r>
              <w:rPr>
                <w:color w:val="1C3A36"/>
                <w:sz w:val="15"/>
              </w:rPr>
              <w:t>USD 1,861.6m</w:t>
            </w:r>
          </w:p>
        </w:tc>
        <w:tc>
          <w:tcPr>
            <w:tcW w:type="dxa" w:w="4752"/>
          </w:tcPr>
          <w:p>
            <w:pPr>
              <w:spacing w:after="20" w:before="0" w:line="240" w:lineRule="auto"/>
            </w:pPr>
            <w:r>
              <w:rPr>
                <w:color w:val="1C3A36"/>
                <w:sz w:val="15"/>
              </w:rPr>
              <w:t>Yes. Separately, the perpetual capital securities of USD 1,978.6m sit outside ALL THREE definitions because the company classifies them as equity; they are deducted in the bridge in their own right rather than netted into debt, so nothing is counted twice and nothing is dropped.</w:t>
            </w:r>
          </w:p>
        </w:tc>
      </w:tr>
    </w:tbl>
    <w:p>
      <w:pPr>
        <w:pageBreakBefore/>
        <w:spacing w:after="100" w:before="260"/>
      </w:pPr>
      <w:r>
        <w:rPr>
          <w:b/>
          <w:i w:val="0"/>
          <w:color w:val="1C3A36"/>
          <w:sz w:val="28"/>
        </w:rPr>
        <w:t>The tests behind the price map, window by window</w:t>
      </w:r>
    </w:p>
    <w:p>
      <w:pPr>
        <w:spacing w:after="100" w:before="0"/>
      </w:pPr>
      <w:r>
        <w:rPr>
          <w:b w:val="0"/>
          <w:i w:val="0"/>
          <w:color w:val="1C3A36"/>
          <w:sz w:val="19"/>
        </w:rPr>
        <w:t>Section 3 of the study states that the price map is tested before it is allowed to publish a range, and gives the summary scores. A summary score is not evidence a reader can check. The record below is every independent three-month window the test ran on: the date the map was struck from, the date it was scored on, the price at each, and whether the outcome fell inside the middle 50%, 80% and 90% of the distribution the map produced. Each window uses only data available on the day it was struck.</w:t>
      </w:r>
    </w:p>
    <w:tbl>
      <w:tblPr>
        <w:tblW w:type="auto" w:w="0"/>
        <w:jc w:val="center"/>
        <w:tblLook w:firstColumn="1" w:firstRow="1" w:lastColumn="0" w:lastRow="0" w:noHBand="0" w:noVBand="1" w:val="04A0"/>
        <w:tblLayout w:type="fixed"/>
        <w:tblCellMar>
          <w:top w:w="34" w:type="dxa"/>
          <w:left w:w="70" w:type="dxa"/>
          <w:bottom w:w="34" w:type="dxa"/>
          <w:right w:w="7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440"/>
        <w:gridCol w:w="1440"/>
        <w:gridCol w:w="1512"/>
        <w:gridCol w:w="1512"/>
        <w:gridCol w:w="1656"/>
        <w:gridCol w:w="1296"/>
        <w:gridCol w:w="1368"/>
      </w:tblGrid>
      <w:tr>
        <w:trPr>
          <w:cantSplit w:val="true"/>
          <w:tblHeader w:val="true"/>
        </w:trPr>
        <w:tc>
          <w:tcPr>
            <w:tcW w:type="dxa" w:w="1440"/>
            <w:shd w:val="clear" w:color="auto" w:fill="EAF0EE"/>
          </w:tcPr>
          <w:p>
            <w:pPr>
              <w:spacing w:after="20" w:before="0" w:line="240" w:lineRule="auto"/>
            </w:pPr>
            <w:r>
              <w:rPr>
                <w:b/>
                <w:color w:val="1C3A36"/>
                <w:sz w:val="15"/>
              </w:rPr>
              <w:t>Struck from</w:t>
            </w:r>
          </w:p>
        </w:tc>
        <w:tc>
          <w:tcPr>
            <w:tcW w:type="dxa" w:w="1440"/>
            <w:shd w:val="clear" w:color="auto" w:fill="EAF0EE"/>
          </w:tcPr>
          <w:p>
            <w:pPr>
              <w:spacing w:after="20" w:before="0" w:line="240" w:lineRule="auto"/>
            </w:pPr>
            <w:r>
              <w:rPr>
                <w:b/>
                <w:color w:val="1C3A36"/>
                <w:sz w:val="15"/>
              </w:rPr>
              <w:t>Scored on</w:t>
            </w:r>
          </w:p>
        </w:tc>
        <w:tc>
          <w:tcPr>
            <w:tcW w:type="dxa" w:w="1512"/>
            <w:shd w:val="clear" w:color="auto" w:fill="EAF0EE"/>
          </w:tcPr>
          <w:p>
            <w:pPr>
              <w:spacing w:after="20" w:before="0" w:line="240" w:lineRule="auto"/>
            </w:pPr>
            <w:r>
              <w:rPr>
                <w:b/>
                <w:color w:val="1C3A36"/>
                <w:sz w:val="15"/>
              </w:rPr>
              <w:t>Price when struck</w:t>
            </w:r>
          </w:p>
        </w:tc>
        <w:tc>
          <w:tcPr>
            <w:tcW w:type="dxa" w:w="1512"/>
            <w:shd w:val="clear" w:color="auto" w:fill="EAF0EE"/>
          </w:tcPr>
          <w:p>
            <w:pPr>
              <w:spacing w:after="20" w:before="0" w:line="240" w:lineRule="auto"/>
            </w:pPr>
            <w:r>
              <w:rPr>
                <w:b/>
                <w:color w:val="1C3A36"/>
                <w:sz w:val="15"/>
              </w:rPr>
              <w:t>Price when scored</w:t>
            </w:r>
          </w:p>
        </w:tc>
        <w:tc>
          <w:tcPr>
            <w:tcW w:type="dxa" w:w="1656"/>
            <w:shd w:val="clear" w:color="auto" w:fill="EAF0EE"/>
          </w:tcPr>
          <w:p>
            <w:pPr>
              <w:spacing w:after="20" w:before="0" w:line="240" w:lineRule="auto"/>
            </w:pPr>
            <w:r>
              <w:rPr>
                <w:b/>
                <w:color w:val="1C3A36"/>
                <w:sz w:val="15"/>
              </w:rPr>
              <w:t>Inside the middle 50%</w:t>
            </w:r>
          </w:p>
        </w:tc>
        <w:tc>
          <w:tcPr>
            <w:tcW w:type="dxa" w:w="1296"/>
            <w:shd w:val="clear" w:color="auto" w:fill="EAF0EE"/>
          </w:tcPr>
          <w:p>
            <w:pPr>
              <w:spacing w:after="20" w:before="0" w:line="240" w:lineRule="auto"/>
            </w:pPr>
            <w:r>
              <w:rPr>
                <w:b/>
                <w:color w:val="1C3A36"/>
                <w:sz w:val="15"/>
              </w:rPr>
              <w:t>Inside 80%</w:t>
            </w:r>
          </w:p>
        </w:tc>
        <w:tc>
          <w:tcPr>
            <w:tcW w:type="dxa" w:w="1368"/>
            <w:shd w:val="clear" w:color="auto" w:fill="EAF0EE"/>
          </w:tcPr>
          <w:p>
            <w:pPr>
              <w:spacing w:after="20" w:before="0" w:line="240" w:lineRule="auto"/>
            </w:pPr>
            <w:r>
              <w:rPr>
                <w:b/>
                <w:color w:val="1C3A36"/>
                <w:sz w:val="15"/>
              </w:rPr>
              <w:t>Inside 90%</w:t>
            </w:r>
          </w:p>
        </w:tc>
      </w:tr>
      <w:tr>
        <w:trPr>
          <w:cantSplit w:val="true"/>
        </w:trPr>
        <w:tc>
          <w:tcPr>
            <w:tcW w:type="dxa" w:w="1440"/>
          </w:tcPr>
          <w:p>
            <w:pPr>
              <w:spacing w:after="20" w:before="0" w:line="240" w:lineRule="auto"/>
            </w:pPr>
            <w:r>
              <w:rPr>
                <w:color w:val="1C3A36"/>
                <w:sz w:val="15"/>
              </w:rPr>
              <w:t>21 Jun 2024</w:t>
            </w:r>
          </w:p>
        </w:tc>
        <w:tc>
          <w:tcPr>
            <w:tcW w:type="dxa" w:w="1440"/>
          </w:tcPr>
          <w:p>
            <w:pPr>
              <w:spacing w:after="20" w:before="0" w:line="240" w:lineRule="auto"/>
            </w:pPr>
            <w:r>
              <w:rPr>
                <w:color w:val="1C3A36"/>
                <w:sz w:val="15"/>
              </w:rPr>
              <w:t>23 Sep 2024</w:t>
            </w:r>
          </w:p>
        </w:tc>
        <w:tc>
          <w:tcPr>
            <w:tcW w:type="dxa" w:w="1512"/>
          </w:tcPr>
          <w:p>
            <w:pPr>
              <w:spacing w:after="20" w:before="0" w:line="240" w:lineRule="auto"/>
              <w:jc w:val="right"/>
            </w:pPr>
            <w:r>
              <w:rPr>
                <w:color w:val="1C3A36"/>
                <w:sz w:val="15"/>
              </w:rPr>
              <w:t>4.03</w:t>
            </w:r>
          </w:p>
        </w:tc>
        <w:tc>
          <w:tcPr>
            <w:tcW w:type="dxa" w:w="1512"/>
          </w:tcPr>
          <w:p>
            <w:pPr>
              <w:spacing w:after="20" w:before="0" w:line="240" w:lineRule="auto"/>
              <w:jc w:val="right"/>
            </w:pPr>
            <w:r>
              <w:rPr>
                <w:color w:val="1C3A36"/>
                <w:sz w:val="15"/>
              </w:rPr>
              <w:t>5.42</w:t>
            </w:r>
          </w:p>
        </w:tc>
        <w:tc>
          <w:tcPr>
            <w:tcW w:type="dxa" w:w="1656"/>
          </w:tcPr>
          <w:p>
            <w:pPr>
              <w:spacing w:after="20" w:before="0" w:line="240" w:lineRule="auto"/>
              <w:jc w:val="right"/>
            </w:pPr>
            <w:r>
              <w:rPr>
                <w:color w:val="1C3A36"/>
                <w:sz w:val="15"/>
              </w:rPr>
              <w:t>no</w:t>
            </w:r>
          </w:p>
        </w:tc>
        <w:tc>
          <w:tcPr>
            <w:tcW w:type="dxa" w:w="1296"/>
          </w:tcPr>
          <w:p>
            <w:pPr>
              <w:spacing w:after="20" w:before="0" w:line="240" w:lineRule="auto"/>
              <w:jc w:val="right"/>
            </w:pPr>
            <w:r>
              <w:rPr>
                <w:color w:val="1C3A36"/>
                <w:sz w:val="15"/>
              </w:rPr>
              <w:t>no</w:t>
            </w:r>
          </w:p>
        </w:tc>
        <w:tc>
          <w:tcPr>
            <w:tcW w:type="dxa" w:w="1368"/>
          </w:tcPr>
          <w:p>
            <w:pPr>
              <w:spacing w:after="20" w:before="0" w:line="240" w:lineRule="auto"/>
              <w:jc w:val="right"/>
            </w:pPr>
            <w:r>
              <w:rPr>
                <w:color w:val="1C3A36"/>
                <w:sz w:val="15"/>
              </w:rPr>
              <w:t>no</w:t>
            </w:r>
          </w:p>
        </w:tc>
      </w:tr>
      <w:tr>
        <w:trPr>
          <w:cantSplit w:val="true"/>
        </w:trPr>
        <w:tc>
          <w:tcPr>
            <w:tcW w:type="dxa" w:w="1440"/>
          </w:tcPr>
          <w:p>
            <w:pPr>
              <w:spacing w:after="20" w:before="0" w:line="240" w:lineRule="auto"/>
            </w:pPr>
            <w:r>
              <w:rPr>
                <w:color w:val="1C3A36"/>
                <w:sz w:val="15"/>
              </w:rPr>
              <w:t>23 Sep 2024</w:t>
            </w:r>
          </w:p>
        </w:tc>
        <w:tc>
          <w:tcPr>
            <w:tcW w:type="dxa" w:w="1440"/>
          </w:tcPr>
          <w:p>
            <w:pPr>
              <w:spacing w:after="20" w:before="0" w:line="240" w:lineRule="auto"/>
            </w:pPr>
            <w:r>
              <w:rPr>
                <w:color w:val="1C3A36"/>
                <w:sz w:val="15"/>
              </w:rPr>
              <w:t>23 Dec 2024</w:t>
            </w:r>
          </w:p>
        </w:tc>
        <w:tc>
          <w:tcPr>
            <w:tcW w:type="dxa" w:w="1512"/>
          </w:tcPr>
          <w:p>
            <w:pPr>
              <w:spacing w:after="20" w:before="0" w:line="240" w:lineRule="auto"/>
              <w:jc w:val="right"/>
            </w:pPr>
            <w:r>
              <w:rPr>
                <w:color w:val="1C3A36"/>
                <w:sz w:val="15"/>
              </w:rPr>
              <w:t>5.42</w:t>
            </w:r>
          </w:p>
        </w:tc>
        <w:tc>
          <w:tcPr>
            <w:tcW w:type="dxa" w:w="1512"/>
          </w:tcPr>
          <w:p>
            <w:pPr>
              <w:spacing w:after="20" w:before="0" w:line="240" w:lineRule="auto"/>
              <w:jc w:val="right"/>
            </w:pPr>
            <w:r>
              <w:rPr>
                <w:color w:val="1C3A36"/>
                <w:sz w:val="15"/>
              </w:rPr>
              <w:t>5.46</w:t>
            </w:r>
          </w:p>
        </w:tc>
        <w:tc>
          <w:tcPr>
            <w:tcW w:type="dxa" w:w="1656"/>
          </w:tcPr>
          <w:p>
            <w:pPr>
              <w:spacing w:after="20" w:before="0" w:line="240" w:lineRule="auto"/>
              <w:jc w:val="right"/>
            </w:pPr>
            <w:r>
              <w:rPr>
                <w:color w:val="1C3A36"/>
                <w:sz w:val="15"/>
              </w:rPr>
              <w:t>yes</w:t>
            </w:r>
          </w:p>
        </w:tc>
        <w:tc>
          <w:tcPr>
            <w:tcW w:type="dxa" w:w="1296"/>
          </w:tcPr>
          <w:p>
            <w:pPr>
              <w:spacing w:after="20" w:before="0" w:line="240" w:lineRule="auto"/>
              <w:jc w:val="right"/>
            </w:pPr>
            <w:r>
              <w:rPr>
                <w:color w:val="1C3A36"/>
                <w:sz w:val="15"/>
              </w:rPr>
              <w:t>yes</w:t>
            </w:r>
          </w:p>
        </w:tc>
        <w:tc>
          <w:tcPr>
            <w:tcW w:type="dxa" w:w="1368"/>
          </w:tcPr>
          <w:p>
            <w:pPr>
              <w:spacing w:after="20" w:before="0" w:line="240" w:lineRule="auto"/>
              <w:jc w:val="right"/>
            </w:pPr>
            <w:r>
              <w:rPr>
                <w:color w:val="1C3A36"/>
                <w:sz w:val="15"/>
              </w:rPr>
              <w:t>yes</w:t>
            </w:r>
          </w:p>
        </w:tc>
      </w:tr>
      <w:tr>
        <w:trPr>
          <w:cantSplit w:val="true"/>
        </w:trPr>
        <w:tc>
          <w:tcPr>
            <w:tcW w:type="dxa" w:w="1440"/>
          </w:tcPr>
          <w:p>
            <w:pPr>
              <w:spacing w:after="20" w:before="0" w:line="240" w:lineRule="auto"/>
            </w:pPr>
            <w:r>
              <w:rPr>
                <w:color w:val="1C3A36"/>
                <w:sz w:val="15"/>
              </w:rPr>
              <w:t>23 Dec 2024</w:t>
            </w:r>
          </w:p>
        </w:tc>
        <w:tc>
          <w:tcPr>
            <w:tcW w:type="dxa" w:w="1440"/>
          </w:tcPr>
          <w:p>
            <w:pPr>
              <w:spacing w:after="20" w:before="0" w:line="240" w:lineRule="auto"/>
            </w:pPr>
            <w:r>
              <w:rPr>
                <w:color w:val="1C3A36"/>
                <w:sz w:val="15"/>
              </w:rPr>
              <w:t>24 Mar 2025</w:t>
            </w:r>
          </w:p>
        </w:tc>
        <w:tc>
          <w:tcPr>
            <w:tcW w:type="dxa" w:w="1512"/>
          </w:tcPr>
          <w:p>
            <w:pPr>
              <w:spacing w:after="20" w:before="0" w:line="240" w:lineRule="auto"/>
              <w:jc w:val="right"/>
            </w:pPr>
            <w:r>
              <w:rPr>
                <w:color w:val="1C3A36"/>
                <w:sz w:val="15"/>
              </w:rPr>
              <w:t>5.46</w:t>
            </w:r>
          </w:p>
        </w:tc>
        <w:tc>
          <w:tcPr>
            <w:tcW w:type="dxa" w:w="1512"/>
          </w:tcPr>
          <w:p>
            <w:pPr>
              <w:spacing w:after="20" w:before="0" w:line="240" w:lineRule="auto"/>
              <w:jc w:val="right"/>
            </w:pPr>
            <w:r>
              <w:rPr>
                <w:color w:val="1C3A36"/>
                <w:sz w:val="15"/>
              </w:rPr>
              <w:t>4.92</w:t>
            </w:r>
          </w:p>
        </w:tc>
        <w:tc>
          <w:tcPr>
            <w:tcW w:type="dxa" w:w="1656"/>
          </w:tcPr>
          <w:p>
            <w:pPr>
              <w:spacing w:after="20" w:before="0" w:line="240" w:lineRule="auto"/>
              <w:jc w:val="right"/>
            </w:pPr>
            <w:r>
              <w:rPr>
                <w:color w:val="1C3A36"/>
                <w:sz w:val="15"/>
              </w:rPr>
              <w:t>no</w:t>
            </w:r>
          </w:p>
        </w:tc>
        <w:tc>
          <w:tcPr>
            <w:tcW w:type="dxa" w:w="1296"/>
          </w:tcPr>
          <w:p>
            <w:pPr>
              <w:spacing w:after="20" w:before="0" w:line="240" w:lineRule="auto"/>
              <w:jc w:val="right"/>
            </w:pPr>
            <w:r>
              <w:rPr>
                <w:color w:val="1C3A36"/>
                <w:sz w:val="15"/>
              </w:rPr>
              <w:t>yes</w:t>
            </w:r>
          </w:p>
        </w:tc>
        <w:tc>
          <w:tcPr>
            <w:tcW w:type="dxa" w:w="1368"/>
          </w:tcPr>
          <w:p>
            <w:pPr>
              <w:spacing w:after="20" w:before="0" w:line="240" w:lineRule="auto"/>
              <w:jc w:val="right"/>
            </w:pPr>
            <w:r>
              <w:rPr>
                <w:color w:val="1C3A36"/>
                <w:sz w:val="15"/>
              </w:rPr>
              <w:t>yes</w:t>
            </w:r>
          </w:p>
        </w:tc>
      </w:tr>
      <w:tr>
        <w:trPr>
          <w:cantSplit w:val="true"/>
        </w:trPr>
        <w:tc>
          <w:tcPr>
            <w:tcW w:type="dxa" w:w="1440"/>
          </w:tcPr>
          <w:p>
            <w:pPr>
              <w:spacing w:after="20" w:before="0" w:line="240" w:lineRule="auto"/>
            </w:pPr>
            <w:r>
              <w:rPr>
                <w:color w:val="1C3A36"/>
                <w:sz w:val="15"/>
              </w:rPr>
              <w:t>24 Mar 2025</w:t>
            </w:r>
          </w:p>
        </w:tc>
        <w:tc>
          <w:tcPr>
            <w:tcW w:type="dxa" w:w="1440"/>
          </w:tcPr>
          <w:p>
            <w:pPr>
              <w:spacing w:after="20" w:before="0" w:line="240" w:lineRule="auto"/>
            </w:pPr>
            <w:r>
              <w:rPr>
                <w:color w:val="1C3A36"/>
                <w:sz w:val="15"/>
              </w:rPr>
              <w:t>24 Jun 2025</w:t>
            </w:r>
          </w:p>
        </w:tc>
        <w:tc>
          <w:tcPr>
            <w:tcW w:type="dxa" w:w="1512"/>
          </w:tcPr>
          <w:p>
            <w:pPr>
              <w:spacing w:after="20" w:before="0" w:line="240" w:lineRule="auto"/>
              <w:jc w:val="right"/>
            </w:pPr>
            <w:r>
              <w:rPr>
                <w:color w:val="1C3A36"/>
                <w:sz w:val="15"/>
              </w:rPr>
              <w:t>4.92</w:t>
            </w:r>
          </w:p>
        </w:tc>
        <w:tc>
          <w:tcPr>
            <w:tcW w:type="dxa" w:w="1512"/>
          </w:tcPr>
          <w:p>
            <w:pPr>
              <w:spacing w:after="20" w:before="0" w:line="240" w:lineRule="auto"/>
              <w:jc w:val="right"/>
            </w:pPr>
            <w:r>
              <w:rPr>
                <w:color w:val="1C3A36"/>
                <w:sz w:val="15"/>
              </w:rPr>
              <w:t>4.65</w:t>
            </w:r>
          </w:p>
        </w:tc>
        <w:tc>
          <w:tcPr>
            <w:tcW w:type="dxa" w:w="1656"/>
          </w:tcPr>
          <w:p>
            <w:pPr>
              <w:spacing w:after="20" w:before="0" w:line="240" w:lineRule="auto"/>
              <w:jc w:val="right"/>
            </w:pPr>
            <w:r>
              <w:rPr>
                <w:color w:val="1C3A36"/>
                <w:sz w:val="15"/>
              </w:rPr>
              <w:t>yes</w:t>
            </w:r>
          </w:p>
        </w:tc>
        <w:tc>
          <w:tcPr>
            <w:tcW w:type="dxa" w:w="1296"/>
          </w:tcPr>
          <w:p>
            <w:pPr>
              <w:spacing w:after="20" w:before="0" w:line="240" w:lineRule="auto"/>
              <w:jc w:val="right"/>
            </w:pPr>
            <w:r>
              <w:rPr>
                <w:color w:val="1C3A36"/>
                <w:sz w:val="15"/>
              </w:rPr>
              <w:t>yes</w:t>
            </w:r>
          </w:p>
        </w:tc>
        <w:tc>
          <w:tcPr>
            <w:tcW w:type="dxa" w:w="1368"/>
          </w:tcPr>
          <w:p>
            <w:pPr>
              <w:spacing w:after="20" w:before="0" w:line="240" w:lineRule="auto"/>
              <w:jc w:val="right"/>
            </w:pPr>
            <w:r>
              <w:rPr>
                <w:color w:val="1C3A36"/>
                <w:sz w:val="15"/>
              </w:rPr>
              <w:t>yes</w:t>
            </w:r>
          </w:p>
        </w:tc>
      </w:tr>
      <w:tr>
        <w:trPr>
          <w:cantSplit w:val="true"/>
        </w:trPr>
        <w:tc>
          <w:tcPr>
            <w:tcW w:type="dxa" w:w="1440"/>
          </w:tcPr>
          <w:p>
            <w:pPr>
              <w:spacing w:after="20" w:before="0" w:line="240" w:lineRule="auto"/>
            </w:pPr>
            <w:r>
              <w:rPr>
                <w:color w:val="1C3A36"/>
                <w:sz w:val="15"/>
              </w:rPr>
              <w:t>24 Jun 2025</w:t>
            </w:r>
          </w:p>
        </w:tc>
        <w:tc>
          <w:tcPr>
            <w:tcW w:type="dxa" w:w="1440"/>
          </w:tcPr>
          <w:p>
            <w:pPr>
              <w:spacing w:after="20" w:before="0" w:line="240" w:lineRule="auto"/>
            </w:pPr>
            <w:r>
              <w:rPr>
                <w:color w:val="1C3A36"/>
                <w:sz w:val="15"/>
              </w:rPr>
              <w:t>24 Sep 2025</w:t>
            </w:r>
          </w:p>
        </w:tc>
        <w:tc>
          <w:tcPr>
            <w:tcW w:type="dxa" w:w="1512"/>
          </w:tcPr>
          <w:p>
            <w:pPr>
              <w:spacing w:after="20" w:before="0" w:line="240" w:lineRule="auto"/>
              <w:jc w:val="right"/>
            </w:pPr>
            <w:r>
              <w:rPr>
                <w:color w:val="1C3A36"/>
                <w:sz w:val="15"/>
              </w:rPr>
              <w:t>4.65</w:t>
            </w:r>
          </w:p>
        </w:tc>
        <w:tc>
          <w:tcPr>
            <w:tcW w:type="dxa" w:w="1512"/>
          </w:tcPr>
          <w:p>
            <w:pPr>
              <w:spacing w:after="20" w:before="0" w:line="240" w:lineRule="auto"/>
              <w:jc w:val="right"/>
            </w:pPr>
            <w:r>
              <w:rPr>
                <w:color w:val="1C3A36"/>
                <w:sz w:val="15"/>
              </w:rPr>
              <w:t>5.73</w:t>
            </w:r>
          </w:p>
        </w:tc>
        <w:tc>
          <w:tcPr>
            <w:tcW w:type="dxa" w:w="1656"/>
          </w:tcPr>
          <w:p>
            <w:pPr>
              <w:spacing w:after="20" w:before="0" w:line="240" w:lineRule="auto"/>
              <w:jc w:val="right"/>
            </w:pPr>
            <w:r>
              <w:rPr>
                <w:color w:val="1C3A36"/>
                <w:sz w:val="15"/>
              </w:rPr>
              <w:t>no</w:t>
            </w:r>
          </w:p>
        </w:tc>
        <w:tc>
          <w:tcPr>
            <w:tcW w:type="dxa" w:w="1296"/>
          </w:tcPr>
          <w:p>
            <w:pPr>
              <w:spacing w:after="20" w:before="0" w:line="240" w:lineRule="auto"/>
              <w:jc w:val="right"/>
            </w:pPr>
            <w:r>
              <w:rPr>
                <w:color w:val="1C3A36"/>
                <w:sz w:val="15"/>
              </w:rPr>
              <w:t>no</w:t>
            </w:r>
          </w:p>
        </w:tc>
        <w:tc>
          <w:tcPr>
            <w:tcW w:type="dxa" w:w="1368"/>
          </w:tcPr>
          <w:p>
            <w:pPr>
              <w:spacing w:after="20" w:before="0" w:line="240" w:lineRule="auto"/>
              <w:jc w:val="right"/>
            </w:pPr>
            <w:r>
              <w:rPr>
                <w:color w:val="1C3A36"/>
                <w:sz w:val="15"/>
              </w:rPr>
              <w:t>yes</w:t>
            </w:r>
          </w:p>
        </w:tc>
      </w:tr>
      <w:tr>
        <w:trPr>
          <w:cantSplit w:val="true"/>
        </w:trPr>
        <w:tc>
          <w:tcPr>
            <w:tcW w:type="dxa" w:w="1440"/>
          </w:tcPr>
          <w:p>
            <w:pPr>
              <w:spacing w:after="20" w:before="0" w:line="240" w:lineRule="auto"/>
            </w:pPr>
            <w:r>
              <w:rPr>
                <w:color w:val="1C3A36"/>
                <w:sz w:val="15"/>
              </w:rPr>
              <w:t>24 Sep 2025</w:t>
            </w:r>
          </w:p>
        </w:tc>
        <w:tc>
          <w:tcPr>
            <w:tcW w:type="dxa" w:w="1440"/>
          </w:tcPr>
          <w:p>
            <w:pPr>
              <w:spacing w:after="20" w:before="0" w:line="240" w:lineRule="auto"/>
            </w:pPr>
            <w:r>
              <w:rPr>
                <w:color w:val="1C3A36"/>
                <w:sz w:val="15"/>
              </w:rPr>
              <w:t>24 Dec 2025</w:t>
            </w:r>
          </w:p>
        </w:tc>
        <w:tc>
          <w:tcPr>
            <w:tcW w:type="dxa" w:w="1512"/>
          </w:tcPr>
          <w:p>
            <w:pPr>
              <w:spacing w:after="20" w:before="0" w:line="240" w:lineRule="auto"/>
              <w:jc w:val="right"/>
            </w:pPr>
            <w:r>
              <w:rPr>
                <w:color w:val="1C3A36"/>
                <w:sz w:val="15"/>
              </w:rPr>
              <w:t>5.73</w:t>
            </w:r>
          </w:p>
        </w:tc>
        <w:tc>
          <w:tcPr>
            <w:tcW w:type="dxa" w:w="1512"/>
          </w:tcPr>
          <w:p>
            <w:pPr>
              <w:spacing w:after="20" w:before="0" w:line="240" w:lineRule="auto"/>
              <w:jc w:val="right"/>
            </w:pPr>
            <w:r>
              <w:rPr>
                <w:color w:val="1C3A36"/>
                <w:sz w:val="15"/>
              </w:rPr>
              <w:t>5.85</w:t>
            </w:r>
          </w:p>
        </w:tc>
        <w:tc>
          <w:tcPr>
            <w:tcW w:type="dxa" w:w="1656"/>
          </w:tcPr>
          <w:p>
            <w:pPr>
              <w:spacing w:after="20" w:before="0" w:line="240" w:lineRule="auto"/>
              <w:jc w:val="right"/>
            </w:pPr>
            <w:r>
              <w:rPr>
                <w:color w:val="1C3A36"/>
                <w:sz w:val="15"/>
              </w:rPr>
              <w:t>yes</w:t>
            </w:r>
          </w:p>
        </w:tc>
        <w:tc>
          <w:tcPr>
            <w:tcW w:type="dxa" w:w="1296"/>
          </w:tcPr>
          <w:p>
            <w:pPr>
              <w:spacing w:after="20" w:before="0" w:line="240" w:lineRule="auto"/>
              <w:jc w:val="right"/>
            </w:pPr>
            <w:r>
              <w:rPr>
                <w:color w:val="1C3A36"/>
                <w:sz w:val="15"/>
              </w:rPr>
              <w:t>yes</w:t>
            </w:r>
          </w:p>
        </w:tc>
        <w:tc>
          <w:tcPr>
            <w:tcW w:type="dxa" w:w="1368"/>
          </w:tcPr>
          <w:p>
            <w:pPr>
              <w:spacing w:after="20" w:before="0" w:line="240" w:lineRule="auto"/>
              <w:jc w:val="right"/>
            </w:pPr>
            <w:r>
              <w:rPr>
                <w:color w:val="1C3A36"/>
                <w:sz w:val="15"/>
              </w:rPr>
              <w:t>yes</w:t>
            </w:r>
          </w:p>
        </w:tc>
      </w:tr>
      <w:tr>
        <w:trPr>
          <w:cantSplit w:val="true"/>
        </w:trPr>
        <w:tc>
          <w:tcPr>
            <w:tcW w:type="dxa" w:w="1440"/>
          </w:tcPr>
          <w:p>
            <w:pPr>
              <w:spacing w:after="20" w:before="0" w:line="240" w:lineRule="auto"/>
            </w:pPr>
            <w:r>
              <w:rPr>
                <w:color w:val="1C3A36"/>
                <w:sz w:val="15"/>
              </w:rPr>
              <w:t>24 Dec 2025</w:t>
            </w:r>
          </w:p>
        </w:tc>
        <w:tc>
          <w:tcPr>
            <w:tcW w:type="dxa" w:w="1440"/>
          </w:tcPr>
          <w:p>
            <w:pPr>
              <w:spacing w:after="20" w:before="0" w:line="240" w:lineRule="auto"/>
            </w:pPr>
            <w:r>
              <w:rPr>
                <w:color w:val="1C3A36"/>
                <w:sz w:val="15"/>
              </w:rPr>
              <w:t>24 Mar 2026</w:t>
            </w:r>
          </w:p>
        </w:tc>
        <w:tc>
          <w:tcPr>
            <w:tcW w:type="dxa" w:w="1512"/>
          </w:tcPr>
          <w:p>
            <w:pPr>
              <w:spacing w:after="20" w:before="0" w:line="240" w:lineRule="auto"/>
              <w:jc w:val="right"/>
            </w:pPr>
            <w:r>
              <w:rPr>
                <w:color w:val="1C3A36"/>
                <w:sz w:val="15"/>
              </w:rPr>
              <w:t>5.85</w:t>
            </w:r>
          </w:p>
        </w:tc>
        <w:tc>
          <w:tcPr>
            <w:tcW w:type="dxa" w:w="1512"/>
          </w:tcPr>
          <w:p>
            <w:pPr>
              <w:spacing w:after="20" w:before="0" w:line="240" w:lineRule="auto"/>
              <w:jc w:val="right"/>
            </w:pPr>
            <w:r>
              <w:rPr>
                <w:color w:val="1C3A36"/>
                <w:sz w:val="15"/>
              </w:rPr>
              <w:t>4.99</w:t>
            </w:r>
          </w:p>
        </w:tc>
        <w:tc>
          <w:tcPr>
            <w:tcW w:type="dxa" w:w="1656"/>
          </w:tcPr>
          <w:p>
            <w:pPr>
              <w:spacing w:after="20" w:before="0" w:line="240" w:lineRule="auto"/>
              <w:jc w:val="right"/>
            </w:pPr>
            <w:r>
              <w:rPr>
                <w:color w:val="1C3A36"/>
                <w:sz w:val="15"/>
              </w:rPr>
              <w:t>no</w:t>
            </w:r>
          </w:p>
        </w:tc>
        <w:tc>
          <w:tcPr>
            <w:tcW w:type="dxa" w:w="1296"/>
          </w:tcPr>
          <w:p>
            <w:pPr>
              <w:spacing w:after="20" w:before="0" w:line="240" w:lineRule="auto"/>
              <w:jc w:val="right"/>
            </w:pPr>
            <w:r>
              <w:rPr>
                <w:color w:val="1C3A36"/>
                <w:sz w:val="15"/>
              </w:rPr>
              <w:t>yes</w:t>
            </w:r>
          </w:p>
        </w:tc>
        <w:tc>
          <w:tcPr>
            <w:tcW w:type="dxa" w:w="1368"/>
          </w:tcPr>
          <w:p>
            <w:pPr>
              <w:spacing w:after="20" w:before="0" w:line="240" w:lineRule="auto"/>
              <w:jc w:val="right"/>
            </w:pPr>
            <w:r>
              <w:rPr>
                <w:color w:val="1C3A36"/>
                <w:sz w:val="15"/>
              </w:rPr>
              <w:t>yes</w:t>
            </w:r>
          </w:p>
        </w:tc>
      </w:tr>
      <w:tr>
        <w:trPr>
          <w:cantSplit w:val="true"/>
        </w:trPr>
        <w:tc>
          <w:tcPr>
            <w:tcW w:type="dxa" w:w="1440"/>
          </w:tcPr>
          <w:p>
            <w:pPr>
              <w:spacing w:after="20" w:before="0" w:line="240" w:lineRule="auto"/>
            </w:pPr>
            <w:r>
              <w:rPr>
                <w:color w:val="1C3A36"/>
                <w:sz w:val="15"/>
              </w:rPr>
              <w:t>24 Mar 2026</w:t>
            </w:r>
          </w:p>
        </w:tc>
        <w:tc>
          <w:tcPr>
            <w:tcW w:type="dxa" w:w="1440"/>
          </w:tcPr>
          <w:p>
            <w:pPr>
              <w:spacing w:after="20" w:before="0" w:line="240" w:lineRule="auto"/>
            </w:pPr>
            <w:r>
              <w:rPr>
                <w:color w:val="1C3A36"/>
                <w:sz w:val="15"/>
              </w:rPr>
              <w:t>24 Jun 2026</w:t>
            </w:r>
          </w:p>
        </w:tc>
        <w:tc>
          <w:tcPr>
            <w:tcW w:type="dxa" w:w="1512"/>
          </w:tcPr>
          <w:p>
            <w:pPr>
              <w:spacing w:after="20" w:before="0" w:line="240" w:lineRule="auto"/>
              <w:jc w:val="right"/>
            </w:pPr>
            <w:r>
              <w:rPr>
                <w:color w:val="1C3A36"/>
                <w:sz w:val="15"/>
              </w:rPr>
              <w:t>4.99</w:t>
            </w:r>
          </w:p>
        </w:tc>
        <w:tc>
          <w:tcPr>
            <w:tcW w:type="dxa" w:w="1512"/>
          </w:tcPr>
          <w:p>
            <w:pPr>
              <w:spacing w:after="20" w:before="0" w:line="240" w:lineRule="auto"/>
              <w:jc w:val="right"/>
            </w:pPr>
            <w:r>
              <w:rPr>
                <w:color w:val="1C3A36"/>
                <w:sz w:val="15"/>
              </w:rPr>
              <w:t>5.97</w:t>
            </w:r>
          </w:p>
        </w:tc>
        <w:tc>
          <w:tcPr>
            <w:tcW w:type="dxa" w:w="1656"/>
          </w:tcPr>
          <w:p>
            <w:pPr>
              <w:spacing w:after="20" w:before="0" w:line="240" w:lineRule="auto"/>
              <w:jc w:val="right"/>
            </w:pPr>
            <w:r>
              <w:rPr>
                <w:color w:val="1C3A36"/>
                <w:sz w:val="15"/>
              </w:rPr>
              <w:t>no</w:t>
            </w:r>
          </w:p>
        </w:tc>
        <w:tc>
          <w:tcPr>
            <w:tcW w:type="dxa" w:w="1296"/>
          </w:tcPr>
          <w:p>
            <w:pPr>
              <w:spacing w:after="20" w:before="0" w:line="240" w:lineRule="auto"/>
              <w:jc w:val="right"/>
            </w:pPr>
            <w:r>
              <w:rPr>
                <w:color w:val="1C3A36"/>
                <w:sz w:val="15"/>
              </w:rPr>
              <w:t>yes</w:t>
            </w:r>
          </w:p>
        </w:tc>
        <w:tc>
          <w:tcPr>
            <w:tcW w:type="dxa" w:w="1368"/>
          </w:tcPr>
          <w:p>
            <w:pPr>
              <w:spacing w:after="20" w:before="0" w:line="240" w:lineRule="auto"/>
              <w:jc w:val="right"/>
            </w:pPr>
            <w:r>
              <w:rPr>
                <w:color w:val="1C3A36"/>
                <w:sz w:val="15"/>
              </w:rPr>
              <w:t>yes</w:t>
            </w:r>
          </w:p>
        </w:tc>
      </w:tr>
      <w:tr>
        <w:trPr>
          <w:cantSplit w:val="true"/>
        </w:trPr>
        <w:tc>
          <w:tcPr>
            <w:tcW w:type="dxa" w:w="1440"/>
          </w:tcPr>
          <w:p>
            <w:pPr>
              <w:spacing w:after="20" w:before="0" w:line="240" w:lineRule="auto"/>
            </w:pPr>
            <w:r>
              <w:rPr>
                <w:color w:val="1C3A36"/>
                <w:sz w:val="15"/>
              </w:rPr>
              <w:t>8 windows</w:t>
            </w:r>
          </w:p>
        </w:tc>
        <w:tc>
          <w:tcPr>
            <w:tcW w:type="dxa" w:w="1440"/>
          </w:tcPr>
          <w:p>
            <w:pPr>
              <w:spacing w:after="20" w:before="0" w:line="240" w:lineRule="auto"/>
            </w:pPr>
            <w:r>
              <w:rPr>
                <w:color w:val="1C3A36"/>
                <w:sz w:val="15"/>
              </w:rPr>
            </w:r>
          </w:p>
        </w:tc>
        <w:tc>
          <w:tcPr>
            <w:tcW w:type="dxa" w:w="1512"/>
          </w:tcPr>
          <w:p>
            <w:pPr>
              <w:spacing w:after="20" w:before="0" w:line="240" w:lineRule="auto"/>
              <w:jc w:val="right"/>
            </w:pPr>
            <w:r>
              <w:rPr>
                <w:color w:val="1C3A36"/>
                <w:sz w:val="15"/>
              </w:rPr>
            </w:r>
          </w:p>
        </w:tc>
        <w:tc>
          <w:tcPr>
            <w:tcW w:type="dxa" w:w="1512"/>
          </w:tcPr>
          <w:p>
            <w:pPr>
              <w:spacing w:after="20" w:before="0" w:line="240" w:lineRule="auto"/>
              <w:jc w:val="right"/>
            </w:pPr>
            <w:r>
              <w:rPr>
                <w:color w:val="1C3A36"/>
                <w:sz w:val="15"/>
              </w:rPr>
            </w:r>
          </w:p>
        </w:tc>
        <w:tc>
          <w:tcPr>
            <w:tcW w:type="dxa" w:w="1656"/>
          </w:tcPr>
          <w:p>
            <w:pPr>
              <w:spacing w:after="20" w:before="0" w:line="240" w:lineRule="auto"/>
              <w:jc w:val="right"/>
            </w:pPr>
            <w:r>
              <w:rPr>
                <w:color w:val="1C3A36"/>
                <w:sz w:val="15"/>
              </w:rPr>
              <w:t>3 of 8</w:t>
            </w:r>
          </w:p>
        </w:tc>
        <w:tc>
          <w:tcPr>
            <w:tcW w:type="dxa" w:w="1296"/>
          </w:tcPr>
          <w:p>
            <w:pPr>
              <w:spacing w:after="20" w:before="0" w:line="240" w:lineRule="auto"/>
              <w:jc w:val="right"/>
            </w:pPr>
            <w:r>
              <w:rPr>
                <w:color w:val="1C3A36"/>
                <w:sz w:val="15"/>
              </w:rPr>
              <w:t>6 of 8</w:t>
            </w:r>
          </w:p>
        </w:tc>
        <w:tc>
          <w:tcPr>
            <w:tcW w:type="dxa" w:w="1368"/>
          </w:tcPr>
          <w:p>
            <w:pPr>
              <w:spacing w:after="20" w:before="0" w:line="240" w:lineRule="auto"/>
              <w:jc w:val="right"/>
            </w:pPr>
            <w:r>
              <w:rPr>
                <w:color w:val="1C3A36"/>
                <w:sz w:val="15"/>
              </w:rPr>
              <w:t>7 of 8</w:t>
            </w:r>
          </w:p>
        </w:tc>
      </w:tr>
    </w:tbl>
    <w:p>
      <w:pPr>
        <w:spacing w:after="40"/>
      </w:pPr>
    </w:p>
    <w:p>
      <w:pPr>
        <w:spacing w:after="100" w:before="0"/>
      </w:pPr>
      <w:r>
        <w:rPr>
          <w:b w:val="0"/>
          <w:i w:val="0"/>
          <w:color w:val="1C3A36"/>
          <w:sz w:val="19"/>
        </w:rPr>
        <w:t>Prices are in dirhams. The share listed in June 2023, so there are only 8 independent three-month windows to be had — that is the binding limit on this test and no arrangement of the data removes it. The counts in the last row are the coverage figures quoted in the study, and they are small-sample counts rather than percentages that mean anything on their own: one window either way moves the middle figure by more than a tenth. The one-month horizon has three times as many windows and behaves better, and the width setting itself rests on a much larger group of Abu Dhabi names rather than on this share alone. Both of those are stated in the study.</w:t>
      </w:r>
    </w:p>
    <w:p>
      <w:pPr>
        <w:spacing w:after="100" w:before="0"/>
      </w:pPr>
      <w:r>
        <w:rPr>
          <w:b w:val="0"/>
          <w:i w:val="0"/>
          <w:color w:val="1C3A36"/>
          <w:sz w:val="19"/>
        </w:rPr>
        <w:t>The same principle applies to the beta and to the price structure in section 2, and here the honest answer is a limitation rather than a table. The regression pairs 159 weekly returns of the share against the index series named in the external documents table, over 3.09 years, and reports a slope of 1.103 with a standard error of 0.315 and an R-squared of 0.181. The paired series itself is not reproduced in these documents, and nor is the daily price history the moving averages and the level ladder are computed from — they are thousands of rows. What a reader can check without them is stated instead: the observation count, the span, the two variants the same returns give against different definitions of the market, and the 52-week high and low, which any price source will confirm. A reader who wants to reproduce the regression needs the two closing series, and this document names exactly which two and over exactly which dates.</w:t>
      </w:r>
    </w:p>
    <w:p>
      <w:pPr>
        <w:pageBreakBefore/>
        <w:spacing w:after="100" w:before="260"/>
      </w:pPr>
      <w:r>
        <w:rPr>
          <w:b/>
          <w:i w:val="0"/>
          <w:color w:val="1C3A36"/>
          <w:sz w:val="28"/>
        </w:rPr>
        <w:t>Source integrity</w:t>
      </w:r>
    </w:p>
    <w:p>
      <w:pPr>
        <w:spacing w:after="100" w:before="0"/>
      </w:pPr>
      <w:r>
        <w:rPr>
          <w:b w:val="0"/>
          <w:i w:val="0"/>
          <w:color w:val="1C3A36"/>
          <w:sz w:val="19"/>
        </w:rPr>
        <w:t>Every historical figure in this study — every income-statement line, every balance-sheet line, every cash-flow line, every segment, service line and cost line — traces to the company's own issued financial statements, read from the filing itself rather than from any summary of it. Four complete audited financial years were obtained (FY2022, FY2023, FY2024, FY2025), against a floor of two and a target of four, together with the reviewed interim information for the first quarter of 2026, which is the only quarter of the study year disclosed at the time of writing and is the valuation date.</w:t>
      </w:r>
    </w:p>
    <w:p>
      <w:pPr>
        <w:spacing w:after="100" w:before="0"/>
      </w:pPr>
      <w:r>
        <w:rPr>
          <w:b w:val="0"/>
          <w:i w:val="0"/>
          <w:color w:val="1C3A36"/>
          <w:sz w:val="19"/>
        </w:rPr>
        <w:t>The company's own website was reached for every one of those documents. Three investor pages were tried; the only failure logged was a single index page returning a server error from this environment, and the documents it lists were obtained through the other two pages on the same site, so no company figure rests on anything but a document downloaded from the company itself.</w:t>
      </w:r>
    </w:p>
    <w:p>
      <w:pPr>
        <w:spacing w:after="100" w:before="0"/>
      </w:pPr>
      <w:r>
        <w:rPr>
          <w:b w:val="0"/>
          <w:i w:val="0"/>
          <w:color w:val="1C3A36"/>
          <w:sz w:val="19"/>
        </w:rPr>
        <w:t>One source in this document is neither a company filing nor an aggregator, and it is worth being explicit about why it is admissible. The beta is regressed against the FTSE ADX General Index — 3,883 daily sessions from 2 Jan 2011 to 24 Jul 2026, checked against the exchange's own trading calendar before use. An index level is market data, not company data: it is the price at which a market cleared, not a figure the company reported about itself. The rule that admits only the company's own issued documents governs the company's own reported history, and an index level is outside it by construction — there is no filing that could be the source of it. The same is true of the stock's own closing prices. What the rule does require of them is that they are dated, screened before use and named, which they are, here and at the rows they feed.</w:t>
      </w:r>
    </w:p>
    <w:p>
      <w:pPr>
        <w:spacing w:after="100" w:before="0"/>
      </w:pPr>
      <w:r>
        <w:rPr>
          <w:b w:val="0"/>
          <w:i w:val="0"/>
          <w:color w:val="1C3A36"/>
          <w:sz w:val="19"/>
        </w:rPr>
        <w:t>Aggregators appear in exactly one place: the three comparable operators' statistics pages used in the comparison lens, listed by name and date in the external documents table above and labelled as cross-checks wherever a multiple derived from them appears. No aggregator, broker or press figure is the source of any figure the company itself reports. Where a figure is solved, implied or assumed rather than disclosed — the tanker running cost, the gas day rate, the forecast drivers — the row in the register says so in its own words, and the judgement behind it appears in the judgements table with the evidence that would overturn it.</w:t>
      </w:r>
    </w:p>
    <w:p>
      <w:pPr>
        <w:spacing w:after="100" w:before="200"/>
      </w:pPr>
      <w:r>
        <w:rPr>
          <w:b w:val="0"/>
          <w:i/>
          <w:color w:val="6E7B77"/>
          <w:sz w:val="17"/>
        </w:rPr>
        <w:t>Testahil · Independent valuation research · Educational analysis, not investment advice. This document contains no recommendation and no target. Sources are listed so that a reader can verify the analysis independently; where a figure is derived or estimated rather than disclosed, that is stated at the figure itself.</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