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50"/>
        </w:rPr>
        <w:t>Fertiglobe plc</w:t>
      </w:r>
    </w:p>
    <w:p>
      <w:pPr>
        <w:spacing w:after="40" w:before="0"/>
      </w:pPr>
      <w:r>
        <w:rPr>
          <w:b w:val="0"/>
          <w:i w:val="0"/>
          <w:color w:val="6E7B77"/>
          <w:sz w:val="24"/>
        </w:rPr>
        <w:t>Abu Dhabi Securities Exchange · FERTIGLB</w:t>
      </w:r>
      <w:r>
        <w:rPr>
          <w:b w:val="0"/>
          <w:i w:val="0"/>
          <w:color w:val="C0A45F"/>
          <w:sz w:val="24"/>
        </w:rPr>
        <w:t xml:space="preserve">   |   </w:t>
      </w:r>
      <w:r>
        <w:rPr>
          <w:b w:val="0"/>
          <w:i w:val="0"/>
          <w:color w:val="6E7B77"/>
          <w:sz w:val="24"/>
        </w:rPr>
        <w:t>Nitrogen fertilisers</w:t>
      </w:r>
    </w:p>
    <w:p>
      <w:pPr>
        <w:spacing w:after="200" w:before="0"/>
      </w:pPr>
      <w:r>
        <w:rPr>
          <w:b w:val="0"/>
          <w:i w:val="0"/>
          <w:color w:val="6E7B77"/>
          <w:sz w:val="19"/>
        </w:rPr>
        <w:t>Valuation study, 9 August 2026   ·   price basis 2026-08-07   ·   reported in US dollars, priced in dirhams</w:t>
      </w:r>
    </w:p>
    <w:p>
      <w:pPr>
        <w:spacing w:after="80" w:before="200"/>
      </w:pPr>
      <w:r>
        <w:rPr>
          <w:b/>
          <w:i w:val="0"/>
          <w:color w:val="1C3A36"/>
          <w:sz w:val="24"/>
        </w:rPr>
        <w:t>READ FIRST</w:t>
      </w:r>
    </w:p>
    <w:p>
      <w:pPr>
        <w:spacing w:after="120" w:before="0"/>
      </w:pPr>
      <w:r>
        <w:rPr>
          <w:b w:val="0"/>
          <w:i w:val="0"/>
          <w:color w:val="1C3A36"/>
          <w:sz w:val="20"/>
        </w:rPr>
        <w:t>This is an educational valuation study. It is not investment advice, it is not a recommendation, and it contains no rating and no price target. What it contains is a range of fair value produced by four independent methods, and a probability distribution for the share price over the next one and three months. Both are estimates and both can be wrong.</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study is built from. </w:t>
            </w:r>
            <w:r>
              <w:rPr>
                <w:color w:val="1C3A36"/>
                <w:sz w:val="19"/>
              </w:rPr>
              <w:t>Every historical figure comes from Fertiglobe plc's own issued financial statements, downloaded from the company's investor-relations archive. Four complete audited financial years were obtained — 2022, 2023, 2024 and 2025 — together with the interim statements for the first quarter and first half of 2026. No data vendor, broker note or press report was used as the source of any figure the company itself reports. Market multiples for comparable companies are the one exception, and they are used only as a cross-check and labelled as such.</w:t>
            </w:r>
          </w:p>
          <w:p>
            <w:pPr>
              <w:spacing w:after="100"/>
            </w:pPr>
            <w:r>
              <w:rPr>
                <w:b/>
                <w:color w:val="1C3A36"/>
                <w:sz w:val="19"/>
              </w:rPr>
              <w:t xml:space="preserve">The currency. </w:t>
            </w:r>
            <w:r>
              <w:rPr>
                <w:color w:val="1C3A36"/>
                <w:sz w:val="19"/>
              </w:rPr>
              <w:t>Fertiglobe reports and functions in US dollars. Its shares trade in dirhams on the Abu Dhabi Securities Exchange. The valuation is therefore built in dollars, which is the currency of the company's revenue, its gas contracts and almost all of its debt, and translated to dirhams per share at the central bank peg of 3.6725 only at the final step.</w:t>
            </w:r>
          </w:p>
          <w:p>
            <w:pPr>
              <w:spacing w:after="100"/>
            </w:pPr>
            <w:r>
              <w:rPr>
                <w:b/>
                <w:color w:val="1C3A36"/>
                <w:sz w:val="19"/>
              </w:rPr>
              <w:t xml:space="preserve">The single most important judgement. </w:t>
            </w:r>
            <w:r>
              <w:rPr>
                <w:color w:val="1C3A36"/>
                <w:sz w:val="19"/>
              </w:rPr>
              <w:t>The company's gas cost in Egypt and Algeria moves with the price of the product it makes. That one fact governs how much of a fertiliser price rise the company actually keeps. It is measured here from disclosed data rather than assumed, and the question it raises — whether today's elevated prices persist — is answered twice, not once. Both answers are carried through to a value and published side by side.</w:t>
            </w:r>
          </w:p>
        </w:tc>
      </w:tr>
    </w:tbl>
    <w:p>
      <w:pPr>
        <w:spacing w:after="40"/>
      </w:pPr>
    </w:p>
    <w:p>
      <w:pPr>
        <w:spacing w:after="120" w:before="280"/>
      </w:pPr>
      <w:r>
        <w:rPr>
          <w:b/>
          <w:i w:val="0"/>
          <w:color w:val="1C3A36"/>
          <w:sz w:val="30"/>
        </w:rPr>
        <w:t>Headline</w:t>
      </w:r>
    </w:p>
    <w:p>
      <w:pPr>
        <w:spacing w:after="120" w:before="0"/>
      </w:pPr>
      <w:r>
        <w:rPr>
          <w:b w:val="0"/>
          <w:i w:val="0"/>
          <w:color w:val="1C3A36"/>
          <w:sz w:val="22"/>
        </w:rPr>
        <w:t>This study reaches TWO answers rather than one, and which of them is right turns on a single question about the nitrogen market. Read on a normalisation to the marginal cost of the high-cost swing supplier, the cash-flow method values Fertiglobe at AED 1.81 per share. Read on the current tightness persisting, it values the same company at AED 2.68. The market price is AED 2.67 on 2026-08-07, which sits between them — -32.2% against the first and 0.5% against the second.</w:t>
      </w:r>
    </w:p>
    <w:p>
      <w:pPr>
        <w:spacing w:after="120" w:before="0"/>
      </w:pPr>
      <w:r>
        <w:rPr>
          <w:b w:val="0"/>
          <w:i w:val="0"/>
          <w:color w:val="1C3A36"/>
          <w:sz w:val="21"/>
        </w:rPr>
        <w:t>The two are published side by side and are NOT averaged. Their midpoint would be AED 2.25, a number neither reading supports and one that would assert a disagreement with the market that neither reading actually makes. Where two readings disagree this study publishes the disagreement and says what decides it.</w:t>
      </w:r>
    </w:p>
    <w:p>
      <w:pPr>
        <w:spacing w:after="120" w:before="0"/>
      </w:pPr>
      <w:r>
        <w:rPr>
          <w:b w:val="0"/>
          <w:i w:val="0"/>
          <w:color w:val="1C3A36"/>
          <w:sz w:val="21"/>
        </w:rPr>
        <w:t>The company earned 1,025 million of EBITDA in 2025 on 2,827 million of revenue. In the first half of 2026 alone it earned 713 million of adjusted EBITDA on 2,001 million of revenue, as conflict in the Middle East closed the Strait of Hormuz and drove urea from $440 to $637 per tonne. The central question for a buyer today is how much of that is durable.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EAF0EE"/>
          </w:tcPr>
          <w:p>
            <w:pPr>
              <w:spacing w:after="100"/>
            </w:pPr>
            <w:r>
              <w:rPr>
                <w:b/>
                <w:color w:val="1C3A36"/>
                <w:sz w:val="19"/>
              </w:rPr>
              <w:t xml:space="preserve">The finding that matters. </w:t>
            </w:r>
            <w:r>
              <w:rPr>
                <w:color w:val="1C3A36"/>
                <w:sz w:val="19"/>
              </w:rPr>
              <w:t>A naive reading of the first half of 2026 doubles the company's earnings power. That reading is wrong, and the company said so itself. Gas pricing in Egypt and Algeria is linked to the product price, so the cost side rises with the revenue side. Measured across the three periods the company has disclosed, roughly 48% of every incremental dollar of realised price is absorbed by cost before it reaches profit. A model that escalated costs on general inflation instead would have overstated the value of this company by a wide margin.</w:t>
            </w:r>
          </w:p>
        </w:tc>
      </w:tr>
    </w:tbl>
    <w:p>
      <w:pPr>
        <w:spacing w:after="40"/>
      </w:pP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3096"/>
        <w:gridCol w:w="1512"/>
        <w:gridCol w:w="936"/>
        <w:gridCol w:w="2592"/>
      </w:tblGrid>
      <w:tr>
        <w:trPr>
          <w:cantSplit/>
          <w:tblHeader/>
        </w:trPr>
        <w:tc>
          <w:tcPr>
            <w:tcW w:type="dxa" w:w="1944"/>
            <w:shd w:val="clear" w:color="auto" w:fill="EAF0EE"/>
          </w:tcPr>
          <w:p>
            <w:pPr>
              <w:spacing w:after="20"/>
            </w:pPr>
            <w:r>
              <w:rPr>
                <w:b/>
                <w:color w:val="1C3A36"/>
                <w:sz w:val="17"/>
              </w:rPr>
              <w:t>Method</w:t>
            </w:r>
          </w:p>
        </w:tc>
        <w:tc>
          <w:tcPr>
            <w:tcW w:type="dxa" w:w="3096"/>
            <w:shd w:val="clear" w:color="auto" w:fill="EAF0EE"/>
          </w:tcPr>
          <w:p>
            <w:pPr>
              <w:spacing w:after="20"/>
            </w:pPr>
            <w:r>
              <w:rPr>
                <w:b/>
                <w:color w:val="1C3A36"/>
                <w:sz w:val="17"/>
              </w:rPr>
              <w:t>What it measures</w:t>
            </w:r>
          </w:p>
        </w:tc>
        <w:tc>
          <w:tcPr>
            <w:tcW w:type="dxa" w:w="1512"/>
            <w:shd w:val="clear" w:color="auto" w:fill="EAF0EE"/>
          </w:tcPr>
          <w:p>
            <w:pPr>
              <w:spacing w:after="20"/>
            </w:pPr>
            <w:r>
              <w:rPr>
                <w:b/>
                <w:color w:val="1C3A36"/>
                <w:sz w:val="17"/>
              </w:rPr>
              <w:t>Value (AED/share)</w:t>
            </w:r>
          </w:p>
        </w:tc>
        <w:tc>
          <w:tcPr>
            <w:tcW w:type="dxa" w:w="936"/>
            <w:shd w:val="clear" w:color="auto" w:fill="EAF0EE"/>
          </w:tcPr>
          <w:p>
            <w:pPr>
              <w:spacing w:after="20"/>
            </w:pPr>
            <w:r>
              <w:rPr>
                <w:b/>
                <w:color w:val="1C3A36"/>
                <w:sz w:val="17"/>
              </w:rPr>
              <w:t>Role</w:t>
            </w:r>
          </w:p>
        </w:tc>
        <w:tc>
          <w:tcPr>
            <w:tcW w:type="dxa" w:w="2592"/>
            <w:shd w:val="clear" w:color="auto" w:fill="EAF0EE"/>
          </w:tcPr>
          <w:p>
            <w:pPr>
              <w:spacing w:after="20"/>
            </w:pPr>
            <w:r>
              <w:rPr>
                <w:b/>
                <w:color w:val="1C3A36"/>
                <w:sz w:val="17"/>
              </w:rPr>
              <w:t>Note</w:t>
            </w:r>
          </w:p>
        </w:tc>
      </w:tr>
      <w:tr>
        <w:trPr>
          <w:cantSplit/>
        </w:trPr>
        <w:tc>
          <w:tcPr>
            <w:tcW w:type="dxa" w:w="1944"/>
            <w:shd w:val="clear" w:color="auto" w:fill="F6F1E6"/>
          </w:tcPr>
          <w:p>
            <w:pPr>
              <w:spacing w:after="20"/>
            </w:pPr>
            <w:r>
              <w:rPr>
                <w:b/>
                <w:color w:val="1C3A36"/>
                <w:sz w:val="17"/>
              </w:rPr>
              <w:t>Cash flow — marginal-cost anchor</w:t>
            </w:r>
          </w:p>
        </w:tc>
        <w:tc>
          <w:tcPr>
            <w:tcW w:type="dxa" w:w="3096"/>
            <w:shd w:val="clear" w:color="auto" w:fill="F6F1E6"/>
          </w:tcPr>
          <w:p>
            <w:pPr>
              <w:spacing w:after="20"/>
            </w:pPr>
            <w:r>
              <w:rPr>
                <w:b/>
                <w:color w:val="1C3A36"/>
                <w:sz w:val="17"/>
              </w:rPr>
              <w:t>Five years of free cash flow to the firm, then a terminal block</w:t>
            </w:r>
          </w:p>
        </w:tc>
        <w:tc>
          <w:tcPr>
            <w:tcW w:type="dxa" w:w="1512"/>
            <w:shd w:val="clear" w:color="auto" w:fill="F6F1E6"/>
          </w:tcPr>
          <w:p>
            <w:pPr>
              <w:spacing w:after="20"/>
              <w:jc w:val="right"/>
            </w:pPr>
            <w:r>
              <w:rPr>
                <w:b/>
                <w:color w:val="1C3A36"/>
                <w:sz w:val="17"/>
              </w:rPr>
              <w:t>1.81</w:t>
            </w:r>
          </w:p>
        </w:tc>
        <w:tc>
          <w:tcPr>
            <w:tcW w:type="dxa" w:w="936"/>
            <w:shd w:val="clear" w:color="auto" w:fill="F6F1E6"/>
          </w:tcPr>
          <w:p>
            <w:pPr>
              <w:spacing w:after="20"/>
              <w:jc w:val="right"/>
            </w:pPr>
            <w:r>
              <w:rPr>
                <w:b/>
                <w:color w:val="1C3A36"/>
                <w:sz w:val="17"/>
              </w:rPr>
              <w:t>THE ANSWER</w:t>
            </w:r>
          </w:p>
        </w:tc>
        <w:tc>
          <w:tcPr>
            <w:tcW w:type="dxa" w:w="2592"/>
            <w:shd w:val="clear" w:color="auto" w:fill="F6F1E6"/>
          </w:tcPr>
          <w:p>
            <w:pPr>
              <w:spacing w:after="20"/>
              <w:jc w:val="right"/>
            </w:pPr>
            <w:r>
              <w:rPr>
                <w:b/>
                <w:color w:val="1C3A36"/>
                <w:sz w:val="17"/>
              </w:rPr>
              <w:t>Terminal value is 56.3% of enterprise value</w:t>
            </w:r>
          </w:p>
        </w:tc>
      </w:tr>
      <w:tr>
        <w:trPr>
          <w:cantSplit/>
        </w:trPr>
        <w:tc>
          <w:tcPr>
            <w:tcW w:type="dxa" w:w="1944"/>
            <w:shd w:val="clear" w:color="auto" w:fill="F6F1E6"/>
          </w:tcPr>
          <w:p>
            <w:pPr>
              <w:spacing w:after="20"/>
            </w:pPr>
            <w:r>
              <w:rPr>
                <w:b/>
                <w:color w:val="1C3A36"/>
                <w:sz w:val="17"/>
              </w:rPr>
              <w:t>Cash flow — tightness persists</w:t>
            </w:r>
          </w:p>
        </w:tc>
        <w:tc>
          <w:tcPr>
            <w:tcW w:type="dxa" w:w="3096"/>
            <w:shd w:val="clear" w:color="auto" w:fill="F6F1E6"/>
          </w:tcPr>
          <w:p>
            <w:pPr>
              <w:spacing w:after="20"/>
            </w:pPr>
            <w:r>
              <w:rPr>
                <w:b/>
                <w:color w:val="1C3A36"/>
                <w:sz w:val="17"/>
              </w:rPr>
              <w:t>The same model on the second reading of the nitrogen market</w:t>
            </w:r>
          </w:p>
        </w:tc>
        <w:tc>
          <w:tcPr>
            <w:tcW w:type="dxa" w:w="1512"/>
            <w:shd w:val="clear" w:color="auto" w:fill="F6F1E6"/>
          </w:tcPr>
          <w:p>
            <w:pPr>
              <w:spacing w:after="20"/>
              <w:jc w:val="right"/>
            </w:pPr>
            <w:r>
              <w:rPr>
                <w:b/>
                <w:color w:val="1C3A36"/>
                <w:sz w:val="17"/>
              </w:rPr>
              <w:t>2.68</w:t>
            </w:r>
          </w:p>
        </w:tc>
        <w:tc>
          <w:tcPr>
            <w:tcW w:type="dxa" w:w="936"/>
            <w:shd w:val="clear" w:color="auto" w:fill="F6F1E6"/>
          </w:tcPr>
          <w:p>
            <w:pPr>
              <w:spacing w:after="20"/>
              <w:jc w:val="right"/>
            </w:pPr>
            <w:r>
              <w:rPr>
                <w:b/>
                <w:color w:val="1C3A36"/>
                <w:sz w:val="17"/>
              </w:rPr>
              <w:t>THE ANSWER</w:t>
            </w:r>
          </w:p>
        </w:tc>
        <w:tc>
          <w:tcPr>
            <w:tcW w:type="dxa" w:w="2592"/>
            <w:shd w:val="clear" w:color="auto" w:fill="F6F1E6"/>
          </w:tcPr>
          <w:p>
            <w:pPr>
              <w:spacing w:after="20"/>
              <w:jc w:val="right"/>
            </w:pPr>
            <w:r>
              <w:rPr>
                <w:b/>
                <w:color w:val="1C3A36"/>
                <w:sz w:val="17"/>
              </w:rPr>
              <w:t>Terminal value is 62.0% of enterprise value</w:t>
            </w:r>
          </w:p>
        </w:tc>
      </w:tr>
      <w:tr>
        <w:trPr>
          <w:cantSplit/>
        </w:trPr>
        <w:tc>
          <w:tcPr>
            <w:tcW w:type="dxa" w:w="1944"/>
          </w:tcPr>
          <w:p>
            <w:pPr>
              <w:spacing w:after="20"/>
            </w:pPr>
            <w:r>
              <w:rPr>
                <w:b/>
                <w:color w:val="1C3A36"/>
                <w:sz w:val="17"/>
              </w:rPr>
              <w:t>Relative multiples</w:t>
            </w:r>
          </w:p>
        </w:tc>
        <w:tc>
          <w:tcPr>
            <w:tcW w:type="dxa" w:w="3096"/>
          </w:tcPr>
          <w:p>
            <w:pPr>
              <w:spacing w:after="20"/>
            </w:pPr>
            <w:r>
              <w:rPr>
                <w:color w:val="1C3A36"/>
                <w:sz w:val="17"/>
              </w:rPr>
              <w:t>Mid-cycle EBITDA on a peer-anchored enterprise multiple</w:t>
            </w:r>
          </w:p>
        </w:tc>
        <w:tc>
          <w:tcPr>
            <w:tcW w:type="dxa" w:w="1512"/>
          </w:tcPr>
          <w:p>
            <w:pPr>
              <w:spacing w:after="20"/>
              <w:jc w:val="right"/>
            </w:pPr>
            <w:r>
              <w:rPr>
                <w:color w:val="1C3A36"/>
                <w:sz w:val="17"/>
              </w:rPr>
              <w:t>2.06</w:t>
            </w:r>
          </w:p>
        </w:tc>
        <w:tc>
          <w:tcPr>
            <w:tcW w:type="dxa" w:w="936"/>
          </w:tcPr>
          <w:p>
            <w:pPr>
              <w:spacing w:after="20"/>
              <w:jc w:val="right"/>
            </w:pPr>
            <w:r>
              <w:rPr>
                <w:color w:val="1C3A36"/>
                <w:sz w:val="17"/>
              </w:rPr>
              <w:t>Cross-check</w:t>
            </w:r>
          </w:p>
        </w:tc>
        <w:tc>
          <w:tcPr>
            <w:tcW w:type="dxa" w:w="2592"/>
          </w:tcPr>
          <w:p>
            <w:pPr>
              <w:spacing w:after="20"/>
              <w:jc w:val="right"/>
            </w:pPr>
            <w:r>
              <w:rPr>
                <w:color w:val="1C3A36"/>
                <w:sz w:val="17"/>
              </w:rPr>
              <w:t>5.8 times enterprise value to EBITDA</w:t>
            </w:r>
          </w:p>
        </w:tc>
      </w:tr>
      <w:tr>
        <w:trPr>
          <w:cantSplit/>
        </w:trPr>
        <w:tc>
          <w:tcPr>
            <w:tcW w:type="dxa" w:w="1944"/>
          </w:tcPr>
          <w:p>
            <w:pPr>
              <w:spacing w:after="20"/>
            </w:pPr>
            <w:r>
              <w:rPr>
                <w:b/>
                <w:color w:val="1C3A36"/>
                <w:sz w:val="17"/>
              </w:rPr>
              <w:t>Book value and sustainable return</w:t>
            </w:r>
          </w:p>
        </w:tc>
        <w:tc>
          <w:tcPr>
            <w:tcW w:type="dxa" w:w="3096"/>
          </w:tcPr>
          <w:p>
            <w:pPr>
              <w:spacing w:after="20"/>
            </w:pPr>
            <w:r>
              <w:rPr>
                <w:color w:val="1C3A36"/>
                <w:sz w:val="17"/>
              </w:rPr>
              <w:t>Book equity marked to the return it earns</w:t>
            </w:r>
          </w:p>
        </w:tc>
        <w:tc>
          <w:tcPr>
            <w:tcW w:type="dxa" w:w="1512"/>
          </w:tcPr>
          <w:p>
            <w:pPr>
              <w:spacing w:after="20"/>
              <w:jc w:val="right"/>
            </w:pPr>
            <w:r>
              <w:rPr>
                <w:color w:val="1C3A36"/>
                <w:sz w:val="17"/>
              </w:rPr>
              <w:t>1.27</w:t>
            </w:r>
          </w:p>
        </w:tc>
        <w:tc>
          <w:tcPr>
            <w:tcW w:type="dxa" w:w="936"/>
          </w:tcPr>
          <w:p>
            <w:pPr>
              <w:spacing w:after="20"/>
              <w:jc w:val="right"/>
            </w:pPr>
            <w:r>
              <w:rPr>
                <w:color w:val="1C3A36"/>
                <w:sz w:val="17"/>
              </w:rPr>
              <w:t>Floor</w:t>
            </w:r>
          </w:p>
        </w:tc>
        <w:tc>
          <w:tcPr>
            <w:tcW w:type="dxa" w:w="2592"/>
          </w:tcPr>
          <w:p>
            <w:pPr>
              <w:spacing w:after="20"/>
              <w:jc w:val="right"/>
            </w:pPr>
            <w:r>
              <w:rPr>
                <w:color w:val="1C3A36"/>
                <w:sz w:val="17"/>
              </w:rPr>
              <w:t>A disclosed floor, not a valuation — see section 1.2</w:t>
            </w:r>
          </w:p>
        </w:tc>
      </w:tr>
      <w:tr>
        <w:trPr>
          <w:cantSplit/>
        </w:trPr>
        <w:tc>
          <w:tcPr>
            <w:tcW w:type="dxa" w:w="1944"/>
          </w:tcPr>
          <w:p>
            <w:pPr>
              <w:spacing w:after="20"/>
            </w:pPr>
            <w:r>
              <w:rPr>
                <w:b/>
                <w:color w:val="1C3A36"/>
                <w:sz w:val="17"/>
              </w:rPr>
              <w:t>Market price</w:t>
            </w:r>
          </w:p>
        </w:tc>
        <w:tc>
          <w:tcPr>
            <w:tcW w:type="dxa" w:w="3096"/>
          </w:tcPr>
          <w:p>
            <w:pPr>
              <w:spacing w:after="20"/>
            </w:pPr>
            <w:r>
              <w:rPr>
                <w:color w:val="1C3A36"/>
                <w:sz w:val="17"/>
              </w:rPr>
            </w:r>
          </w:p>
        </w:tc>
        <w:tc>
          <w:tcPr>
            <w:tcW w:type="dxa" w:w="1512"/>
          </w:tcPr>
          <w:p>
            <w:pPr>
              <w:spacing w:after="20"/>
              <w:jc w:val="right"/>
            </w:pPr>
            <w:r>
              <w:rPr>
                <w:color w:val="1C3A36"/>
                <w:sz w:val="17"/>
              </w:rPr>
              <w:t>2.67</w:t>
            </w:r>
          </w:p>
        </w:tc>
        <w:tc>
          <w:tcPr>
            <w:tcW w:type="dxa" w:w="936"/>
          </w:tcPr>
          <w:p>
            <w:pPr>
              <w:spacing w:after="20"/>
              <w:jc w:val="right"/>
            </w:pPr>
            <w:r>
              <w:rPr>
                <w:color w:val="1C3A36"/>
                <w:sz w:val="17"/>
              </w:rPr>
            </w:r>
          </w:p>
        </w:tc>
        <w:tc>
          <w:tcPr>
            <w:tcW w:type="dxa" w:w="2592"/>
          </w:tcPr>
          <w:p>
            <w:pPr>
              <w:spacing w:after="20"/>
              <w:jc w:val="right"/>
            </w:pPr>
            <w:r>
              <w:rPr>
                <w:color w:val="1C3A36"/>
                <w:sz w:val="17"/>
              </w:rPr>
              <w:t>2026-08-07</w:t>
            </w:r>
          </w:p>
        </w:tc>
      </w:tr>
    </w:tbl>
    <w:p>
      <w:pPr>
        <w:spacing w:after="40"/>
      </w:pPr>
    </w:p>
    <w:p>
      <w:pPr>
        <w:spacing w:after="200" w:before="0"/>
      </w:pPr>
      <w:r>
        <w:rPr>
          <w:b w:val="0"/>
          <w:i/>
          <w:color w:val="6E7B77"/>
          <w:sz w:val="17"/>
        </w:rPr>
        <w:t>Summary valuation table. The cash-flow method IS the answer and it has two readings; the multiple stands beside it as a cross-check and book value as a floor. Neither is weighted into the answer, and the two readings are not averaged. Terminal value as a share of enterprise value is shown against the cash-flow method because that method is the one it applies to.</w:t>
      </w:r>
    </w:p>
    <w:p>
      <w:pPr>
        <w:spacing w:after="80" w:before="200"/>
      </w:pPr>
      <w:r>
        <w:rPr>
          <w:b/>
          <w:i w:val="0"/>
          <w:color w:val="1C3A36"/>
          <w:sz w:val="24"/>
        </w:rPr>
        <w:t>The same company, valued twice</w:t>
      </w:r>
    </w:p>
    <w:p>
      <w:pPr>
        <w:spacing w:after="120" w:before="0"/>
      </w:pPr>
      <w:r>
        <w:rPr>
          <w:b w:val="0"/>
          <w:i w:val="0"/>
          <w:color w:val="1C3A36"/>
          <w:sz w:val="21"/>
        </w:rPr>
        <w:t>The price of nitrogen fertiliser over the next five years is the study's central contested judgement, and there is no honest way to settle it from the evidence available today. Rather than average two views into one number that nobody holds, both are computed in full and published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960"/>
        <w:gridCol w:w="3960"/>
      </w:tblGrid>
      <w:tr>
        <w:trPr>
          <w:cantSplit/>
          <w:tblHeader/>
        </w:trPr>
        <w:tc>
          <w:tcPr>
            <w:tcW w:type="dxa" w:w="2160"/>
            <w:shd w:val="clear" w:color="auto" w:fill="EAF0EE"/>
          </w:tcPr>
          <w:p>
            <w:pPr>
              <w:spacing w:after="20"/>
            </w:pPr>
            <w:r>
              <w:rPr>
                <w:b/>
                <w:color w:val="1C3A36"/>
                <w:sz w:val="17"/>
              </w:rPr>
            </w:r>
          </w:p>
        </w:tc>
        <w:tc>
          <w:tcPr>
            <w:tcW w:type="dxa" w:w="3960"/>
            <w:shd w:val="clear" w:color="auto" w:fill="EAF0EE"/>
          </w:tcPr>
          <w:p>
            <w:pPr>
              <w:spacing w:after="20"/>
            </w:pPr>
            <w:r>
              <w:rPr>
                <w:b/>
                <w:color w:val="1C3A36"/>
                <w:sz w:val="17"/>
              </w:rPr>
              <w:t>Framing A — normalisation</w:t>
            </w:r>
          </w:p>
        </w:tc>
        <w:tc>
          <w:tcPr>
            <w:tcW w:type="dxa" w:w="3960"/>
            <w:shd w:val="clear" w:color="auto" w:fill="EAF0EE"/>
          </w:tcPr>
          <w:p>
            <w:pPr>
              <w:spacing w:after="20"/>
            </w:pPr>
            <w:r>
              <w:rPr>
                <w:b/>
                <w:color w:val="1C3A36"/>
                <w:sz w:val="17"/>
              </w:rPr>
              <w:t>Framing B — structurally tight</w:t>
            </w:r>
          </w:p>
        </w:tc>
      </w:tr>
      <w:tr>
        <w:trPr>
          <w:cantSplit/>
        </w:trPr>
        <w:tc>
          <w:tcPr>
            <w:tcW w:type="dxa" w:w="2160"/>
          </w:tcPr>
          <w:p>
            <w:pPr>
              <w:spacing w:after="20"/>
            </w:pPr>
            <w:r>
              <w:rPr>
                <w:b/>
                <w:color w:val="1C3A36"/>
                <w:sz w:val="17"/>
              </w:rPr>
              <w:t>The argument</w:t>
            </w:r>
          </w:p>
        </w:tc>
        <w:tc>
          <w:tcPr>
            <w:tcW w:type="dxa" w:w="3960"/>
          </w:tcPr>
          <w:p>
            <w:pPr>
              <w:spacing w:after="20"/>
              <w:jc w:val="right"/>
            </w:pPr>
            <w:r>
              <w:rPr>
                <w:color w:val="1C3A36"/>
                <w:sz w:val="17"/>
              </w:rPr>
              <w:t>The 2026 spike is a war premium. As the Strait reopens and Chinese exports resume, prices fall back toward the marginal cost of European production.</w:t>
            </w:r>
          </w:p>
        </w:tc>
        <w:tc>
          <w:tcPr>
            <w:tcW w:type="dxa" w:w="3960"/>
          </w:tcPr>
          <w:p>
            <w:pPr>
              <w:spacing w:after="20"/>
              <w:jc w:val="right"/>
            </w:pPr>
            <w:r>
              <w:rPr>
                <w:color w:val="1C3A36"/>
                <w:sz w:val="17"/>
              </w:rPr>
              <w:t>Demand growth outside China of about 11.4 million tonnes to 2030 outpaces roughly 9.1 million tonnes of additions, and European tariffs on Russian product keep rising. Prices hold near recent levels.</w:t>
            </w:r>
          </w:p>
        </w:tc>
      </w:tr>
      <w:tr>
        <w:trPr>
          <w:cantSplit/>
        </w:trPr>
        <w:tc>
          <w:tcPr>
            <w:tcW w:type="dxa" w:w="2160"/>
          </w:tcPr>
          <w:p>
            <w:pPr>
              <w:spacing w:after="20"/>
            </w:pPr>
            <w:r>
              <w:rPr>
                <w:b/>
                <w:color w:val="1C3A36"/>
                <w:sz w:val="17"/>
              </w:rPr>
              <w:t>Urea by 2028 ($/t)</w:t>
            </w:r>
          </w:p>
        </w:tc>
        <w:tc>
          <w:tcPr>
            <w:tcW w:type="dxa" w:w="3960"/>
          </w:tcPr>
          <w:p>
            <w:pPr>
              <w:spacing w:after="20"/>
              <w:jc w:val="right"/>
            </w:pPr>
            <w:r>
              <w:rPr>
                <w:color w:val="1C3A36"/>
                <w:sz w:val="17"/>
              </w:rPr>
              <w:t>440</w:t>
            </w:r>
          </w:p>
        </w:tc>
        <w:tc>
          <w:tcPr>
            <w:tcW w:type="dxa" w:w="3960"/>
          </w:tcPr>
          <w:p>
            <w:pPr>
              <w:spacing w:after="20"/>
              <w:jc w:val="right"/>
            </w:pPr>
            <w:r>
              <w:rPr>
                <w:color w:val="1C3A36"/>
                <w:sz w:val="17"/>
              </w:rPr>
              <w:t>550</w:t>
            </w:r>
          </w:p>
        </w:tc>
      </w:tr>
      <w:tr>
        <w:trPr>
          <w:cantSplit/>
        </w:trPr>
        <w:tc>
          <w:tcPr>
            <w:tcW w:type="dxa" w:w="2160"/>
          </w:tcPr>
          <w:p>
            <w:pPr>
              <w:spacing w:after="20"/>
            </w:pPr>
            <w:r>
              <w:rPr>
                <w:b/>
                <w:color w:val="1C3A36"/>
                <w:sz w:val="17"/>
              </w:rPr>
              <w:t>Ammonia by 2028 ($/t)</w:t>
            </w:r>
          </w:p>
        </w:tc>
        <w:tc>
          <w:tcPr>
            <w:tcW w:type="dxa" w:w="3960"/>
          </w:tcPr>
          <w:p>
            <w:pPr>
              <w:spacing w:after="20"/>
              <w:jc w:val="right"/>
            </w:pPr>
            <w:r>
              <w:rPr>
                <w:color w:val="1C3A36"/>
                <w:sz w:val="17"/>
              </w:rPr>
              <w:t>420</w:t>
            </w:r>
          </w:p>
        </w:tc>
        <w:tc>
          <w:tcPr>
            <w:tcW w:type="dxa" w:w="3960"/>
          </w:tcPr>
          <w:p>
            <w:pPr>
              <w:spacing w:after="20"/>
              <w:jc w:val="right"/>
            </w:pPr>
            <w:r>
              <w:rPr>
                <w:color w:val="1C3A36"/>
                <w:sz w:val="17"/>
              </w:rPr>
              <w:t>530</w:t>
            </w:r>
          </w:p>
        </w:tc>
      </w:tr>
      <w:tr>
        <w:trPr>
          <w:cantSplit/>
        </w:trPr>
        <w:tc>
          <w:tcPr>
            <w:tcW w:type="dxa" w:w="2160"/>
          </w:tcPr>
          <w:p>
            <w:pPr>
              <w:spacing w:after="20"/>
            </w:pPr>
            <w:r>
              <w:rPr>
                <w:b/>
                <w:color w:val="1C3A36"/>
                <w:sz w:val="17"/>
              </w:rPr>
              <w:t>EBITDA by 2030 ($m)</w:t>
            </w:r>
          </w:p>
        </w:tc>
        <w:tc>
          <w:tcPr>
            <w:tcW w:type="dxa" w:w="3960"/>
          </w:tcPr>
          <w:p>
            <w:pPr>
              <w:spacing w:after="20"/>
              <w:jc w:val="right"/>
            </w:pPr>
            <w:r>
              <w:rPr>
                <w:color w:val="1C3A36"/>
                <w:sz w:val="17"/>
              </w:rPr>
              <w:t>1,024</w:t>
            </w:r>
          </w:p>
        </w:tc>
        <w:tc>
          <w:tcPr>
            <w:tcW w:type="dxa" w:w="3960"/>
          </w:tcPr>
          <w:p>
            <w:pPr>
              <w:spacing w:after="20"/>
              <w:jc w:val="right"/>
            </w:pPr>
            <w:r>
              <w:rPr>
                <w:color w:val="1C3A36"/>
                <w:sz w:val="17"/>
              </w:rPr>
              <w:t>1,385</w:t>
            </w:r>
          </w:p>
        </w:tc>
      </w:tr>
      <w:tr>
        <w:trPr>
          <w:cantSplit/>
        </w:trPr>
        <w:tc>
          <w:tcPr>
            <w:tcW w:type="dxa" w:w="2160"/>
          </w:tcPr>
          <w:p>
            <w:pPr>
              <w:spacing w:after="20"/>
            </w:pPr>
            <w:r>
              <w:rPr>
                <w:b/>
                <w:color w:val="1C3A36"/>
                <w:sz w:val="17"/>
              </w:rPr>
              <w:t>Enterprise value ($m)</w:t>
            </w:r>
          </w:p>
        </w:tc>
        <w:tc>
          <w:tcPr>
            <w:tcW w:type="dxa" w:w="3960"/>
          </w:tcPr>
          <w:p>
            <w:pPr>
              <w:spacing w:after="20"/>
              <w:jc w:val="right"/>
            </w:pPr>
            <w:r>
              <w:rPr>
                <w:color w:val="1C3A36"/>
                <w:sz w:val="17"/>
              </w:rPr>
              <w:t>6,136</w:t>
            </w:r>
          </w:p>
        </w:tc>
        <w:tc>
          <w:tcPr>
            <w:tcW w:type="dxa" w:w="3960"/>
          </w:tcPr>
          <w:p>
            <w:pPr>
              <w:spacing w:after="20"/>
              <w:jc w:val="right"/>
            </w:pPr>
            <w:r>
              <w:rPr>
                <w:color w:val="1C3A36"/>
                <w:sz w:val="17"/>
              </w:rPr>
              <w:t>8,799</w:t>
            </w:r>
          </w:p>
        </w:tc>
      </w:tr>
      <w:tr>
        <w:trPr>
          <w:cantSplit/>
        </w:trPr>
        <w:tc>
          <w:tcPr>
            <w:tcW w:type="dxa" w:w="2160"/>
          </w:tcPr>
          <w:p>
            <w:pPr>
              <w:spacing w:after="20"/>
            </w:pPr>
            <w:r>
              <w:rPr>
                <w:b/>
                <w:color w:val="1C3A36"/>
                <w:sz w:val="17"/>
              </w:rPr>
              <w:t>Terminal value share of enterprise value</w:t>
            </w:r>
          </w:p>
        </w:tc>
        <w:tc>
          <w:tcPr>
            <w:tcW w:type="dxa" w:w="3960"/>
          </w:tcPr>
          <w:p>
            <w:pPr>
              <w:spacing w:after="20"/>
              <w:jc w:val="right"/>
            </w:pPr>
            <w:r>
              <w:rPr>
                <w:color w:val="1C3A36"/>
                <w:sz w:val="17"/>
              </w:rPr>
              <w:t>56.3%</w:t>
            </w:r>
          </w:p>
        </w:tc>
        <w:tc>
          <w:tcPr>
            <w:tcW w:type="dxa" w:w="3960"/>
          </w:tcPr>
          <w:p>
            <w:pPr>
              <w:spacing w:after="20"/>
              <w:jc w:val="right"/>
            </w:pPr>
            <w:r>
              <w:rPr>
                <w:color w:val="1C3A36"/>
                <w:sz w:val="17"/>
              </w:rPr>
              <w:t>62.0%</w:t>
            </w:r>
          </w:p>
        </w:tc>
      </w:tr>
      <w:tr>
        <w:trPr>
          <w:cantSplit/>
        </w:trPr>
        <w:tc>
          <w:tcPr>
            <w:tcW w:type="dxa" w:w="2160"/>
            <w:shd w:val="clear" w:color="auto" w:fill="F6F1E6"/>
          </w:tcPr>
          <w:p>
            <w:pPr>
              <w:spacing w:after="20"/>
            </w:pPr>
            <w:r>
              <w:rPr>
                <w:b/>
                <w:color w:val="1C3A36"/>
                <w:sz w:val="17"/>
              </w:rPr>
              <w:t>Value (AED/share)</w:t>
            </w:r>
          </w:p>
        </w:tc>
        <w:tc>
          <w:tcPr>
            <w:tcW w:type="dxa" w:w="3960"/>
            <w:shd w:val="clear" w:color="auto" w:fill="F6F1E6"/>
          </w:tcPr>
          <w:p>
            <w:pPr>
              <w:spacing w:after="20"/>
              <w:jc w:val="right"/>
            </w:pPr>
            <w:r>
              <w:rPr>
                <w:b/>
                <w:color w:val="1C3A36"/>
                <w:sz w:val="17"/>
              </w:rPr>
              <w:t>1.81</w:t>
            </w:r>
          </w:p>
        </w:tc>
        <w:tc>
          <w:tcPr>
            <w:tcW w:type="dxa" w:w="3960"/>
            <w:shd w:val="clear" w:color="auto" w:fill="F6F1E6"/>
          </w:tcPr>
          <w:p>
            <w:pPr>
              <w:spacing w:after="20"/>
              <w:jc w:val="right"/>
            </w:pPr>
            <w:r>
              <w:rPr>
                <w:b/>
                <w:color w:val="1C3A36"/>
                <w:sz w:val="17"/>
              </w:rPr>
              <w:t>2.68</w:t>
            </w:r>
          </w:p>
        </w:tc>
      </w:tr>
    </w:tbl>
    <w:p>
      <w:pPr>
        <w:spacing w:after="40"/>
      </w:pPr>
    </w:p>
    <w:p>
      <w:pPr>
        <w:spacing w:after="200" w:before="0"/>
      </w:pPr>
      <w:r>
        <w:rPr>
          <w:b w:val="0"/>
          <w:i/>
          <w:color w:val="6E7B77"/>
          <w:sz w:val="17"/>
        </w:rPr>
        <w:t>The two framings are not a bull case and a bear case. They are two defensible readings of the same evidence, and the difference between them is the honest measure of what is not known.</w:t>
      </w:r>
    </w:p>
    <w:p>
      <w:pPr>
        <w:spacing w:after="40"/>
        <w:jc w:val="center"/>
      </w:pPr>
      <w:r>
        <w:drawing>
          <wp:inline xmlns:a="http://schemas.openxmlformats.org/drawingml/2006/main" xmlns:pic="http://schemas.openxmlformats.org/drawingml/2006/picture">
            <wp:extent cx="5852160" cy="4231562"/>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52160" cy="4231562"/>
                    </a:xfrm>
                    <a:prstGeom prst="rect"/>
                  </pic:spPr>
                </pic:pic>
              </a:graphicData>
            </a:graphic>
          </wp:inline>
        </w:drawing>
      </w:r>
    </w:p>
    <w:p>
      <w:pPr>
        <w:spacing w:after="200" w:before="0"/>
      </w:pPr>
      <w:r>
        <w:rPr>
          <w:b w:val="0"/>
          <w:i/>
          <w:color w:val="6E7B77"/>
          <w:sz w:val="17"/>
        </w:rPr>
        <w:t>Figure 1. The four valuation methods and the two price framings, against the market price.</w:t>
      </w:r>
    </w:p>
    <w:p>
      <w:pPr>
        <w:spacing w:after="120" w:before="280"/>
      </w:pPr>
      <w:r>
        <w:rPr>
          <w:b/>
          <w:i w:val="0"/>
          <w:color w:val="1C3A36"/>
          <w:sz w:val="30"/>
        </w:rPr>
        <w:t>Company overview</w:t>
      </w:r>
    </w:p>
    <w:p>
      <w:pPr>
        <w:spacing w:after="120" w:before="0"/>
      </w:pPr>
      <w:r>
        <w:rPr>
          <w:b w:val="0"/>
          <w:i w:val="0"/>
          <w:color w:val="1C3A36"/>
          <w:sz w:val="21"/>
        </w:rPr>
        <w:t>Fertiglobe plc produces and sells nitrogen-based fertilisers — ammonia and urea — from four plants across three countries, and markets both its own output and product bought from third parties. It is the largest nitrogen fertiliser producer in the Middle East and North Africa and describes itself as the world's largest seaborne exporter of urea and net ammonia combined. It listed on the Abu Dhabi Securities Exchange on 27 October 2021. Abu Dhabi National Oil Company completed its purchase of OCI N.V.'s entire holding in October 2024 and now owns 87.4%, leaving a free float of 12.6%.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016"/>
        <w:gridCol w:w="1296"/>
        <w:gridCol w:w="1656"/>
        <w:gridCol w:w="1656"/>
      </w:tblGrid>
      <w:tr>
        <w:trPr>
          <w:cantSplit/>
          <w:tblHeader/>
        </w:trPr>
        <w:tc>
          <w:tcPr>
            <w:tcW w:type="dxa" w:w="3456"/>
            <w:shd w:val="clear" w:color="auto" w:fill="EAF0EE"/>
          </w:tcPr>
          <w:p>
            <w:pPr>
              <w:spacing w:after="20"/>
            </w:pPr>
            <w:r>
              <w:rPr>
                <w:b/>
                <w:color w:val="1C3A36"/>
                <w:sz w:val="18"/>
              </w:rPr>
              <w:t>Plant</w:t>
            </w:r>
          </w:p>
        </w:tc>
        <w:tc>
          <w:tcPr>
            <w:tcW w:type="dxa" w:w="2016"/>
            <w:shd w:val="clear" w:color="auto" w:fill="EAF0EE"/>
          </w:tcPr>
          <w:p>
            <w:pPr>
              <w:spacing w:after="20"/>
            </w:pPr>
            <w:r>
              <w:rPr>
                <w:b/>
                <w:color w:val="1C3A36"/>
                <w:sz w:val="18"/>
              </w:rPr>
              <w:t>Country</w:t>
            </w:r>
          </w:p>
        </w:tc>
        <w:tc>
          <w:tcPr>
            <w:tcW w:type="dxa" w:w="1296"/>
            <w:shd w:val="clear" w:color="auto" w:fill="EAF0EE"/>
          </w:tcPr>
          <w:p>
            <w:pPr>
              <w:spacing w:after="20"/>
            </w:pPr>
            <w:r>
              <w:rPr>
                <w:b/>
                <w:color w:val="1C3A36"/>
                <w:sz w:val="18"/>
              </w:rPr>
              <w:t>Ownership</w:t>
            </w:r>
          </w:p>
        </w:tc>
        <w:tc>
          <w:tcPr>
            <w:tcW w:type="dxa" w:w="1656"/>
            <w:shd w:val="clear" w:color="auto" w:fill="EAF0EE"/>
          </w:tcPr>
          <w:p>
            <w:pPr>
              <w:spacing w:after="20"/>
            </w:pPr>
            <w:r>
              <w:rPr>
                <w:b/>
                <w:color w:val="1C3A36"/>
                <w:sz w:val="18"/>
              </w:rPr>
              <w:t>Urea capacity (Mt)</w:t>
            </w:r>
          </w:p>
        </w:tc>
        <w:tc>
          <w:tcPr>
            <w:tcW w:type="dxa" w:w="1656"/>
            <w:shd w:val="clear" w:color="auto" w:fill="EAF0EE"/>
          </w:tcPr>
          <w:p>
            <w:pPr>
              <w:spacing w:after="20"/>
            </w:pPr>
            <w:r>
              <w:rPr>
                <w:b/>
                <w:color w:val="1C3A36"/>
                <w:sz w:val="18"/>
              </w:rPr>
              <w:t>Ammonia capacity (Mt)</w:t>
            </w:r>
          </w:p>
        </w:tc>
      </w:tr>
      <w:tr>
        <w:trPr>
          <w:cantSplit/>
        </w:trPr>
        <w:tc>
          <w:tcPr>
            <w:tcW w:type="dxa" w:w="3456"/>
          </w:tcPr>
          <w:p>
            <w:pPr>
              <w:spacing w:after="20"/>
            </w:pPr>
            <w:r>
              <w:rPr>
                <w:b/>
                <w:color w:val="1C3A36"/>
                <w:sz w:val="18"/>
              </w:rPr>
              <w:t>Egyptian Fertilizers Company</w:t>
            </w:r>
          </w:p>
        </w:tc>
        <w:tc>
          <w:tcPr>
            <w:tcW w:type="dxa" w:w="2016"/>
          </w:tcPr>
          <w:p>
            <w:pPr>
              <w:spacing w:after="20"/>
            </w:pPr>
            <w:r>
              <w:rPr>
                <w:color w:val="1C3A36"/>
                <w:sz w:val="18"/>
              </w:rPr>
              <w:t>Egypt</w:t>
            </w:r>
          </w:p>
        </w:tc>
        <w:tc>
          <w:tcPr>
            <w:tcW w:type="dxa" w:w="1296"/>
          </w:tcPr>
          <w:p>
            <w:pPr>
              <w:spacing w:after="20"/>
              <w:jc w:val="right"/>
            </w:pPr>
            <w:r>
              <w:rPr>
                <w:color w:val="1C3A36"/>
                <w:sz w:val="18"/>
              </w:rPr>
              <w:t>100%</w:t>
            </w:r>
          </w:p>
        </w:tc>
        <w:tc>
          <w:tcPr>
            <w:tcW w:type="dxa" w:w="1656"/>
          </w:tcPr>
          <w:p>
            <w:pPr>
              <w:spacing w:after="20"/>
              <w:jc w:val="right"/>
            </w:pPr>
            <w:r>
              <w:rPr>
                <w:color w:val="1C3A36"/>
                <w:sz w:val="18"/>
              </w:rPr>
              <w:t>1.4</w:t>
            </w:r>
          </w:p>
        </w:tc>
        <w:tc>
          <w:tcPr>
            <w:tcW w:type="dxa" w:w="1656"/>
          </w:tcPr>
          <w:p>
            <w:pPr>
              <w:spacing w:after="20"/>
              <w:jc w:val="right"/>
            </w:pPr>
            <w:r>
              <w:rPr>
                <w:color w:val="1C3A36"/>
                <w:sz w:val="18"/>
              </w:rPr>
              <w:t>0.4</w:t>
            </w:r>
          </w:p>
        </w:tc>
      </w:tr>
      <w:tr>
        <w:trPr>
          <w:cantSplit/>
        </w:trPr>
        <w:tc>
          <w:tcPr>
            <w:tcW w:type="dxa" w:w="3456"/>
          </w:tcPr>
          <w:p>
            <w:pPr>
              <w:spacing w:after="20"/>
            </w:pPr>
            <w:r>
              <w:rPr>
                <w:b/>
                <w:color w:val="1C3A36"/>
                <w:sz w:val="18"/>
              </w:rPr>
              <w:t>Egypt Basic Industries Corporation</w:t>
            </w:r>
          </w:p>
        </w:tc>
        <w:tc>
          <w:tcPr>
            <w:tcW w:type="dxa" w:w="2016"/>
          </w:tcPr>
          <w:p>
            <w:pPr>
              <w:spacing w:after="20"/>
            </w:pPr>
            <w:r>
              <w:rPr>
                <w:color w:val="1C3A36"/>
                <w:sz w:val="18"/>
              </w:rPr>
              <w:t>Egypt</w:t>
            </w:r>
          </w:p>
        </w:tc>
        <w:tc>
          <w:tcPr>
            <w:tcW w:type="dxa" w:w="1296"/>
          </w:tcPr>
          <w:p>
            <w:pPr>
              <w:spacing w:after="20"/>
              <w:jc w:val="right"/>
            </w:pPr>
            <w:r>
              <w:rPr>
                <w:color w:val="1C3A36"/>
                <w:sz w:val="18"/>
              </w:rPr>
              <w:t>75%</w:t>
            </w:r>
          </w:p>
        </w:tc>
        <w:tc>
          <w:tcPr>
            <w:tcW w:type="dxa" w:w="1656"/>
          </w:tcPr>
          <w:p>
            <w:pPr>
              <w:spacing w:after="20"/>
              <w:jc w:val="right"/>
            </w:pPr>
            <w:r>
              <w:rPr>
                <w:color w:val="1C3A36"/>
                <w:sz w:val="18"/>
              </w:rPr>
              <w:t>—</w:t>
            </w:r>
          </w:p>
        </w:tc>
        <w:tc>
          <w:tcPr>
            <w:tcW w:type="dxa" w:w="1656"/>
          </w:tcPr>
          <w:p>
            <w:pPr>
              <w:spacing w:after="20"/>
              <w:jc w:val="right"/>
            </w:pPr>
            <w:r>
              <w:rPr>
                <w:color w:val="1C3A36"/>
                <w:sz w:val="18"/>
              </w:rPr>
              <w:t>0.7</w:t>
            </w:r>
          </w:p>
        </w:tc>
      </w:tr>
      <w:tr>
        <w:trPr>
          <w:cantSplit/>
        </w:trPr>
        <w:tc>
          <w:tcPr>
            <w:tcW w:type="dxa" w:w="3456"/>
          </w:tcPr>
          <w:p>
            <w:pPr>
              <w:spacing w:after="20"/>
            </w:pPr>
            <w:r>
              <w:rPr>
                <w:b/>
                <w:color w:val="1C3A36"/>
                <w:sz w:val="18"/>
              </w:rPr>
              <w:t>Sorfert Algérie</w:t>
            </w:r>
          </w:p>
        </w:tc>
        <w:tc>
          <w:tcPr>
            <w:tcW w:type="dxa" w:w="2016"/>
          </w:tcPr>
          <w:p>
            <w:pPr>
              <w:spacing w:after="20"/>
            </w:pPr>
            <w:r>
              <w:rPr>
                <w:color w:val="1C3A36"/>
                <w:sz w:val="18"/>
              </w:rPr>
              <w:t>Algeria</w:t>
            </w:r>
          </w:p>
        </w:tc>
        <w:tc>
          <w:tcPr>
            <w:tcW w:type="dxa" w:w="1296"/>
          </w:tcPr>
          <w:p>
            <w:pPr>
              <w:spacing w:after="20"/>
              <w:jc w:val="right"/>
            </w:pPr>
            <w:r>
              <w:rPr>
                <w:color w:val="1C3A36"/>
                <w:sz w:val="18"/>
              </w:rPr>
              <w:t>51%</w:t>
            </w:r>
          </w:p>
        </w:tc>
        <w:tc>
          <w:tcPr>
            <w:tcW w:type="dxa" w:w="1656"/>
          </w:tcPr>
          <w:p>
            <w:pPr>
              <w:spacing w:after="20"/>
              <w:jc w:val="right"/>
            </w:pPr>
            <w:r>
              <w:rPr>
                <w:color w:val="1C3A36"/>
                <w:sz w:val="18"/>
              </w:rPr>
              <w:t>1.3</w:t>
            </w:r>
          </w:p>
        </w:tc>
        <w:tc>
          <w:tcPr>
            <w:tcW w:type="dxa" w:w="1656"/>
          </w:tcPr>
          <w:p>
            <w:pPr>
              <w:spacing w:after="20"/>
              <w:jc w:val="right"/>
            </w:pPr>
            <w:r>
              <w:rPr>
                <w:color w:val="1C3A36"/>
                <w:sz w:val="18"/>
              </w:rPr>
              <w:t>0.8</w:t>
            </w:r>
          </w:p>
        </w:tc>
      </w:tr>
      <w:tr>
        <w:trPr>
          <w:cantSplit/>
        </w:trPr>
        <w:tc>
          <w:tcPr>
            <w:tcW w:type="dxa" w:w="3456"/>
          </w:tcPr>
          <w:p>
            <w:pPr>
              <w:spacing w:after="20"/>
            </w:pPr>
            <w:r>
              <w:rPr>
                <w:b/>
                <w:color w:val="1C3A36"/>
                <w:sz w:val="18"/>
              </w:rPr>
              <w:t>Ruwais Fertilizer Industries</w:t>
            </w:r>
          </w:p>
        </w:tc>
        <w:tc>
          <w:tcPr>
            <w:tcW w:type="dxa" w:w="2016"/>
          </w:tcPr>
          <w:p>
            <w:pPr>
              <w:spacing w:after="20"/>
            </w:pPr>
            <w:r>
              <w:rPr>
                <w:color w:val="1C3A36"/>
                <w:sz w:val="18"/>
              </w:rPr>
              <w:t>United Arab Emirates</w:t>
            </w:r>
          </w:p>
        </w:tc>
        <w:tc>
          <w:tcPr>
            <w:tcW w:type="dxa" w:w="1296"/>
          </w:tcPr>
          <w:p>
            <w:pPr>
              <w:spacing w:after="20"/>
              <w:jc w:val="right"/>
            </w:pPr>
            <w:r>
              <w:rPr>
                <w:color w:val="1C3A36"/>
                <w:sz w:val="18"/>
              </w:rPr>
              <w:t>100%</w:t>
            </w:r>
          </w:p>
        </w:tc>
        <w:tc>
          <w:tcPr>
            <w:tcW w:type="dxa" w:w="1656"/>
          </w:tcPr>
          <w:p>
            <w:pPr>
              <w:spacing w:after="20"/>
              <w:jc w:val="right"/>
            </w:pPr>
            <w:r>
              <w:rPr>
                <w:color w:val="1C3A36"/>
                <w:sz w:val="18"/>
              </w:rPr>
              <w:t>2.1</w:t>
            </w:r>
          </w:p>
        </w:tc>
        <w:tc>
          <w:tcPr>
            <w:tcW w:type="dxa" w:w="1656"/>
          </w:tcPr>
          <w:p>
            <w:pPr>
              <w:spacing w:after="20"/>
              <w:jc w:val="right"/>
            </w:pPr>
            <w:r>
              <w:rPr>
                <w:color w:val="1C3A36"/>
                <w:sz w:val="18"/>
              </w:rPr>
              <w:t>0.1</w:t>
            </w:r>
          </w:p>
        </w:tc>
      </w:tr>
    </w:tbl>
    <w:p>
      <w:pPr>
        <w:spacing w:after="40"/>
      </w:pPr>
    </w:p>
    <w:p>
      <w:pPr>
        <w:spacing w:after="200" w:before="0"/>
      </w:pPr>
      <w:r>
        <w:rPr>
          <w:b w:val="0"/>
          <w:i/>
          <w:color w:val="6E7B77"/>
          <w:sz w:val="17"/>
        </w:rPr>
        <w:t>Plant footprint. Group merchant capacity is 5.1 million tonnes of urea and 1.5 million tonnes of merchant ammonia, the ammonia figure being net of what is consumed internally to make urea.</w:t>
      </w:r>
    </w:p>
    <w:p>
      <w:pPr>
        <w:spacing w:after="80" w:before="200"/>
      </w:pPr>
      <w:r>
        <w:rPr>
          <w:b/>
          <w:i w:val="0"/>
          <w:color w:val="1C3A36"/>
          <w:sz w:val="24"/>
        </w:rPr>
        <w:t>Why this is valued as an operating company</w:t>
      </w:r>
    </w:p>
    <w:p>
      <w:pPr>
        <w:spacing w:after="120" w:before="0"/>
      </w:pPr>
      <w:r>
        <w:rPr>
          <w:b w:val="0"/>
          <w:i w:val="0"/>
          <w:color w:val="1C3A36"/>
          <w:sz w:val="21"/>
        </w:rPr>
        <w:t>The classification matters more than any other single decision in a study, because it determines which method is used, and a wrong classification invalidates everything downstream. Three facts from the filings settle it here.</w:t>
      </w:r>
    </w:p>
    <w:p>
      <w:pPr>
        <w:pStyle w:val="ListBullet"/>
        <w:spacing w:after="60"/>
      </w:pPr>
      <w:r>
        <w:rPr>
          <w:b/>
          <w:color w:val="1C3A36"/>
          <w:sz w:val="21"/>
        </w:rPr>
        <w:t xml:space="preserve">All revenue comes from </w:t>
      </w:r>
      <w:r>
        <w:rPr>
          <w:color w:val="1C3A36"/>
          <w:sz w:val="21"/>
        </w:rPr>
        <w:t>the sale of nitrogen products. The FY2025 segment note states the group has "one revenue stream from contracts with customers which is the sales of Fertilizers products (Ammonia and Urea)". There is no lending book, no rental stream and no development pipeline.</w:t>
      </w:r>
    </w:p>
    <w:p>
      <w:pPr>
        <w:pStyle w:val="ListBullet"/>
        <w:spacing w:after="60"/>
      </w:pPr>
      <w:r>
        <w:rPr>
          <w:color w:val="1C3A36"/>
          <w:sz w:val="21"/>
        </w:rPr>
        <w:t>The two reportable segments are production and marketing of own-produced volumes, which earned 2,332 million of revenue in 2025 at a 45.4% EBITDA margin, and third-party trading, which earned 495 million at 3.8%. The second is a working-capital business attached to the first, not a separate enterprise needing its own method.</w:t>
      </w:r>
    </w:p>
    <w:p>
      <w:pPr>
        <w:pStyle w:val="ListBullet"/>
        <w:spacing w:after="60"/>
      </w:pPr>
      <w:r>
        <w:rPr>
          <w:color w:val="1C3A36"/>
          <w:sz w:val="21"/>
        </w:rPr>
        <w:t>The balance sheet is plant. Property, plant and equipment of 2,499 million out of 4,950 million of total assets, with no investment property and no portfolio of equity stakes. The subsidiaries are consolidated operating plants, not holdings — which is what distinguishes this from a holding company.</w:t>
      </w:r>
    </w:p>
    <w:p>
      <w:pPr>
        <w:spacing w:after="120" w:before="80"/>
      </w:pPr>
      <w:r>
        <w:rPr>
          <w:b w:val="0"/>
          <w:i w:val="0"/>
          <w:color w:val="1C3A36"/>
          <w:sz w:val="21"/>
        </w:rPr>
        <w:t>The company is therefore valued on free cash flow to the firm, cross-checked by multiples, by normalised earnings power and by book value. It does not straddle two classes, so the legs are not split.</w:t>
      </w:r>
    </w:p>
    <w:p>
      <w:pPr>
        <w:spacing w:after="120" w:before="280"/>
      </w:pPr>
      <w:r>
        <w:rPr>
          <w:b/>
          <w:i w:val="0"/>
          <w:color w:val="1C3A36"/>
          <w:sz w:val="30"/>
        </w:rPr>
        <w:t>1. Fundamental valuation</w:t>
      </w:r>
    </w:p>
    <w:p>
      <w:pPr>
        <w:spacing w:after="80" w:before="200"/>
      </w:pPr>
      <w:r>
        <w:rPr>
          <w:b/>
          <w:i w:val="0"/>
          <w:color w:val="1C3A36"/>
          <w:sz w:val="24"/>
        </w:rPr>
        <w:t>1.1  Cash-flow model</w:t>
      </w:r>
    </w:p>
    <w:p>
      <w:pPr>
        <w:spacing w:after="120" w:before="0"/>
      </w:pPr>
      <w:r>
        <w:rPr>
          <w:b w:val="0"/>
          <w:i w:val="0"/>
          <w:color w:val="1C3A36"/>
          <w:sz w:val="21"/>
        </w:rPr>
        <w:t>The model runs five forecast years against three years of history. Volumes come from installed capacity times utilisation; prices from published benchmarks times a measured realisation ratio; costs from a pass-through relationship calibrated against the company's own disclosed segment economics. The 2026 forecast year is not modelled in full — the first half is already reported, and is carried as reported, with only the second half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354"/>
        <w:gridCol w:w="1354"/>
        <w:gridCol w:w="1354"/>
        <w:gridCol w:w="1354"/>
        <w:gridCol w:w="1354"/>
      </w:tblGrid>
      <w:tr>
        <w:trPr>
          <w:cantSplit/>
          <w:tblHeader/>
        </w:trPr>
        <w:tc>
          <w:tcPr>
            <w:tcW w:type="dxa" w:w="3312"/>
            <w:shd w:val="clear" w:color="auto" w:fill="EAF0EE"/>
          </w:tcPr>
          <w:p>
            <w:pPr>
              <w:spacing w:after="20"/>
            </w:pPr>
            <w:r>
              <w:rPr>
                <w:b/>
                <w:color w:val="1C3A36"/>
                <w:sz w:val="17"/>
              </w:rPr>
              <w:t>US$ million</w:t>
            </w:r>
          </w:p>
        </w:tc>
        <w:tc>
          <w:tcPr>
            <w:tcW w:type="dxa" w:w="1354"/>
            <w:shd w:val="clear" w:color="auto" w:fill="EAF0EE"/>
          </w:tcPr>
          <w:p>
            <w:pPr>
              <w:spacing w:after="20"/>
            </w:pPr>
            <w:r>
              <w:rPr>
                <w:b/>
                <w:color w:val="1C3A36"/>
                <w:sz w:val="17"/>
              </w:rPr>
              <w:t>2026</w:t>
            </w:r>
          </w:p>
        </w:tc>
        <w:tc>
          <w:tcPr>
            <w:tcW w:type="dxa" w:w="1354"/>
            <w:shd w:val="clear" w:color="auto" w:fill="EAF0EE"/>
          </w:tcPr>
          <w:p>
            <w:pPr>
              <w:spacing w:after="20"/>
            </w:pPr>
            <w:r>
              <w:rPr>
                <w:b/>
                <w:color w:val="1C3A36"/>
                <w:sz w:val="17"/>
              </w:rPr>
              <w:t>2027</w:t>
            </w:r>
          </w:p>
        </w:tc>
        <w:tc>
          <w:tcPr>
            <w:tcW w:type="dxa" w:w="1354"/>
            <w:shd w:val="clear" w:color="auto" w:fill="EAF0EE"/>
          </w:tcPr>
          <w:p>
            <w:pPr>
              <w:spacing w:after="20"/>
            </w:pPr>
            <w:r>
              <w:rPr>
                <w:b/>
                <w:color w:val="1C3A36"/>
                <w:sz w:val="17"/>
              </w:rPr>
              <w:t>2028</w:t>
            </w:r>
          </w:p>
        </w:tc>
        <w:tc>
          <w:tcPr>
            <w:tcW w:type="dxa" w:w="1354"/>
            <w:shd w:val="clear" w:color="auto" w:fill="EAF0EE"/>
          </w:tcPr>
          <w:p>
            <w:pPr>
              <w:spacing w:after="20"/>
            </w:pPr>
            <w:r>
              <w:rPr>
                <w:b/>
                <w:color w:val="1C3A36"/>
                <w:sz w:val="17"/>
              </w:rPr>
              <w:t>2029</w:t>
            </w:r>
          </w:p>
        </w:tc>
        <w:tc>
          <w:tcPr>
            <w:tcW w:type="dxa" w:w="1354"/>
            <w:shd w:val="clear" w:color="auto" w:fill="EAF0EE"/>
          </w:tcPr>
          <w:p>
            <w:pPr>
              <w:spacing w:after="20"/>
            </w:pPr>
            <w:r>
              <w:rPr>
                <w:b/>
                <w:color w:val="1C3A36"/>
                <w:sz w:val="17"/>
              </w:rPr>
              <w:t>2030</w:t>
            </w:r>
          </w:p>
        </w:tc>
      </w:tr>
      <w:tr>
        <w:trPr>
          <w:cantSplit/>
        </w:trPr>
        <w:tc>
          <w:tcPr>
            <w:tcW w:type="dxa" w:w="3312"/>
          </w:tcPr>
          <w:p>
            <w:pPr>
              <w:spacing w:after="20"/>
            </w:pPr>
            <w:r>
              <w:rPr>
                <w:b/>
                <w:color w:val="1C3A36"/>
                <w:sz w:val="17"/>
              </w:rPr>
              <w:t>Revenue</w:t>
            </w:r>
          </w:p>
        </w:tc>
        <w:tc>
          <w:tcPr>
            <w:tcW w:type="dxa" w:w="1354"/>
          </w:tcPr>
          <w:p>
            <w:pPr>
              <w:spacing w:after="20"/>
              <w:jc w:val="right"/>
            </w:pPr>
            <w:r>
              <w:rPr>
                <w:color w:val="1C3A36"/>
                <w:sz w:val="17"/>
              </w:rPr>
              <w:t>3,770</w:t>
            </w:r>
          </w:p>
        </w:tc>
        <w:tc>
          <w:tcPr>
            <w:tcW w:type="dxa" w:w="1354"/>
          </w:tcPr>
          <w:p>
            <w:pPr>
              <w:spacing w:after="20"/>
              <w:jc w:val="right"/>
            </w:pPr>
            <w:r>
              <w:rPr>
                <w:color w:val="1C3A36"/>
                <w:sz w:val="17"/>
              </w:rPr>
              <w:t>3,267</w:t>
            </w:r>
          </w:p>
        </w:tc>
        <w:tc>
          <w:tcPr>
            <w:tcW w:type="dxa" w:w="1354"/>
          </w:tcPr>
          <w:p>
            <w:pPr>
              <w:spacing w:after="20"/>
              <w:jc w:val="right"/>
            </w:pPr>
            <w:r>
              <w:rPr>
                <w:color w:val="1C3A36"/>
                <w:sz w:val="17"/>
              </w:rPr>
              <w:t>3,095</w:t>
            </w:r>
          </w:p>
        </w:tc>
        <w:tc>
          <w:tcPr>
            <w:tcW w:type="dxa" w:w="1354"/>
          </w:tcPr>
          <w:p>
            <w:pPr>
              <w:spacing w:after="20"/>
              <w:jc w:val="right"/>
            </w:pPr>
            <w:r>
              <w:rPr>
                <w:color w:val="1C3A36"/>
                <w:sz w:val="17"/>
              </w:rPr>
              <w:t>3,121</w:t>
            </w:r>
          </w:p>
        </w:tc>
        <w:tc>
          <w:tcPr>
            <w:tcW w:type="dxa" w:w="1354"/>
          </w:tcPr>
          <w:p>
            <w:pPr>
              <w:spacing w:after="20"/>
              <w:jc w:val="right"/>
            </w:pPr>
            <w:r>
              <w:rPr>
                <w:color w:val="1C3A36"/>
                <w:sz w:val="17"/>
              </w:rPr>
              <w:t>3,164</w:t>
            </w:r>
          </w:p>
        </w:tc>
      </w:tr>
      <w:tr>
        <w:trPr>
          <w:cantSplit/>
        </w:trPr>
        <w:tc>
          <w:tcPr>
            <w:tcW w:type="dxa" w:w="3312"/>
          </w:tcPr>
          <w:p>
            <w:pPr>
              <w:spacing w:after="20"/>
            </w:pPr>
            <w:r>
              <w:rPr>
                <w:b/>
                <w:color w:val="1C3A36"/>
                <w:sz w:val="17"/>
              </w:rPr>
              <w:t>EBITDA</w:t>
            </w:r>
          </w:p>
        </w:tc>
        <w:tc>
          <w:tcPr>
            <w:tcW w:type="dxa" w:w="1354"/>
          </w:tcPr>
          <w:p>
            <w:pPr>
              <w:spacing w:after="20"/>
              <w:jc w:val="right"/>
            </w:pPr>
            <w:r>
              <w:rPr>
                <w:color w:val="1C3A36"/>
                <w:sz w:val="17"/>
              </w:rPr>
              <w:t>1,334</w:t>
            </w:r>
          </w:p>
        </w:tc>
        <w:tc>
          <w:tcPr>
            <w:tcW w:type="dxa" w:w="1354"/>
          </w:tcPr>
          <w:p>
            <w:pPr>
              <w:spacing w:after="20"/>
              <w:jc w:val="right"/>
            </w:pPr>
            <w:r>
              <w:rPr>
                <w:color w:val="1C3A36"/>
                <w:sz w:val="17"/>
              </w:rPr>
              <w:t>1,105</w:t>
            </w:r>
          </w:p>
        </w:tc>
        <w:tc>
          <w:tcPr>
            <w:tcW w:type="dxa" w:w="1354"/>
          </w:tcPr>
          <w:p>
            <w:pPr>
              <w:spacing w:after="20"/>
              <w:jc w:val="right"/>
            </w:pPr>
            <w:r>
              <w:rPr>
                <w:color w:val="1C3A36"/>
                <w:sz w:val="17"/>
              </w:rPr>
              <w:t>1,017</w:t>
            </w:r>
          </w:p>
        </w:tc>
        <w:tc>
          <w:tcPr>
            <w:tcW w:type="dxa" w:w="1354"/>
          </w:tcPr>
          <w:p>
            <w:pPr>
              <w:spacing w:after="20"/>
              <w:jc w:val="right"/>
            </w:pPr>
            <w:r>
              <w:rPr>
                <w:color w:val="1C3A36"/>
                <w:sz w:val="17"/>
              </w:rPr>
              <w:t>1,016</w:t>
            </w:r>
          </w:p>
        </w:tc>
        <w:tc>
          <w:tcPr>
            <w:tcW w:type="dxa" w:w="1354"/>
          </w:tcPr>
          <w:p>
            <w:pPr>
              <w:spacing w:after="20"/>
              <w:jc w:val="right"/>
            </w:pPr>
            <w:r>
              <w:rPr>
                <w:color w:val="1C3A36"/>
                <w:sz w:val="17"/>
              </w:rPr>
              <w:t>1,024</w:t>
            </w:r>
          </w:p>
        </w:tc>
      </w:tr>
      <w:tr>
        <w:trPr>
          <w:cantSplit/>
        </w:trPr>
        <w:tc>
          <w:tcPr>
            <w:tcW w:type="dxa" w:w="3312"/>
          </w:tcPr>
          <w:p>
            <w:pPr>
              <w:spacing w:after="20"/>
            </w:pPr>
            <w:r>
              <w:rPr>
                <w:b/>
                <w:color w:val="1C3A36"/>
                <w:sz w:val="17"/>
              </w:rPr>
              <w:t>Depreciation and amortisation</w:t>
            </w:r>
          </w:p>
        </w:tc>
        <w:tc>
          <w:tcPr>
            <w:tcW w:type="dxa" w:w="1354"/>
          </w:tcPr>
          <w:p>
            <w:pPr>
              <w:spacing w:after="20"/>
              <w:jc w:val="right"/>
            </w:pPr>
            <w:r>
              <w:rPr>
                <w:color w:val="1C3A36"/>
                <w:sz w:val="17"/>
              </w:rPr>
              <w:t>305</w:t>
            </w:r>
          </w:p>
        </w:tc>
        <w:tc>
          <w:tcPr>
            <w:tcW w:type="dxa" w:w="1354"/>
          </w:tcPr>
          <w:p>
            <w:pPr>
              <w:spacing w:after="20"/>
              <w:jc w:val="right"/>
            </w:pPr>
            <w:r>
              <w:rPr>
                <w:color w:val="1C3A36"/>
                <w:sz w:val="17"/>
              </w:rPr>
              <w:t>315</w:t>
            </w:r>
          </w:p>
        </w:tc>
        <w:tc>
          <w:tcPr>
            <w:tcW w:type="dxa" w:w="1354"/>
          </w:tcPr>
          <w:p>
            <w:pPr>
              <w:spacing w:after="20"/>
              <w:jc w:val="right"/>
            </w:pPr>
            <w:r>
              <w:rPr>
                <w:color w:val="1C3A36"/>
                <w:sz w:val="17"/>
              </w:rPr>
              <w:t>325</w:t>
            </w:r>
          </w:p>
        </w:tc>
        <w:tc>
          <w:tcPr>
            <w:tcW w:type="dxa" w:w="1354"/>
          </w:tcPr>
          <w:p>
            <w:pPr>
              <w:spacing w:after="20"/>
              <w:jc w:val="right"/>
            </w:pPr>
            <w:r>
              <w:rPr>
                <w:color w:val="1C3A36"/>
                <w:sz w:val="17"/>
              </w:rPr>
              <w:t>333</w:t>
            </w:r>
          </w:p>
        </w:tc>
        <w:tc>
          <w:tcPr>
            <w:tcW w:type="dxa" w:w="1354"/>
          </w:tcPr>
          <w:p>
            <w:pPr>
              <w:spacing w:after="20"/>
              <w:jc w:val="right"/>
            </w:pPr>
            <w:r>
              <w:rPr>
                <w:color w:val="1C3A36"/>
                <w:sz w:val="17"/>
              </w:rPr>
              <w:t>340</w:t>
            </w:r>
          </w:p>
        </w:tc>
      </w:tr>
      <w:tr>
        <w:trPr>
          <w:cantSplit/>
        </w:trPr>
        <w:tc>
          <w:tcPr>
            <w:tcW w:type="dxa" w:w="3312"/>
          </w:tcPr>
          <w:p>
            <w:pPr>
              <w:spacing w:after="20"/>
            </w:pPr>
            <w:r>
              <w:rPr>
                <w:b/>
                <w:color w:val="1C3A36"/>
                <w:sz w:val="17"/>
              </w:rPr>
              <w:t>EBIT</w:t>
            </w:r>
          </w:p>
        </w:tc>
        <w:tc>
          <w:tcPr>
            <w:tcW w:type="dxa" w:w="1354"/>
          </w:tcPr>
          <w:p>
            <w:pPr>
              <w:spacing w:after="20"/>
              <w:jc w:val="right"/>
            </w:pPr>
            <w:r>
              <w:rPr>
                <w:color w:val="1C3A36"/>
                <w:sz w:val="17"/>
              </w:rPr>
              <w:t>1,029</w:t>
            </w:r>
          </w:p>
        </w:tc>
        <w:tc>
          <w:tcPr>
            <w:tcW w:type="dxa" w:w="1354"/>
          </w:tcPr>
          <w:p>
            <w:pPr>
              <w:spacing w:after="20"/>
              <w:jc w:val="right"/>
            </w:pPr>
            <w:r>
              <w:rPr>
                <w:color w:val="1C3A36"/>
                <w:sz w:val="17"/>
              </w:rPr>
              <w:t>790</w:t>
            </w:r>
          </w:p>
        </w:tc>
        <w:tc>
          <w:tcPr>
            <w:tcW w:type="dxa" w:w="1354"/>
          </w:tcPr>
          <w:p>
            <w:pPr>
              <w:spacing w:after="20"/>
              <w:jc w:val="right"/>
            </w:pPr>
            <w:r>
              <w:rPr>
                <w:color w:val="1C3A36"/>
                <w:sz w:val="17"/>
              </w:rPr>
              <w:t>692</w:t>
            </w:r>
          </w:p>
        </w:tc>
        <w:tc>
          <w:tcPr>
            <w:tcW w:type="dxa" w:w="1354"/>
          </w:tcPr>
          <w:p>
            <w:pPr>
              <w:spacing w:after="20"/>
              <w:jc w:val="right"/>
            </w:pPr>
            <w:r>
              <w:rPr>
                <w:color w:val="1C3A36"/>
                <w:sz w:val="17"/>
              </w:rPr>
              <w:t>683</w:t>
            </w:r>
          </w:p>
        </w:tc>
        <w:tc>
          <w:tcPr>
            <w:tcW w:type="dxa" w:w="1354"/>
          </w:tcPr>
          <w:p>
            <w:pPr>
              <w:spacing w:after="20"/>
              <w:jc w:val="right"/>
            </w:pPr>
            <w:r>
              <w:rPr>
                <w:color w:val="1C3A36"/>
                <w:sz w:val="17"/>
              </w:rPr>
              <w:t>684</w:t>
            </w:r>
          </w:p>
        </w:tc>
      </w:tr>
      <w:tr>
        <w:trPr>
          <w:cantSplit/>
        </w:trPr>
        <w:tc>
          <w:tcPr>
            <w:tcW w:type="dxa" w:w="3312"/>
          </w:tcPr>
          <w:p>
            <w:pPr>
              <w:spacing w:after="20"/>
            </w:pPr>
            <w:r>
              <w:rPr>
                <w:b/>
                <w:color w:val="1C3A36"/>
                <w:sz w:val="17"/>
              </w:rPr>
              <w:t>EBITDA margin</w:t>
            </w:r>
          </w:p>
        </w:tc>
        <w:tc>
          <w:tcPr>
            <w:tcW w:type="dxa" w:w="1354"/>
          </w:tcPr>
          <w:p>
            <w:pPr>
              <w:spacing w:after="20"/>
              <w:jc w:val="right"/>
            </w:pPr>
            <w:r>
              <w:rPr>
                <w:color w:val="1C3A36"/>
                <w:sz w:val="17"/>
              </w:rPr>
              <w:t>35.4%</w:t>
            </w:r>
          </w:p>
        </w:tc>
        <w:tc>
          <w:tcPr>
            <w:tcW w:type="dxa" w:w="1354"/>
          </w:tcPr>
          <w:p>
            <w:pPr>
              <w:spacing w:after="20"/>
              <w:jc w:val="right"/>
            </w:pPr>
            <w:r>
              <w:rPr>
                <w:color w:val="1C3A36"/>
                <w:sz w:val="17"/>
              </w:rPr>
              <w:t>33.8%</w:t>
            </w:r>
          </w:p>
        </w:tc>
        <w:tc>
          <w:tcPr>
            <w:tcW w:type="dxa" w:w="1354"/>
          </w:tcPr>
          <w:p>
            <w:pPr>
              <w:spacing w:after="20"/>
              <w:jc w:val="right"/>
            </w:pPr>
            <w:r>
              <w:rPr>
                <w:color w:val="1C3A36"/>
                <w:sz w:val="17"/>
              </w:rPr>
              <w:t>32.8%</w:t>
            </w:r>
          </w:p>
        </w:tc>
        <w:tc>
          <w:tcPr>
            <w:tcW w:type="dxa" w:w="1354"/>
          </w:tcPr>
          <w:p>
            <w:pPr>
              <w:spacing w:after="20"/>
              <w:jc w:val="right"/>
            </w:pPr>
            <w:r>
              <w:rPr>
                <w:color w:val="1C3A36"/>
                <w:sz w:val="17"/>
              </w:rPr>
              <w:t>32.6%</w:t>
            </w:r>
          </w:p>
        </w:tc>
        <w:tc>
          <w:tcPr>
            <w:tcW w:type="dxa" w:w="1354"/>
          </w:tcPr>
          <w:p>
            <w:pPr>
              <w:spacing w:after="20"/>
              <w:jc w:val="right"/>
            </w:pPr>
            <w:r>
              <w:rPr>
                <w:color w:val="1C3A36"/>
                <w:sz w:val="17"/>
              </w:rPr>
              <w:t>32.4%</w:t>
            </w:r>
          </w:p>
        </w:tc>
      </w:tr>
      <w:tr>
        <w:trPr>
          <w:cantSplit/>
        </w:trPr>
        <w:tc>
          <w:tcPr>
            <w:tcW w:type="dxa" w:w="3312"/>
          </w:tcPr>
          <w:p>
            <w:pPr>
              <w:spacing w:after="20"/>
            </w:pPr>
            <w:r>
              <w:rPr>
                <w:b/>
                <w:color w:val="1C3A36"/>
                <w:sz w:val="17"/>
              </w:rPr>
              <w:t>Tax at 13.1%</w:t>
            </w:r>
          </w:p>
        </w:tc>
        <w:tc>
          <w:tcPr>
            <w:tcW w:type="dxa" w:w="1354"/>
          </w:tcPr>
          <w:p>
            <w:pPr>
              <w:spacing w:after="20"/>
              <w:jc w:val="right"/>
            </w:pPr>
            <w:r>
              <w:rPr>
                <w:color w:val="1C3A36"/>
                <w:sz w:val="17"/>
              </w:rPr>
              <w:t>135</w:t>
            </w:r>
          </w:p>
        </w:tc>
        <w:tc>
          <w:tcPr>
            <w:tcW w:type="dxa" w:w="1354"/>
          </w:tcPr>
          <w:p>
            <w:pPr>
              <w:spacing w:after="20"/>
              <w:jc w:val="right"/>
            </w:pPr>
            <w:r>
              <w:rPr>
                <w:color w:val="1C3A36"/>
                <w:sz w:val="17"/>
              </w:rPr>
              <w:t>104</w:t>
            </w:r>
          </w:p>
        </w:tc>
        <w:tc>
          <w:tcPr>
            <w:tcW w:type="dxa" w:w="1354"/>
          </w:tcPr>
          <w:p>
            <w:pPr>
              <w:spacing w:after="20"/>
              <w:jc w:val="right"/>
            </w:pPr>
            <w:r>
              <w:rPr>
                <w:color w:val="1C3A36"/>
                <w:sz w:val="17"/>
              </w:rPr>
              <w:t>91</w:t>
            </w:r>
          </w:p>
        </w:tc>
        <w:tc>
          <w:tcPr>
            <w:tcW w:type="dxa" w:w="1354"/>
          </w:tcPr>
          <w:p>
            <w:pPr>
              <w:spacing w:after="20"/>
              <w:jc w:val="right"/>
            </w:pPr>
            <w:r>
              <w:rPr>
                <w:color w:val="1C3A36"/>
                <w:sz w:val="17"/>
              </w:rPr>
              <w:t>90</w:t>
            </w:r>
          </w:p>
        </w:tc>
        <w:tc>
          <w:tcPr>
            <w:tcW w:type="dxa" w:w="1354"/>
          </w:tcPr>
          <w:p>
            <w:pPr>
              <w:spacing w:after="20"/>
              <w:jc w:val="right"/>
            </w:pPr>
            <w:r>
              <w:rPr>
                <w:color w:val="1C3A36"/>
                <w:sz w:val="17"/>
              </w:rPr>
              <w:t>90</w:t>
            </w:r>
          </w:p>
        </w:tc>
      </w:tr>
      <w:tr>
        <w:trPr>
          <w:cantSplit/>
        </w:trPr>
        <w:tc>
          <w:tcPr>
            <w:tcW w:type="dxa" w:w="3312"/>
            <w:shd w:val="clear" w:color="auto" w:fill="F6F1E6"/>
          </w:tcPr>
          <w:p>
            <w:pPr>
              <w:spacing w:after="20"/>
            </w:pPr>
            <w:r>
              <w:rPr>
                <w:b/>
                <w:color w:val="1C3A36"/>
                <w:sz w:val="17"/>
              </w:rPr>
              <w:t>NOPAT (EBIT after tax)</w:t>
            </w:r>
          </w:p>
        </w:tc>
        <w:tc>
          <w:tcPr>
            <w:tcW w:type="dxa" w:w="1354"/>
            <w:shd w:val="clear" w:color="auto" w:fill="F6F1E6"/>
          </w:tcPr>
          <w:p>
            <w:pPr>
              <w:spacing w:after="20"/>
              <w:jc w:val="right"/>
            </w:pPr>
            <w:r>
              <w:rPr>
                <w:b/>
                <w:color w:val="1C3A36"/>
                <w:sz w:val="17"/>
              </w:rPr>
              <w:t>894</w:t>
            </w:r>
          </w:p>
        </w:tc>
        <w:tc>
          <w:tcPr>
            <w:tcW w:type="dxa" w:w="1354"/>
            <w:shd w:val="clear" w:color="auto" w:fill="F6F1E6"/>
          </w:tcPr>
          <w:p>
            <w:pPr>
              <w:spacing w:after="20"/>
              <w:jc w:val="right"/>
            </w:pPr>
            <w:r>
              <w:rPr>
                <w:b/>
                <w:color w:val="1C3A36"/>
                <w:sz w:val="17"/>
              </w:rPr>
              <w:t>686</w:t>
            </w:r>
          </w:p>
        </w:tc>
        <w:tc>
          <w:tcPr>
            <w:tcW w:type="dxa" w:w="1354"/>
            <w:shd w:val="clear" w:color="auto" w:fill="F6F1E6"/>
          </w:tcPr>
          <w:p>
            <w:pPr>
              <w:spacing w:after="20"/>
              <w:jc w:val="right"/>
            </w:pPr>
            <w:r>
              <w:rPr>
                <w:b/>
                <w:color w:val="1C3A36"/>
                <w:sz w:val="17"/>
              </w:rPr>
              <w:t>601</w:t>
            </w:r>
          </w:p>
        </w:tc>
        <w:tc>
          <w:tcPr>
            <w:tcW w:type="dxa" w:w="1354"/>
            <w:shd w:val="clear" w:color="auto" w:fill="F6F1E6"/>
          </w:tcPr>
          <w:p>
            <w:pPr>
              <w:spacing w:after="20"/>
              <w:jc w:val="right"/>
            </w:pPr>
            <w:r>
              <w:rPr>
                <w:b/>
                <w:color w:val="1C3A36"/>
                <w:sz w:val="17"/>
              </w:rPr>
              <w:t>594</w:t>
            </w:r>
          </w:p>
        </w:tc>
        <w:tc>
          <w:tcPr>
            <w:tcW w:type="dxa" w:w="1354"/>
            <w:shd w:val="clear" w:color="auto" w:fill="F6F1E6"/>
          </w:tcPr>
          <w:p>
            <w:pPr>
              <w:spacing w:after="20"/>
              <w:jc w:val="right"/>
            </w:pPr>
            <w:r>
              <w:rPr>
                <w:b/>
                <w:color w:val="1C3A36"/>
                <w:sz w:val="17"/>
              </w:rPr>
              <w:t>594</w:t>
            </w:r>
          </w:p>
        </w:tc>
      </w:tr>
      <w:tr>
        <w:trPr>
          <w:cantSplit/>
        </w:trPr>
        <w:tc>
          <w:tcPr>
            <w:tcW w:type="dxa" w:w="3312"/>
          </w:tcPr>
          <w:p>
            <w:pPr>
              <w:spacing w:after="20"/>
            </w:pPr>
            <w:r>
              <w:rPr>
                <w:b/>
                <w:color w:val="1C3A36"/>
                <w:sz w:val="17"/>
              </w:rPr>
              <w:t>depreciation and amortisation added back</w:t>
            </w:r>
          </w:p>
        </w:tc>
        <w:tc>
          <w:tcPr>
            <w:tcW w:type="dxa" w:w="1354"/>
          </w:tcPr>
          <w:p>
            <w:pPr>
              <w:spacing w:after="20"/>
              <w:jc w:val="right"/>
            </w:pPr>
            <w:r>
              <w:rPr>
                <w:color w:val="1C3A36"/>
                <w:sz w:val="17"/>
              </w:rPr>
              <w:t>305</w:t>
            </w:r>
          </w:p>
        </w:tc>
        <w:tc>
          <w:tcPr>
            <w:tcW w:type="dxa" w:w="1354"/>
          </w:tcPr>
          <w:p>
            <w:pPr>
              <w:spacing w:after="20"/>
              <w:jc w:val="right"/>
            </w:pPr>
            <w:r>
              <w:rPr>
                <w:color w:val="1C3A36"/>
                <w:sz w:val="17"/>
              </w:rPr>
              <w:t>315</w:t>
            </w:r>
          </w:p>
        </w:tc>
        <w:tc>
          <w:tcPr>
            <w:tcW w:type="dxa" w:w="1354"/>
          </w:tcPr>
          <w:p>
            <w:pPr>
              <w:spacing w:after="20"/>
              <w:jc w:val="right"/>
            </w:pPr>
            <w:r>
              <w:rPr>
                <w:color w:val="1C3A36"/>
                <w:sz w:val="17"/>
              </w:rPr>
              <w:t>325</w:t>
            </w:r>
          </w:p>
        </w:tc>
        <w:tc>
          <w:tcPr>
            <w:tcW w:type="dxa" w:w="1354"/>
          </w:tcPr>
          <w:p>
            <w:pPr>
              <w:spacing w:after="20"/>
              <w:jc w:val="right"/>
            </w:pPr>
            <w:r>
              <w:rPr>
                <w:color w:val="1C3A36"/>
                <w:sz w:val="17"/>
              </w:rPr>
              <w:t>333</w:t>
            </w:r>
          </w:p>
        </w:tc>
        <w:tc>
          <w:tcPr>
            <w:tcW w:type="dxa" w:w="1354"/>
          </w:tcPr>
          <w:p>
            <w:pPr>
              <w:spacing w:after="20"/>
              <w:jc w:val="right"/>
            </w:pPr>
            <w:r>
              <w:rPr>
                <w:color w:val="1C3A36"/>
                <w:sz w:val="17"/>
              </w:rPr>
              <w:t>340</w:t>
            </w:r>
          </w:p>
        </w:tc>
      </w:tr>
      <w:tr>
        <w:trPr>
          <w:cantSplit/>
        </w:trPr>
        <w:tc>
          <w:tcPr>
            <w:tcW w:type="dxa" w:w="3312"/>
          </w:tcPr>
          <w:p>
            <w:pPr>
              <w:spacing w:after="20"/>
            </w:pPr>
            <w:r>
              <w:rPr>
                <w:b/>
                <w:color w:val="1C3A36"/>
                <w:sz w:val="17"/>
              </w:rPr>
              <w:t>capital expenditure</w:t>
            </w:r>
          </w:p>
        </w:tc>
        <w:tc>
          <w:tcPr>
            <w:tcW w:type="dxa" w:w="1354"/>
          </w:tcPr>
          <w:p>
            <w:pPr>
              <w:spacing w:after="20"/>
              <w:jc w:val="right"/>
            </w:pPr>
            <w:r>
              <w:rPr>
                <w:color w:val="1C3A36"/>
                <w:sz w:val="17"/>
              </w:rPr>
              <w:t>-175</w:t>
            </w:r>
          </w:p>
        </w:tc>
        <w:tc>
          <w:tcPr>
            <w:tcW w:type="dxa" w:w="1354"/>
          </w:tcPr>
          <w:p>
            <w:pPr>
              <w:spacing w:after="20"/>
              <w:jc w:val="right"/>
            </w:pPr>
            <w:r>
              <w:rPr>
                <w:color w:val="1C3A36"/>
                <w:sz w:val="17"/>
              </w:rPr>
              <w:t>-240</w:t>
            </w:r>
          </w:p>
        </w:tc>
        <w:tc>
          <w:tcPr>
            <w:tcW w:type="dxa" w:w="1354"/>
          </w:tcPr>
          <w:p>
            <w:pPr>
              <w:spacing w:after="20"/>
              <w:jc w:val="right"/>
            </w:pPr>
            <w:r>
              <w:rPr>
                <w:color w:val="1C3A36"/>
                <w:sz w:val="17"/>
              </w:rPr>
              <w:t>-285</w:t>
            </w:r>
          </w:p>
        </w:tc>
        <w:tc>
          <w:tcPr>
            <w:tcW w:type="dxa" w:w="1354"/>
          </w:tcPr>
          <w:p>
            <w:pPr>
              <w:spacing w:after="20"/>
              <w:jc w:val="right"/>
            </w:pPr>
            <w:r>
              <w:rPr>
                <w:color w:val="1C3A36"/>
                <w:sz w:val="17"/>
              </w:rPr>
              <w:t>-315</w:t>
            </w:r>
          </w:p>
        </w:tc>
        <w:tc>
          <w:tcPr>
            <w:tcW w:type="dxa" w:w="1354"/>
          </w:tcPr>
          <w:p>
            <w:pPr>
              <w:spacing w:after="20"/>
              <w:jc w:val="right"/>
            </w:pPr>
            <w:r>
              <w:rPr>
                <w:color w:val="1C3A36"/>
                <w:sz w:val="17"/>
              </w:rPr>
              <w:t>-335</w:t>
            </w:r>
          </w:p>
        </w:tc>
      </w:tr>
      <w:tr>
        <w:trPr>
          <w:cantSplit/>
        </w:trPr>
        <w:tc>
          <w:tcPr>
            <w:tcW w:type="dxa" w:w="3312"/>
          </w:tcPr>
          <w:p>
            <w:pPr>
              <w:spacing w:after="20"/>
            </w:pPr>
            <w:r>
              <w:rPr>
                <w:b/>
                <w:color w:val="1C3A36"/>
                <w:sz w:val="17"/>
              </w:rPr>
              <w:t>change in working capital — a release adds, a build subtracts</w:t>
            </w:r>
          </w:p>
        </w:tc>
        <w:tc>
          <w:tcPr>
            <w:tcW w:type="dxa" w:w="1354"/>
          </w:tcPr>
          <w:p>
            <w:pPr>
              <w:spacing w:after="20"/>
              <w:jc w:val="right"/>
            </w:pPr>
            <w:r>
              <w:rPr>
                <w:color w:val="1C3A36"/>
                <w:sz w:val="17"/>
              </w:rPr>
              <w:t>-139</w:t>
            </w:r>
          </w:p>
        </w:tc>
        <w:tc>
          <w:tcPr>
            <w:tcW w:type="dxa" w:w="1354"/>
          </w:tcPr>
          <w:p>
            <w:pPr>
              <w:spacing w:after="20"/>
              <w:jc w:val="right"/>
            </w:pPr>
            <w:r>
              <w:rPr>
                <w:color w:val="1C3A36"/>
                <w:sz w:val="17"/>
              </w:rPr>
              <w:t>74</w:t>
            </w:r>
          </w:p>
        </w:tc>
        <w:tc>
          <w:tcPr>
            <w:tcW w:type="dxa" w:w="1354"/>
          </w:tcPr>
          <w:p>
            <w:pPr>
              <w:spacing w:after="20"/>
              <w:jc w:val="right"/>
            </w:pPr>
            <w:r>
              <w:rPr>
                <w:color w:val="1C3A36"/>
                <w:sz w:val="17"/>
              </w:rPr>
              <w:t>26</w:t>
            </w:r>
          </w:p>
        </w:tc>
        <w:tc>
          <w:tcPr>
            <w:tcW w:type="dxa" w:w="1354"/>
          </w:tcPr>
          <w:p>
            <w:pPr>
              <w:spacing w:after="20"/>
              <w:jc w:val="right"/>
            </w:pPr>
            <w:r>
              <w:rPr>
                <w:color w:val="1C3A36"/>
                <w:sz w:val="17"/>
              </w:rPr>
              <w:t>-3</w:t>
            </w:r>
          </w:p>
        </w:tc>
        <w:tc>
          <w:tcPr>
            <w:tcW w:type="dxa" w:w="1354"/>
          </w:tcPr>
          <w:p>
            <w:pPr>
              <w:spacing w:after="20"/>
              <w:jc w:val="right"/>
            </w:pPr>
            <w:r>
              <w:rPr>
                <w:color w:val="1C3A36"/>
                <w:sz w:val="17"/>
              </w:rPr>
              <w:t>-6</w:t>
            </w:r>
          </w:p>
        </w:tc>
      </w:tr>
      <w:tr>
        <w:trPr>
          <w:cantSplit/>
        </w:trPr>
        <w:tc>
          <w:tcPr>
            <w:tcW w:type="dxa" w:w="3312"/>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885</w:t>
            </w:r>
          </w:p>
        </w:tc>
        <w:tc>
          <w:tcPr>
            <w:tcW w:type="dxa" w:w="1354"/>
            <w:shd w:val="clear" w:color="auto" w:fill="F6F1E6"/>
          </w:tcPr>
          <w:p>
            <w:pPr>
              <w:spacing w:after="20"/>
              <w:jc w:val="right"/>
            </w:pPr>
            <w:r>
              <w:rPr>
                <w:b/>
                <w:color w:val="1C3A36"/>
                <w:sz w:val="17"/>
              </w:rPr>
              <w:t>835</w:t>
            </w:r>
          </w:p>
        </w:tc>
        <w:tc>
          <w:tcPr>
            <w:tcW w:type="dxa" w:w="1354"/>
            <w:shd w:val="clear" w:color="auto" w:fill="F6F1E6"/>
          </w:tcPr>
          <w:p>
            <w:pPr>
              <w:spacing w:after="20"/>
              <w:jc w:val="right"/>
            </w:pPr>
            <w:r>
              <w:rPr>
                <w:b/>
                <w:color w:val="1C3A36"/>
                <w:sz w:val="17"/>
              </w:rPr>
              <w:t>666</w:t>
            </w:r>
          </w:p>
        </w:tc>
        <w:tc>
          <w:tcPr>
            <w:tcW w:type="dxa" w:w="1354"/>
            <w:shd w:val="clear" w:color="auto" w:fill="F6F1E6"/>
          </w:tcPr>
          <w:p>
            <w:pPr>
              <w:spacing w:after="20"/>
              <w:jc w:val="right"/>
            </w:pPr>
            <w:r>
              <w:rPr>
                <w:b/>
                <w:color w:val="1C3A36"/>
                <w:sz w:val="17"/>
              </w:rPr>
              <w:t>608</w:t>
            </w:r>
          </w:p>
        </w:tc>
        <w:tc>
          <w:tcPr>
            <w:tcW w:type="dxa" w:w="1354"/>
            <w:shd w:val="clear" w:color="auto" w:fill="F6F1E6"/>
          </w:tcPr>
          <w:p>
            <w:pPr>
              <w:spacing w:after="20"/>
              <w:jc w:val="right"/>
            </w:pPr>
            <w:r>
              <w:rPr>
                <w:b/>
                <w:color w:val="1C3A36"/>
                <w:sz w:val="17"/>
              </w:rPr>
              <w:t>593</w:t>
            </w:r>
          </w:p>
        </w:tc>
      </w:tr>
      <w:tr>
        <w:trPr>
          <w:cantSplit/>
        </w:trPr>
        <w:tc>
          <w:tcPr>
            <w:tcW w:type="dxa" w:w="3312"/>
          </w:tcPr>
          <w:p>
            <w:pPr>
              <w:spacing w:after="20"/>
            </w:pPr>
            <w:r>
              <w:rPr>
                <w:b/>
                <w:color w:val="1C3A36"/>
                <w:sz w:val="17"/>
              </w:rPr>
              <w:t>Discount factor</w:t>
            </w:r>
          </w:p>
        </w:tc>
        <w:tc>
          <w:tcPr>
            <w:tcW w:type="dxa" w:w="1354"/>
          </w:tcPr>
          <w:p>
            <w:pPr>
              <w:spacing w:after="20"/>
              <w:jc w:val="right"/>
            </w:pPr>
            <w:r>
              <w:rPr>
                <w:color w:val="1C3A36"/>
                <w:sz w:val="17"/>
              </w:rPr>
              <w:t>0.8947</w:t>
            </w:r>
          </w:p>
        </w:tc>
        <w:tc>
          <w:tcPr>
            <w:tcW w:type="dxa" w:w="1354"/>
          </w:tcPr>
          <w:p>
            <w:pPr>
              <w:spacing w:after="20"/>
              <w:jc w:val="right"/>
            </w:pPr>
            <w:r>
              <w:rPr>
                <w:color w:val="1C3A36"/>
                <w:sz w:val="17"/>
              </w:rPr>
              <w:t>0.8017</w:t>
            </w:r>
          </w:p>
        </w:tc>
        <w:tc>
          <w:tcPr>
            <w:tcW w:type="dxa" w:w="1354"/>
          </w:tcPr>
          <w:p>
            <w:pPr>
              <w:spacing w:after="20"/>
              <w:jc w:val="right"/>
            </w:pPr>
            <w:r>
              <w:rPr>
                <w:color w:val="1C3A36"/>
                <w:sz w:val="17"/>
              </w:rPr>
              <w:t>0.7194</w:t>
            </w:r>
          </w:p>
        </w:tc>
        <w:tc>
          <w:tcPr>
            <w:tcW w:type="dxa" w:w="1354"/>
          </w:tcPr>
          <w:p>
            <w:pPr>
              <w:spacing w:after="20"/>
              <w:jc w:val="right"/>
            </w:pPr>
            <w:r>
              <w:rPr>
                <w:color w:val="1C3A36"/>
                <w:sz w:val="17"/>
              </w:rPr>
              <w:t>0.6465</w:t>
            </w:r>
          </w:p>
        </w:tc>
        <w:tc>
          <w:tcPr>
            <w:tcW w:type="dxa" w:w="1354"/>
          </w:tcPr>
          <w:p>
            <w:pPr>
              <w:spacing w:after="20"/>
              <w:jc w:val="right"/>
            </w:pPr>
            <w:r>
              <w:rPr>
                <w:color w:val="1C3A36"/>
                <w:sz w:val="17"/>
              </w:rPr>
              <w:t>0.5819</w:t>
            </w:r>
          </w:p>
        </w:tc>
      </w:tr>
      <w:tr>
        <w:trPr>
          <w:cantSplit/>
        </w:trPr>
        <w:tc>
          <w:tcPr>
            <w:tcW w:type="dxa" w:w="3312"/>
            <w:shd w:val="clear" w:color="auto" w:fill="F6F1E6"/>
          </w:tcPr>
          <w:p>
            <w:pPr>
              <w:spacing w:after="20"/>
            </w:pPr>
            <w:r>
              <w:rPr>
                <w:b/>
                <w:color w:val="1C3A36"/>
                <w:sz w:val="17"/>
              </w:rPr>
              <w:t>Present value of free cash flow</w:t>
            </w:r>
          </w:p>
        </w:tc>
        <w:tc>
          <w:tcPr>
            <w:tcW w:type="dxa" w:w="1354"/>
            <w:shd w:val="clear" w:color="auto" w:fill="F6F1E6"/>
          </w:tcPr>
          <w:p>
            <w:pPr>
              <w:spacing w:after="20"/>
              <w:jc w:val="right"/>
            </w:pPr>
            <w:r>
              <w:rPr>
                <w:b/>
                <w:color w:val="1C3A36"/>
                <w:sz w:val="17"/>
              </w:rPr>
              <w:t>792</w:t>
            </w:r>
          </w:p>
        </w:tc>
        <w:tc>
          <w:tcPr>
            <w:tcW w:type="dxa" w:w="1354"/>
            <w:shd w:val="clear" w:color="auto" w:fill="F6F1E6"/>
          </w:tcPr>
          <w:p>
            <w:pPr>
              <w:spacing w:after="20"/>
              <w:jc w:val="right"/>
            </w:pPr>
            <w:r>
              <w:rPr>
                <w:b/>
                <w:color w:val="1C3A36"/>
                <w:sz w:val="17"/>
              </w:rPr>
              <w:t>669</w:t>
            </w:r>
          </w:p>
        </w:tc>
        <w:tc>
          <w:tcPr>
            <w:tcW w:type="dxa" w:w="1354"/>
            <w:shd w:val="clear" w:color="auto" w:fill="F6F1E6"/>
          </w:tcPr>
          <w:p>
            <w:pPr>
              <w:spacing w:after="20"/>
              <w:jc w:val="right"/>
            </w:pPr>
            <w:r>
              <w:rPr>
                <w:b/>
                <w:color w:val="1C3A36"/>
                <w:sz w:val="17"/>
              </w:rPr>
              <w:t>479</w:t>
            </w:r>
          </w:p>
        </w:tc>
        <w:tc>
          <w:tcPr>
            <w:tcW w:type="dxa" w:w="1354"/>
            <w:shd w:val="clear" w:color="auto" w:fill="F6F1E6"/>
          </w:tcPr>
          <w:p>
            <w:pPr>
              <w:spacing w:after="20"/>
              <w:jc w:val="right"/>
            </w:pPr>
            <w:r>
              <w:rPr>
                <w:b/>
                <w:color w:val="1C3A36"/>
                <w:sz w:val="17"/>
              </w:rPr>
              <w:t>393</w:t>
            </w:r>
          </w:p>
        </w:tc>
        <w:tc>
          <w:tcPr>
            <w:tcW w:type="dxa" w:w="1354"/>
            <w:shd w:val="clear" w:color="auto" w:fill="F6F1E6"/>
          </w:tcPr>
          <w:p>
            <w:pPr>
              <w:spacing w:after="20"/>
              <w:jc w:val="right"/>
            </w:pPr>
            <w:r>
              <w:rPr>
                <w:b/>
                <w:color w:val="1C3A36"/>
                <w:sz w:val="17"/>
              </w:rPr>
              <w:t>345</w:t>
            </w:r>
          </w:p>
        </w:tc>
      </w:tr>
    </w:tbl>
    <w:p>
      <w:pPr>
        <w:spacing w:after="40"/>
      </w:pPr>
    </w:p>
    <w:p>
      <w:pPr>
        <w:spacing w:after="200" w:before="0"/>
      </w:pPr>
      <w:r>
        <w:rPr>
          <w:b w:val="0"/>
          <w:i/>
          <w:color w:val="6E7B77"/>
          <w:sz w:val="17"/>
        </w:rPr>
        <w:t>Figure in full: the free cash flow waterfall under framing A, from EBITDA to the present value of each year's cash flow. Framing B follows the identical structure on the higher price path.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944"/>
        <w:gridCol w:w="4392"/>
      </w:tblGrid>
      <w:tr>
        <w:trPr>
          <w:cantSplit/>
          <w:tblHeader/>
        </w:trPr>
        <w:tc>
          <w:tcPr>
            <w:tcW w:type="dxa" w:w="3744"/>
            <w:shd w:val="clear" w:color="auto" w:fill="EAF0EE"/>
          </w:tcPr>
          <w:p>
            <w:pPr>
              <w:spacing w:after="20"/>
            </w:pPr>
            <w:r>
              <w:rPr>
                <w:b/>
                <w:color w:val="1C3A36"/>
                <w:sz w:val="17"/>
              </w:rPr>
              <w:t>Enterprise value to equity</w:t>
            </w:r>
          </w:p>
        </w:tc>
        <w:tc>
          <w:tcPr>
            <w:tcW w:type="dxa" w:w="1944"/>
            <w:shd w:val="clear" w:color="auto" w:fill="EAF0EE"/>
          </w:tcPr>
          <w:p>
            <w:pPr>
              <w:spacing w:after="20"/>
            </w:pPr>
            <w:r>
              <w:rPr>
                <w:b/>
                <w:color w:val="1C3A36"/>
                <w:sz w:val="17"/>
              </w:rPr>
              <w:t>US$ million</w:t>
            </w:r>
          </w:p>
        </w:tc>
        <w:tc>
          <w:tcPr>
            <w:tcW w:type="dxa" w:w="4392"/>
            <w:shd w:val="clear" w:color="auto" w:fill="EAF0EE"/>
          </w:tcPr>
          <w:p>
            <w:pPr>
              <w:spacing w:after="20"/>
            </w:pPr>
            <w:r>
              <w:rPr>
                <w:b/>
                <w:color w:val="1C3A36"/>
                <w:sz w:val="17"/>
              </w:rPr>
              <w:t>Note</w:t>
            </w:r>
          </w:p>
        </w:tc>
      </w:tr>
      <w:tr>
        <w:trPr>
          <w:cantSplit/>
        </w:trPr>
        <w:tc>
          <w:tcPr>
            <w:tcW w:type="dxa" w:w="3744"/>
          </w:tcPr>
          <w:p>
            <w:pPr>
              <w:spacing w:after="20"/>
            </w:pPr>
            <w:r>
              <w:rPr>
                <w:b/>
                <w:color w:val="1C3A36"/>
                <w:sz w:val="17"/>
              </w:rPr>
              <w:t>Present value of forecast free cash flow</w:t>
            </w:r>
          </w:p>
        </w:tc>
        <w:tc>
          <w:tcPr>
            <w:tcW w:type="dxa" w:w="1944"/>
          </w:tcPr>
          <w:p>
            <w:pPr>
              <w:spacing w:after="20"/>
              <w:jc w:val="right"/>
            </w:pPr>
            <w:r>
              <w:rPr>
                <w:color w:val="1C3A36"/>
                <w:sz w:val="17"/>
              </w:rPr>
              <w:t>2,679</w:t>
            </w:r>
          </w:p>
        </w:tc>
        <w:tc>
          <w:tcPr>
            <w:tcW w:type="dxa" w:w="4392"/>
          </w:tcPr>
          <w:p>
            <w:pPr>
              <w:spacing w:after="20"/>
              <w:jc w:val="right"/>
            </w:pPr>
            <w:r>
              <w:rPr>
                <w:color w:val="1C3A36"/>
                <w:sz w:val="17"/>
              </w:rPr>
              <w:t>Five years, discounted at 11.9% declining to 11.1%</w:t>
            </w:r>
          </w:p>
        </w:tc>
      </w:tr>
      <w:tr>
        <w:trPr>
          <w:cantSplit/>
        </w:trPr>
        <w:tc>
          <w:tcPr>
            <w:tcW w:type="dxa" w:w="3744"/>
          </w:tcPr>
          <w:p>
            <w:pPr>
              <w:spacing w:after="20"/>
            </w:pPr>
            <w:r>
              <w:rPr>
                <w:b/>
                <w:color w:val="1C3A36"/>
                <w:sz w:val="17"/>
              </w:rPr>
              <w:t>Present value of terminal value</w:t>
            </w:r>
          </w:p>
        </w:tc>
        <w:tc>
          <w:tcPr>
            <w:tcW w:type="dxa" w:w="1944"/>
          </w:tcPr>
          <w:p>
            <w:pPr>
              <w:spacing w:after="20"/>
              <w:jc w:val="right"/>
            </w:pPr>
            <w:r>
              <w:rPr>
                <w:color w:val="1C3A36"/>
                <w:sz w:val="17"/>
              </w:rPr>
              <w:t>3,457</w:t>
            </w:r>
          </w:p>
        </w:tc>
        <w:tc>
          <w:tcPr>
            <w:tcW w:type="dxa" w:w="4392"/>
          </w:tcPr>
          <w:p>
            <w:pPr>
              <w:spacing w:after="20"/>
              <w:jc w:val="right"/>
            </w:pPr>
            <w:r>
              <w:rPr>
                <w:color w:val="1C3A36"/>
                <w:sz w:val="17"/>
              </w:rPr>
              <w:t>56.3% of enterprise value</w:t>
            </w:r>
          </w:p>
        </w:tc>
      </w:tr>
      <w:tr>
        <w:trPr>
          <w:cantSplit/>
        </w:trPr>
        <w:tc>
          <w:tcPr>
            <w:tcW w:type="dxa" w:w="3744"/>
          </w:tcPr>
          <w:p>
            <w:pPr>
              <w:spacing w:after="20"/>
            </w:pPr>
            <w:r>
              <w:rPr>
                <w:b/>
                <w:color w:val="1C3A36"/>
                <w:sz w:val="17"/>
              </w:rPr>
              <w:t>Enterprise value</w:t>
            </w:r>
          </w:p>
        </w:tc>
        <w:tc>
          <w:tcPr>
            <w:tcW w:type="dxa" w:w="1944"/>
          </w:tcPr>
          <w:p>
            <w:pPr>
              <w:spacing w:after="20"/>
              <w:jc w:val="right"/>
            </w:pPr>
            <w:r>
              <w:rPr>
                <w:color w:val="1C3A36"/>
                <w:sz w:val="17"/>
              </w:rPr>
              <w:t>6,136</w:t>
            </w:r>
          </w:p>
        </w:tc>
        <w:tc>
          <w:tcPr>
            <w:tcW w:type="dxa" w:w="4392"/>
          </w:tcPr>
          <w:p>
            <w:pPr>
              <w:spacing w:after="20"/>
              <w:jc w:val="right"/>
            </w:pPr>
            <w:r>
              <w:rPr>
                <w:color w:val="1C3A36"/>
                <w:sz w:val="17"/>
              </w:rPr>
            </w:r>
          </w:p>
        </w:tc>
      </w:tr>
      <w:tr>
        <w:trPr>
          <w:cantSplit/>
        </w:trPr>
        <w:tc>
          <w:tcPr>
            <w:tcW w:type="dxa" w:w="3744"/>
            <w:shd w:val="clear" w:color="auto" w:fill="F6F1E6"/>
          </w:tcPr>
          <w:p>
            <w:pPr>
              <w:spacing w:after="20"/>
            </w:pPr>
            <w:r>
              <w:rPr>
                <w:b/>
                <w:color w:val="1C3A36"/>
                <w:sz w:val="17"/>
              </w:rPr>
              <w:t>less net debt</w:t>
            </w:r>
          </w:p>
        </w:tc>
        <w:tc>
          <w:tcPr>
            <w:tcW w:type="dxa" w:w="1944"/>
            <w:shd w:val="clear" w:color="auto" w:fill="F6F1E6"/>
          </w:tcPr>
          <w:p>
            <w:pPr>
              <w:spacing w:after="20"/>
              <w:jc w:val="right"/>
            </w:pPr>
            <w:r>
              <w:rPr>
                <w:b/>
                <w:color w:val="1C3A36"/>
                <w:sz w:val="17"/>
              </w:rPr>
              <w:t>-621</w:t>
            </w:r>
          </w:p>
        </w:tc>
        <w:tc>
          <w:tcPr>
            <w:tcW w:type="dxa" w:w="4392"/>
            <w:shd w:val="clear" w:color="auto" w:fill="F6F1E6"/>
          </w:tcPr>
          <w:p>
            <w:pPr>
              <w:spacing w:after="20"/>
              <w:jc w:val="right"/>
            </w:pPr>
            <w:r>
              <w:rPr>
                <w:b/>
                <w:color w:val="1C3A36"/>
                <w:sz w:val="17"/>
              </w:rPr>
              <w:t>At 30 June 2026</w:t>
            </w:r>
          </w:p>
        </w:tc>
      </w:tr>
      <w:tr>
        <w:trPr>
          <w:cantSplit/>
        </w:trPr>
        <w:tc>
          <w:tcPr>
            <w:tcW w:type="dxa" w:w="3744"/>
          </w:tcPr>
          <w:p>
            <w:pPr>
              <w:spacing w:after="20"/>
            </w:pPr>
            <w:r>
              <w:rPr>
                <w:b/>
                <w:color w:val="1C3A36"/>
                <w:sz w:val="17"/>
              </w:rPr>
              <w:t>less non-controlling interests</w:t>
            </w:r>
          </w:p>
        </w:tc>
        <w:tc>
          <w:tcPr>
            <w:tcW w:type="dxa" w:w="1944"/>
          </w:tcPr>
          <w:p>
            <w:pPr>
              <w:spacing w:after="20"/>
              <w:jc w:val="right"/>
            </w:pPr>
            <w:r>
              <w:rPr>
                <w:color w:val="1C3A36"/>
                <w:sz w:val="17"/>
              </w:rPr>
              <w:t>-1,450</w:t>
            </w:r>
          </w:p>
        </w:tc>
        <w:tc>
          <w:tcPr>
            <w:tcW w:type="dxa" w:w="4392"/>
          </w:tcPr>
          <w:p>
            <w:pPr>
              <w:spacing w:after="20"/>
              <w:jc w:val="right"/>
            </w:pPr>
            <w:r>
              <w:rPr>
                <w:color w:val="1C3A36"/>
                <w:sz w:val="17"/>
              </w:rPr>
              <w:t>Proportionate share of equity value — see below</w:t>
            </w:r>
          </w:p>
        </w:tc>
      </w:tr>
      <w:tr>
        <w:trPr>
          <w:cantSplit/>
        </w:trPr>
        <w:tc>
          <w:tcPr>
            <w:tcW w:type="dxa" w:w="3744"/>
          </w:tcPr>
          <w:p>
            <w:pPr>
              <w:spacing w:after="20"/>
            </w:pPr>
            <w:r>
              <w:rPr>
                <w:b/>
                <w:color w:val="1C3A36"/>
                <w:sz w:val="17"/>
              </w:rPr>
              <w:t>Equity attributable to owners</w:t>
            </w:r>
          </w:p>
        </w:tc>
        <w:tc>
          <w:tcPr>
            <w:tcW w:type="dxa" w:w="1944"/>
          </w:tcPr>
          <w:p>
            <w:pPr>
              <w:spacing w:after="20"/>
              <w:jc w:val="right"/>
            </w:pPr>
            <w:r>
              <w:rPr>
                <w:color w:val="1C3A36"/>
                <w:sz w:val="17"/>
              </w:rPr>
              <w:t>4,065</w:t>
            </w:r>
          </w:p>
        </w:tc>
        <w:tc>
          <w:tcPr>
            <w:tcW w:type="dxa" w:w="4392"/>
          </w:tcPr>
          <w:p>
            <w:pPr>
              <w:spacing w:after="20"/>
              <w:jc w:val="right"/>
            </w:pPr>
            <w:r>
              <w:rPr>
                <w:color w:val="1C3A36"/>
                <w:sz w:val="17"/>
              </w:rPr>
            </w:r>
          </w:p>
        </w:tc>
      </w:tr>
      <w:tr>
        <w:trPr>
          <w:cantSplit/>
        </w:trPr>
        <w:tc>
          <w:tcPr>
            <w:tcW w:type="dxa" w:w="3744"/>
          </w:tcPr>
          <w:p>
            <w:pPr>
              <w:spacing w:after="20"/>
            </w:pPr>
            <w:r>
              <w:rPr>
                <w:b/>
                <w:color w:val="1C3A36"/>
                <w:sz w:val="17"/>
              </w:rPr>
              <w:t>Value per share (US$)</w:t>
            </w:r>
          </w:p>
        </w:tc>
        <w:tc>
          <w:tcPr>
            <w:tcW w:type="dxa" w:w="1944"/>
          </w:tcPr>
          <w:p>
            <w:pPr>
              <w:spacing w:after="20"/>
              <w:jc w:val="right"/>
            </w:pPr>
            <w:r>
              <w:rPr>
                <w:color w:val="1C3A36"/>
                <w:sz w:val="17"/>
              </w:rPr>
              <w:t>0.4927</w:t>
            </w:r>
          </w:p>
        </w:tc>
        <w:tc>
          <w:tcPr>
            <w:tcW w:type="dxa" w:w="4392"/>
          </w:tcPr>
          <w:p>
            <w:pPr>
              <w:spacing w:after="20"/>
              <w:jc w:val="right"/>
            </w:pPr>
            <w:r>
              <w:rPr>
                <w:color w:val="1C3A36"/>
                <w:sz w:val="17"/>
              </w:rPr>
            </w:r>
          </w:p>
        </w:tc>
      </w:tr>
      <w:tr>
        <w:trPr>
          <w:cantSplit/>
        </w:trPr>
        <w:tc>
          <w:tcPr>
            <w:tcW w:type="dxa" w:w="3744"/>
          </w:tcPr>
          <w:p>
            <w:pPr>
              <w:spacing w:after="20"/>
            </w:pPr>
            <w:r>
              <w:rPr>
                <w:b/>
                <w:color w:val="1C3A36"/>
                <w:sz w:val="17"/>
              </w:rPr>
              <w:t>Value per share (AED)</w:t>
            </w:r>
          </w:p>
        </w:tc>
        <w:tc>
          <w:tcPr>
            <w:tcW w:type="dxa" w:w="1944"/>
          </w:tcPr>
          <w:p>
            <w:pPr>
              <w:spacing w:after="20"/>
              <w:jc w:val="right"/>
            </w:pPr>
            <w:r>
              <w:rPr>
                <w:color w:val="1C3A36"/>
                <w:sz w:val="17"/>
              </w:rPr>
              <w:t>1.81</w:t>
            </w:r>
          </w:p>
        </w:tc>
        <w:tc>
          <w:tcPr>
            <w:tcW w:type="dxa" w:w="4392"/>
          </w:tcPr>
          <w:p>
            <w:pPr>
              <w:spacing w:after="20"/>
              <w:jc w:val="right"/>
            </w:pPr>
            <w:r>
              <w:rPr>
                <w:color w:val="1C3A36"/>
                <w:sz w:val="17"/>
              </w:rPr>
              <w:t>At the peg of 3.6725</w:t>
            </w:r>
          </w:p>
        </w:tc>
      </w:tr>
    </w:tbl>
    <w:p>
      <w:pPr>
        <w:spacing w:after="40"/>
      </w:pPr>
    </w:p>
    <w:p>
      <w:pPr>
        <w:spacing w:after="200" w:before="0"/>
      </w:pPr>
      <w:r>
        <w:rPr>
          <w:b w:val="0"/>
          <w:i/>
          <w:color w:val="6E7B77"/>
          <w:sz w:val="17"/>
        </w:rPr>
        <w:t>The enterprise value to equity bridge, framing A. Terminal value as a share of enterprise value is 56.3%.</w:t>
      </w:r>
    </w:p>
    <w:p>
      <w:pPr>
        <w:spacing w:after="40"/>
        <w:jc w:val="center"/>
      </w:pPr>
      <w:r>
        <w:drawing>
          <wp:inline xmlns:a="http://schemas.openxmlformats.org/drawingml/2006/main" xmlns:pic="http://schemas.openxmlformats.org/drawingml/2006/picture">
            <wp:extent cx="5669280" cy="4012106"/>
            <wp:docPr id="2" name="Picture 2"/>
            <wp:cNvGraphicFramePr>
              <a:graphicFrameLocks noChangeAspect="1"/>
            </wp:cNvGraphicFramePr>
            <a:graphic>
              <a:graphicData uri="http://schemas.openxmlformats.org/drawingml/2006/picture">
                <pic:pic>
                  <pic:nvPicPr>
                    <pic:cNvPr id="0" name="fig7_waterfall.png"/>
                    <pic:cNvPicPr/>
                  </pic:nvPicPr>
                  <pic:blipFill>
                    <a:blip r:embed="rId10"/>
                    <a:stretch>
                      <a:fillRect/>
                    </a:stretch>
                  </pic:blipFill>
                  <pic:spPr>
                    <a:xfrm>
                      <a:off x="0" y="0"/>
                      <a:ext cx="5669280" cy="4012106"/>
                    </a:xfrm>
                    <a:prstGeom prst="rect"/>
                  </pic:spPr>
                </pic:pic>
              </a:graphicData>
            </a:graphic>
          </wp:inline>
        </w:drawing>
      </w:r>
    </w:p>
    <w:p>
      <w:pPr>
        <w:spacing w:after="200" w:before="0"/>
      </w:pPr>
      <w:r>
        <w:rPr>
          <w:b w:val="0"/>
          <w:i/>
          <w:color w:val="6E7B77"/>
          <w:sz w:val="17"/>
        </w:rPr>
        <w:t>Figure 2. From cash flow to equity value: the bridge in picture form.</w:t>
      </w:r>
    </w:p>
    <w:p>
      <w:pPr>
        <w:spacing w:after="120" w:before="0"/>
      </w:pPr>
      <w:r>
        <w:rPr>
          <w:b w:val="0"/>
          <w:i w:val="0"/>
          <w:color w:val="1C3A36"/>
          <w:sz w:val="21"/>
        </w:rPr>
        <w:t>Non-controlling interests are unusually large here and deserve their own sentence. Outside shareholders own 49.01% of Sorfert in Algeria and 25.0% of Egypt Basic Industries, and together took 26.3% of group profit in 2025. Because the cash flows discounted above are the consolidated ones, that share must come out. Deducting it on a proportionate-earnings basis gives AED 1.81 per share; deducting the book value of those interests instead gives AED 2.26. The earnings basis is used because it reflects what those shareholders actually own — a share of the cash flows, not a share of a historical cost figure — and it is the more conservative of the two. Both are shown so the reader can see the size of the choice.</w:t>
      </w:r>
    </w:p>
    <w:p>
      <w:pPr>
        <w:spacing w:after="80" w:before="200"/>
      </w:pPr>
      <w:r>
        <w:rPr>
          <w:b/>
          <w:i w:val="0"/>
          <w:color w:val="1C3A36"/>
          <w:sz w:val="24"/>
        </w:rPr>
        <w:t>1.2  Book value and sustainable return</w:t>
      </w:r>
    </w:p>
    <w:p>
      <w:pPr>
        <w:spacing w:after="120" w:before="0"/>
      </w:pPr>
      <w:r>
        <w:rPr>
          <w:b w:val="0"/>
          <w:i w:val="0"/>
          <w:color w:val="1C3A36"/>
          <w:sz w:val="21"/>
        </w:rPr>
        <w:t>Book equity attributable to owners was 1,356 million at the end of 2025, or AED 0.60 per share. The return on that equity averaged 23.0% over the last three years, against a cost of equity of 12.0%. Capitalising the excess gives a justified price-to-book of 2.10 times and a value of AED 1.27.</w:t>
      </w:r>
    </w:p>
    <w:p>
      <w:pPr>
        <w:spacing w:after="120" w:before="0"/>
      </w:pPr>
      <w:r>
        <w:rPr>
          <w:b w:val="0"/>
          <w:i w:val="0"/>
          <w:color w:val="1C3A36"/>
          <w:sz w:val="21"/>
        </w:rPr>
        <w:t>This is the weakest of the four lenses for this particular company, and it is given the smallest weight for a specific reason rather than a general one. The reserves line carries a negative balance of 1,118 million, described in the accounts as net repayments of equity to previous shareholders out of contributions made in earlier years. Book equity is therefore a legacy of the pre-listing capital structure rather than a measure of capital employed today, which simultaneously deflates book value per share and inflates the apparent return on it. The two distortions partly offset in the formula above, but not reliably, and a reader should treat this lens as a sanity check rather than as evidence.</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080"/>
        <w:gridCol w:w="2304"/>
        <w:gridCol w:w="4248"/>
      </w:tblGrid>
      <w:tr>
        <w:trPr>
          <w:cantSplit/>
          <w:tblHeader/>
        </w:trPr>
        <w:tc>
          <w:tcPr>
            <w:tcW w:type="dxa" w:w="2448"/>
            <w:shd w:val="clear" w:color="auto" w:fill="EAF0EE"/>
          </w:tcPr>
          <w:p>
            <w:pPr>
              <w:spacing w:after="20"/>
            </w:pPr>
            <w:r>
              <w:rPr>
                <w:b/>
                <w:color w:val="1C3A36"/>
                <w:sz w:val="17"/>
              </w:rPr>
              <w:t>Company</w:t>
            </w:r>
          </w:p>
        </w:tc>
        <w:tc>
          <w:tcPr>
            <w:tcW w:type="dxa" w:w="1080"/>
            <w:shd w:val="clear" w:color="auto" w:fill="EAF0EE"/>
          </w:tcPr>
          <w:p>
            <w:pPr>
              <w:spacing w:after="20"/>
            </w:pPr>
            <w:r>
              <w:rPr>
                <w:b/>
                <w:color w:val="1C3A36"/>
                <w:sz w:val="17"/>
              </w:rPr>
              <w:t>Market</w:t>
            </w:r>
          </w:p>
        </w:tc>
        <w:tc>
          <w:tcPr>
            <w:tcW w:type="dxa" w:w="2304"/>
            <w:shd w:val="clear" w:color="auto" w:fill="EAF0EE"/>
          </w:tcPr>
          <w:p>
            <w:pPr>
              <w:spacing w:after="20"/>
            </w:pPr>
            <w:r>
              <w:rPr>
                <w:b/>
                <w:color w:val="1C3A36"/>
                <w:sz w:val="17"/>
              </w:rPr>
              <w:t>Enterprise value to EBITDA</w:t>
            </w:r>
          </w:p>
        </w:tc>
        <w:tc>
          <w:tcPr>
            <w:tcW w:type="dxa" w:w="4248"/>
            <w:shd w:val="clear" w:color="auto" w:fill="EAF0EE"/>
          </w:tcPr>
          <w:p>
            <w:pPr>
              <w:spacing w:after="20"/>
            </w:pPr>
            <w:r>
              <w:rPr>
                <w:b/>
                <w:color w:val="1C3A36"/>
                <w:sz w:val="17"/>
              </w:rPr>
              <w:t>Character</w:t>
            </w:r>
          </w:p>
        </w:tc>
      </w:tr>
      <w:tr>
        <w:trPr>
          <w:cantSplit/>
        </w:trPr>
        <w:tc>
          <w:tcPr>
            <w:tcW w:type="dxa" w:w="2448"/>
          </w:tcPr>
          <w:p>
            <w:pPr>
              <w:spacing w:after="20"/>
            </w:pPr>
            <w:r>
              <w:rPr>
                <w:b/>
                <w:color w:val="1C3A36"/>
                <w:sz w:val="17"/>
              </w:rPr>
              <w:t>Nutrien</w:t>
            </w:r>
          </w:p>
        </w:tc>
        <w:tc>
          <w:tcPr>
            <w:tcW w:type="dxa" w:w="1080"/>
          </w:tcPr>
          <w:p>
            <w:pPr>
              <w:spacing w:after="20"/>
              <w:jc w:val="right"/>
            </w:pPr>
            <w:r>
              <w:rPr>
                <w:color w:val="1C3A36"/>
                <w:sz w:val="17"/>
              </w:rPr>
              <w:t>US</w:t>
            </w:r>
          </w:p>
        </w:tc>
        <w:tc>
          <w:tcPr>
            <w:tcW w:type="dxa" w:w="2304"/>
          </w:tcPr>
          <w:p>
            <w:pPr>
              <w:spacing w:after="20"/>
              <w:jc w:val="right"/>
            </w:pPr>
            <w:r>
              <w:rPr>
                <w:color w:val="1C3A36"/>
                <w:sz w:val="17"/>
              </w:rPr>
              <w:t>7.4x</w:t>
            </w:r>
          </w:p>
        </w:tc>
        <w:tc>
          <w:tcPr>
            <w:tcW w:type="dxa" w:w="4248"/>
          </w:tcPr>
          <w:p>
            <w:pPr>
              <w:spacing w:after="20"/>
              <w:jc w:val="right"/>
            </w:pPr>
            <w:r>
              <w:rPr>
                <w:color w:val="1C3A36"/>
                <w:sz w:val="17"/>
              </w:rPr>
              <w:t>diversified nutrient, retail attached</w:t>
            </w:r>
          </w:p>
        </w:tc>
      </w:tr>
      <w:tr>
        <w:trPr>
          <w:cantSplit/>
        </w:trPr>
        <w:tc>
          <w:tcPr>
            <w:tcW w:type="dxa" w:w="2448"/>
          </w:tcPr>
          <w:p>
            <w:pPr>
              <w:spacing w:after="20"/>
            </w:pPr>
            <w:r>
              <w:rPr>
                <w:b/>
                <w:color w:val="1C3A36"/>
                <w:sz w:val="17"/>
              </w:rPr>
              <w:t>CF Industries</w:t>
            </w:r>
          </w:p>
        </w:tc>
        <w:tc>
          <w:tcPr>
            <w:tcW w:type="dxa" w:w="1080"/>
          </w:tcPr>
          <w:p>
            <w:pPr>
              <w:spacing w:after="20"/>
              <w:jc w:val="right"/>
            </w:pPr>
            <w:r>
              <w:rPr>
                <w:color w:val="1C3A36"/>
                <w:sz w:val="17"/>
              </w:rPr>
              <w:t>US</w:t>
            </w:r>
          </w:p>
        </w:tc>
        <w:tc>
          <w:tcPr>
            <w:tcW w:type="dxa" w:w="2304"/>
          </w:tcPr>
          <w:p>
            <w:pPr>
              <w:spacing w:after="20"/>
              <w:jc w:val="right"/>
            </w:pPr>
            <w:r>
              <w:rPr>
                <w:color w:val="1C3A36"/>
                <w:sz w:val="17"/>
              </w:rPr>
              <w:t>6.1x</w:t>
            </w:r>
          </w:p>
        </w:tc>
        <w:tc>
          <w:tcPr>
            <w:tcW w:type="dxa" w:w="4248"/>
          </w:tcPr>
          <w:p>
            <w:pPr>
              <w:spacing w:after="20"/>
              <w:jc w:val="right"/>
            </w:pPr>
            <w:r>
              <w:rPr>
                <w:color w:val="1C3A36"/>
                <w:sz w:val="17"/>
              </w:rPr>
              <w:t>pure nitrogen, Henry Hub advantaged</w:t>
            </w:r>
          </w:p>
        </w:tc>
      </w:tr>
      <w:tr>
        <w:trPr>
          <w:cantSplit/>
        </w:trPr>
        <w:tc>
          <w:tcPr>
            <w:tcW w:type="dxa" w:w="2448"/>
          </w:tcPr>
          <w:p>
            <w:pPr>
              <w:spacing w:after="20"/>
            </w:pPr>
            <w:r>
              <w:rPr>
                <w:b/>
                <w:color w:val="1C3A36"/>
                <w:sz w:val="17"/>
              </w:rPr>
              <w:t>Yara International</w:t>
            </w:r>
          </w:p>
        </w:tc>
        <w:tc>
          <w:tcPr>
            <w:tcW w:type="dxa" w:w="1080"/>
          </w:tcPr>
          <w:p>
            <w:pPr>
              <w:spacing w:after="20"/>
              <w:jc w:val="right"/>
            </w:pPr>
            <w:r>
              <w:rPr>
                <w:color w:val="1C3A36"/>
                <w:sz w:val="17"/>
              </w:rPr>
              <w:t>NO</w:t>
            </w:r>
          </w:p>
        </w:tc>
        <w:tc>
          <w:tcPr>
            <w:tcW w:type="dxa" w:w="2304"/>
          </w:tcPr>
          <w:p>
            <w:pPr>
              <w:spacing w:after="20"/>
              <w:jc w:val="right"/>
            </w:pPr>
            <w:r>
              <w:rPr>
                <w:color w:val="1C3A36"/>
                <w:sz w:val="17"/>
              </w:rPr>
              <w:t>5.2x</w:t>
            </w:r>
          </w:p>
        </w:tc>
        <w:tc>
          <w:tcPr>
            <w:tcW w:type="dxa" w:w="4248"/>
          </w:tcPr>
          <w:p>
            <w:pPr>
              <w:spacing w:after="20"/>
              <w:jc w:val="right"/>
            </w:pPr>
            <w:r>
              <w:rPr>
                <w:color w:val="1C3A36"/>
                <w:sz w:val="17"/>
              </w:rPr>
              <w:t>nitrogen, European gas cost</w:t>
            </w:r>
          </w:p>
        </w:tc>
      </w:tr>
      <w:tr>
        <w:trPr>
          <w:cantSplit/>
        </w:trPr>
        <w:tc>
          <w:tcPr>
            <w:tcW w:type="dxa" w:w="2448"/>
          </w:tcPr>
          <w:p>
            <w:pPr>
              <w:spacing w:after="20"/>
            </w:pPr>
            <w:r>
              <w:rPr>
                <w:b/>
                <w:color w:val="1C3A36"/>
                <w:sz w:val="17"/>
              </w:rPr>
              <w:t>OCI Global</w:t>
            </w:r>
          </w:p>
        </w:tc>
        <w:tc>
          <w:tcPr>
            <w:tcW w:type="dxa" w:w="1080"/>
          </w:tcPr>
          <w:p>
            <w:pPr>
              <w:spacing w:after="20"/>
              <w:jc w:val="right"/>
            </w:pPr>
            <w:r>
              <w:rPr>
                <w:color w:val="1C3A36"/>
                <w:sz w:val="17"/>
              </w:rPr>
              <w:t>NL</w:t>
            </w:r>
          </w:p>
        </w:tc>
        <w:tc>
          <w:tcPr>
            <w:tcW w:type="dxa" w:w="2304"/>
          </w:tcPr>
          <w:p>
            <w:pPr>
              <w:spacing w:after="20"/>
              <w:jc w:val="right"/>
            </w:pPr>
            <w:r>
              <w:rPr>
                <w:color w:val="1C3A36"/>
                <w:sz w:val="17"/>
              </w:rPr>
              <w:t>5.6x</w:t>
            </w:r>
          </w:p>
        </w:tc>
        <w:tc>
          <w:tcPr>
            <w:tcW w:type="dxa" w:w="4248"/>
          </w:tcPr>
          <w:p>
            <w:pPr>
              <w:spacing w:after="20"/>
              <w:jc w:val="right"/>
            </w:pPr>
            <w:r>
              <w:rPr>
                <w:color w:val="1C3A36"/>
                <w:sz w:val="17"/>
              </w:rPr>
              <w:t>nitrogen and methanol</w:t>
            </w:r>
          </w:p>
        </w:tc>
      </w:tr>
      <w:tr>
        <w:trPr>
          <w:cantSplit/>
        </w:trPr>
        <w:tc>
          <w:tcPr>
            <w:tcW w:type="dxa" w:w="2448"/>
          </w:tcPr>
          <w:p>
            <w:pPr>
              <w:spacing w:after="20"/>
            </w:pPr>
            <w:r>
              <w:rPr>
                <w:b/>
                <w:color w:val="1C3A36"/>
                <w:sz w:val="17"/>
              </w:rPr>
              <w:t>Industries Qatar</w:t>
            </w:r>
          </w:p>
        </w:tc>
        <w:tc>
          <w:tcPr>
            <w:tcW w:type="dxa" w:w="1080"/>
          </w:tcPr>
          <w:p>
            <w:pPr>
              <w:spacing w:after="20"/>
              <w:jc w:val="right"/>
            </w:pPr>
            <w:r>
              <w:rPr>
                <w:color w:val="1C3A36"/>
                <w:sz w:val="17"/>
              </w:rPr>
              <w:t>QA</w:t>
            </w:r>
          </w:p>
        </w:tc>
        <w:tc>
          <w:tcPr>
            <w:tcW w:type="dxa" w:w="2304"/>
          </w:tcPr>
          <w:p>
            <w:pPr>
              <w:spacing w:after="20"/>
              <w:jc w:val="right"/>
            </w:pPr>
            <w:r>
              <w:rPr>
                <w:color w:val="1C3A36"/>
                <w:sz w:val="17"/>
              </w:rPr>
              <w:t>9.1x</w:t>
            </w:r>
          </w:p>
        </w:tc>
        <w:tc>
          <w:tcPr>
            <w:tcW w:type="dxa" w:w="4248"/>
          </w:tcPr>
          <w:p>
            <w:pPr>
              <w:spacing w:after="20"/>
              <w:jc w:val="right"/>
            </w:pPr>
            <w:r>
              <w:rPr>
                <w:color w:val="1C3A36"/>
                <w:sz w:val="17"/>
              </w:rPr>
              <w:t>Gulf petrochemical and fertiliser</w:t>
            </w:r>
          </w:p>
        </w:tc>
      </w:tr>
      <w:tr>
        <w:trPr>
          <w:cantSplit/>
        </w:trPr>
        <w:tc>
          <w:tcPr>
            <w:tcW w:type="dxa" w:w="2448"/>
          </w:tcPr>
          <w:p>
            <w:pPr>
              <w:spacing w:after="20"/>
            </w:pPr>
            <w:r>
              <w:rPr>
                <w:b/>
                <w:color w:val="1C3A36"/>
                <w:sz w:val="17"/>
              </w:rPr>
              <w:t>SABIC Agri-Nutrients</w:t>
            </w:r>
          </w:p>
        </w:tc>
        <w:tc>
          <w:tcPr>
            <w:tcW w:type="dxa" w:w="1080"/>
          </w:tcPr>
          <w:p>
            <w:pPr>
              <w:spacing w:after="20"/>
              <w:jc w:val="right"/>
            </w:pPr>
            <w:r>
              <w:rPr>
                <w:color w:val="1C3A36"/>
                <w:sz w:val="17"/>
              </w:rPr>
              <w:t>SA</w:t>
            </w:r>
          </w:p>
        </w:tc>
        <w:tc>
          <w:tcPr>
            <w:tcW w:type="dxa" w:w="2304"/>
          </w:tcPr>
          <w:p>
            <w:pPr>
              <w:spacing w:after="20"/>
              <w:jc w:val="right"/>
            </w:pPr>
            <w:r>
              <w:rPr>
                <w:color w:val="1C3A36"/>
                <w:sz w:val="17"/>
              </w:rPr>
              <w:t>10.4x</w:t>
            </w:r>
          </w:p>
        </w:tc>
        <w:tc>
          <w:tcPr>
            <w:tcW w:type="dxa" w:w="4248"/>
          </w:tcPr>
          <w:p>
            <w:pPr>
              <w:spacing w:after="20"/>
              <w:jc w:val="right"/>
            </w:pPr>
            <w:r>
              <w:rPr>
                <w:color w:val="1C3A36"/>
                <w:sz w:val="17"/>
              </w:rPr>
              <w:t>Gulf nitrogen, Tadawul rating</w:t>
            </w:r>
          </w:p>
        </w:tc>
      </w:tr>
      <w:tr>
        <w:trPr>
          <w:cantSplit/>
        </w:trPr>
        <w:tc>
          <w:tcPr>
            <w:tcW w:type="dxa" w:w="2448"/>
            <w:shd w:val="clear" w:color="auto" w:fill="F6F1E6"/>
          </w:tcPr>
          <w:p>
            <w:pPr>
              <w:spacing w:after="20"/>
            </w:pPr>
            <w:r>
              <w:rPr>
                <w:b/>
                <w:color w:val="1C3A36"/>
                <w:sz w:val="17"/>
              </w:rPr>
              <w:t>Fertiglobe — applied</w:t>
            </w:r>
          </w:p>
        </w:tc>
        <w:tc>
          <w:tcPr>
            <w:tcW w:type="dxa" w:w="1080"/>
            <w:shd w:val="clear" w:color="auto" w:fill="F6F1E6"/>
          </w:tcPr>
          <w:p>
            <w:pPr>
              <w:spacing w:after="20"/>
              <w:jc w:val="right"/>
            </w:pPr>
            <w:r>
              <w:rPr>
                <w:b/>
                <w:color w:val="1C3A36"/>
                <w:sz w:val="17"/>
              </w:rPr>
              <w:t>AE</w:t>
            </w:r>
          </w:p>
        </w:tc>
        <w:tc>
          <w:tcPr>
            <w:tcW w:type="dxa" w:w="2304"/>
            <w:shd w:val="clear" w:color="auto" w:fill="F6F1E6"/>
          </w:tcPr>
          <w:p>
            <w:pPr>
              <w:spacing w:after="20"/>
              <w:jc w:val="right"/>
            </w:pPr>
            <w:r>
              <w:rPr>
                <w:b/>
                <w:color w:val="1C3A36"/>
                <w:sz w:val="17"/>
              </w:rPr>
              <w:t>5.8x</w:t>
            </w:r>
          </w:p>
        </w:tc>
        <w:tc>
          <w:tcPr>
            <w:tcW w:type="dxa" w:w="4248"/>
            <w:shd w:val="clear" w:color="auto" w:fill="F6F1E6"/>
          </w:tcPr>
          <w:p>
            <w:pPr>
              <w:spacing w:after="20"/>
              <w:jc w:val="right"/>
            </w:pPr>
            <w:r>
              <w:rPr>
                <w:b/>
                <w:color w:val="1C3A36"/>
                <w:sz w:val="17"/>
              </w:rPr>
              <w:t>Below the Gulf peers, above the European ones</w:t>
            </w:r>
          </w:p>
        </w:tc>
      </w:tr>
    </w:tbl>
    <w:p>
      <w:pPr>
        <w:spacing w:after="40"/>
      </w:pPr>
    </w:p>
    <w:p>
      <w:pPr>
        <w:spacing w:after="200" w:before="0"/>
      </w:pPr>
      <w:r>
        <w:rPr>
          <w:b w:val="0"/>
          <w:i/>
          <w:color w:val="6E7B77"/>
          <w:sz w:val="17"/>
        </w:rPr>
        <w:t>Comparable companies. Peer multiples are market data used as a cross-check; they are not a source for any Fertiglobe figure.</w:t>
      </w:r>
    </w:p>
    <w:p>
      <w:pPr>
        <w:spacing w:after="120" w:before="0"/>
      </w:pPr>
      <w:r>
        <w:rPr>
          <w:b w:val="0"/>
          <w:i w:val="0"/>
          <w:color w:val="1C3A36"/>
          <w:sz w:val="21"/>
        </w:rPr>
        <w:t>The applied multiple of 5.8 times sits deliberately between the two clusters. Fertiglobe earns Gulf gas economics on part of its base, which argues for the higher end, but a third of its assets sit in Egypt and a sixth in Algeria, which argues for the lower. Applied to mid-cycle EBITDA of 1,191 million — the average of the last three forecast years across both price framings — it gives AED 2.06 per share. On trailing figures the shares change hands at 4.6 times enterprise value to EBITDA, annualising the first half of 2026, which flatters the multiple because that half was exceptional.</w:t>
      </w:r>
    </w:p>
    <w:p>
      <w:pPr>
        <w:spacing w:after="80" w:before="200"/>
      </w:pPr>
      <w:r>
        <w:rPr>
          <w:b/>
          <w:i w:val="0"/>
          <w:color w:val="1C3A36"/>
          <w:sz w:val="24"/>
        </w:rPr>
        <w:t>1.4  Normalised earnings power</w:t>
      </w:r>
    </w:p>
    <w:p>
      <w:pPr>
        <w:spacing w:after="120" w:before="0"/>
      </w:pPr>
      <w:r>
        <w:rPr>
          <w:b w:val="0"/>
          <w:i w:val="0"/>
          <w:color w:val="1C3A36"/>
          <w:sz w:val="21"/>
        </w:rPr>
        <w:t>Stripping out the cycle, mid-cycle revenue of 3,458 million at the three-year average EBITDA margin of 36.2% gives 1,250 million of EBITDA, 925 million of EBIT after depreciation, and 571 million of profit attributable to owners after interest, tax and minorities. That is US$ 0.0692 per share. At 11 times — a modest multiple for a capital-intensive commodity producer with a controlling shareholder and a thin float — the shares are worth AED 2.79.</w:t>
      </w:r>
    </w:p>
    <w:p>
      <w:pPr>
        <w:spacing w:after="80" w:before="200"/>
      </w:pPr>
      <w:r>
        <w:rPr>
          <w:b/>
          <w:i w:val="0"/>
          <w:color w:val="1C3A36"/>
          <w:sz w:val="24"/>
        </w:rPr>
        <w:t>1.5  Synthesis — one method answers, the others check it</w:t>
      </w:r>
    </w:p>
    <w:p>
      <w:pPr>
        <w:spacing w:after="120" w:before="0"/>
      </w:pPr>
      <w:r>
        <w:rPr>
          <w:b w:val="0"/>
          <w:i w:val="0"/>
          <w:color w:val="1C3A36"/>
          <w:sz w:val="21"/>
        </w:rPr>
        <w:t>The cash-flow method IS the answer here, and it is the only one that prices the specific mechanism this company runs on — the link between its selling price and its gas cost. It reaches two figures rather than one, AED 1.81 and AED 2.68, because the question it cannot settle is where nitrogen prices sit through the cycle rather than anything about the company itself.</w:t>
      </w:r>
    </w:p>
    <w:p>
      <w:pPr>
        <w:spacing w:after="120" w:before="0"/>
      </w:pPr>
      <w:r>
        <w:rPr>
          <w:b w:val="0"/>
          <w:i w:val="0"/>
          <w:color w:val="1C3A36"/>
          <w:sz w:val="21"/>
        </w:rPr>
        <w:t>The other methods stand beside it as checks and are not weighted into it. The relative multiple reads AED 2.06, which is what the market pays for comparable assets rather than what this business generates. Book value reads AED 1.27 and is published as a FLOOR — a disclosed number this company is worth at least, not an estimate of what it is worth. Neither enters the answer.</w:t>
      </w:r>
    </w:p>
    <w:p>
      <w:pPr>
        <w:spacing w:after="120" w:before="0"/>
      </w:pPr>
      <w:r>
        <w:rPr>
          <w:b w:val="0"/>
          <w:i w:val="0"/>
          <w:color w:val="1C3A36"/>
          <w:sz w:val="21"/>
        </w:rPr>
        <w:t>An earlier edition of this study blended four methods at fixed weights and published their weighted centre. That construction is retired. The weights had never been tested against anything, two of the four methods valued a commodity producer on reported accounting figures, and — worse here — the blend averaged the cash-flow method's own two readings into a single number that neither reading supports. Where methods disagree this study now publishes the disagreement.</w:t>
      </w:r>
    </w:p>
    <w:p>
      <w:pPr>
        <w:spacing w:after="80" w:before="200"/>
      </w:pPr>
      <w:r>
        <w:rPr>
          <w:b/>
          <w:i w:val="0"/>
          <w:color w:val="1C3A36"/>
          <w:sz w:val="24"/>
        </w:rPr>
        <w:t>1.6  Drivers</w:t>
      </w:r>
    </w:p>
    <w:p>
      <w:pPr>
        <w:spacing w:after="120" w:before="0"/>
      </w:pPr>
      <w:r>
        <w:rPr>
          <w:b w:val="0"/>
          <w:i w:val="0"/>
          <w:color w:val="1C3A36"/>
          <w:sz w:val="21"/>
        </w:rPr>
        <w:t>Each disclosed segment is grown on its own driver. Margins are outputs of the build, never inputs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5832"/>
        <w:gridCol w:w="1728"/>
      </w:tblGrid>
      <w:tr>
        <w:trPr>
          <w:cantSplit/>
          <w:tblHeader/>
        </w:trPr>
        <w:tc>
          <w:tcPr>
            <w:tcW w:type="dxa" w:w="2520"/>
            <w:shd w:val="clear" w:color="auto" w:fill="EAF0EE"/>
          </w:tcPr>
          <w:p>
            <w:pPr>
              <w:spacing w:after="20"/>
            </w:pPr>
            <w:r>
              <w:rPr>
                <w:b/>
                <w:color w:val="1C3A36"/>
                <w:sz w:val="16"/>
              </w:rPr>
              <w:t>Driver</w:t>
            </w:r>
          </w:p>
        </w:tc>
        <w:tc>
          <w:tcPr>
            <w:tcW w:type="dxa" w:w="5832"/>
            <w:shd w:val="clear" w:color="auto" w:fill="EAF0EE"/>
          </w:tcPr>
          <w:p>
            <w:pPr>
              <w:spacing w:after="20"/>
            </w:pPr>
            <w:r>
              <w:rPr>
                <w:b/>
                <w:color w:val="1C3A36"/>
                <w:sz w:val="16"/>
              </w:rPr>
              <w:t>How it is built</w:t>
            </w:r>
          </w:p>
        </w:tc>
        <w:tc>
          <w:tcPr>
            <w:tcW w:type="dxa" w:w="1728"/>
            <w:shd w:val="clear" w:color="auto" w:fill="EAF0EE"/>
          </w:tcPr>
          <w:p>
            <w:pPr>
              <w:spacing w:after="20"/>
            </w:pPr>
            <w:r>
              <w:rPr>
                <w:b/>
                <w:color w:val="1C3A36"/>
                <w:sz w:val="16"/>
              </w:rPr>
              <w:t>Source</w:t>
            </w:r>
          </w:p>
        </w:tc>
      </w:tr>
      <w:tr>
        <w:trPr>
          <w:cantSplit/>
        </w:trPr>
        <w:tc>
          <w:tcPr>
            <w:tcW w:type="dxa" w:w="2520"/>
          </w:tcPr>
          <w:p>
            <w:pPr>
              <w:spacing w:after="20"/>
            </w:pPr>
            <w:r>
              <w:rPr>
                <w:b/>
                <w:color w:val="1C3A36"/>
                <w:sz w:val="16"/>
              </w:rPr>
              <w:t>Own-produced sales volume (kt, by product)</w:t>
            </w:r>
          </w:p>
        </w:tc>
        <w:tc>
          <w:tcPr>
            <w:tcW w:type="dxa" w:w="5832"/>
          </w:tcPr>
          <w:p>
            <w:pPr>
              <w:spacing w:after="20"/>
            </w:pPr>
            <w:r>
              <w:rPr>
                <w:color w:val="1C3A36"/>
                <w:sz w:val="16"/>
              </w:rPr>
              <w:t>Installed capacity by plant and product is disclosed, and quarterly sales volumes are disclosed by product. Volume is capacity times utilisation, both sourced.</w:t>
            </w:r>
          </w:p>
        </w:tc>
        <w:tc>
          <w:tcPr>
            <w:tcW w:type="dxa" w:w="1728"/>
          </w:tcPr>
          <w:p>
            <w:pPr>
              <w:spacing w:after="20"/>
              <w:jc w:val="right"/>
            </w:pPr>
            <w:r>
              <w:rPr>
                <w:color w:val="1C3A36"/>
                <w:sz w:val="16"/>
              </w:rPr>
              <w:t>Bottom-up</w:t>
            </w:r>
          </w:p>
        </w:tc>
      </w:tr>
      <w:tr>
        <w:trPr>
          <w:cantSplit/>
        </w:trPr>
        <w:tc>
          <w:tcPr>
            <w:tcW w:type="dxa" w:w="2520"/>
          </w:tcPr>
          <w:p>
            <w:pPr>
              <w:spacing w:after="20"/>
            </w:pPr>
            <w:r>
              <w:rPr>
                <w:b/>
                <w:color w:val="1C3A36"/>
                <w:sz w:val="16"/>
              </w:rPr>
              <w:t>Realised price per tonne ($/t, by product)</w:t>
            </w:r>
          </w:p>
        </w:tc>
        <w:tc>
          <w:tcPr>
            <w:tcW w:type="dxa" w:w="5832"/>
          </w:tcPr>
          <w:p>
            <w:pPr>
              <w:spacing w:after="20"/>
            </w:pPr>
            <w:r>
              <w:rPr>
                <w:color w:val="1C3A36"/>
                <w:sz w:val="16"/>
              </w:rPr>
              <w:t>Published benchmark prices by product and region, multiplied by a realisation ratio measured against disclosed segment revenue over three independent periods.</w:t>
            </w:r>
          </w:p>
        </w:tc>
        <w:tc>
          <w:tcPr>
            <w:tcW w:type="dxa" w:w="1728"/>
          </w:tcPr>
          <w:p>
            <w:pPr>
              <w:spacing w:after="20"/>
              <w:jc w:val="right"/>
            </w:pPr>
            <w:r>
              <w:rPr>
                <w:color w:val="1C3A36"/>
                <w:sz w:val="16"/>
              </w:rPr>
              <w:t>Bottom-up</w:t>
            </w:r>
          </w:p>
        </w:tc>
      </w:tr>
      <w:tr>
        <w:trPr>
          <w:cantSplit/>
        </w:trPr>
        <w:tc>
          <w:tcPr>
            <w:tcW w:type="dxa" w:w="2520"/>
          </w:tcPr>
          <w:p>
            <w:pPr>
              <w:spacing w:after="20"/>
            </w:pPr>
            <w:r>
              <w:rPr>
                <w:b/>
                <w:color w:val="1C3A36"/>
                <w:sz w:val="16"/>
              </w:rPr>
              <w:t>Cash cost per tonne ($/t)</w:t>
            </w:r>
          </w:p>
        </w:tc>
        <w:tc>
          <w:tcPr>
            <w:tcW w:type="dxa" w:w="5832"/>
          </w:tcPr>
          <w:p>
            <w:pPr>
              <w:spacing w:after="20"/>
            </w:pPr>
            <w:r>
              <w:rPr>
                <w:color w:val="1C3A36"/>
                <w:sz w:val="16"/>
              </w:rPr>
              <w:t>Calibrated against realised price from disclosed segment revenue and EBITDA over three periods, and cross-checked physically against gas consumption intensity and the disclosed delivered gas price.</w:t>
            </w:r>
          </w:p>
        </w:tc>
        <w:tc>
          <w:tcPr>
            <w:tcW w:type="dxa" w:w="1728"/>
          </w:tcPr>
          <w:p>
            <w:pPr>
              <w:spacing w:after="20"/>
              <w:jc w:val="right"/>
            </w:pPr>
            <w:r>
              <w:rPr>
                <w:color w:val="1C3A36"/>
                <w:sz w:val="16"/>
              </w:rPr>
              <w:t>Bottom-up</w:t>
            </w:r>
          </w:p>
        </w:tc>
      </w:tr>
      <w:tr>
        <w:trPr>
          <w:cantSplit/>
        </w:trPr>
        <w:tc>
          <w:tcPr>
            <w:tcW w:type="dxa" w:w="2520"/>
          </w:tcPr>
          <w:p>
            <w:pPr>
              <w:spacing w:after="20"/>
            </w:pPr>
            <w:r>
              <w:rPr>
                <w:b/>
                <w:color w:val="1C3A36"/>
                <w:sz w:val="16"/>
              </w:rPr>
              <w:t>Third-party trading revenue and margin</w:t>
            </w:r>
          </w:p>
        </w:tc>
        <w:tc>
          <w:tcPr>
            <w:tcW w:type="dxa" w:w="5832"/>
          </w:tcPr>
          <w:p>
            <w:pPr>
              <w:spacing w:after="20"/>
            </w:pPr>
            <w:r>
              <w:rPr>
                <w:color w:val="1C3A36"/>
                <w:sz w:val="16"/>
              </w:rPr>
              <w:t>Volumes are disclosed but purchase prices are not, so the leg is carried at a segment margin measured from disclosed segment EBITDA. The gap is flagged: this is the one leg not built from unit economics.</w:t>
            </w:r>
          </w:p>
        </w:tc>
        <w:tc>
          <w:tcPr>
            <w:tcW w:type="dxa" w:w="1728"/>
          </w:tcPr>
          <w:p>
            <w:pPr>
              <w:spacing w:after="20"/>
              <w:jc w:val="right"/>
            </w:pPr>
            <w:r>
              <w:rPr>
                <w:color w:val="1C3A36"/>
                <w:sz w:val="16"/>
              </w:rPr>
              <w:t>Segment level — gap flagged</w:t>
            </w:r>
          </w:p>
        </w:tc>
      </w:tr>
      <w:tr>
        <w:trPr>
          <w:cantSplit/>
        </w:trPr>
        <w:tc>
          <w:tcPr>
            <w:tcW w:type="dxa" w:w="2520"/>
          </w:tcPr>
          <w:p>
            <w:pPr>
              <w:spacing w:after="20"/>
            </w:pPr>
            <w:r>
              <w:rPr>
                <w:b/>
                <w:color w:val="1C3A36"/>
                <w:sz w:val="16"/>
              </w:rPr>
              <w:t>Forecast tax rate</w:t>
            </w:r>
          </w:p>
        </w:tc>
        <w:tc>
          <w:tcPr>
            <w:tcW w:type="dxa" w:w="5832"/>
          </w:tcPr>
          <w:p>
            <w:pPr>
              <w:spacing w:after="20"/>
            </w:pPr>
            <w:r>
              <w:rPr>
                <w:color w:val="1C3A36"/>
                <w:sz w:val="16"/>
              </w:rPr>
              <w:t>Average of three sourced estimates computed on the workbook sheet — four-year aggregate effective, four-year aggregate cash, and a jurisdiction-weighted statutory build on disclosed asset weights.</w:t>
            </w:r>
          </w:p>
        </w:tc>
        <w:tc>
          <w:tcPr>
            <w:tcW w:type="dxa" w:w="1728"/>
          </w:tcPr>
          <w:p>
            <w:pPr>
              <w:spacing w:after="20"/>
              <w:jc w:val="right"/>
            </w:pPr>
            <w:r>
              <w:rPr>
                <w:color w:val="1C3A36"/>
                <w:sz w:val="16"/>
              </w:rPr>
              <w:t>Bottom-up</w:t>
            </w:r>
          </w:p>
        </w:tc>
      </w:tr>
      <w:tr>
        <w:trPr>
          <w:cantSplit/>
        </w:trPr>
        <w:tc>
          <w:tcPr>
            <w:tcW w:type="dxa" w:w="2520"/>
          </w:tcPr>
          <w:p>
            <w:pPr>
              <w:spacing w:after="20"/>
            </w:pPr>
            <w:r>
              <w:rPr>
                <w:b/>
                <w:color w:val="1C3A36"/>
                <w:sz w:val="16"/>
              </w:rPr>
              <w:t>Working capital</w:t>
            </w:r>
          </w:p>
        </w:tc>
        <w:tc>
          <w:tcPr>
            <w:tcW w:type="dxa" w:w="5832"/>
          </w:tcPr>
          <w:p>
            <w:pPr>
              <w:spacing w:after="20"/>
            </w:pPr>
            <w:r>
              <w:rPr>
                <w:color w:val="1C3A36"/>
                <w:sz w:val="16"/>
              </w:rPr>
              <w:t>Projected from the receivable, inventory and payable days measured off the filed statements, with the gas accrual removed from payables because it is not a trade payable in the ordinary course.</w:t>
            </w:r>
          </w:p>
        </w:tc>
        <w:tc>
          <w:tcPr>
            <w:tcW w:type="dxa" w:w="1728"/>
          </w:tcPr>
          <w:p>
            <w:pPr>
              <w:spacing w:after="20"/>
              <w:jc w:val="right"/>
            </w:pPr>
            <w:r>
              <w:rPr>
                <w:color w:val="1C3A36"/>
                <w:sz w:val="16"/>
              </w:rPr>
              <w:t>Bottom-up</w:t>
            </w:r>
          </w:p>
        </w:tc>
      </w:tr>
      <w:tr>
        <w:trPr>
          <w:cantSplit/>
        </w:trPr>
        <w:tc>
          <w:tcPr>
            <w:tcW w:type="dxa" w:w="2520"/>
          </w:tcPr>
          <w:p>
            <w:pPr>
              <w:spacing w:after="20"/>
            </w:pPr>
            <w:r>
              <w:rPr>
                <w:b/>
                <w:color w:val="1C3A36"/>
                <w:sz w:val="16"/>
              </w:rPr>
              <w:t>Equity risk premium</w:t>
            </w:r>
          </w:p>
        </w:tc>
        <w:tc>
          <w:tcPr>
            <w:tcW w:type="dxa" w:w="5832"/>
          </w:tcPr>
          <w:p>
            <w:pPr>
              <w:spacing w:after="20"/>
            </w:pPr>
            <w:r>
              <w:rPr>
                <w:color w:val="1C3A36"/>
                <w:sz w:val="16"/>
              </w:rPr>
              <w:t>Each operating country priced off its own published sovereign row and weighted by disclosed non-current assets by country.</w:t>
            </w:r>
          </w:p>
        </w:tc>
        <w:tc>
          <w:tcPr>
            <w:tcW w:type="dxa" w:w="1728"/>
          </w:tcPr>
          <w:p>
            <w:pPr>
              <w:spacing w:after="20"/>
              <w:jc w:val="right"/>
            </w:pPr>
            <w:r>
              <w:rPr>
                <w:color w:val="1C3A36"/>
                <w:sz w:val="16"/>
              </w:rPr>
              <w:t>Bottom-up</w:t>
            </w:r>
          </w:p>
        </w:tc>
      </w:tr>
      <w:tr>
        <w:trPr>
          <w:cantSplit/>
        </w:trPr>
        <w:tc>
          <w:tcPr>
            <w:tcW w:type="dxa" w:w="2520"/>
          </w:tcPr>
          <w:p>
            <w:pPr>
              <w:spacing w:after="20"/>
            </w:pPr>
            <w:r>
              <w:rPr>
                <w:b/>
                <w:color w:val="1C3A36"/>
                <w:sz w:val="16"/>
              </w:rPr>
              <w:t>Cost of debt</w:t>
            </w:r>
          </w:p>
        </w:tc>
        <w:tc>
          <w:tcPr>
            <w:tcW w:type="dxa" w:w="5832"/>
          </w:tcPr>
          <w:p>
            <w:pPr>
              <w:spacing w:after="20"/>
            </w:pPr>
            <w:r>
              <w:rPr>
                <w:color w:val="1C3A36"/>
                <w:sz w:val="16"/>
              </w:rPr>
              <w:t>The company's own most recent borrowings, tranche by tranche, at their disclosed margins over the reference rate.</w:t>
            </w:r>
          </w:p>
        </w:tc>
        <w:tc>
          <w:tcPr>
            <w:tcW w:type="dxa" w:w="1728"/>
          </w:tcPr>
          <w:p>
            <w:pPr>
              <w:spacing w:after="20"/>
              <w:jc w:val="right"/>
            </w:pPr>
            <w:r>
              <w:rPr>
                <w:color w:val="1C3A36"/>
                <w:sz w:val="16"/>
              </w:rPr>
              <w:t>Bottom-up</w:t>
            </w:r>
          </w:p>
        </w:tc>
      </w:tr>
      <w:tr>
        <w:trPr>
          <w:cantSplit/>
        </w:trPr>
        <w:tc>
          <w:tcPr>
            <w:tcW w:type="dxa" w:w="2520"/>
          </w:tcPr>
          <w:p>
            <w:pPr>
              <w:spacing w:after="20"/>
            </w:pPr>
            <w:r>
              <w:rPr>
                <w:b/>
                <w:color w:val="1C3A36"/>
                <w:sz w:val="16"/>
              </w:rPr>
              <w:t>Beta</w:t>
            </w:r>
          </w:p>
        </w:tc>
        <w:tc>
          <w:tcPr>
            <w:tcW w:type="dxa" w:w="5832"/>
          </w:tcPr>
          <w:p>
            <w:pPr>
              <w:spacing w:after="20"/>
            </w:pPr>
            <w:r>
              <w:rPr>
                <w:color w:val="1C3A36"/>
                <w:sz w:val="16"/>
              </w:rPr>
              <w:t>Regression of the share's own weekly returns against an equal-weight composite of the local market over the full listed history.</w:t>
            </w:r>
          </w:p>
        </w:tc>
        <w:tc>
          <w:tcPr>
            <w:tcW w:type="dxa" w:w="1728"/>
          </w:tcPr>
          <w:p>
            <w:pPr>
              <w:spacing w:after="20"/>
              <w:jc w:val="right"/>
            </w:pPr>
            <w:r>
              <w:rPr>
                <w:color w:val="1C3A36"/>
                <w:sz w:val="16"/>
              </w:rPr>
              <w:t>Bottom-up</w:t>
            </w:r>
          </w:p>
        </w:tc>
      </w:tr>
    </w:tbl>
    <w:p>
      <w:pPr>
        <w:spacing w:after="40"/>
      </w:pPr>
    </w:p>
    <w:p>
      <w:pPr>
        <w:spacing w:after="200" w:before="0"/>
      </w:pPr>
      <w:r>
        <w:rPr>
          <w:b w:val="0"/>
          <w:i/>
          <w:color w:val="6E7B77"/>
          <w:sz w:val="17"/>
        </w:rPr>
        <w:t>The driver table. Eight of the nine drivers are built from unit economics. The ninth — third-party trading — is carried at a segment margin because the company discloses traded volumes but never a purchase price, and that gap is stated rather than papered over.</w:t>
      </w:r>
    </w:p>
    <w:p>
      <w:pPr>
        <w:spacing w:after="120" w:before="120"/>
      </w:pPr>
      <w:r>
        <w:rPr>
          <w:b w:val="0"/>
          <w:i w:val="0"/>
          <w:color w:val="1C3A36"/>
          <w:sz w:val="21"/>
        </w:rPr>
        <w:t>The two unit relationships that matter are worth showing directly, because both were measured rather than assumed.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2160"/>
        <w:gridCol w:w="2160"/>
        <w:gridCol w:w="2160"/>
      </w:tblGrid>
      <w:tr>
        <w:trPr>
          <w:cantSplit/>
          <w:tblHeader/>
        </w:trPr>
        <w:tc>
          <w:tcPr>
            <w:tcW w:type="dxa" w:w="3600"/>
            <w:shd w:val="clear" w:color="auto" w:fill="EAF0EE"/>
          </w:tcPr>
          <w:p>
            <w:pPr>
              <w:spacing w:after="20"/>
            </w:pPr>
            <w:r>
              <w:rPr>
                <w:b/>
                <w:color w:val="1C3A36"/>
                <w:sz w:val="17"/>
              </w:rPr>
            </w:r>
          </w:p>
        </w:tc>
        <w:tc>
          <w:tcPr>
            <w:tcW w:type="dxa" w:w="2160"/>
            <w:shd w:val="clear" w:color="auto" w:fill="EAF0EE"/>
          </w:tcPr>
          <w:p>
            <w:pPr>
              <w:spacing w:after="20"/>
            </w:pPr>
            <w:r>
              <w:rPr>
                <w:b/>
                <w:color w:val="1C3A36"/>
                <w:sz w:val="17"/>
              </w:rPr>
              <w:t>FY2024</w:t>
            </w:r>
          </w:p>
        </w:tc>
        <w:tc>
          <w:tcPr>
            <w:tcW w:type="dxa" w:w="2160"/>
            <w:shd w:val="clear" w:color="auto" w:fill="EAF0EE"/>
          </w:tcPr>
          <w:p>
            <w:pPr>
              <w:spacing w:after="20"/>
            </w:pPr>
            <w:r>
              <w:rPr>
                <w:b/>
                <w:color w:val="1C3A36"/>
                <w:sz w:val="17"/>
              </w:rPr>
              <w:t>FY2025</w:t>
            </w:r>
          </w:p>
        </w:tc>
        <w:tc>
          <w:tcPr>
            <w:tcW w:type="dxa" w:w="2160"/>
            <w:shd w:val="clear" w:color="auto" w:fill="EAF0EE"/>
          </w:tcPr>
          <w:p>
            <w:pPr>
              <w:spacing w:after="20"/>
            </w:pPr>
            <w:r>
              <w:rPr>
                <w:b/>
                <w:color w:val="1C3A36"/>
                <w:sz w:val="17"/>
              </w:rPr>
              <w:t>H1 2026</w:t>
            </w:r>
          </w:p>
        </w:tc>
      </w:tr>
      <w:tr>
        <w:trPr>
          <w:cantSplit/>
        </w:trPr>
        <w:tc>
          <w:tcPr>
            <w:tcW w:type="dxa" w:w="3600"/>
          </w:tcPr>
          <w:p>
            <w:pPr>
              <w:spacing w:after="20"/>
            </w:pPr>
            <w:r>
              <w:rPr>
                <w:b/>
                <w:color w:val="1C3A36"/>
                <w:sz w:val="17"/>
              </w:rPr>
              <w:t>Own-produced volume (kt)</w:t>
            </w:r>
          </w:p>
        </w:tc>
        <w:tc>
          <w:tcPr>
            <w:tcW w:type="dxa" w:w="2160"/>
          </w:tcPr>
          <w:p>
            <w:pPr>
              <w:spacing w:after="20"/>
              <w:jc w:val="right"/>
            </w:pPr>
            <w:r>
              <w:rPr>
                <w:color w:val="1C3A36"/>
                <w:sz w:val="17"/>
              </w:rPr>
              <w:t>5,345</w:t>
            </w:r>
          </w:p>
        </w:tc>
        <w:tc>
          <w:tcPr>
            <w:tcW w:type="dxa" w:w="2160"/>
          </w:tcPr>
          <w:p>
            <w:pPr>
              <w:spacing w:after="20"/>
              <w:jc w:val="right"/>
            </w:pPr>
            <w:r>
              <w:rPr>
                <w:color w:val="1C3A36"/>
                <w:sz w:val="17"/>
              </w:rPr>
              <w:t>5,498</w:t>
            </w:r>
          </w:p>
        </w:tc>
        <w:tc>
          <w:tcPr>
            <w:tcW w:type="dxa" w:w="2160"/>
          </w:tcPr>
          <w:p>
            <w:pPr>
              <w:spacing w:after="20"/>
              <w:jc w:val="right"/>
            </w:pPr>
            <w:r>
              <w:rPr>
                <w:color w:val="1C3A36"/>
                <w:sz w:val="17"/>
              </w:rPr>
              <w:t>2,571</w:t>
            </w:r>
          </w:p>
        </w:tc>
      </w:tr>
      <w:tr>
        <w:trPr>
          <w:cantSplit/>
        </w:trPr>
        <w:tc>
          <w:tcPr>
            <w:tcW w:type="dxa" w:w="3600"/>
          </w:tcPr>
          <w:p>
            <w:pPr>
              <w:spacing w:after="20"/>
            </w:pPr>
            <w:r>
              <w:rPr>
                <w:b/>
                <w:color w:val="1C3A36"/>
                <w:sz w:val="17"/>
              </w:rPr>
              <w:t>— of which urea</w:t>
            </w:r>
          </w:p>
        </w:tc>
        <w:tc>
          <w:tcPr>
            <w:tcW w:type="dxa" w:w="2160"/>
          </w:tcPr>
          <w:p>
            <w:pPr>
              <w:spacing w:after="20"/>
              <w:jc w:val="right"/>
            </w:pPr>
            <w:r>
              <w:rPr>
                <w:color w:val="1C3A36"/>
                <w:sz w:val="17"/>
              </w:rPr>
              <w:t>4,225</w:t>
            </w:r>
          </w:p>
        </w:tc>
        <w:tc>
          <w:tcPr>
            <w:tcW w:type="dxa" w:w="2160"/>
          </w:tcPr>
          <w:p>
            <w:pPr>
              <w:spacing w:after="20"/>
              <w:jc w:val="right"/>
            </w:pPr>
            <w:r>
              <w:rPr>
                <w:color w:val="1C3A36"/>
                <w:sz w:val="17"/>
              </w:rPr>
              <w:t>4,228</w:t>
            </w:r>
          </w:p>
        </w:tc>
        <w:tc>
          <w:tcPr>
            <w:tcW w:type="dxa" w:w="2160"/>
          </w:tcPr>
          <w:p>
            <w:pPr>
              <w:spacing w:after="20"/>
              <w:jc w:val="right"/>
            </w:pPr>
            <w:r>
              <w:rPr>
                <w:color w:val="1C3A36"/>
                <w:sz w:val="17"/>
              </w:rPr>
              <w:t>2,045</w:t>
            </w:r>
          </w:p>
        </w:tc>
      </w:tr>
      <w:tr>
        <w:trPr>
          <w:cantSplit/>
        </w:trPr>
        <w:tc>
          <w:tcPr>
            <w:tcW w:type="dxa" w:w="3600"/>
          </w:tcPr>
          <w:p>
            <w:pPr>
              <w:spacing w:after="20"/>
            </w:pPr>
            <w:r>
              <w:rPr>
                <w:b/>
                <w:color w:val="1C3A36"/>
                <w:sz w:val="17"/>
              </w:rPr>
              <w:t>— of which ammonia</w:t>
            </w:r>
          </w:p>
        </w:tc>
        <w:tc>
          <w:tcPr>
            <w:tcW w:type="dxa" w:w="2160"/>
          </w:tcPr>
          <w:p>
            <w:pPr>
              <w:spacing w:after="20"/>
              <w:jc w:val="right"/>
            </w:pPr>
            <w:r>
              <w:rPr>
                <w:color w:val="1C3A36"/>
                <w:sz w:val="17"/>
              </w:rPr>
              <w:t>1,119</w:t>
            </w:r>
          </w:p>
        </w:tc>
        <w:tc>
          <w:tcPr>
            <w:tcW w:type="dxa" w:w="2160"/>
          </w:tcPr>
          <w:p>
            <w:pPr>
              <w:spacing w:after="20"/>
              <w:jc w:val="right"/>
            </w:pPr>
            <w:r>
              <w:rPr>
                <w:color w:val="1C3A36"/>
                <w:sz w:val="17"/>
              </w:rPr>
              <w:t>1,267</w:t>
            </w:r>
          </w:p>
        </w:tc>
        <w:tc>
          <w:tcPr>
            <w:tcW w:type="dxa" w:w="2160"/>
          </w:tcPr>
          <w:p>
            <w:pPr>
              <w:spacing w:after="20"/>
              <w:jc w:val="right"/>
            </w:pPr>
            <w:r>
              <w:rPr>
                <w:color w:val="1C3A36"/>
                <w:sz w:val="17"/>
              </w:rPr>
              <w:t>523</w:t>
            </w:r>
          </w:p>
        </w:tc>
      </w:tr>
      <w:tr>
        <w:trPr>
          <w:cantSplit/>
        </w:trPr>
        <w:tc>
          <w:tcPr>
            <w:tcW w:type="dxa" w:w="3600"/>
          </w:tcPr>
          <w:p>
            <w:pPr>
              <w:spacing w:after="20"/>
            </w:pPr>
            <w:r>
              <w:rPr>
                <w:b/>
                <w:color w:val="1C3A36"/>
                <w:sz w:val="17"/>
              </w:rPr>
              <w:t>Volume-weighted benchmark ($/t)</w:t>
            </w:r>
          </w:p>
        </w:tc>
        <w:tc>
          <w:tcPr>
            <w:tcW w:type="dxa" w:w="2160"/>
          </w:tcPr>
          <w:p>
            <w:pPr>
              <w:spacing w:after="20"/>
              <w:jc w:val="right"/>
            </w:pPr>
            <w:r>
              <w:rPr>
                <w:color w:val="1C3A36"/>
                <w:sz w:val="17"/>
              </w:rPr>
              <w:t>355</w:t>
            </w:r>
          </w:p>
        </w:tc>
        <w:tc>
          <w:tcPr>
            <w:tcW w:type="dxa" w:w="2160"/>
          </w:tcPr>
          <w:p>
            <w:pPr>
              <w:spacing w:after="20"/>
              <w:jc w:val="right"/>
            </w:pPr>
            <w:r>
              <w:rPr>
                <w:color w:val="1C3A36"/>
                <w:sz w:val="17"/>
              </w:rPr>
              <w:t>418</w:t>
            </w:r>
          </w:p>
        </w:tc>
        <w:tc>
          <w:tcPr>
            <w:tcW w:type="dxa" w:w="2160"/>
          </w:tcPr>
          <w:p>
            <w:pPr>
              <w:spacing w:after="20"/>
              <w:jc w:val="right"/>
            </w:pPr>
            <w:r>
              <w:rPr>
                <w:color w:val="1C3A36"/>
                <w:sz w:val="17"/>
              </w:rPr>
              <w:t>628</w:t>
            </w:r>
          </w:p>
        </w:tc>
      </w:tr>
      <w:tr>
        <w:trPr>
          <w:cantSplit/>
        </w:trPr>
        <w:tc>
          <w:tcPr>
            <w:tcW w:type="dxa" w:w="3600"/>
          </w:tcPr>
          <w:p>
            <w:pPr>
              <w:spacing w:after="20"/>
            </w:pPr>
            <w:r>
              <w:rPr>
                <w:b/>
                <w:color w:val="1C3A36"/>
                <w:sz w:val="17"/>
              </w:rPr>
              <w:t>Realised price ($/t)</w:t>
            </w:r>
          </w:p>
        </w:tc>
        <w:tc>
          <w:tcPr>
            <w:tcW w:type="dxa" w:w="2160"/>
          </w:tcPr>
          <w:p>
            <w:pPr>
              <w:spacing w:after="20"/>
              <w:jc w:val="right"/>
            </w:pPr>
            <w:r>
              <w:rPr>
                <w:color w:val="1C3A36"/>
                <w:sz w:val="17"/>
              </w:rPr>
              <w:t>355</w:t>
            </w:r>
          </w:p>
        </w:tc>
        <w:tc>
          <w:tcPr>
            <w:tcW w:type="dxa" w:w="2160"/>
          </w:tcPr>
          <w:p>
            <w:pPr>
              <w:spacing w:after="20"/>
              <w:jc w:val="right"/>
            </w:pPr>
            <w:r>
              <w:rPr>
                <w:color w:val="1C3A36"/>
                <w:sz w:val="17"/>
              </w:rPr>
              <w:t>424</w:t>
            </w:r>
          </w:p>
        </w:tc>
        <w:tc>
          <w:tcPr>
            <w:tcW w:type="dxa" w:w="2160"/>
          </w:tcPr>
          <w:p>
            <w:pPr>
              <w:spacing w:after="20"/>
              <w:jc w:val="right"/>
            </w:pPr>
            <w:r>
              <w:rPr>
                <w:color w:val="1C3A36"/>
                <w:sz w:val="17"/>
              </w:rPr>
              <w:t>621</w:t>
            </w:r>
          </w:p>
        </w:tc>
      </w:tr>
      <w:tr>
        <w:trPr>
          <w:cantSplit/>
        </w:trPr>
        <w:tc>
          <w:tcPr>
            <w:tcW w:type="dxa" w:w="3600"/>
          </w:tcPr>
          <w:p>
            <w:pPr>
              <w:spacing w:after="20"/>
            </w:pPr>
            <w:r>
              <w:rPr>
                <w:b/>
                <w:color w:val="1C3A36"/>
                <w:sz w:val="17"/>
              </w:rPr>
              <w:t>Realisation ratio</w:t>
            </w:r>
          </w:p>
        </w:tc>
        <w:tc>
          <w:tcPr>
            <w:tcW w:type="dxa" w:w="2160"/>
          </w:tcPr>
          <w:p>
            <w:pPr>
              <w:spacing w:after="20"/>
              <w:jc w:val="right"/>
            </w:pPr>
            <w:r>
              <w:rPr>
                <w:color w:val="1C3A36"/>
                <w:sz w:val="17"/>
              </w:rPr>
              <w:t>0.998</w:t>
            </w:r>
          </w:p>
        </w:tc>
        <w:tc>
          <w:tcPr>
            <w:tcW w:type="dxa" w:w="2160"/>
          </w:tcPr>
          <w:p>
            <w:pPr>
              <w:spacing w:after="20"/>
              <w:jc w:val="right"/>
            </w:pPr>
            <w:r>
              <w:rPr>
                <w:color w:val="1C3A36"/>
                <w:sz w:val="17"/>
              </w:rPr>
              <w:t>1.016</w:t>
            </w:r>
          </w:p>
        </w:tc>
        <w:tc>
          <w:tcPr>
            <w:tcW w:type="dxa" w:w="2160"/>
          </w:tcPr>
          <w:p>
            <w:pPr>
              <w:spacing w:after="20"/>
              <w:jc w:val="right"/>
            </w:pPr>
            <w:r>
              <w:rPr>
                <w:color w:val="1C3A36"/>
                <w:sz w:val="17"/>
              </w:rPr>
              <w:t>0.989</w:t>
            </w:r>
          </w:p>
        </w:tc>
      </w:tr>
      <w:tr>
        <w:trPr>
          <w:cantSplit/>
        </w:trPr>
        <w:tc>
          <w:tcPr>
            <w:tcW w:type="dxa" w:w="3600"/>
          </w:tcPr>
          <w:p>
            <w:pPr>
              <w:spacing w:after="20"/>
            </w:pPr>
            <w:r>
              <w:rPr>
                <w:b/>
                <w:color w:val="1C3A36"/>
                <w:sz w:val="17"/>
              </w:rPr>
              <w:t>Cash cost ($/t)</w:t>
            </w:r>
          </w:p>
        </w:tc>
        <w:tc>
          <w:tcPr>
            <w:tcW w:type="dxa" w:w="2160"/>
          </w:tcPr>
          <w:p>
            <w:pPr>
              <w:spacing w:after="20"/>
              <w:jc w:val="right"/>
            </w:pPr>
            <w:r>
              <w:rPr>
                <w:color w:val="1C3A36"/>
                <w:sz w:val="17"/>
              </w:rPr>
              <w:t>224</w:t>
            </w:r>
          </w:p>
        </w:tc>
        <w:tc>
          <w:tcPr>
            <w:tcW w:type="dxa" w:w="2160"/>
          </w:tcPr>
          <w:p>
            <w:pPr>
              <w:spacing w:after="20"/>
              <w:jc w:val="right"/>
            </w:pPr>
            <w:r>
              <w:rPr>
                <w:color w:val="1C3A36"/>
                <w:sz w:val="17"/>
              </w:rPr>
              <w:t>231</w:t>
            </w:r>
          </w:p>
        </w:tc>
        <w:tc>
          <w:tcPr>
            <w:tcW w:type="dxa" w:w="2160"/>
          </w:tcPr>
          <w:p>
            <w:pPr>
              <w:spacing w:after="20"/>
              <w:jc w:val="right"/>
            </w:pPr>
            <w:r>
              <w:rPr>
                <w:color w:val="1C3A36"/>
                <w:sz w:val="17"/>
              </w:rPr>
              <w:t>345</w:t>
            </w:r>
          </w:p>
        </w:tc>
      </w:tr>
      <w:tr>
        <w:trPr>
          <w:cantSplit/>
        </w:trPr>
        <w:tc>
          <w:tcPr>
            <w:tcW w:type="dxa" w:w="3600"/>
          </w:tcPr>
          <w:p>
            <w:pPr>
              <w:spacing w:after="20"/>
            </w:pPr>
            <w:r>
              <w:rPr>
                <w:b/>
                <w:color w:val="1C3A36"/>
                <w:sz w:val="17"/>
              </w:rPr>
              <w:t>EBITDA margin, own product</w:t>
            </w:r>
          </w:p>
        </w:tc>
        <w:tc>
          <w:tcPr>
            <w:tcW w:type="dxa" w:w="2160"/>
          </w:tcPr>
          <w:p>
            <w:pPr>
              <w:spacing w:after="20"/>
              <w:jc w:val="right"/>
            </w:pPr>
            <w:r>
              <w:rPr>
                <w:color w:val="1C3A36"/>
                <w:sz w:val="17"/>
              </w:rPr>
              <w:t>36.8%</w:t>
            </w:r>
          </w:p>
        </w:tc>
        <w:tc>
          <w:tcPr>
            <w:tcW w:type="dxa" w:w="2160"/>
          </w:tcPr>
          <w:p>
            <w:pPr>
              <w:spacing w:after="20"/>
              <w:jc w:val="right"/>
            </w:pPr>
            <w:r>
              <w:rPr>
                <w:color w:val="1C3A36"/>
                <w:sz w:val="17"/>
              </w:rPr>
              <w:t>45.4%</w:t>
            </w:r>
          </w:p>
        </w:tc>
        <w:tc>
          <w:tcPr>
            <w:tcW w:type="dxa" w:w="2160"/>
          </w:tcPr>
          <w:p>
            <w:pPr>
              <w:spacing w:after="20"/>
              <w:jc w:val="right"/>
            </w:pPr>
            <w:r>
              <w:rPr>
                <w:color w:val="1C3A36"/>
                <w:sz w:val="17"/>
              </w:rPr>
              <w:t>44.4%</w:t>
            </w:r>
          </w:p>
        </w:tc>
      </w:tr>
    </w:tbl>
    <w:p>
      <w:pPr>
        <w:spacing w:after="40"/>
      </w:pPr>
    </w:p>
    <w:p>
      <w:pPr>
        <w:spacing w:after="200" w:before="0"/>
      </w:pPr>
      <w:r>
        <w:rPr>
          <w:b w:val="0"/>
          <w:i/>
          <w:color w:val="6E7B77"/>
          <w:sz w:val="17"/>
        </w:rPr>
        <w:t>The unit build, measured across three independently disclosed periods. The realisation ratio — what the company actually gets against the published benchmark — sat within two percent of one in all three, which is what makes it usable as a forward driver.</w:t>
      </w:r>
    </w:p>
    <w:p>
      <w:pPr>
        <w:spacing w:after="40"/>
        <w:jc w:val="center"/>
      </w:pPr>
      <w:r>
        <w:drawing>
          <wp:inline xmlns:a="http://schemas.openxmlformats.org/drawingml/2006/main" xmlns:pic="http://schemas.openxmlformats.org/drawingml/2006/picture">
            <wp:extent cx="5669280" cy="4797083"/>
            <wp:docPr id="3" name="Picture 3"/>
            <wp:cNvGraphicFramePr>
              <a:graphicFrameLocks noChangeAspect="1"/>
            </wp:cNvGraphicFramePr>
            <a:graphic>
              <a:graphicData uri="http://schemas.openxmlformats.org/drawingml/2006/picture">
                <pic:pic>
                  <pic:nvPicPr>
                    <pic:cNvPr id="0" name="fig6_segments.png"/>
                    <pic:cNvPicPr/>
                  </pic:nvPicPr>
                  <pic:blipFill>
                    <a:blip r:embed="rId11"/>
                    <a:stretch>
                      <a:fillRect/>
                    </a:stretch>
                  </pic:blipFill>
                  <pic:spPr>
                    <a:xfrm>
                      <a:off x="0" y="0"/>
                      <a:ext cx="5669280" cy="4797083"/>
                    </a:xfrm>
                    <a:prstGeom prst="rect"/>
                  </pic:spPr>
                </pic:pic>
              </a:graphicData>
            </a:graphic>
          </wp:inline>
        </w:drawing>
      </w:r>
    </w:p>
    <w:p>
      <w:pPr>
        <w:spacing w:after="200" w:before="0"/>
      </w:pPr>
      <w:r>
        <w:rPr>
          <w:b w:val="0"/>
          <w:i/>
          <w:color w:val="6E7B77"/>
          <w:sz w:val="17"/>
        </w:rPr>
        <w:t>Figure 3. Revenue and profit by segment, reported and forecast.</w:t>
      </w:r>
    </w:p>
    <w:p>
      <w:pPr>
        <w:spacing w:after="80" w:before="200"/>
      </w:pPr>
      <w:r>
        <w:rPr>
          <w:b/>
          <w:i w:val="0"/>
          <w:color w:val="1C3A36"/>
          <w:sz w:val="24"/>
        </w:rPr>
        <w:t>1.7  The crux</w:t>
      </w:r>
    </w:p>
    <w:p>
      <w:pPr>
        <w:spacing w:after="120" w:before="0"/>
      </w:pPr>
      <w:r>
        <w:rPr>
          <w:b/>
          <w:i w:val="0"/>
          <w:color w:val="1C3A36"/>
          <w:sz w:val="22"/>
        </w:rPr>
        <w:t>Everything above turns on one question: when the price of urea rises by a dollar, how much of that dollar does Fertiglobe keep?</w:t>
      </w:r>
    </w:p>
    <w:p>
      <w:pPr>
        <w:spacing w:after="120" w:before="0"/>
      </w:pPr>
      <w:r>
        <w:rPr>
          <w:b w:val="0"/>
          <w:i w:val="0"/>
          <w:color w:val="1C3A36"/>
          <w:sz w:val="21"/>
        </w:rPr>
        <w:t>The FY2025 audited segment note says the production entities "all benefit from long term gas offtake agreements with no/limited price exposure on the supply of natural gas". Read alone, that says the company keeps almost all of it, and a model built on that reading would value Fertiglobe very highly indeed on 2026 prices.</w:t>
      </w:r>
    </w:p>
    <w:p>
      <w:pPr>
        <w:spacing w:after="120" w:before="0"/>
      </w:pPr>
      <w:r>
        <w:rPr>
          <w:b w:val="0"/>
          <w:i w:val="0"/>
          <w:color w:val="1C3A36"/>
          <w:sz w:val="21"/>
        </w:rPr>
        <w:t>The chief executive said something different on the second-quarter results call on 6 August 2026: "we have gas-linked — sorry, product-linked gas pricing effectively in both Egypt as well as Algeria. So, product prices are very strong. We'll see a higher gas cost." He put the delivered gas price for the second quarter at $6 per million British thermal units, or $8 including the Algerian profit-share arrangement.</w:t>
      </w:r>
    </w:p>
    <w:p>
      <w:pPr>
        <w:spacing w:after="120" w:before="0"/>
      </w:pPr>
      <w:r>
        <w:rPr>
          <w:b w:val="0"/>
          <w:i w:val="0"/>
          <w:color w:val="1C3A36"/>
          <w:sz w:val="21"/>
        </w:rPr>
        <w:t>These two statements cannot both be complete. The study resolves the conflict in favour of the more recent and more specific one, and then does the thing that settles it properly — measures the relationship from the company's own numbers.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2232"/>
        <w:gridCol w:w="2016"/>
        <w:gridCol w:w="2016"/>
        <w:gridCol w:w="1944"/>
      </w:tblGrid>
      <w:tr>
        <w:trPr>
          <w:cantSplit/>
          <w:tblHeader/>
        </w:trPr>
        <w:tc>
          <w:tcPr>
            <w:tcW w:type="dxa" w:w="1872"/>
            <w:shd w:val="clear" w:color="auto" w:fill="EAF0EE"/>
          </w:tcPr>
          <w:p>
            <w:pPr>
              <w:spacing w:after="20"/>
            </w:pPr>
            <w:r>
              <w:rPr>
                <w:b/>
                <w:color w:val="1C3A36"/>
                <w:sz w:val="17"/>
              </w:rPr>
              <w:t>Period</w:t>
            </w:r>
          </w:p>
        </w:tc>
        <w:tc>
          <w:tcPr>
            <w:tcW w:type="dxa" w:w="2232"/>
            <w:shd w:val="clear" w:color="auto" w:fill="EAF0EE"/>
          </w:tcPr>
          <w:p>
            <w:pPr>
              <w:spacing w:after="20"/>
            </w:pPr>
            <w:r>
              <w:rPr>
                <w:b/>
                <w:color w:val="1C3A36"/>
                <w:sz w:val="17"/>
              </w:rPr>
              <w:t>Realised price ($/t)</w:t>
            </w:r>
          </w:p>
        </w:tc>
        <w:tc>
          <w:tcPr>
            <w:tcW w:type="dxa" w:w="2016"/>
            <w:shd w:val="clear" w:color="auto" w:fill="EAF0EE"/>
          </w:tcPr>
          <w:p>
            <w:pPr>
              <w:spacing w:after="20"/>
            </w:pPr>
            <w:r>
              <w:rPr>
                <w:b/>
                <w:color w:val="1C3A36"/>
                <w:sz w:val="17"/>
              </w:rPr>
              <w:t>Cash cost ($/t)</w:t>
            </w:r>
          </w:p>
        </w:tc>
        <w:tc>
          <w:tcPr>
            <w:tcW w:type="dxa" w:w="2016"/>
            <w:shd w:val="clear" w:color="auto" w:fill="EAF0EE"/>
          </w:tcPr>
          <w:p>
            <w:pPr>
              <w:spacing w:after="20"/>
            </w:pPr>
            <w:r>
              <w:rPr>
                <w:b/>
                <w:color w:val="1C3A36"/>
                <w:sz w:val="17"/>
              </w:rPr>
              <w:t>Change in price</w:t>
            </w:r>
          </w:p>
        </w:tc>
        <w:tc>
          <w:tcPr>
            <w:tcW w:type="dxa" w:w="1944"/>
            <w:shd w:val="clear" w:color="auto" w:fill="EAF0EE"/>
          </w:tcPr>
          <w:p>
            <w:pPr>
              <w:spacing w:after="20"/>
            </w:pPr>
            <w:r>
              <w:rPr>
                <w:b/>
                <w:color w:val="1C3A36"/>
                <w:sz w:val="17"/>
              </w:rPr>
              <w:t>Change in cost</w:t>
            </w:r>
          </w:p>
        </w:tc>
      </w:tr>
      <w:tr>
        <w:trPr>
          <w:cantSplit/>
        </w:trPr>
        <w:tc>
          <w:tcPr>
            <w:tcW w:type="dxa" w:w="1872"/>
          </w:tcPr>
          <w:p>
            <w:pPr>
              <w:spacing w:after="20"/>
            </w:pPr>
            <w:r>
              <w:rPr>
                <w:b/>
                <w:color w:val="1C3A36"/>
                <w:sz w:val="17"/>
              </w:rPr>
              <w:t>FY2024</w:t>
            </w:r>
          </w:p>
        </w:tc>
        <w:tc>
          <w:tcPr>
            <w:tcW w:type="dxa" w:w="2232"/>
          </w:tcPr>
          <w:p>
            <w:pPr>
              <w:spacing w:after="20"/>
              <w:jc w:val="right"/>
            </w:pPr>
            <w:r>
              <w:rPr>
                <w:color w:val="1C3A36"/>
                <w:sz w:val="17"/>
              </w:rPr>
              <w:t>355</w:t>
            </w:r>
          </w:p>
        </w:tc>
        <w:tc>
          <w:tcPr>
            <w:tcW w:type="dxa" w:w="2016"/>
          </w:tcPr>
          <w:p>
            <w:pPr>
              <w:spacing w:after="20"/>
              <w:jc w:val="right"/>
            </w:pPr>
            <w:r>
              <w:rPr>
                <w:color w:val="1C3A36"/>
                <w:sz w:val="17"/>
              </w:rPr>
              <w:t>224</w:t>
            </w:r>
          </w:p>
        </w:tc>
        <w:tc>
          <w:tcPr>
            <w:tcW w:type="dxa" w:w="2016"/>
          </w:tcPr>
          <w:p>
            <w:pPr>
              <w:spacing w:after="20"/>
              <w:jc w:val="right"/>
            </w:pPr>
            <w:r>
              <w:rPr>
                <w:color w:val="1C3A36"/>
                <w:sz w:val="17"/>
              </w:rPr>
            </w:r>
          </w:p>
        </w:tc>
        <w:tc>
          <w:tcPr>
            <w:tcW w:type="dxa" w:w="1944"/>
          </w:tcPr>
          <w:p>
            <w:pPr>
              <w:spacing w:after="20"/>
              <w:jc w:val="right"/>
            </w:pPr>
            <w:r>
              <w:rPr>
                <w:color w:val="1C3A36"/>
                <w:sz w:val="17"/>
              </w:rPr>
            </w:r>
          </w:p>
        </w:tc>
      </w:tr>
      <w:tr>
        <w:trPr>
          <w:cantSplit/>
        </w:trPr>
        <w:tc>
          <w:tcPr>
            <w:tcW w:type="dxa" w:w="1872"/>
          </w:tcPr>
          <w:p>
            <w:pPr>
              <w:spacing w:after="20"/>
            </w:pPr>
            <w:r>
              <w:rPr>
                <w:b/>
                <w:color w:val="1C3A36"/>
                <w:sz w:val="17"/>
              </w:rPr>
              <w:t>FY2025</w:t>
            </w:r>
          </w:p>
        </w:tc>
        <w:tc>
          <w:tcPr>
            <w:tcW w:type="dxa" w:w="2232"/>
          </w:tcPr>
          <w:p>
            <w:pPr>
              <w:spacing w:after="20"/>
              <w:jc w:val="right"/>
            </w:pPr>
            <w:r>
              <w:rPr>
                <w:color w:val="1C3A36"/>
                <w:sz w:val="17"/>
              </w:rPr>
              <w:t>424</w:t>
            </w:r>
          </w:p>
        </w:tc>
        <w:tc>
          <w:tcPr>
            <w:tcW w:type="dxa" w:w="2016"/>
          </w:tcPr>
          <w:p>
            <w:pPr>
              <w:spacing w:after="20"/>
              <w:jc w:val="right"/>
            </w:pPr>
            <w:r>
              <w:rPr>
                <w:color w:val="1C3A36"/>
                <w:sz w:val="17"/>
              </w:rPr>
              <w:t>231</w:t>
            </w:r>
          </w:p>
        </w:tc>
        <w:tc>
          <w:tcPr>
            <w:tcW w:type="dxa" w:w="2016"/>
          </w:tcPr>
          <w:p>
            <w:pPr>
              <w:spacing w:after="20"/>
              <w:jc w:val="right"/>
            </w:pPr>
            <w:r>
              <w:rPr>
                <w:color w:val="1C3A36"/>
                <w:sz w:val="17"/>
              </w:rPr>
              <w:t>69</w:t>
            </w:r>
          </w:p>
        </w:tc>
        <w:tc>
          <w:tcPr>
            <w:tcW w:type="dxa" w:w="1944"/>
          </w:tcPr>
          <w:p>
            <w:pPr>
              <w:spacing w:after="20"/>
              <w:jc w:val="right"/>
            </w:pPr>
            <w:r>
              <w:rPr>
                <w:color w:val="1C3A36"/>
                <w:sz w:val="17"/>
              </w:rPr>
              <w:t>7</w:t>
            </w:r>
          </w:p>
        </w:tc>
      </w:tr>
      <w:tr>
        <w:trPr>
          <w:cantSplit/>
        </w:trPr>
        <w:tc>
          <w:tcPr>
            <w:tcW w:type="dxa" w:w="1872"/>
          </w:tcPr>
          <w:p>
            <w:pPr>
              <w:spacing w:after="20"/>
            </w:pPr>
            <w:r>
              <w:rPr>
                <w:b/>
                <w:color w:val="1C3A36"/>
                <w:sz w:val="17"/>
              </w:rPr>
              <w:t>H1 2026</w:t>
            </w:r>
          </w:p>
        </w:tc>
        <w:tc>
          <w:tcPr>
            <w:tcW w:type="dxa" w:w="2232"/>
          </w:tcPr>
          <w:p>
            <w:pPr>
              <w:spacing w:after="20"/>
              <w:jc w:val="right"/>
            </w:pPr>
            <w:r>
              <w:rPr>
                <w:color w:val="1C3A36"/>
                <w:sz w:val="17"/>
              </w:rPr>
              <w:t>621</w:t>
            </w:r>
          </w:p>
        </w:tc>
        <w:tc>
          <w:tcPr>
            <w:tcW w:type="dxa" w:w="2016"/>
          </w:tcPr>
          <w:p>
            <w:pPr>
              <w:spacing w:after="20"/>
              <w:jc w:val="right"/>
            </w:pPr>
            <w:r>
              <w:rPr>
                <w:color w:val="1C3A36"/>
                <w:sz w:val="17"/>
              </w:rPr>
              <w:t>345</w:t>
            </w:r>
          </w:p>
        </w:tc>
        <w:tc>
          <w:tcPr>
            <w:tcW w:type="dxa" w:w="2016"/>
          </w:tcPr>
          <w:p>
            <w:pPr>
              <w:spacing w:after="20"/>
              <w:jc w:val="right"/>
            </w:pPr>
            <w:r>
              <w:rPr>
                <w:color w:val="1C3A36"/>
                <w:sz w:val="17"/>
              </w:rPr>
              <w:t>197</w:t>
            </w:r>
          </w:p>
        </w:tc>
        <w:tc>
          <w:tcPr>
            <w:tcW w:type="dxa" w:w="1944"/>
          </w:tcPr>
          <w:p>
            <w:pPr>
              <w:spacing w:after="20"/>
              <w:jc w:val="right"/>
            </w:pPr>
            <w:r>
              <w:rPr>
                <w:color w:val="1C3A36"/>
                <w:sz w:val="17"/>
              </w:rPr>
              <w:t>114</w:t>
            </w:r>
          </w:p>
        </w:tc>
      </w:tr>
    </w:tbl>
    <w:p>
      <w:pPr>
        <w:spacing w:after="40"/>
      </w:pPr>
    </w:p>
    <w:p>
      <w:pPr>
        <w:spacing w:after="200" w:before="0"/>
      </w:pPr>
      <w:r>
        <w:rPr>
          <w:b w:val="0"/>
          <w:i/>
          <w:color w:val="6E7B77"/>
          <w:sz w:val="17"/>
        </w:rPr>
        <w:t>Cost against price, from disclosed segment revenue and segment EBITDA divided by disclosed own-produced volume. Three periods, three independent filings.</w:t>
      </w:r>
    </w:p>
    <w:p>
      <w:pPr>
        <w:spacing w:after="120" w:before="0"/>
      </w:pPr>
      <w:r>
        <w:rPr>
          <w:b w:val="0"/>
          <w:i w:val="0"/>
          <w:color w:val="1C3A36"/>
          <w:sz w:val="21"/>
        </w:rPr>
        <w:t>Regressing cash cost per tonne on realised price per tonne across those three periods gives a slope of 0.481 with an R-squared of 0.960. In plain terms: about 48% of every additional dollar of price is consumed by cost before it reaches profit. Three observations is a small sample and the study says so plainly — but two independent checks support it.</w:t>
      </w:r>
    </w:p>
    <w:p>
      <w:pPr>
        <w:pStyle w:val="ListBullet"/>
        <w:spacing w:after="60"/>
      </w:pPr>
      <w:r>
        <w:rPr>
          <w:color w:val="1C3A36"/>
          <w:sz w:val="21"/>
        </w:rPr>
        <w:t>The relationship survives removing the Algerian gas accrual. That accrual is a retrospective catch-up rather than a run rate, and stripping it out changes the slope only from 0.481 to 0.489. The link is therefore not an artefact of that one item.</w:t>
      </w:r>
    </w:p>
    <w:p>
      <w:pPr>
        <w:pStyle w:val="ListBullet"/>
        <w:spacing w:after="60"/>
      </w:pPr>
      <w:r>
        <w:rPr>
          <w:color w:val="1C3A36"/>
          <w:sz w:val="21"/>
        </w:rPr>
        <w:t>The physics agrees. At roughly 24 million British thermal units of gas per tonne of product sold, the observed cost increase between 2025 and the first half of 2026 implies the delivered gas price rose by about $4.74 per unit. Working back from the $6 the chief executive disclosed for the second quarter puts the earlier price near $1.26 — which is exactly where legacy Algerian and Egyptian contract gas would be expected to sit. The accounting and the engineering arrive at the same place by different routes.</w:t>
      </w:r>
    </w:p>
    <w:p>
      <w:pPr>
        <w:spacing w:after="40"/>
        <w:jc w:val="center"/>
      </w:pPr>
      <w:r>
        <w:drawing>
          <wp:inline xmlns:a="http://schemas.openxmlformats.org/drawingml/2006/main" xmlns:pic="http://schemas.openxmlformats.org/drawingml/2006/picture">
            <wp:extent cx="5486400" cy="3671667"/>
            <wp:docPr id="4" name="Picture 4"/>
            <wp:cNvGraphicFramePr>
              <a:graphicFrameLocks noChangeAspect="1"/>
            </wp:cNvGraphicFramePr>
            <a:graphic>
              <a:graphicData uri="http://schemas.openxmlformats.org/drawingml/2006/picture">
                <pic:pic>
                  <pic:nvPicPr>
                    <pic:cNvPr id="0" name="fig3_costpass.png"/>
                    <pic:cNvPicPr/>
                  </pic:nvPicPr>
                  <pic:blipFill>
                    <a:blip r:embed="rId12"/>
                    <a:stretch>
                      <a:fillRect/>
                    </a:stretch>
                  </pic:blipFill>
                  <pic:spPr>
                    <a:xfrm>
                      <a:off x="0" y="0"/>
                      <a:ext cx="5486400" cy="3671667"/>
                    </a:xfrm>
                    <a:prstGeom prst="rect"/>
                  </pic:spPr>
                </pic:pic>
              </a:graphicData>
            </a:graphic>
          </wp:inline>
        </w:drawing>
      </w:r>
    </w:p>
    <w:p>
      <w:pPr>
        <w:spacing w:after="200" w:before="0"/>
      </w:pPr>
      <w:r>
        <w:rPr>
          <w:b w:val="0"/>
          <w:i/>
          <w:color w:val="6E7B77"/>
          <w:sz w:val="17"/>
        </w:rPr>
        <w:t>Figure 4. Cash cost per tonne against realised price per tonne, with the fitted relationship. This is the study's central piece of evidence.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EAF0EE"/>
          </w:tcPr>
          <w:p>
            <w:pPr>
              <w:spacing w:after="100"/>
            </w:pPr>
            <w:r>
              <w:rPr>
                <w:b/>
                <w:color w:val="1C3A36"/>
                <w:sz w:val="19"/>
              </w:rPr>
              <w:t xml:space="preserve">Why this cuts both ways. </w:t>
            </w:r>
            <w:r>
              <w:rPr>
                <w:color w:val="1C3A36"/>
                <w:sz w:val="19"/>
              </w:rPr>
              <w:t>The link is not simply bad news. It is what the chief executive called right-way risk: when prices fall, the gas cost falls with them, and the margin is defended from below as well as capped from above. It makes Fertiglobe a less volatile business than its revenue line suggests — and a less explosive one than the first half of 2026 suggests.</w:t>
            </w:r>
          </w:p>
        </w:tc>
      </w:tr>
    </w:tbl>
    <w:p>
      <w:pPr>
        <w:spacing w:after="40"/>
      </w:pPr>
    </w:p>
    <w:p>
      <w:pPr>
        <w:spacing w:after="80" w:before="200"/>
      </w:pPr>
      <w:r>
        <w:rPr>
          <w:b/>
          <w:i w:val="0"/>
          <w:color w:val="1C3A36"/>
          <w:sz w:val="24"/>
        </w:rPr>
        <w:t>1.8  Macro and country</w:t>
      </w:r>
    </w:p>
    <w:p>
      <w:pPr>
        <w:spacing w:after="120" w:before="0"/>
      </w:pPr>
      <w:r>
        <w:rPr>
          <w:b w:val="0"/>
          <w:i w:val="0"/>
          <w:color w:val="1C3A36"/>
          <w:sz w:val="21"/>
        </w:rPr>
        <w:t>Fertiglobe operates across three sovereigns with very different risk, and the cost of capital is built from the ground up to reflect that rather than treating the company as purely Emirati.</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1440"/>
        <w:gridCol w:w="1800"/>
        <w:gridCol w:w="2304"/>
        <w:gridCol w:w="2520"/>
      </w:tblGrid>
      <w:tr>
        <w:trPr>
          <w:cantSplit/>
          <w:tblHeader/>
        </w:trPr>
        <w:tc>
          <w:tcPr>
            <w:tcW w:type="dxa" w:w="2016"/>
            <w:shd w:val="clear" w:color="auto" w:fill="EAF0EE"/>
          </w:tcPr>
          <w:p>
            <w:pPr>
              <w:spacing w:after="20"/>
            </w:pPr>
            <w:r>
              <w:rPr>
                <w:b/>
                <w:color w:val="1C3A36"/>
                <w:sz w:val="17"/>
              </w:rPr>
              <w:t>Country</w:t>
            </w:r>
          </w:p>
        </w:tc>
        <w:tc>
          <w:tcPr>
            <w:tcW w:type="dxa" w:w="1440"/>
            <w:shd w:val="clear" w:color="auto" w:fill="EAF0EE"/>
          </w:tcPr>
          <w:p>
            <w:pPr>
              <w:spacing w:after="20"/>
            </w:pPr>
            <w:r>
              <w:rPr>
                <w:b/>
                <w:color w:val="1C3A36"/>
                <w:sz w:val="17"/>
              </w:rPr>
              <w:t>Rating</w:t>
            </w:r>
          </w:p>
        </w:tc>
        <w:tc>
          <w:tcPr>
            <w:tcW w:type="dxa" w:w="1800"/>
            <w:shd w:val="clear" w:color="auto" w:fill="EAF0EE"/>
          </w:tcPr>
          <w:p>
            <w:pPr>
              <w:spacing w:after="20"/>
            </w:pPr>
            <w:r>
              <w:rPr>
                <w:b/>
                <w:color w:val="1C3A36"/>
                <w:sz w:val="17"/>
              </w:rPr>
              <w:t>Default spread</w:t>
            </w:r>
          </w:p>
        </w:tc>
        <w:tc>
          <w:tcPr>
            <w:tcW w:type="dxa" w:w="2304"/>
            <w:shd w:val="clear" w:color="auto" w:fill="EAF0EE"/>
          </w:tcPr>
          <w:p>
            <w:pPr>
              <w:spacing w:after="20"/>
            </w:pPr>
            <w:r>
              <w:rPr>
                <w:b/>
                <w:color w:val="1C3A36"/>
                <w:sz w:val="17"/>
              </w:rPr>
              <w:t>Equity risk premium</w:t>
            </w:r>
          </w:p>
        </w:tc>
        <w:tc>
          <w:tcPr>
            <w:tcW w:type="dxa" w:w="2520"/>
            <w:shd w:val="clear" w:color="auto" w:fill="EAF0EE"/>
          </w:tcPr>
          <w:p>
            <w:pPr>
              <w:spacing w:after="20"/>
            </w:pPr>
            <w:r>
              <w:rPr>
                <w:b/>
                <w:color w:val="1C3A36"/>
                <w:sz w:val="17"/>
              </w:rPr>
              <w:t>Non-current assets</w:t>
            </w:r>
          </w:p>
        </w:tc>
      </w:tr>
      <w:tr>
        <w:trPr>
          <w:cantSplit/>
        </w:trPr>
        <w:tc>
          <w:tcPr>
            <w:tcW w:type="dxa" w:w="2016"/>
          </w:tcPr>
          <w:p>
            <w:pPr>
              <w:spacing w:after="20"/>
            </w:pPr>
            <w:r>
              <w:rPr>
                <w:b/>
                <w:color w:val="1C3A36"/>
                <w:sz w:val="17"/>
              </w:rPr>
              <w:t>Abu Dhabi</w:t>
            </w:r>
          </w:p>
        </w:tc>
        <w:tc>
          <w:tcPr>
            <w:tcW w:type="dxa" w:w="1440"/>
          </w:tcPr>
          <w:p>
            <w:pPr>
              <w:spacing w:after="20"/>
              <w:jc w:val="right"/>
            </w:pPr>
            <w:r>
              <w:rPr>
                <w:color w:val="1C3A36"/>
                <w:sz w:val="17"/>
              </w:rPr>
              <w:t>Aa2</w:t>
            </w:r>
          </w:p>
        </w:tc>
        <w:tc>
          <w:tcPr>
            <w:tcW w:type="dxa" w:w="1800"/>
          </w:tcPr>
          <w:p>
            <w:pPr>
              <w:spacing w:after="20"/>
              <w:jc w:val="right"/>
            </w:pPr>
            <w:r>
              <w:rPr>
                <w:color w:val="1C3A36"/>
                <w:sz w:val="17"/>
              </w:rPr>
              <w:t>0.42%</w:t>
            </w:r>
          </w:p>
        </w:tc>
        <w:tc>
          <w:tcPr>
            <w:tcW w:type="dxa" w:w="2304"/>
          </w:tcPr>
          <w:p>
            <w:pPr>
              <w:spacing w:after="20"/>
              <w:jc w:val="right"/>
            </w:pPr>
            <w:r>
              <w:rPr>
                <w:color w:val="1C3A36"/>
                <w:sz w:val="17"/>
              </w:rPr>
              <w:t>4.9%</w:t>
            </w:r>
          </w:p>
        </w:tc>
        <w:tc>
          <w:tcPr>
            <w:tcW w:type="dxa" w:w="2520"/>
          </w:tcPr>
          <w:p>
            <w:pPr>
              <w:spacing w:after="20"/>
              <w:jc w:val="right"/>
            </w:pPr>
            <w:r>
              <w:rPr>
                <w:color w:val="1C3A36"/>
                <w:sz w:val="17"/>
              </w:rPr>
              <w:t>50.9%</w:t>
            </w:r>
          </w:p>
        </w:tc>
      </w:tr>
      <w:tr>
        <w:trPr>
          <w:cantSplit/>
        </w:trPr>
        <w:tc>
          <w:tcPr>
            <w:tcW w:type="dxa" w:w="2016"/>
          </w:tcPr>
          <w:p>
            <w:pPr>
              <w:spacing w:after="20"/>
            </w:pPr>
            <w:r>
              <w:rPr>
                <w:b/>
                <w:color w:val="1C3A36"/>
                <w:sz w:val="17"/>
              </w:rPr>
              <w:t>Egypt</w:t>
            </w:r>
          </w:p>
        </w:tc>
        <w:tc>
          <w:tcPr>
            <w:tcW w:type="dxa" w:w="1440"/>
          </w:tcPr>
          <w:p>
            <w:pPr>
              <w:spacing w:after="20"/>
              <w:jc w:val="right"/>
            </w:pPr>
            <w:r>
              <w:rPr>
                <w:color w:val="1C3A36"/>
                <w:sz w:val="17"/>
              </w:rPr>
              <w:t>Caa1</w:t>
            </w:r>
          </w:p>
        </w:tc>
        <w:tc>
          <w:tcPr>
            <w:tcW w:type="dxa" w:w="1800"/>
          </w:tcPr>
          <w:p>
            <w:pPr>
              <w:spacing w:after="20"/>
              <w:jc w:val="right"/>
            </w:pPr>
            <w:r>
              <w:rPr>
                <w:color w:val="1C3A36"/>
                <w:sz w:val="17"/>
              </w:rPr>
              <w:t>6.37%</w:t>
            </w:r>
          </w:p>
        </w:tc>
        <w:tc>
          <w:tcPr>
            <w:tcW w:type="dxa" w:w="2304"/>
          </w:tcPr>
          <w:p>
            <w:pPr>
              <w:spacing w:after="20"/>
              <w:jc w:val="right"/>
            </w:pPr>
            <w:r>
              <w:rPr>
                <w:color w:val="1C3A36"/>
                <w:sz w:val="17"/>
              </w:rPr>
              <w:t>13.9%</w:t>
            </w:r>
          </w:p>
        </w:tc>
        <w:tc>
          <w:tcPr>
            <w:tcW w:type="dxa" w:w="2520"/>
          </w:tcPr>
          <w:p>
            <w:pPr>
              <w:spacing w:after="20"/>
              <w:jc w:val="right"/>
            </w:pPr>
            <w:r>
              <w:rPr>
                <w:color w:val="1C3A36"/>
                <w:sz w:val="17"/>
              </w:rPr>
              <w:t>31.1%</w:t>
            </w:r>
          </w:p>
        </w:tc>
      </w:tr>
      <w:tr>
        <w:trPr>
          <w:cantSplit/>
        </w:trPr>
        <w:tc>
          <w:tcPr>
            <w:tcW w:type="dxa" w:w="2016"/>
          </w:tcPr>
          <w:p>
            <w:pPr>
              <w:spacing w:after="20"/>
            </w:pPr>
            <w:r>
              <w:rPr>
                <w:b/>
                <w:color w:val="1C3A36"/>
                <w:sz w:val="17"/>
              </w:rPr>
              <w:t>Algeria</w:t>
            </w:r>
          </w:p>
        </w:tc>
        <w:tc>
          <w:tcPr>
            <w:tcW w:type="dxa" w:w="1440"/>
          </w:tcPr>
          <w:p>
            <w:pPr>
              <w:spacing w:after="20"/>
              <w:jc w:val="right"/>
            </w:pPr>
            <w:r>
              <w:rPr>
                <w:color w:val="1C3A36"/>
                <w:sz w:val="17"/>
              </w:rPr>
              <w:t>Not rated</w:t>
            </w:r>
          </w:p>
        </w:tc>
        <w:tc>
          <w:tcPr>
            <w:tcW w:type="dxa" w:w="1800"/>
          </w:tcPr>
          <w:p>
            <w:pPr>
              <w:spacing w:after="20"/>
              <w:jc w:val="right"/>
            </w:pPr>
            <w:r>
              <w:rPr>
                <w:color w:val="1C3A36"/>
                <w:sz w:val="17"/>
              </w:rPr>
              <w:t>3.83%</w:t>
            </w:r>
          </w:p>
        </w:tc>
        <w:tc>
          <w:tcPr>
            <w:tcW w:type="dxa" w:w="2304"/>
          </w:tcPr>
          <w:p>
            <w:pPr>
              <w:spacing w:after="20"/>
              <w:jc w:val="right"/>
            </w:pPr>
            <w:r>
              <w:rPr>
                <w:color w:val="1C3A36"/>
                <w:sz w:val="17"/>
              </w:rPr>
              <w:t>10.1%</w:t>
            </w:r>
          </w:p>
        </w:tc>
        <w:tc>
          <w:tcPr>
            <w:tcW w:type="dxa" w:w="2520"/>
          </w:tcPr>
          <w:p>
            <w:pPr>
              <w:spacing w:after="20"/>
              <w:jc w:val="right"/>
            </w:pPr>
            <w:r>
              <w:rPr>
                <w:color w:val="1C3A36"/>
                <w:sz w:val="17"/>
              </w:rPr>
              <w:t>16.1%</w:t>
            </w:r>
          </w:p>
        </w:tc>
      </w:tr>
      <w:tr>
        <w:trPr>
          <w:cantSplit/>
        </w:trPr>
        <w:tc>
          <w:tcPr>
            <w:tcW w:type="dxa" w:w="2016"/>
          </w:tcPr>
          <w:p>
            <w:pPr>
              <w:spacing w:after="20"/>
            </w:pPr>
            <w:r>
              <w:rPr>
                <w:b/>
                <w:color w:val="1C3A36"/>
                <w:sz w:val="17"/>
              </w:rPr>
              <w:t>Other</w:t>
            </w:r>
          </w:p>
        </w:tc>
        <w:tc>
          <w:tcPr>
            <w:tcW w:type="dxa" w:w="1440"/>
          </w:tcPr>
          <w:p>
            <w:pPr>
              <w:spacing w:after="20"/>
              <w:jc w:val="right"/>
            </w:pPr>
            <w:r>
              <w:rPr>
                <w:color w:val="1C3A36"/>
                <w:sz w:val="17"/>
              </w:rPr>
              <w:t>—</w:t>
            </w:r>
          </w:p>
        </w:tc>
        <w:tc>
          <w:tcPr>
            <w:tcW w:type="dxa" w:w="1800"/>
          </w:tcPr>
          <w:p>
            <w:pPr>
              <w:spacing w:after="20"/>
              <w:jc w:val="right"/>
            </w:pPr>
            <w:r>
              <w:rPr>
                <w:color w:val="1C3A36"/>
                <w:sz w:val="17"/>
              </w:rPr>
              <w:t>—</w:t>
            </w:r>
          </w:p>
        </w:tc>
        <w:tc>
          <w:tcPr>
            <w:tcW w:type="dxa" w:w="2304"/>
          </w:tcPr>
          <w:p>
            <w:pPr>
              <w:spacing w:after="20"/>
              <w:jc w:val="right"/>
            </w:pPr>
            <w:r>
              <w:rPr>
                <w:color w:val="1C3A36"/>
                <w:sz w:val="17"/>
              </w:rPr>
              <w:t>4.2%</w:t>
            </w:r>
          </w:p>
        </w:tc>
        <w:tc>
          <w:tcPr>
            <w:tcW w:type="dxa" w:w="2520"/>
          </w:tcPr>
          <w:p>
            <w:pPr>
              <w:spacing w:after="20"/>
              <w:jc w:val="right"/>
            </w:pPr>
            <w:r>
              <w:rPr>
                <w:color w:val="1C3A36"/>
                <w:sz w:val="17"/>
              </w:rPr>
              <w:t>1.9%</w:t>
            </w:r>
          </w:p>
        </w:tc>
      </w:tr>
      <w:tr>
        <w:trPr>
          <w:cantSplit/>
        </w:trPr>
        <w:tc>
          <w:tcPr>
            <w:tcW w:type="dxa" w:w="2016"/>
            <w:shd w:val="clear" w:color="auto" w:fill="F6F1E6"/>
          </w:tcPr>
          <w:p>
            <w:pPr>
              <w:spacing w:after="20"/>
            </w:pPr>
            <w:r>
              <w:rPr>
                <w:b/>
                <w:color w:val="1C3A36"/>
                <w:sz w:val="17"/>
              </w:rPr>
              <w:t>Weighted</w:t>
            </w:r>
          </w:p>
        </w:tc>
        <w:tc>
          <w:tcPr>
            <w:tcW w:type="dxa" w:w="1440"/>
            <w:shd w:val="clear" w:color="auto" w:fill="F6F1E6"/>
          </w:tcPr>
          <w:p>
            <w:pPr>
              <w:spacing w:after="20"/>
              <w:jc w:val="right"/>
            </w:pPr>
            <w:r>
              <w:rPr>
                <w:b/>
                <w:color w:val="1C3A36"/>
                <w:sz w:val="17"/>
              </w:rPr>
            </w:r>
          </w:p>
        </w:tc>
        <w:tc>
          <w:tcPr>
            <w:tcW w:type="dxa" w:w="1800"/>
            <w:shd w:val="clear" w:color="auto" w:fill="F6F1E6"/>
          </w:tcPr>
          <w:p>
            <w:pPr>
              <w:spacing w:after="20"/>
              <w:jc w:val="right"/>
            </w:pPr>
            <w:r>
              <w:rPr>
                <w:b/>
                <w:color w:val="1C3A36"/>
                <w:sz w:val="17"/>
              </w:rPr>
            </w:r>
          </w:p>
        </w:tc>
        <w:tc>
          <w:tcPr>
            <w:tcW w:type="dxa" w:w="2304"/>
            <w:shd w:val="clear" w:color="auto" w:fill="F6F1E6"/>
          </w:tcPr>
          <w:p>
            <w:pPr>
              <w:spacing w:after="20"/>
              <w:jc w:val="right"/>
            </w:pPr>
            <w:r>
              <w:rPr>
                <w:b/>
                <w:color w:val="1C3A36"/>
                <w:sz w:val="17"/>
              </w:rPr>
              <w:t>8.5%</w:t>
            </w:r>
          </w:p>
        </w:tc>
        <w:tc>
          <w:tcPr>
            <w:tcW w:type="dxa" w:w="2520"/>
            <w:shd w:val="clear" w:color="auto" w:fill="F6F1E6"/>
          </w:tcPr>
          <w:p>
            <w:pPr>
              <w:spacing w:after="20"/>
              <w:jc w:val="right"/>
            </w:pPr>
            <w:r>
              <w:rPr>
                <w:b/>
                <w:color w:val="1C3A36"/>
                <w:sz w:val="17"/>
              </w:rPr>
              <w:t>100%</w:t>
            </w:r>
          </w:p>
        </w:tc>
      </w:tr>
    </w:tbl>
    <w:p>
      <w:pPr>
        <w:spacing w:after="40"/>
      </w:pPr>
    </w:p>
    <w:p>
      <w:pPr>
        <w:spacing w:after="200" w:before="0"/>
      </w:pPr>
      <w:r>
        <w:rPr>
          <w:b w:val="0"/>
          <w:i/>
          <w:color w:val="6E7B77"/>
          <w:sz w:val="17"/>
        </w:rPr>
        <w:t>Each country is priced off its own published sovereign row and weighted by where the plants actually are. Treating the company as purely Emirati would have used 4.9% instead of 8.5% — a difference that would have flowed straight into the valuation.</w:t>
      </w:r>
    </w:p>
    <w:p>
      <w:pPr>
        <w:spacing w:after="120" w:before="0"/>
      </w:pPr>
      <w:r>
        <w:rPr>
          <w:b w:val="0"/>
          <w:i w:val="0"/>
          <w:color w:val="1C3A36"/>
          <w:sz w:val="21"/>
        </w:rPr>
        <w:t>The risk-free rate is normalised so sovereign risk is counted once and not twice. The Abu Dhabi dollar sovereign yields about 5.1%, being the US 10-year Treasury at 4.7% plus the emirate's own credit spread. Removing that same spread again leaves a normalised risk-free rate of 4.7%. Country risk then enters once, inside the equity risk premium above. Using the raw local yield together with a country-loaded premium would have double-counted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512"/>
        <w:gridCol w:w="2160"/>
        <w:gridCol w:w="3528"/>
      </w:tblGrid>
      <w:tr>
        <w:trPr>
          <w:cantSplit/>
          <w:tblHeader/>
        </w:trPr>
        <w:tc>
          <w:tcPr>
            <w:tcW w:type="dxa" w:w="2880"/>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Rating basis</w:t>
            </w:r>
          </w:p>
        </w:tc>
        <w:tc>
          <w:tcPr>
            <w:tcW w:type="dxa" w:w="2160"/>
            <w:shd w:val="clear" w:color="auto" w:fill="EAF0EE"/>
          </w:tcPr>
          <w:p>
            <w:pPr>
              <w:spacing w:after="20"/>
            </w:pPr>
            <w:r>
              <w:rPr>
                <w:b/>
                <w:color w:val="1C3A36"/>
                <w:sz w:val="17"/>
              </w:rPr>
              <w:t>Credit-default-swap basis</w:t>
            </w:r>
          </w:p>
        </w:tc>
        <w:tc>
          <w:tcPr>
            <w:tcW w:type="dxa" w:w="3528"/>
            <w:shd w:val="clear" w:color="auto" w:fill="EAF0EE"/>
          </w:tcPr>
          <w:p>
            <w:pPr>
              <w:spacing w:after="20"/>
            </w:pPr>
            <w:r>
              <w:rPr>
                <w:b/>
                <w:color w:val="1C3A36"/>
                <w:sz w:val="17"/>
              </w:rPr>
              <w:t>Source</w:t>
            </w:r>
          </w:p>
        </w:tc>
      </w:tr>
      <w:tr>
        <w:trPr>
          <w:cantSplit/>
        </w:trPr>
        <w:tc>
          <w:tcPr>
            <w:tcW w:type="dxa" w:w="2880"/>
          </w:tcPr>
          <w:p>
            <w:pPr>
              <w:spacing w:after="20"/>
            </w:pPr>
            <w:r>
              <w:rPr>
                <w:b/>
                <w:color w:val="1C3A36"/>
                <w:sz w:val="17"/>
              </w:rPr>
              <w:t>Normalised risk-free rate</w:t>
            </w:r>
          </w:p>
        </w:tc>
        <w:tc>
          <w:tcPr>
            <w:tcW w:type="dxa" w:w="1512"/>
          </w:tcPr>
          <w:p>
            <w:pPr>
              <w:spacing w:after="20"/>
              <w:jc w:val="right"/>
            </w:pPr>
            <w:r>
              <w:rPr>
                <w:color w:val="1C3A36"/>
                <w:sz w:val="17"/>
              </w:rPr>
              <w:t>4.7%</w:t>
            </w:r>
          </w:p>
        </w:tc>
        <w:tc>
          <w:tcPr>
            <w:tcW w:type="dxa" w:w="2160"/>
          </w:tcPr>
          <w:p>
            <w:pPr>
              <w:spacing w:after="20"/>
              <w:jc w:val="right"/>
            </w:pPr>
            <w:r>
              <w:rPr>
                <w:color w:val="1C3A36"/>
                <w:sz w:val="17"/>
              </w:rPr>
              <w:t>4.7%</w:t>
            </w:r>
          </w:p>
        </w:tc>
        <w:tc>
          <w:tcPr>
            <w:tcW w:type="dxa" w:w="3528"/>
          </w:tcPr>
          <w:p>
            <w:pPr>
              <w:spacing w:after="20"/>
              <w:jc w:val="right"/>
            </w:pPr>
            <w:r>
              <w:rPr>
                <w:color w:val="1C3A36"/>
                <w:sz w:val="17"/>
              </w:rPr>
              <w:t>Abu Dhabi dollar sovereign, net of its own default spread</w:t>
            </w:r>
          </w:p>
        </w:tc>
      </w:tr>
      <w:tr>
        <w:trPr>
          <w:cantSplit/>
        </w:trPr>
        <w:tc>
          <w:tcPr>
            <w:tcW w:type="dxa" w:w="2880"/>
          </w:tcPr>
          <w:p>
            <w:pPr>
              <w:spacing w:after="20"/>
            </w:pPr>
            <w:r>
              <w:rPr>
                <w:b/>
                <w:color w:val="1C3A36"/>
                <w:sz w:val="17"/>
              </w:rPr>
              <w:t>Beta</w:t>
            </w:r>
          </w:p>
        </w:tc>
        <w:tc>
          <w:tcPr>
            <w:tcW w:type="dxa" w:w="1512"/>
          </w:tcPr>
          <w:p>
            <w:pPr>
              <w:spacing w:after="20"/>
              <w:jc w:val="right"/>
            </w:pPr>
            <w:r>
              <w:rPr>
                <w:color w:val="1C3A36"/>
                <w:sz w:val="17"/>
              </w:rPr>
              <w:t>0.931</w:t>
            </w:r>
          </w:p>
        </w:tc>
        <w:tc>
          <w:tcPr>
            <w:tcW w:type="dxa" w:w="2160"/>
          </w:tcPr>
          <w:p>
            <w:pPr>
              <w:spacing w:after="20"/>
              <w:jc w:val="right"/>
            </w:pPr>
            <w:r>
              <w:rPr>
                <w:color w:val="1C3A36"/>
                <w:sz w:val="17"/>
              </w:rPr>
              <w:t>0.931</w:t>
            </w:r>
          </w:p>
        </w:tc>
        <w:tc>
          <w:tcPr>
            <w:tcW w:type="dxa" w:w="3528"/>
          </w:tcPr>
          <w:p>
            <w:pPr>
              <w:spacing w:after="20"/>
              <w:jc w:val="right"/>
            </w:pPr>
            <w:r>
              <w:rPr>
                <w:color w:val="1C3A36"/>
                <w:sz w:val="17"/>
              </w:rPr>
              <w:t>Own-share weekly regression, 4.68 years, n=242</w:t>
            </w:r>
          </w:p>
        </w:tc>
      </w:tr>
      <w:tr>
        <w:trPr>
          <w:cantSplit/>
        </w:trPr>
        <w:tc>
          <w:tcPr>
            <w:tcW w:type="dxa" w:w="2880"/>
          </w:tcPr>
          <w:p>
            <w:pPr>
              <w:spacing w:after="20"/>
            </w:pPr>
            <w:r>
              <w:rPr>
                <w:b/>
                <w:color w:val="1C3A36"/>
                <w:sz w:val="17"/>
              </w:rPr>
              <w:t>Equity risk premium</w:t>
            </w:r>
          </w:p>
        </w:tc>
        <w:tc>
          <w:tcPr>
            <w:tcW w:type="dxa" w:w="1512"/>
          </w:tcPr>
          <w:p>
            <w:pPr>
              <w:spacing w:after="20"/>
              <w:jc w:val="right"/>
            </w:pPr>
            <w:r>
              <w:rPr>
                <w:color w:val="1C3A36"/>
                <w:sz w:val="17"/>
              </w:rPr>
              <w:t>8.5%</w:t>
            </w:r>
          </w:p>
        </w:tc>
        <w:tc>
          <w:tcPr>
            <w:tcW w:type="dxa" w:w="2160"/>
          </w:tcPr>
          <w:p>
            <w:pPr>
              <w:spacing w:after="20"/>
              <w:jc w:val="right"/>
            </w:pPr>
            <w:r>
              <w:rPr>
                <w:color w:val="1C3A36"/>
                <w:sz w:val="17"/>
              </w:rPr>
              <w:t>7.1%</w:t>
            </w:r>
          </w:p>
        </w:tc>
        <w:tc>
          <w:tcPr>
            <w:tcW w:type="dxa" w:w="3528"/>
          </w:tcPr>
          <w:p>
            <w:pPr>
              <w:spacing w:after="20"/>
              <w:jc w:val="right"/>
            </w:pPr>
            <w:r>
              <w:rPr>
                <w:color w:val="1C3A36"/>
                <w:sz w:val="17"/>
              </w:rPr>
              <w:t>Asset-weighted across the three operating countries</w:t>
            </w:r>
          </w:p>
        </w:tc>
      </w:tr>
      <w:tr>
        <w:trPr>
          <w:cantSplit/>
        </w:trPr>
        <w:tc>
          <w:tcPr>
            <w:tcW w:type="dxa" w:w="2880"/>
          </w:tcPr>
          <w:p>
            <w:pPr>
              <w:spacing w:after="20"/>
            </w:pPr>
            <w:r>
              <w:rPr>
                <w:b/>
                <w:color w:val="1C3A36"/>
                <w:sz w:val="17"/>
              </w:rPr>
              <w:t>Cost of equity</w:t>
            </w:r>
          </w:p>
        </w:tc>
        <w:tc>
          <w:tcPr>
            <w:tcW w:type="dxa" w:w="1512"/>
          </w:tcPr>
          <w:p>
            <w:pPr>
              <w:spacing w:after="20"/>
              <w:jc w:val="right"/>
            </w:pPr>
            <w:r>
              <w:rPr>
                <w:color w:val="1C3A36"/>
                <w:sz w:val="17"/>
              </w:rPr>
              <w:t>12.7%</w:t>
            </w:r>
          </w:p>
        </w:tc>
        <w:tc>
          <w:tcPr>
            <w:tcW w:type="dxa" w:w="2160"/>
          </w:tcPr>
          <w:p>
            <w:pPr>
              <w:spacing w:after="20"/>
              <w:jc w:val="right"/>
            </w:pPr>
            <w:r>
              <w:rPr>
                <w:color w:val="1C3A36"/>
                <w:sz w:val="17"/>
              </w:rPr>
              <w:t>11.3%</w:t>
            </w:r>
          </w:p>
        </w:tc>
        <w:tc>
          <w:tcPr>
            <w:tcW w:type="dxa" w:w="3528"/>
          </w:tcPr>
          <w:p>
            <w:pPr>
              <w:spacing w:after="20"/>
              <w:jc w:val="right"/>
            </w:pPr>
            <w:r>
              <w:rPr>
                <w:color w:val="1C3A36"/>
                <w:sz w:val="17"/>
              </w:rPr>
            </w:r>
          </w:p>
        </w:tc>
      </w:tr>
      <w:tr>
        <w:trPr>
          <w:cantSplit/>
        </w:trPr>
        <w:tc>
          <w:tcPr>
            <w:tcW w:type="dxa" w:w="2880"/>
          </w:tcPr>
          <w:p>
            <w:pPr>
              <w:spacing w:after="20"/>
            </w:pPr>
            <w:r>
              <w:rPr>
                <w:b/>
                <w:color w:val="1C3A36"/>
                <w:sz w:val="17"/>
              </w:rPr>
              <w:t>Cost of debt before tax</w:t>
            </w:r>
          </w:p>
        </w:tc>
        <w:tc>
          <w:tcPr>
            <w:tcW w:type="dxa" w:w="1512"/>
          </w:tcPr>
          <w:p>
            <w:pPr>
              <w:spacing w:after="20"/>
              <w:jc w:val="right"/>
            </w:pPr>
            <w:r>
              <w:rPr>
                <w:color w:val="1C3A36"/>
                <w:sz w:val="17"/>
              </w:rPr>
              <w:t>5.7%</w:t>
            </w:r>
          </w:p>
        </w:tc>
        <w:tc>
          <w:tcPr>
            <w:tcW w:type="dxa" w:w="2160"/>
          </w:tcPr>
          <w:p>
            <w:pPr>
              <w:spacing w:after="20"/>
              <w:jc w:val="right"/>
            </w:pPr>
            <w:r>
              <w:rPr>
                <w:color w:val="1C3A36"/>
                <w:sz w:val="17"/>
              </w:rPr>
              <w:t>5.7%</w:t>
            </w:r>
          </w:p>
        </w:tc>
        <w:tc>
          <w:tcPr>
            <w:tcW w:type="dxa" w:w="3528"/>
          </w:tcPr>
          <w:p>
            <w:pPr>
              <w:spacing w:after="20"/>
              <w:jc w:val="right"/>
            </w:pPr>
            <w:r>
              <w:rPr>
                <w:color w:val="1C3A36"/>
                <w:sz w:val="17"/>
              </w:rPr>
              <w:t>Marginal — see the evidence table below</w:t>
            </w:r>
          </w:p>
        </w:tc>
      </w:tr>
      <w:tr>
        <w:trPr>
          <w:cantSplit/>
        </w:trPr>
        <w:tc>
          <w:tcPr>
            <w:tcW w:type="dxa" w:w="2880"/>
          </w:tcPr>
          <w:p>
            <w:pPr>
              <w:spacing w:after="20"/>
            </w:pPr>
            <w:r>
              <w:rPr>
                <w:b/>
                <w:color w:val="1C3A36"/>
                <w:sz w:val="17"/>
              </w:rPr>
              <w:t>Cost of debt after tax</w:t>
            </w:r>
          </w:p>
        </w:tc>
        <w:tc>
          <w:tcPr>
            <w:tcW w:type="dxa" w:w="1512"/>
          </w:tcPr>
          <w:p>
            <w:pPr>
              <w:spacing w:after="20"/>
              <w:jc w:val="right"/>
            </w:pPr>
            <w:r>
              <w:rPr>
                <w:color w:val="1C3A36"/>
                <w:sz w:val="17"/>
              </w:rPr>
              <w:t>4.9%</w:t>
            </w:r>
          </w:p>
        </w:tc>
        <w:tc>
          <w:tcPr>
            <w:tcW w:type="dxa" w:w="2160"/>
          </w:tcPr>
          <w:p>
            <w:pPr>
              <w:spacing w:after="20"/>
              <w:jc w:val="right"/>
            </w:pPr>
            <w:r>
              <w:rPr>
                <w:color w:val="1C3A36"/>
                <w:sz w:val="17"/>
              </w:rPr>
              <w:t>4.9%</w:t>
            </w:r>
          </w:p>
        </w:tc>
        <w:tc>
          <w:tcPr>
            <w:tcW w:type="dxa" w:w="3528"/>
          </w:tcPr>
          <w:p>
            <w:pPr>
              <w:spacing w:after="20"/>
              <w:jc w:val="right"/>
            </w:pPr>
            <w:r>
              <w:rPr>
                <w:color w:val="1C3A36"/>
                <w:sz w:val="17"/>
              </w:rPr>
              <w:t>At the forecast tax rate of 13.1%</w:t>
            </w:r>
          </w:p>
        </w:tc>
      </w:tr>
      <w:tr>
        <w:trPr>
          <w:cantSplit/>
        </w:trPr>
        <w:tc>
          <w:tcPr>
            <w:tcW w:type="dxa" w:w="2880"/>
          </w:tcPr>
          <w:p>
            <w:pPr>
              <w:spacing w:after="20"/>
            </w:pPr>
            <w:r>
              <w:rPr>
                <w:b/>
                <w:color w:val="1C3A36"/>
                <w:sz w:val="17"/>
              </w:rPr>
              <w:t>Weight of equity</w:t>
            </w:r>
          </w:p>
        </w:tc>
        <w:tc>
          <w:tcPr>
            <w:tcW w:type="dxa" w:w="1512"/>
          </w:tcPr>
          <w:p>
            <w:pPr>
              <w:spacing w:after="20"/>
              <w:jc w:val="right"/>
            </w:pPr>
            <w:r>
              <w:rPr>
                <w:color w:val="1C3A36"/>
                <w:sz w:val="17"/>
              </w:rPr>
              <w:t>90.6%</w:t>
            </w:r>
          </w:p>
        </w:tc>
        <w:tc>
          <w:tcPr>
            <w:tcW w:type="dxa" w:w="2160"/>
          </w:tcPr>
          <w:p>
            <w:pPr>
              <w:spacing w:after="20"/>
              <w:jc w:val="right"/>
            </w:pPr>
            <w:r>
              <w:rPr>
                <w:color w:val="1C3A36"/>
                <w:sz w:val="17"/>
              </w:rPr>
              <w:t>90.6%</w:t>
            </w:r>
          </w:p>
        </w:tc>
        <w:tc>
          <w:tcPr>
            <w:tcW w:type="dxa" w:w="3528"/>
          </w:tcPr>
          <w:p>
            <w:pPr>
              <w:spacing w:after="20"/>
              <w:jc w:val="right"/>
            </w:pPr>
            <w:r>
              <w:rPr>
                <w:color w:val="1C3A36"/>
                <w:sz w:val="17"/>
              </w:rPr>
              <w:t>Market capitalisation</w:t>
            </w:r>
          </w:p>
        </w:tc>
      </w:tr>
      <w:tr>
        <w:trPr>
          <w:cantSplit/>
        </w:trPr>
        <w:tc>
          <w:tcPr>
            <w:tcW w:type="dxa" w:w="2880"/>
          </w:tcPr>
          <w:p>
            <w:pPr>
              <w:spacing w:after="20"/>
            </w:pPr>
            <w:r>
              <w:rPr>
                <w:b/>
                <w:color w:val="1C3A36"/>
                <w:sz w:val="17"/>
              </w:rPr>
              <w:t>Weighted average cost of capital</w:t>
            </w:r>
          </w:p>
        </w:tc>
        <w:tc>
          <w:tcPr>
            <w:tcW w:type="dxa" w:w="1512"/>
          </w:tcPr>
          <w:p>
            <w:pPr>
              <w:spacing w:after="20"/>
              <w:jc w:val="right"/>
            </w:pPr>
            <w:r>
              <w:rPr>
                <w:color w:val="1C3A36"/>
                <w:sz w:val="17"/>
              </w:rPr>
              <w:t>11.9%</w:t>
            </w:r>
          </w:p>
        </w:tc>
        <w:tc>
          <w:tcPr>
            <w:tcW w:type="dxa" w:w="2160"/>
          </w:tcPr>
          <w:p>
            <w:pPr>
              <w:spacing w:after="20"/>
              <w:jc w:val="right"/>
            </w:pPr>
            <w:r>
              <w:rPr>
                <w:color w:val="1C3A36"/>
                <w:sz w:val="17"/>
              </w:rPr>
              <w:t>10.7%</w:t>
            </w:r>
          </w:p>
        </w:tc>
        <w:tc>
          <w:tcPr>
            <w:tcW w:type="dxa" w:w="3528"/>
          </w:tcPr>
          <w:p>
            <w:pPr>
              <w:spacing w:after="20"/>
              <w:jc w:val="right"/>
            </w:pPr>
            <w:r>
              <w:rPr>
                <w:color w:val="1C3A36"/>
                <w:sz w:val="17"/>
              </w:rPr>
            </w:r>
          </w:p>
        </w:tc>
      </w:tr>
      <w:tr>
        <w:trPr>
          <w:cantSplit/>
        </w:trPr>
        <w:tc>
          <w:tcPr>
            <w:tcW w:type="dxa" w:w="2880"/>
            <w:shd w:val="clear" w:color="auto" w:fill="F6F1E6"/>
          </w:tcPr>
          <w:p>
            <w:pPr>
              <w:spacing w:after="20"/>
            </w:pPr>
            <w:r>
              <w:rPr>
                <w:b/>
                <w:color w:val="1C3A36"/>
                <w:sz w:val="17"/>
              </w:rPr>
              <w:t>Terminal cost of capital</w:t>
            </w:r>
          </w:p>
        </w:tc>
        <w:tc>
          <w:tcPr>
            <w:tcW w:type="dxa" w:w="1512"/>
            <w:shd w:val="clear" w:color="auto" w:fill="F6F1E6"/>
          </w:tcPr>
          <w:p>
            <w:pPr>
              <w:spacing w:after="20"/>
              <w:jc w:val="right"/>
            </w:pPr>
            <w:r>
              <w:rPr>
                <w:b/>
                <w:color w:val="1C3A36"/>
                <w:sz w:val="17"/>
              </w:rPr>
              <w:t>11.1%</w:t>
            </w:r>
          </w:p>
        </w:tc>
        <w:tc>
          <w:tcPr>
            <w:tcW w:type="dxa" w:w="2160"/>
            <w:shd w:val="clear" w:color="auto" w:fill="F6F1E6"/>
          </w:tcPr>
          <w:p>
            <w:pPr>
              <w:spacing w:after="20"/>
              <w:jc w:val="right"/>
            </w:pPr>
            <w:r>
              <w:rPr>
                <w:b/>
                <w:color w:val="1C3A36"/>
                <w:sz w:val="17"/>
              </w:rPr>
              <w:t>10.1%</w:t>
            </w:r>
          </w:p>
        </w:tc>
        <w:tc>
          <w:tcPr>
            <w:tcW w:type="dxa" w:w="3528"/>
            <w:shd w:val="clear" w:color="auto" w:fill="F6F1E6"/>
          </w:tcPr>
          <w:p>
            <w:pPr>
              <w:spacing w:after="20"/>
              <w:jc w:val="right"/>
            </w:pPr>
            <w:r>
              <w:rPr>
                <w:b/>
                <w:color w:val="1C3A36"/>
                <w:sz w:val="17"/>
              </w:rPr>
              <w:t>At a normalised 20.0% debt weight</w:t>
            </w:r>
          </w:p>
        </w:tc>
      </w:tr>
    </w:tbl>
    <w:p>
      <w:pPr>
        <w:spacing w:after="40"/>
      </w:pPr>
    </w:p>
    <w:p>
      <w:pPr>
        <w:spacing w:after="200" w:before="0"/>
      </w:pPr>
      <w:r>
        <w:rPr>
          <w:b w:val="0"/>
          <w:i/>
          <w:color w:val="6E7B77"/>
          <w:sz w:val="17"/>
        </w:rPr>
        <w:t>The cost of capital, published on both premium bases as the house method requires. The rating basis is used for the headline; the credit-default-swap basis is shown because Algeria has no traded swap, so that column is not fully comparable.</w:t>
      </w:r>
    </w:p>
    <w:p>
      <w:pPr>
        <w:spacing w:after="120" w:before="120"/>
      </w:pPr>
      <w:r>
        <w:rPr>
          <w:b w:val="0"/>
          <w:i w:val="0"/>
          <w:color w:val="1C3A36"/>
          <w:sz w:val="21"/>
        </w:rPr>
        <w:t>The cost of debt is marginal and forward-looking, taken from the company's own most recent borrowings rather than from anything historical.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152"/>
        <w:gridCol w:w="2160"/>
        <w:gridCol w:w="3816"/>
      </w:tblGrid>
      <w:tr>
        <w:trPr>
          <w:cantSplit/>
          <w:tblHeader/>
        </w:trPr>
        <w:tc>
          <w:tcPr>
            <w:tcW w:type="dxa" w:w="2952"/>
            <w:shd w:val="clear" w:color="auto" w:fill="EAF0EE"/>
          </w:tcPr>
          <w:p>
            <w:pPr>
              <w:spacing w:after="20"/>
            </w:pPr>
            <w:r>
              <w:rPr>
                <w:b/>
                <w:color w:val="1C3A36"/>
                <w:sz w:val="16"/>
              </w:rPr>
              <w:t>Facility</w:t>
            </w:r>
          </w:p>
        </w:tc>
        <w:tc>
          <w:tcPr>
            <w:tcW w:type="dxa" w:w="1152"/>
            <w:shd w:val="clear" w:color="auto" w:fill="EAF0EE"/>
          </w:tcPr>
          <w:p>
            <w:pPr>
              <w:spacing w:after="20"/>
            </w:pPr>
            <w:r>
              <w:rPr>
                <w:b/>
                <w:color w:val="1C3A36"/>
                <w:sz w:val="16"/>
              </w:rPr>
              <w:t>Amount</w:t>
            </w:r>
          </w:p>
        </w:tc>
        <w:tc>
          <w:tcPr>
            <w:tcW w:type="dxa" w:w="2160"/>
            <w:shd w:val="clear" w:color="auto" w:fill="EAF0EE"/>
          </w:tcPr>
          <w:p>
            <w:pPr>
              <w:spacing w:after="20"/>
            </w:pPr>
            <w:r>
              <w:rPr>
                <w:b/>
                <w:color w:val="1C3A36"/>
                <w:sz w:val="16"/>
              </w:rPr>
              <w:t>Margin</w:t>
            </w:r>
          </w:p>
        </w:tc>
        <w:tc>
          <w:tcPr>
            <w:tcW w:type="dxa" w:w="3816"/>
            <w:shd w:val="clear" w:color="auto" w:fill="EAF0EE"/>
          </w:tcPr>
          <w:p>
            <w:pPr>
              <w:spacing w:after="20"/>
            </w:pPr>
            <w:r>
              <w:rPr>
                <w:b/>
                <w:color w:val="1C3A36"/>
                <w:sz w:val="16"/>
              </w:rPr>
              <w:t>Used?</w:t>
            </w:r>
          </w:p>
        </w:tc>
      </w:tr>
      <w:tr>
        <w:trPr>
          <w:cantSplit/>
        </w:trPr>
        <w:tc>
          <w:tcPr>
            <w:tcW w:type="dxa" w:w="2952"/>
          </w:tcPr>
          <w:p>
            <w:pPr>
              <w:spacing w:after="20"/>
            </w:pPr>
            <w:r>
              <w:rPr>
                <w:b/>
                <w:color w:val="1C3A36"/>
                <w:sz w:val="16"/>
              </w:rPr>
              <w:t>Term facilities B and C</w:t>
            </w:r>
          </w:p>
        </w:tc>
        <w:tc>
          <w:tcPr>
            <w:tcW w:type="dxa" w:w="1152"/>
          </w:tcPr>
          <w:p>
            <w:pPr>
              <w:spacing w:after="20"/>
              <w:jc w:val="right"/>
            </w:pPr>
            <w:r>
              <w:rPr>
                <w:color w:val="1C3A36"/>
                <w:sz w:val="16"/>
              </w:rPr>
              <w:t>$1,100m</w:t>
            </w:r>
          </w:p>
        </w:tc>
        <w:tc>
          <w:tcPr>
            <w:tcW w:type="dxa" w:w="2160"/>
          </w:tcPr>
          <w:p>
            <w:pPr>
              <w:spacing w:after="20"/>
              <w:jc w:val="right"/>
            </w:pPr>
            <w:r>
              <w:rPr>
                <w:color w:val="1C3A36"/>
                <w:sz w:val="16"/>
              </w:rPr>
              <w:t>SOFR + 0.90%</w:t>
            </w:r>
          </w:p>
        </w:tc>
        <w:tc>
          <w:tcPr>
            <w:tcW w:type="dxa" w:w="3816"/>
          </w:tcPr>
          <w:p>
            <w:pPr>
              <w:spacing w:after="20"/>
              <w:jc w:val="right"/>
            </w:pPr>
            <w:r>
              <w:rPr>
                <w:color w:val="1C3A36"/>
                <w:sz w:val="16"/>
              </w:rPr>
              <w:t>Yes — spread renegotiated down from 150 and 140 basis points during 2025</w:t>
            </w:r>
          </w:p>
        </w:tc>
      </w:tr>
      <w:tr>
        <w:trPr>
          <w:cantSplit/>
        </w:trPr>
        <w:tc>
          <w:tcPr>
            <w:tcW w:type="dxa" w:w="2952"/>
          </w:tcPr>
          <w:p>
            <w:pPr>
              <w:spacing w:after="20"/>
            </w:pPr>
            <w:r>
              <w:rPr>
                <w:b/>
                <w:color w:val="1C3A36"/>
                <w:sz w:val="16"/>
              </w:rPr>
              <w:t>ADNOC term loan</w:t>
            </w:r>
          </w:p>
        </w:tc>
        <w:tc>
          <w:tcPr>
            <w:tcW w:type="dxa" w:w="1152"/>
          </w:tcPr>
          <w:p>
            <w:pPr>
              <w:spacing w:after="20"/>
              <w:jc w:val="right"/>
            </w:pPr>
            <w:r>
              <w:rPr>
                <w:color w:val="1C3A36"/>
                <w:sz w:val="16"/>
              </w:rPr>
              <w:t>$300m</w:t>
            </w:r>
          </w:p>
        </w:tc>
        <w:tc>
          <w:tcPr>
            <w:tcW w:type="dxa" w:w="2160"/>
          </w:tcPr>
          <w:p>
            <w:pPr>
              <w:spacing w:after="20"/>
              <w:jc w:val="right"/>
            </w:pPr>
            <w:r>
              <w:rPr>
                <w:color w:val="1C3A36"/>
                <w:sz w:val="16"/>
              </w:rPr>
              <w:t>SOFR + 1.05%</w:t>
            </w:r>
          </w:p>
        </w:tc>
        <w:tc>
          <w:tcPr>
            <w:tcW w:type="dxa" w:w="3816"/>
          </w:tcPr>
          <w:p>
            <w:pPr>
              <w:spacing w:after="20"/>
              <w:jc w:val="right"/>
            </w:pPr>
            <w:r>
              <w:rPr>
                <w:color w:val="1C3A36"/>
                <w:sz w:val="16"/>
              </w:rPr>
              <w:t>Yes — drawn 27 March 2025</w:t>
            </w:r>
          </w:p>
        </w:tc>
      </w:tr>
      <w:tr>
        <w:trPr>
          <w:cantSplit/>
        </w:trPr>
        <w:tc>
          <w:tcPr>
            <w:tcW w:type="dxa" w:w="2952"/>
          </w:tcPr>
          <w:p>
            <w:pPr>
              <w:spacing w:after="20"/>
            </w:pPr>
            <w:r>
              <w:rPr>
                <w:b/>
                <w:color w:val="1C3A36"/>
                <w:sz w:val="16"/>
              </w:rPr>
              <w:t>Revolving credit facility</w:t>
            </w:r>
          </w:p>
        </w:tc>
        <w:tc>
          <w:tcPr>
            <w:tcW w:type="dxa" w:w="1152"/>
          </w:tcPr>
          <w:p>
            <w:pPr>
              <w:spacing w:after="20"/>
              <w:jc w:val="right"/>
            </w:pPr>
            <w:r>
              <w:rPr>
                <w:color w:val="1C3A36"/>
                <w:sz w:val="16"/>
              </w:rPr>
              <w:t>$600m</w:t>
            </w:r>
          </w:p>
        </w:tc>
        <w:tc>
          <w:tcPr>
            <w:tcW w:type="dxa" w:w="2160"/>
          </w:tcPr>
          <w:p>
            <w:pPr>
              <w:spacing w:after="20"/>
              <w:jc w:val="right"/>
            </w:pPr>
            <w:r>
              <w:rPr>
                <w:color w:val="1C3A36"/>
                <w:sz w:val="16"/>
              </w:rPr>
              <w:t>SOFR + 1.15%</w:t>
            </w:r>
          </w:p>
        </w:tc>
        <w:tc>
          <w:tcPr>
            <w:tcW w:type="dxa" w:w="3816"/>
          </w:tcPr>
          <w:p>
            <w:pPr>
              <w:spacing w:after="20"/>
              <w:jc w:val="right"/>
            </w:pPr>
            <w:r>
              <w:rPr>
                <w:color w:val="1C3A36"/>
                <w:sz w:val="16"/>
              </w:rPr>
              <w:t>Undrawn at year end</w:t>
            </w:r>
          </w:p>
        </w:tc>
      </w:tr>
      <w:tr>
        <w:trPr>
          <w:cantSplit/>
        </w:trPr>
        <w:tc>
          <w:tcPr>
            <w:tcW w:type="dxa" w:w="2952"/>
          </w:tcPr>
          <w:p>
            <w:pPr>
              <w:spacing w:after="20"/>
            </w:pPr>
            <w:r>
              <w:rPr>
                <w:b/>
                <w:color w:val="1C3A36"/>
                <w:sz w:val="16"/>
              </w:rPr>
              <w:t>Sorfert term loan</w:t>
            </w:r>
          </w:p>
        </w:tc>
        <w:tc>
          <w:tcPr>
            <w:tcW w:type="dxa" w:w="1152"/>
          </w:tcPr>
          <w:p>
            <w:pPr>
              <w:spacing w:after="20"/>
              <w:jc w:val="right"/>
            </w:pPr>
            <w:r>
              <w:rPr>
                <w:color w:val="1C3A36"/>
                <w:sz w:val="16"/>
              </w:rPr>
              <w:t>$35m</w:t>
            </w:r>
          </w:p>
        </w:tc>
        <w:tc>
          <w:tcPr>
            <w:tcW w:type="dxa" w:w="2160"/>
          </w:tcPr>
          <w:p>
            <w:pPr>
              <w:spacing w:after="20"/>
              <w:jc w:val="right"/>
            </w:pPr>
            <w:r>
              <w:rPr>
                <w:color w:val="1C3A36"/>
                <w:sz w:val="16"/>
              </w:rPr>
              <w:t>Algerian bank rate + 1.95%</w:t>
            </w:r>
          </w:p>
        </w:tc>
        <w:tc>
          <w:tcPr>
            <w:tcW w:type="dxa" w:w="3816"/>
          </w:tcPr>
          <w:p>
            <w:pPr>
              <w:spacing w:after="20"/>
              <w:jc w:val="right"/>
            </w:pPr>
            <w:r>
              <w:rPr>
                <w:color w:val="1C3A36"/>
                <w:sz w:val="16"/>
              </w:rPr>
              <w:t>Foreign-currency tranche, carried at local-equivalent cost</w:t>
            </w:r>
          </w:p>
        </w:tc>
      </w:tr>
      <w:tr>
        <w:trPr>
          <w:cantSplit/>
        </w:trPr>
        <w:tc>
          <w:tcPr>
            <w:tcW w:type="dxa" w:w="2952"/>
          </w:tcPr>
          <w:p>
            <w:pPr>
              <w:spacing w:after="20"/>
            </w:pPr>
            <w:r>
              <w:rPr>
                <w:b/>
                <w:color w:val="1C3A36"/>
                <w:sz w:val="16"/>
              </w:rPr>
              <w:t>Weighted average capitalisation rate</w:t>
            </w:r>
          </w:p>
        </w:tc>
        <w:tc>
          <w:tcPr>
            <w:tcW w:type="dxa" w:w="1152"/>
          </w:tcPr>
          <w:p>
            <w:pPr>
              <w:spacing w:after="20"/>
              <w:jc w:val="right"/>
            </w:pPr>
            <w:r>
              <w:rPr>
                <w:color w:val="1C3A36"/>
                <w:sz w:val="16"/>
              </w:rPr>
              <w:t>—</w:t>
            </w:r>
          </w:p>
        </w:tc>
        <w:tc>
          <w:tcPr>
            <w:tcW w:type="dxa" w:w="2160"/>
          </w:tcPr>
          <w:p>
            <w:pPr>
              <w:spacing w:after="20"/>
              <w:jc w:val="right"/>
            </w:pPr>
            <w:r>
              <w:rPr>
                <w:color w:val="1C3A36"/>
                <w:sz w:val="16"/>
              </w:rPr>
              <w:t>6.6%</w:t>
            </w:r>
          </w:p>
        </w:tc>
        <w:tc>
          <w:tcPr>
            <w:tcW w:type="dxa" w:w="3816"/>
          </w:tcPr>
          <w:p>
            <w:pPr>
              <w:spacing w:after="20"/>
              <w:jc w:val="right"/>
            </w:pPr>
            <w:r>
              <w:rPr>
                <w:color w:val="1C3A36"/>
                <w:sz w:val="16"/>
              </w:rPr>
              <w:t>NOT used — this is a historical accounting rate, not a marginal cost</w:t>
            </w:r>
          </w:p>
        </w:tc>
      </w:tr>
      <w:tr>
        <w:trPr>
          <w:cantSplit/>
        </w:trPr>
        <w:tc>
          <w:tcPr>
            <w:tcW w:type="dxa" w:w="2952"/>
            <w:shd w:val="clear" w:color="auto" w:fill="F6F1E6"/>
          </w:tcPr>
          <w:p>
            <w:pPr>
              <w:spacing w:after="20"/>
            </w:pPr>
            <w:r>
              <w:rPr>
                <w:b/>
                <w:color w:val="1C3A36"/>
                <w:sz w:val="16"/>
              </w:rPr>
              <w:t>Marginal cost of debt applied</w:t>
            </w:r>
          </w:p>
        </w:tc>
        <w:tc>
          <w:tcPr>
            <w:tcW w:type="dxa" w:w="1152"/>
            <w:shd w:val="clear" w:color="auto" w:fill="F6F1E6"/>
          </w:tcPr>
          <w:p>
            <w:pPr>
              <w:spacing w:after="20"/>
              <w:jc w:val="right"/>
            </w:pPr>
            <w:r>
              <w:rPr>
                <w:b/>
                <w:color w:val="1C3A36"/>
                <w:sz w:val="16"/>
              </w:rPr>
              <w:t>—</w:t>
            </w:r>
          </w:p>
        </w:tc>
        <w:tc>
          <w:tcPr>
            <w:tcW w:type="dxa" w:w="2160"/>
            <w:shd w:val="clear" w:color="auto" w:fill="F6F1E6"/>
          </w:tcPr>
          <w:p>
            <w:pPr>
              <w:spacing w:after="20"/>
              <w:jc w:val="right"/>
            </w:pPr>
            <w:r>
              <w:rPr>
                <w:b/>
                <w:color w:val="1C3A36"/>
                <w:sz w:val="16"/>
              </w:rPr>
              <w:t>5.7%</w:t>
            </w:r>
          </w:p>
        </w:tc>
        <w:tc>
          <w:tcPr>
            <w:tcW w:type="dxa" w:w="3816"/>
            <w:shd w:val="clear" w:color="auto" w:fill="F6F1E6"/>
          </w:tcPr>
          <w:p>
            <w:pPr>
              <w:spacing w:after="20"/>
              <w:jc w:val="right"/>
            </w:pPr>
            <w:r>
              <w:rPr>
                <w:b/>
                <w:color w:val="1C3A36"/>
                <w:sz w:val="16"/>
              </w:rPr>
              <w:t>US 10-year plus the average margin on the two most recent facilities</w:t>
            </w:r>
          </w:p>
        </w:tc>
      </w:tr>
    </w:tbl>
    <w:p>
      <w:pPr>
        <w:spacing w:after="40"/>
      </w:pPr>
    </w:p>
    <w:p>
      <w:pPr>
        <w:spacing w:after="200" w:before="0"/>
      </w:pPr>
      <w:r>
        <w:rPr>
          <w:b w:val="0"/>
          <w:i/>
          <w:color w:val="6E7B77"/>
          <w:sz w:val="17"/>
        </w:rPr>
        <w:t>Cost-of-debt evidence. The rate applied sits above the Abu Dhabi sovereign at 5.1%, as a same-currency corporate must, and below the accounting capitalisation rate the company discloses for a different purpose.</w:t>
      </w:r>
    </w:p>
    <w:p>
      <w:pPr>
        <w:spacing w:after="120" w:before="0"/>
      </w:pPr>
      <w:r>
        <w:rPr>
          <w:b w:val="0"/>
          <w:i w:val="0"/>
          <w:color w:val="1C3A36"/>
          <w:sz w:val="21"/>
        </w:rPr>
        <w:t>Debt is 94.9% US dollar denominated, matching the currency of the cash flows. The remaining 5.1% is the Algerian dinar tranche and two Australian dollar trade facilities, both carried at local-equivalent cost rather than at their headline foreign coupon.</w:t>
      </w:r>
    </w:p>
    <w:p>
      <w:pPr>
        <w:spacing w:after="120" w:before="120"/>
      </w:pPr>
      <w:r>
        <w:rPr>
          <w:b w:val="0"/>
          <w:i w:val="0"/>
          <w:color w:val="1C3A36"/>
          <w:sz w:val="21"/>
        </w:rPr>
        <w:t>The forecast tax rate is not lifted from any single reported year, because no single reported year is representative — the company reported effective rates of 14.0%, 7.0% and 4.0% across the last three, each flattered by items that do not recur. Three independent estimates are computed and averaged: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296"/>
        <w:gridCol w:w="5184"/>
      </w:tblGrid>
      <w:tr>
        <w:trPr>
          <w:cantSplit/>
          <w:tblHeader/>
        </w:trPr>
        <w:tc>
          <w:tcPr>
            <w:tcW w:type="dxa" w:w="3600"/>
            <w:shd w:val="clear" w:color="auto" w:fill="EAF0EE"/>
          </w:tcPr>
          <w:p>
            <w:pPr>
              <w:spacing w:after="20"/>
            </w:pPr>
            <w:r>
              <w:rPr>
                <w:b/>
                <w:color w:val="1C3A36"/>
                <w:sz w:val="17"/>
              </w:rPr>
              <w:t>Method</w:t>
            </w:r>
          </w:p>
        </w:tc>
        <w:tc>
          <w:tcPr>
            <w:tcW w:type="dxa" w:w="1296"/>
            <w:shd w:val="clear" w:color="auto" w:fill="EAF0EE"/>
          </w:tcPr>
          <w:p>
            <w:pPr>
              <w:spacing w:after="20"/>
            </w:pPr>
            <w:r>
              <w:rPr>
                <w:b/>
                <w:color w:val="1C3A36"/>
                <w:sz w:val="17"/>
              </w:rPr>
              <w:t>Rate</w:t>
            </w:r>
          </w:p>
        </w:tc>
        <w:tc>
          <w:tcPr>
            <w:tcW w:type="dxa" w:w="5184"/>
            <w:shd w:val="clear" w:color="auto" w:fill="EAF0EE"/>
          </w:tcPr>
          <w:p>
            <w:pPr>
              <w:spacing w:after="20"/>
            </w:pPr>
            <w:r>
              <w:rPr>
                <w:b/>
                <w:color w:val="1C3A36"/>
                <w:sz w:val="17"/>
              </w:rPr>
              <w:t>Basis</w:t>
            </w:r>
          </w:p>
        </w:tc>
      </w:tr>
      <w:tr>
        <w:trPr>
          <w:cantSplit/>
        </w:trPr>
        <w:tc>
          <w:tcPr>
            <w:tcW w:type="dxa" w:w="3600"/>
          </w:tcPr>
          <w:p>
            <w:pPr>
              <w:spacing w:after="20"/>
            </w:pPr>
            <w:r>
              <w:rPr>
                <w:b/>
                <w:color w:val="1C3A36"/>
                <w:sz w:val="17"/>
              </w:rPr>
              <w:t>Four-year aggregate effective rate</w:t>
            </w:r>
          </w:p>
        </w:tc>
        <w:tc>
          <w:tcPr>
            <w:tcW w:type="dxa" w:w="1296"/>
          </w:tcPr>
          <w:p>
            <w:pPr>
              <w:spacing w:after="20"/>
              <w:jc w:val="right"/>
            </w:pPr>
            <w:r>
              <w:rPr>
                <w:color w:val="1C3A36"/>
                <w:sz w:val="17"/>
              </w:rPr>
              <w:t>10.4%</w:t>
            </w:r>
          </w:p>
        </w:tc>
        <w:tc>
          <w:tcPr>
            <w:tcW w:type="dxa" w:w="5184"/>
          </w:tcPr>
          <w:p>
            <w:pPr>
              <w:spacing w:after="20"/>
              <w:jc w:val="right"/>
            </w:pPr>
            <w:r>
              <w:rPr>
                <w:color w:val="1C3A36"/>
                <w:sz w:val="17"/>
              </w:rPr>
              <w:t>Total tax charge over total pre-tax profit, 2022 to 2025</w:t>
            </w:r>
          </w:p>
        </w:tc>
      </w:tr>
      <w:tr>
        <w:trPr>
          <w:cantSplit/>
        </w:trPr>
        <w:tc>
          <w:tcPr>
            <w:tcW w:type="dxa" w:w="3600"/>
          </w:tcPr>
          <w:p>
            <w:pPr>
              <w:spacing w:after="20"/>
            </w:pPr>
            <w:r>
              <w:rPr>
                <w:b/>
                <w:color w:val="1C3A36"/>
                <w:sz w:val="17"/>
              </w:rPr>
              <w:t>Four-year aggregate cash rate</w:t>
            </w:r>
          </w:p>
        </w:tc>
        <w:tc>
          <w:tcPr>
            <w:tcW w:type="dxa" w:w="1296"/>
          </w:tcPr>
          <w:p>
            <w:pPr>
              <w:spacing w:after="20"/>
              <w:jc w:val="right"/>
            </w:pPr>
            <w:r>
              <w:rPr>
                <w:color w:val="1C3A36"/>
                <w:sz w:val="17"/>
              </w:rPr>
              <w:t>15.7%</w:t>
            </w:r>
          </w:p>
        </w:tc>
        <w:tc>
          <w:tcPr>
            <w:tcW w:type="dxa" w:w="5184"/>
          </w:tcPr>
          <w:p>
            <w:pPr>
              <w:spacing w:after="20"/>
              <w:jc w:val="right"/>
            </w:pPr>
            <w:r>
              <w:rPr>
                <w:color w:val="1C3A36"/>
                <w:sz w:val="17"/>
              </w:rPr>
              <w:t>Total tax actually paid over total pre-tax profit, 2022 to 2025</w:t>
            </w:r>
          </w:p>
        </w:tc>
      </w:tr>
      <w:tr>
        <w:trPr>
          <w:cantSplit/>
        </w:trPr>
        <w:tc>
          <w:tcPr>
            <w:tcW w:type="dxa" w:w="3600"/>
          </w:tcPr>
          <w:p>
            <w:pPr>
              <w:spacing w:after="20"/>
            </w:pPr>
            <w:r>
              <w:rPr>
                <w:b/>
                <w:color w:val="1C3A36"/>
                <w:sz w:val="17"/>
              </w:rPr>
              <w:t>Jurisdiction-weighted statutory rate</w:t>
            </w:r>
          </w:p>
        </w:tc>
        <w:tc>
          <w:tcPr>
            <w:tcW w:type="dxa" w:w="1296"/>
          </w:tcPr>
          <w:p>
            <w:pPr>
              <w:spacing w:after="20"/>
              <w:jc w:val="right"/>
            </w:pPr>
            <w:r>
              <w:rPr>
                <w:color w:val="1C3A36"/>
                <w:sz w:val="17"/>
              </w:rPr>
              <w:t>13.4%</w:t>
            </w:r>
          </w:p>
        </w:tc>
        <w:tc>
          <w:tcPr>
            <w:tcW w:type="dxa" w:w="5184"/>
          </w:tcPr>
          <w:p>
            <w:pPr>
              <w:spacing w:after="20"/>
              <w:jc w:val="right"/>
            </w:pPr>
            <w:r>
              <w:rPr>
                <w:color w:val="1C3A36"/>
                <w:sz w:val="17"/>
              </w:rPr>
              <w:t>Published corporate rates weighted by assets in each country</w:t>
            </w:r>
          </w:p>
        </w:tc>
      </w:tr>
      <w:tr>
        <w:trPr>
          <w:cantSplit/>
        </w:trPr>
        <w:tc>
          <w:tcPr>
            <w:tcW w:type="dxa" w:w="3600"/>
            <w:shd w:val="clear" w:color="auto" w:fill="F6F1E6"/>
          </w:tcPr>
          <w:p>
            <w:pPr>
              <w:spacing w:after="20"/>
            </w:pPr>
            <w:r>
              <w:rPr>
                <w:b/>
                <w:color w:val="1C3A36"/>
                <w:sz w:val="17"/>
              </w:rPr>
              <w:t>Applied</w:t>
            </w:r>
          </w:p>
        </w:tc>
        <w:tc>
          <w:tcPr>
            <w:tcW w:type="dxa" w:w="1296"/>
            <w:shd w:val="clear" w:color="auto" w:fill="F6F1E6"/>
          </w:tcPr>
          <w:p>
            <w:pPr>
              <w:spacing w:after="20"/>
              <w:jc w:val="right"/>
            </w:pPr>
            <w:r>
              <w:rPr>
                <w:b/>
                <w:color w:val="1C3A36"/>
                <w:sz w:val="17"/>
              </w:rPr>
              <w:t>13.1%</w:t>
            </w:r>
          </w:p>
        </w:tc>
        <w:tc>
          <w:tcPr>
            <w:tcW w:type="dxa" w:w="5184"/>
            <w:shd w:val="clear" w:color="auto" w:fill="F6F1E6"/>
          </w:tcPr>
          <w:p>
            <w:pPr>
              <w:spacing w:after="20"/>
              <w:jc w:val="right"/>
            </w:pPr>
            <w:r>
              <w:rPr>
                <w:b/>
                <w:color w:val="1C3A36"/>
                <w:sz w:val="17"/>
              </w:rPr>
              <w:t>The average of the three</w:t>
            </w:r>
          </w:p>
        </w:tc>
      </w:tr>
    </w:tbl>
    <w:p>
      <w:pPr>
        <w:spacing w:after="40"/>
      </w:pPr>
    </w:p>
    <w:p>
      <w:pPr>
        <w:spacing w:after="80" w:before="200"/>
      </w:pPr>
      <w:r>
        <w:rPr>
          <w:b/>
          <w:i w:val="0"/>
          <w:color w:val="1C3A36"/>
          <w:sz w:val="24"/>
        </w:rPr>
        <w:t>1.9  Sensitivity</w:t>
      </w:r>
    </w:p>
    <w:p>
      <w:pPr>
        <w:spacing w:after="120" w:before="0"/>
      </w:pPr>
      <w:r>
        <w:rPr>
          <w:b w:val="0"/>
          <w:i w:val="0"/>
          <w:color w:val="1C3A36"/>
          <w:sz w:val="21"/>
        </w:rPr>
        <w:t>The value is most sensitive to the gas pass-through rate and to the price path — which is to say, to the crux. It is next most sensitive to beta, which is the study's most fragile input for reasons set out in the caveats.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69"/>
        <w:gridCol w:w="1469"/>
        <w:gridCol w:w="1469"/>
        <w:gridCol w:w="1469"/>
        <w:gridCol w:w="1469"/>
      </w:tblGrid>
      <w:tr>
        <w:trPr>
          <w:cantSplit/>
          <w:tblHeader/>
        </w:trPr>
        <w:tc>
          <w:tcPr>
            <w:tcW w:type="dxa" w:w="2736"/>
            <w:shd w:val="clear" w:color="auto" w:fill="EAF0EE"/>
          </w:tcPr>
          <w:p>
            <w:pPr>
              <w:spacing w:after="20"/>
            </w:pPr>
            <w:r>
              <w:rPr>
                <w:b/>
                <w:color w:val="1C3A36"/>
                <w:sz w:val="17"/>
              </w:rPr>
              <w:t>Gas pass-through rate</w:t>
            </w:r>
          </w:p>
        </w:tc>
        <w:tc>
          <w:tcPr>
            <w:tcW w:type="dxa" w:w="1469"/>
            <w:shd w:val="clear" w:color="auto" w:fill="EAF0EE"/>
          </w:tcPr>
          <w:p>
            <w:pPr>
              <w:spacing w:after="20"/>
            </w:pPr>
            <w:r>
              <w:rPr>
                <w:b/>
                <w:color w:val="1C3A36"/>
                <w:sz w:val="17"/>
              </w:rPr>
              <w:t>0.30</w:t>
            </w:r>
          </w:p>
        </w:tc>
        <w:tc>
          <w:tcPr>
            <w:tcW w:type="dxa" w:w="1469"/>
            <w:shd w:val="clear" w:color="auto" w:fill="EAF0EE"/>
          </w:tcPr>
          <w:p>
            <w:pPr>
              <w:spacing w:after="20"/>
            </w:pPr>
            <w:r>
              <w:rPr>
                <w:b/>
                <w:color w:val="1C3A36"/>
                <w:sz w:val="17"/>
              </w:rPr>
              <w:t>0.40</w:t>
            </w:r>
          </w:p>
        </w:tc>
        <w:tc>
          <w:tcPr>
            <w:tcW w:type="dxa" w:w="1469"/>
            <w:shd w:val="clear" w:color="auto" w:fill="EAF0EE"/>
          </w:tcPr>
          <w:p>
            <w:pPr>
              <w:spacing w:after="20"/>
            </w:pPr>
            <w:r>
              <w:rPr>
                <w:b/>
                <w:color w:val="1C3A36"/>
                <w:sz w:val="17"/>
              </w:rPr>
              <w:t>0.48</w:t>
            </w:r>
          </w:p>
        </w:tc>
        <w:tc>
          <w:tcPr>
            <w:tcW w:type="dxa" w:w="1469"/>
            <w:shd w:val="clear" w:color="auto" w:fill="EAF0EE"/>
          </w:tcPr>
          <w:p>
            <w:pPr>
              <w:spacing w:after="20"/>
            </w:pPr>
            <w:r>
              <w:rPr>
                <w:b/>
                <w:color w:val="1C3A36"/>
                <w:sz w:val="17"/>
              </w:rPr>
              <w:t>0.55</w:t>
            </w:r>
          </w:p>
        </w:tc>
        <w:tc>
          <w:tcPr>
            <w:tcW w:type="dxa" w:w="1469"/>
            <w:shd w:val="clear" w:color="auto" w:fill="EAF0EE"/>
          </w:tcPr>
          <w:p>
            <w:pPr>
              <w:spacing w:after="20"/>
            </w:pPr>
            <w:r>
              <w:rPr>
                <w:b/>
                <w:color w:val="1C3A36"/>
                <w:sz w:val="17"/>
              </w:rPr>
              <w:t>0.65</w:t>
            </w:r>
          </w:p>
        </w:tc>
      </w:tr>
      <w:tr>
        <w:trPr>
          <w:cantSplit/>
        </w:trPr>
        <w:tc>
          <w:tcPr>
            <w:tcW w:type="dxa" w:w="2736"/>
          </w:tcPr>
          <w:p>
            <w:pPr>
              <w:spacing w:after="20"/>
            </w:pPr>
            <w:r>
              <w:rPr>
                <w:b/>
                <w:color w:val="1C3A36"/>
                <w:sz w:val="17"/>
              </w:rPr>
              <w:t>Value (AED/share)</w:t>
            </w:r>
          </w:p>
        </w:tc>
        <w:tc>
          <w:tcPr>
            <w:tcW w:type="dxa" w:w="1469"/>
          </w:tcPr>
          <w:p>
            <w:pPr>
              <w:spacing w:after="20"/>
              <w:jc w:val="right"/>
            </w:pPr>
            <w:r>
              <w:rPr>
                <w:color w:val="1C3A36"/>
                <w:sz w:val="17"/>
              </w:rPr>
              <w:t>3.07</w:t>
            </w:r>
          </w:p>
        </w:tc>
        <w:tc>
          <w:tcPr>
            <w:tcW w:type="dxa" w:w="1469"/>
          </w:tcPr>
          <w:p>
            <w:pPr>
              <w:spacing w:after="20"/>
              <w:jc w:val="right"/>
            </w:pPr>
            <w:r>
              <w:rPr>
                <w:color w:val="1C3A36"/>
                <w:sz w:val="17"/>
              </w:rPr>
              <w:t>2.37</w:t>
            </w:r>
          </w:p>
        </w:tc>
        <w:tc>
          <w:tcPr>
            <w:tcW w:type="dxa" w:w="1469"/>
          </w:tcPr>
          <w:p>
            <w:pPr>
              <w:spacing w:after="20"/>
              <w:jc w:val="right"/>
            </w:pPr>
            <w:r>
              <w:rPr>
                <w:color w:val="1C3A36"/>
                <w:sz w:val="17"/>
              </w:rPr>
              <w:t>1.81</w:t>
            </w:r>
          </w:p>
        </w:tc>
        <w:tc>
          <w:tcPr>
            <w:tcW w:type="dxa" w:w="1469"/>
          </w:tcPr>
          <w:p>
            <w:pPr>
              <w:spacing w:after="20"/>
              <w:jc w:val="right"/>
            </w:pPr>
            <w:r>
              <w:rPr>
                <w:color w:val="1C3A36"/>
                <w:sz w:val="17"/>
              </w:rPr>
              <w:t>1.33</w:t>
            </w:r>
          </w:p>
        </w:tc>
        <w:tc>
          <w:tcPr>
            <w:tcW w:type="dxa" w:w="1469"/>
          </w:tcPr>
          <w:p>
            <w:pPr>
              <w:spacing w:after="20"/>
              <w:jc w:val="right"/>
            </w:pPr>
            <w:r>
              <w:rPr>
                <w:color w:val="1C3A36"/>
                <w:sz w:val="17"/>
              </w:rPr>
              <w:t>0.63</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69"/>
        <w:gridCol w:w="1469"/>
        <w:gridCol w:w="1469"/>
        <w:gridCol w:w="1469"/>
        <w:gridCol w:w="1469"/>
      </w:tblGrid>
      <w:tr>
        <w:trPr>
          <w:cantSplit/>
          <w:tblHeader/>
        </w:trPr>
        <w:tc>
          <w:tcPr>
            <w:tcW w:type="dxa" w:w="2736"/>
            <w:shd w:val="clear" w:color="auto" w:fill="EAF0EE"/>
          </w:tcPr>
          <w:p>
            <w:pPr>
              <w:spacing w:after="20"/>
            </w:pPr>
            <w:r>
              <w:rPr>
                <w:b/>
                <w:color w:val="1C3A36"/>
                <w:sz w:val="17"/>
              </w:rPr>
              <w:t>Price path shift</w:t>
            </w:r>
          </w:p>
        </w:tc>
        <w:tc>
          <w:tcPr>
            <w:tcW w:type="dxa" w:w="1469"/>
            <w:shd w:val="clear" w:color="auto" w:fill="EAF0EE"/>
          </w:tcPr>
          <w:p>
            <w:pPr>
              <w:spacing w:after="20"/>
            </w:pPr>
            <w:r>
              <w:rPr>
                <w:b/>
                <w:color w:val="1C3A36"/>
                <w:sz w:val="17"/>
              </w:rPr>
              <w:t>-20%</w:t>
            </w:r>
          </w:p>
        </w:tc>
        <w:tc>
          <w:tcPr>
            <w:tcW w:type="dxa" w:w="1469"/>
            <w:shd w:val="clear" w:color="auto" w:fill="EAF0EE"/>
          </w:tcPr>
          <w:p>
            <w:pPr>
              <w:spacing w:after="20"/>
            </w:pPr>
            <w:r>
              <w:rPr>
                <w:b/>
                <w:color w:val="1C3A36"/>
                <w:sz w:val="17"/>
              </w:rPr>
              <w:t>-10%</w:t>
            </w:r>
          </w:p>
        </w:tc>
        <w:tc>
          <w:tcPr>
            <w:tcW w:type="dxa" w:w="1469"/>
            <w:shd w:val="clear" w:color="auto" w:fill="EAF0EE"/>
          </w:tcPr>
          <w:p>
            <w:pPr>
              <w:spacing w:after="20"/>
            </w:pPr>
            <w:r>
              <w:rPr>
                <w:b/>
                <w:color w:val="1C3A36"/>
                <w:sz w:val="17"/>
              </w:rPr>
              <w:t>+0%</w:t>
            </w:r>
          </w:p>
        </w:tc>
        <w:tc>
          <w:tcPr>
            <w:tcW w:type="dxa" w:w="1469"/>
            <w:shd w:val="clear" w:color="auto" w:fill="EAF0EE"/>
          </w:tcPr>
          <w:p>
            <w:pPr>
              <w:spacing w:after="20"/>
            </w:pPr>
            <w:r>
              <w:rPr>
                <w:b/>
                <w:color w:val="1C3A36"/>
                <w:sz w:val="17"/>
              </w:rPr>
              <w:t>+10%</w:t>
            </w:r>
          </w:p>
        </w:tc>
        <w:tc>
          <w:tcPr>
            <w:tcW w:type="dxa" w:w="1469"/>
            <w:shd w:val="clear" w:color="auto" w:fill="EAF0EE"/>
          </w:tcPr>
          <w:p>
            <w:pPr>
              <w:spacing w:after="20"/>
            </w:pPr>
            <w:r>
              <w:rPr>
                <w:b/>
                <w:color w:val="1C3A36"/>
                <w:sz w:val="17"/>
              </w:rPr>
              <w:t>+20%</w:t>
            </w:r>
          </w:p>
        </w:tc>
      </w:tr>
      <w:tr>
        <w:trPr>
          <w:cantSplit/>
        </w:trPr>
        <w:tc>
          <w:tcPr>
            <w:tcW w:type="dxa" w:w="2736"/>
          </w:tcPr>
          <w:p>
            <w:pPr>
              <w:spacing w:after="20"/>
            </w:pPr>
            <w:r>
              <w:rPr>
                <w:b/>
                <w:color w:val="1C3A36"/>
                <w:sz w:val="17"/>
              </w:rPr>
              <w:t>Value (AED/share)</w:t>
            </w:r>
          </w:p>
        </w:tc>
        <w:tc>
          <w:tcPr>
            <w:tcW w:type="dxa" w:w="1469"/>
          </w:tcPr>
          <w:p>
            <w:pPr>
              <w:spacing w:after="20"/>
              <w:jc w:val="right"/>
            </w:pPr>
            <w:r>
              <w:rPr>
                <w:color w:val="1C3A36"/>
                <w:sz w:val="17"/>
              </w:rPr>
              <w:t>1.07</w:t>
            </w:r>
          </w:p>
        </w:tc>
        <w:tc>
          <w:tcPr>
            <w:tcW w:type="dxa" w:w="1469"/>
          </w:tcPr>
          <w:p>
            <w:pPr>
              <w:spacing w:after="20"/>
              <w:jc w:val="right"/>
            </w:pPr>
            <w:r>
              <w:rPr>
                <w:color w:val="1C3A36"/>
                <w:sz w:val="17"/>
              </w:rPr>
              <w:t>1.44</w:t>
            </w:r>
          </w:p>
        </w:tc>
        <w:tc>
          <w:tcPr>
            <w:tcW w:type="dxa" w:w="1469"/>
          </w:tcPr>
          <w:p>
            <w:pPr>
              <w:spacing w:after="20"/>
              <w:jc w:val="right"/>
            </w:pPr>
            <w:r>
              <w:rPr>
                <w:color w:val="1C3A36"/>
                <w:sz w:val="17"/>
              </w:rPr>
              <w:t>1.81</w:t>
            </w:r>
          </w:p>
        </w:tc>
        <w:tc>
          <w:tcPr>
            <w:tcW w:type="dxa" w:w="1469"/>
          </w:tcPr>
          <w:p>
            <w:pPr>
              <w:spacing w:after="20"/>
              <w:jc w:val="right"/>
            </w:pPr>
            <w:r>
              <w:rPr>
                <w:color w:val="1C3A36"/>
                <w:sz w:val="17"/>
              </w:rPr>
              <w:t>2.18</w:t>
            </w:r>
          </w:p>
        </w:tc>
        <w:tc>
          <w:tcPr>
            <w:tcW w:type="dxa" w:w="1469"/>
          </w:tcPr>
          <w:p>
            <w:pPr>
              <w:spacing w:after="20"/>
              <w:jc w:val="right"/>
            </w:pPr>
            <w:r>
              <w:rPr>
                <w:color w:val="1C3A36"/>
                <w:sz w:val="17"/>
              </w:rPr>
              <w:t>2.55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69"/>
        <w:gridCol w:w="1469"/>
        <w:gridCol w:w="1469"/>
        <w:gridCol w:w="1469"/>
        <w:gridCol w:w="1469"/>
      </w:tblGrid>
      <w:tr>
        <w:trPr>
          <w:cantSplit/>
          <w:tblHeader/>
        </w:trPr>
        <w:tc>
          <w:tcPr>
            <w:tcW w:type="dxa" w:w="2736"/>
            <w:shd w:val="clear" w:color="auto" w:fill="EAF0EE"/>
          </w:tcPr>
          <w:p>
            <w:pPr>
              <w:spacing w:after="20"/>
            </w:pPr>
            <w:r>
              <w:rPr>
                <w:b/>
                <w:color w:val="1C3A36"/>
                <w:sz w:val="17"/>
              </w:rPr>
              <w:t>Beta</w:t>
            </w:r>
          </w:p>
        </w:tc>
        <w:tc>
          <w:tcPr>
            <w:tcW w:type="dxa" w:w="1469"/>
            <w:shd w:val="clear" w:color="auto" w:fill="EAF0EE"/>
          </w:tcPr>
          <w:p>
            <w:pPr>
              <w:spacing w:after="20"/>
            </w:pPr>
            <w:r>
              <w:rPr>
                <w:b/>
                <w:color w:val="1C3A36"/>
                <w:sz w:val="17"/>
              </w:rPr>
              <w:t>0.47</w:t>
            </w:r>
          </w:p>
        </w:tc>
        <w:tc>
          <w:tcPr>
            <w:tcW w:type="dxa" w:w="1469"/>
            <w:shd w:val="clear" w:color="auto" w:fill="EAF0EE"/>
          </w:tcPr>
          <w:p>
            <w:pPr>
              <w:spacing w:after="20"/>
            </w:pPr>
            <w:r>
              <w:rPr>
                <w:b/>
                <w:color w:val="1C3A36"/>
                <w:sz w:val="17"/>
              </w:rPr>
              <w:t>0.40</w:t>
            </w:r>
          </w:p>
        </w:tc>
        <w:tc>
          <w:tcPr>
            <w:tcW w:type="dxa" w:w="1469"/>
            <w:shd w:val="clear" w:color="auto" w:fill="EAF0EE"/>
          </w:tcPr>
          <w:p>
            <w:pPr>
              <w:spacing w:after="20"/>
            </w:pPr>
            <w:r>
              <w:rPr>
                <w:b/>
                <w:color w:val="1C3A36"/>
                <w:sz w:val="17"/>
              </w:rPr>
              <w:t>0.93</w:t>
            </w:r>
          </w:p>
        </w:tc>
        <w:tc>
          <w:tcPr>
            <w:tcW w:type="dxa" w:w="1469"/>
            <w:shd w:val="clear" w:color="auto" w:fill="EAF0EE"/>
          </w:tcPr>
          <w:p>
            <w:pPr>
              <w:spacing w:after="20"/>
            </w:pPr>
            <w:r>
              <w:rPr>
                <w:b/>
                <w:color w:val="1C3A36"/>
                <w:sz w:val="17"/>
              </w:rPr>
              <w:t>0.60</w:t>
            </w:r>
          </w:p>
        </w:tc>
        <w:tc>
          <w:tcPr>
            <w:tcW w:type="dxa" w:w="1469"/>
            <w:shd w:val="clear" w:color="auto" w:fill="EAF0EE"/>
          </w:tcPr>
          <w:p>
            <w:pPr>
              <w:spacing w:after="20"/>
            </w:pPr>
            <w:r>
              <w:rPr>
                <w:b/>
                <w:color w:val="1C3A36"/>
                <w:sz w:val="17"/>
              </w:rPr>
              <w:t>1.40</w:t>
            </w:r>
          </w:p>
        </w:tc>
      </w:tr>
      <w:tr>
        <w:trPr>
          <w:cantSplit/>
        </w:trPr>
        <w:tc>
          <w:tcPr>
            <w:tcW w:type="dxa" w:w="2736"/>
          </w:tcPr>
          <w:p>
            <w:pPr>
              <w:spacing w:after="20"/>
            </w:pPr>
            <w:r>
              <w:rPr>
                <w:b/>
                <w:color w:val="1C3A36"/>
                <w:sz w:val="17"/>
              </w:rPr>
              <w:t>Value (AED/share)</w:t>
            </w:r>
          </w:p>
        </w:tc>
        <w:tc>
          <w:tcPr>
            <w:tcW w:type="dxa" w:w="1469"/>
          </w:tcPr>
          <w:p>
            <w:pPr>
              <w:spacing w:after="20"/>
              <w:jc w:val="right"/>
            </w:pPr>
            <w:r>
              <w:rPr>
                <w:color w:val="1C3A36"/>
                <w:sz w:val="17"/>
              </w:rPr>
              <w:t>2.77</w:t>
            </w:r>
          </w:p>
        </w:tc>
        <w:tc>
          <w:tcPr>
            <w:tcW w:type="dxa" w:w="1469"/>
          </w:tcPr>
          <w:p>
            <w:pPr>
              <w:spacing w:after="20"/>
              <w:jc w:val="right"/>
            </w:pPr>
            <w:r>
              <w:rPr>
                <w:color w:val="1C3A36"/>
                <w:sz w:val="17"/>
              </w:rPr>
              <w:t>3.00</w:t>
            </w:r>
          </w:p>
        </w:tc>
        <w:tc>
          <w:tcPr>
            <w:tcW w:type="dxa" w:w="1469"/>
          </w:tcPr>
          <w:p>
            <w:pPr>
              <w:spacing w:after="20"/>
              <w:jc w:val="right"/>
            </w:pPr>
            <w:r>
              <w:rPr>
                <w:color w:val="1C3A36"/>
                <w:sz w:val="17"/>
              </w:rPr>
              <w:t>1.81</w:t>
            </w:r>
          </w:p>
        </w:tc>
        <w:tc>
          <w:tcPr>
            <w:tcW w:type="dxa" w:w="1469"/>
          </w:tcPr>
          <w:p>
            <w:pPr>
              <w:spacing w:after="20"/>
              <w:jc w:val="right"/>
            </w:pPr>
            <w:r>
              <w:rPr>
                <w:color w:val="1C3A36"/>
                <w:sz w:val="17"/>
              </w:rPr>
              <w:t>2.41</w:t>
            </w:r>
          </w:p>
        </w:tc>
        <w:tc>
          <w:tcPr>
            <w:tcW w:type="dxa" w:w="1469"/>
          </w:tcPr>
          <w:p>
            <w:pPr>
              <w:spacing w:after="20"/>
              <w:jc w:val="right"/>
            </w:pPr>
            <w:r>
              <w:rPr>
                <w:color w:val="1C3A36"/>
                <w:sz w:val="17"/>
              </w:rPr>
              <w:t>1.34</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69"/>
        <w:gridCol w:w="1469"/>
        <w:gridCol w:w="1469"/>
        <w:gridCol w:w="1469"/>
        <w:gridCol w:w="1469"/>
      </w:tblGrid>
      <w:tr>
        <w:trPr>
          <w:cantSplit/>
          <w:tblHeader/>
        </w:trPr>
        <w:tc>
          <w:tcPr>
            <w:tcW w:type="dxa" w:w="2736"/>
            <w:shd w:val="clear" w:color="auto" w:fill="EAF0EE"/>
          </w:tcPr>
          <w:p>
            <w:pPr>
              <w:spacing w:after="20"/>
            </w:pPr>
            <w:r>
              <w:rPr>
                <w:b/>
                <w:color w:val="1C3A36"/>
                <w:sz w:val="17"/>
              </w:rPr>
              <w:t>Tax rate</w:t>
            </w:r>
          </w:p>
        </w:tc>
        <w:tc>
          <w:tcPr>
            <w:tcW w:type="dxa" w:w="1469"/>
            <w:shd w:val="clear" w:color="auto" w:fill="EAF0EE"/>
          </w:tcPr>
          <w:p>
            <w:pPr>
              <w:spacing w:after="20"/>
            </w:pPr>
            <w:r>
              <w:rPr>
                <w:b/>
                <w:color w:val="1C3A36"/>
                <w:sz w:val="17"/>
              </w:rPr>
              <w:t>8%</w:t>
            </w:r>
          </w:p>
        </w:tc>
        <w:tc>
          <w:tcPr>
            <w:tcW w:type="dxa" w:w="1469"/>
            <w:shd w:val="clear" w:color="auto" w:fill="EAF0EE"/>
          </w:tcPr>
          <w:p>
            <w:pPr>
              <w:spacing w:after="20"/>
            </w:pPr>
            <w:r>
              <w:rPr>
                <w:b/>
                <w:color w:val="1C3A36"/>
                <w:sz w:val="17"/>
              </w:rPr>
              <w:t>11%</w:t>
            </w:r>
          </w:p>
        </w:tc>
        <w:tc>
          <w:tcPr>
            <w:tcW w:type="dxa" w:w="1469"/>
            <w:shd w:val="clear" w:color="auto" w:fill="EAF0EE"/>
          </w:tcPr>
          <w:p>
            <w:pPr>
              <w:spacing w:after="20"/>
            </w:pPr>
            <w:r>
              <w:rPr>
                <w:b/>
                <w:color w:val="1C3A36"/>
                <w:sz w:val="17"/>
              </w:rPr>
              <w:t>13%</w:t>
            </w:r>
          </w:p>
        </w:tc>
        <w:tc>
          <w:tcPr>
            <w:tcW w:type="dxa" w:w="1469"/>
            <w:shd w:val="clear" w:color="auto" w:fill="EAF0EE"/>
          </w:tcPr>
          <w:p>
            <w:pPr>
              <w:spacing w:after="20"/>
            </w:pPr>
            <w:r>
              <w:rPr>
                <w:b/>
                <w:color w:val="1C3A36"/>
                <w:sz w:val="17"/>
              </w:rPr>
              <w:t>16%</w:t>
            </w:r>
          </w:p>
        </w:tc>
        <w:tc>
          <w:tcPr>
            <w:tcW w:type="dxa" w:w="1469"/>
            <w:shd w:val="clear" w:color="auto" w:fill="EAF0EE"/>
          </w:tcPr>
          <w:p>
            <w:pPr>
              <w:spacing w:after="20"/>
            </w:pPr>
            <w:r>
              <w:rPr>
                <w:b/>
                <w:color w:val="1C3A36"/>
                <w:sz w:val="17"/>
              </w:rPr>
              <w:t>20%</w:t>
            </w:r>
          </w:p>
        </w:tc>
      </w:tr>
      <w:tr>
        <w:trPr>
          <w:cantSplit/>
        </w:trPr>
        <w:tc>
          <w:tcPr>
            <w:tcW w:type="dxa" w:w="2736"/>
          </w:tcPr>
          <w:p>
            <w:pPr>
              <w:spacing w:after="20"/>
            </w:pPr>
            <w:r>
              <w:rPr>
                <w:b/>
                <w:color w:val="1C3A36"/>
                <w:sz w:val="17"/>
              </w:rPr>
              <w:t>Value (AED/share)</w:t>
            </w:r>
          </w:p>
        </w:tc>
        <w:tc>
          <w:tcPr>
            <w:tcW w:type="dxa" w:w="1469"/>
          </w:tcPr>
          <w:p>
            <w:pPr>
              <w:spacing w:after="20"/>
              <w:jc w:val="right"/>
            </w:pPr>
            <w:r>
              <w:rPr>
                <w:color w:val="1C3A36"/>
                <w:sz w:val="17"/>
              </w:rPr>
              <w:t>1.93</w:t>
            </w:r>
          </w:p>
        </w:tc>
        <w:tc>
          <w:tcPr>
            <w:tcW w:type="dxa" w:w="1469"/>
          </w:tcPr>
          <w:p>
            <w:pPr>
              <w:spacing w:after="20"/>
              <w:jc w:val="right"/>
            </w:pPr>
            <w:r>
              <w:rPr>
                <w:color w:val="1C3A36"/>
                <w:sz w:val="17"/>
              </w:rPr>
              <w:t>1.86</w:t>
            </w:r>
          </w:p>
        </w:tc>
        <w:tc>
          <w:tcPr>
            <w:tcW w:type="dxa" w:w="1469"/>
          </w:tcPr>
          <w:p>
            <w:pPr>
              <w:spacing w:after="20"/>
              <w:jc w:val="right"/>
            </w:pPr>
            <w:r>
              <w:rPr>
                <w:color w:val="1C3A36"/>
                <w:sz w:val="17"/>
              </w:rPr>
              <w:t>1.81</w:t>
            </w:r>
          </w:p>
        </w:tc>
        <w:tc>
          <w:tcPr>
            <w:tcW w:type="dxa" w:w="1469"/>
          </w:tcPr>
          <w:p>
            <w:pPr>
              <w:spacing w:after="20"/>
              <w:jc w:val="right"/>
            </w:pPr>
            <w:r>
              <w:rPr>
                <w:color w:val="1C3A36"/>
                <w:sz w:val="17"/>
              </w:rPr>
              <w:t>1.74</w:t>
            </w:r>
          </w:p>
        </w:tc>
        <w:tc>
          <w:tcPr>
            <w:tcW w:type="dxa" w:w="1469"/>
          </w:tcPr>
          <w:p>
            <w:pPr>
              <w:spacing w:after="20"/>
              <w:jc w:val="right"/>
            </w:pPr>
            <w:r>
              <w:rPr>
                <w:color w:val="1C3A36"/>
                <w:sz w:val="17"/>
              </w:rPr>
              <w:t>1.64</w:t>
            </w:r>
          </w:p>
        </w:tc>
      </w:tr>
    </w:tbl>
    <w:p>
      <w:pPr>
        <w:spacing w:after="40"/>
      </w:pPr>
    </w:p>
    <w:p>
      <w:pPr>
        <w:spacing w:after="200" w:before="0"/>
      </w:pPr>
      <w:r>
        <w:rPr>
          <w:b w:val="0"/>
          <w:i/>
          <w:color w:val="6E7B77"/>
          <w:sz w:val="17"/>
        </w:rPr>
        <w:t>One-way sensitivities, framing A. The first two lines are the crux; the third is the fragile input.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69"/>
        <w:gridCol w:w="1469"/>
        <w:gridCol w:w="1469"/>
        <w:gridCol w:w="1469"/>
        <w:gridCol w:w="1469"/>
      </w:tblGrid>
      <w:tr>
        <w:trPr>
          <w:cantSplit/>
          <w:tblHeader/>
        </w:trPr>
        <w:tc>
          <w:tcPr>
            <w:tcW w:type="dxa" w:w="2736"/>
            <w:shd w:val="clear" w:color="auto" w:fill="EAF0EE"/>
          </w:tcPr>
          <w:p>
            <w:pPr>
              <w:spacing w:after="20"/>
            </w:pPr>
            <w:r>
              <w:rPr>
                <w:b/>
                <w:color w:val="1C3A36"/>
                <w:sz w:val="17"/>
              </w:rPr>
              <w:t>Terminal cost of capital \ real growth</w:t>
            </w:r>
          </w:p>
        </w:tc>
        <w:tc>
          <w:tcPr>
            <w:tcW w:type="dxa" w:w="1469"/>
            <w:shd w:val="clear" w:color="auto" w:fill="EAF0EE"/>
          </w:tcPr>
          <w:p>
            <w:pPr>
              <w:spacing w:after="20"/>
            </w:pPr>
            <w:r>
              <w:rPr>
                <w:b/>
                <w:color w:val="1C3A36"/>
                <w:sz w:val="17"/>
              </w:rPr>
              <w:t>0.0%</w:t>
            </w:r>
          </w:p>
        </w:tc>
        <w:tc>
          <w:tcPr>
            <w:tcW w:type="dxa" w:w="1469"/>
            <w:shd w:val="clear" w:color="auto" w:fill="EAF0EE"/>
          </w:tcPr>
          <w:p>
            <w:pPr>
              <w:spacing w:after="20"/>
            </w:pPr>
            <w:r>
              <w:rPr>
                <w:b/>
                <w:color w:val="1C3A36"/>
                <w:sz w:val="17"/>
              </w:rPr>
              <w:t>0.2%</w:t>
            </w:r>
          </w:p>
        </w:tc>
        <w:tc>
          <w:tcPr>
            <w:tcW w:type="dxa" w:w="1469"/>
            <w:shd w:val="clear" w:color="auto" w:fill="EAF0EE"/>
          </w:tcPr>
          <w:p>
            <w:pPr>
              <w:spacing w:after="20"/>
            </w:pPr>
            <w:r>
              <w:rPr>
                <w:b/>
                <w:color w:val="1C3A36"/>
                <w:sz w:val="17"/>
              </w:rPr>
              <w:t>0.5%</w:t>
            </w:r>
          </w:p>
        </w:tc>
        <w:tc>
          <w:tcPr>
            <w:tcW w:type="dxa" w:w="1469"/>
            <w:shd w:val="clear" w:color="auto" w:fill="EAF0EE"/>
          </w:tcPr>
          <w:p>
            <w:pPr>
              <w:spacing w:after="20"/>
            </w:pPr>
            <w:r>
              <w:rPr>
                <w:b/>
                <w:color w:val="1C3A36"/>
                <w:sz w:val="17"/>
              </w:rPr>
              <w:t>0.8%</w:t>
            </w:r>
          </w:p>
        </w:tc>
        <w:tc>
          <w:tcPr>
            <w:tcW w:type="dxa" w:w="1469"/>
            <w:shd w:val="clear" w:color="auto" w:fill="EAF0EE"/>
          </w:tcPr>
          <w:p>
            <w:pPr>
              <w:spacing w:after="20"/>
            </w:pPr>
            <w:r>
              <w:rPr>
                <w:b/>
                <w:color w:val="1C3A36"/>
                <w:sz w:val="17"/>
              </w:rPr>
              <w:t>1.0%</w:t>
            </w:r>
          </w:p>
        </w:tc>
      </w:tr>
      <w:tr>
        <w:trPr>
          <w:cantSplit/>
        </w:trPr>
        <w:tc>
          <w:tcPr>
            <w:tcW w:type="dxa" w:w="2736"/>
          </w:tcPr>
          <w:p>
            <w:pPr>
              <w:spacing w:after="20"/>
            </w:pPr>
            <w:r>
              <w:rPr>
                <w:b/>
                <w:color w:val="1C3A36"/>
                <w:sz w:val="17"/>
              </w:rPr>
              <w:t>10.1%</w:t>
            </w:r>
          </w:p>
        </w:tc>
        <w:tc>
          <w:tcPr>
            <w:tcW w:type="dxa" w:w="1469"/>
          </w:tcPr>
          <w:p>
            <w:pPr>
              <w:spacing w:after="20"/>
              <w:jc w:val="right"/>
            </w:pPr>
            <w:r>
              <w:rPr>
                <w:color w:val="1C3A36"/>
                <w:sz w:val="17"/>
              </w:rPr>
              <w:t>1.99</w:t>
            </w:r>
          </w:p>
        </w:tc>
        <w:tc>
          <w:tcPr>
            <w:tcW w:type="dxa" w:w="1469"/>
          </w:tcPr>
          <w:p>
            <w:pPr>
              <w:spacing w:after="20"/>
              <w:jc w:val="right"/>
            </w:pPr>
            <w:r>
              <w:rPr>
                <w:color w:val="1C3A36"/>
                <w:sz w:val="17"/>
              </w:rPr>
              <w:t>1.98</w:t>
            </w:r>
          </w:p>
        </w:tc>
        <w:tc>
          <w:tcPr>
            <w:tcW w:type="dxa" w:w="1469"/>
          </w:tcPr>
          <w:p>
            <w:pPr>
              <w:spacing w:after="20"/>
              <w:jc w:val="right"/>
            </w:pPr>
            <w:r>
              <w:rPr>
                <w:color w:val="1C3A36"/>
                <w:sz w:val="17"/>
              </w:rPr>
              <w:t>1.97</w:t>
            </w:r>
          </w:p>
        </w:tc>
        <w:tc>
          <w:tcPr>
            <w:tcW w:type="dxa" w:w="1469"/>
          </w:tcPr>
          <w:p>
            <w:pPr>
              <w:spacing w:after="20"/>
              <w:jc w:val="right"/>
            </w:pPr>
            <w:r>
              <w:rPr>
                <w:color w:val="1C3A36"/>
                <w:sz w:val="17"/>
              </w:rPr>
              <w:t>1.96</w:t>
            </w:r>
          </w:p>
        </w:tc>
        <w:tc>
          <w:tcPr>
            <w:tcW w:type="dxa" w:w="1469"/>
          </w:tcPr>
          <w:p>
            <w:pPr>
              <w:spacing w:after="20"/>
              <w:jc w:val="right"/>
            </w:pPr>
            <w:r>
              <w:rPr>
                <w:color w:val="1C3A36"/>
                <w:sz w:val="17"/>
              </w:rPr>
              <w:t>1.95</w:t>
            </w:r>
          </w:p>
        </w:tc>
      </w:tr>
      <w:tr>
        <w:trPr>
          <w:cantSplit/>
        </w:trPr>
        <w:tc>
          <w:tcPr>
            <w:tcW w:type="dxa" w:w="2736"/>
          </w:tcPr>
          <w:p>
            <w:pPr>
              <w:spacing w:after="20"/>
            </w:pPr>
            <w:r>
              <w:rPr>
                <w:b/>
                <w:color w:val="1C3A36"/>
                <w:sz w:val="17"/>
              </w:rPr>
              <w:t>10.6%</w:t>
            </w:r>
          </w:p>
        </w:tc>
        <w:tc>
          <w:tcPr>
            <w:tcW w:type="dxa" w:w="1469"/>
          </w:tcPr>
          <w:p>
            <w:pPr>
              <w:spacing w:after="20"/>
              <w:jc w:val="right"/>
            </w:pPr>
            <w:r>
              <w:rPr>
                <w:color w:val="1C3A36"/>
                <w:sz w:val="17"/>
              </w:rPr>
              <w:t>1.90</w:t>
            </w:r>
          </w:p>
        </w:tc>
        <w:tc>
          <w:tcPr>
            <w:tcW w:type="dxa" w:w="1469"/>
          </w:tcPr>
          <w:p>
            <w:pPr>
              <w:spacing w:after="20"/>
              <w:jc w:val="right"/>
            </w:pPr>
            <w:r>
              <w:rPr>
                <w:color w:val="1C3A36"/>
                <w:sz w:val="17"/>
              </w:rPr>
              <w:t>1.88</w:t>
            </w:r>
          </w:p>
        </w:tc>
        <w:tc>
          <w:tcPr>
            <w:tcW w:type="dxa" w:w="1469"/>
          </w:tcPr>
          <w:p>
            <w:pPr>
              <w:spacing w:after="20"/>
              <w:jc w:val="right"/>
            </w:pPr>
            <w:r>
              <w:rPr>
                <w:color w:val="1C3A36"/>
                <w:sz w:val="17"/>
              </w:rPr>
              <w:t>1.87</w:t>
            </w:r>
          </w:p>
        </w:tc>
        <w:tc>
          <w:tcPr>
            <w:tcW w:type="dxa" w:w="1469"/>
          </w:tcPr>
          <w:p>
            <w:pPr>
              <w:spacing w:after="20"/>
              <w:jc w:val="right"/>
            </w:pPr>
            <w:r>
              <w:rPr>
                <w:color w:val="1C3A36"/>
                <w:sz w:val="17"/>
              </w:rPr>
              <w:t>1.86</w:t>
            </w:r>
          </w:p>
        </w:tc>
        <w:tc>
          <w:tcPr>
            <w:tcW w:type="dxa" w:w="1469"/>
          </w:tcPr>
          <w:p>
            <w:pPr>
              <w:spacing w:after="20"/>
              <w:jc w:val="right"/>
            </w:pPr>
            <w:r>
              <w:rPr>
                <w:color w:val="1C3A36"/>
                <w:sz w:val="17"/>
              </w:rPr>
              <w:t>1.84</w:t>
            </w:r>
          </w:p>
        </w:tc>
      </w:tr>
      <w:tr>
        <w:trPr>
          <w:cantSplit/>
        </w:trPr>
        <w:tc>
          <w:tcPr>
            <w:tcW w:type="dxa" w:w="2736"/>
          </w:tcPr>
          <w:p>
            <w:pPr>
              <w:spacing w:after="20"/>
            </w:pPr>
            <w:r>
              <w:rPr>
                <w:b/>
                <w:color w:val="1C3A36"/>
                <w:sz w:val="17"/>
              </w:rPr>
              <w:t>11.1%</w:t>
            </w:r>
          </w:p>
        </w:tc>
        <w:tc>
          <w:tcPr>
            <w:tcW w:type="dxa" w:w="1469"/>
          </w:tcPr>
          <w:p>
            <w:pPr>
              <w:spacing w:after="20"/>
              <w:jc w:val="right"/>
            </w:pPr>
            <w:r>
              <w:rPr>
                <w:color w:val="1C3A36"/>
                <w:sz w:val="17"/>
              </w:rPr>
              <w:t>1.81</w:t>
            </w:r>
          </w:p>
        </w:tc>
        <w:tc>
          <w:tcPr>
            <w:tcW w:type="dxa" w:w="1469"/>
          </w:tcPr>
          <w:p>
            <w:pPr>
              <w:spacing w:after="20"/>
              <w:jc w:val="right"/>
            </w:pPr>
            <w:r>
              <w:rPr>
                <w:color w:val="1C3A36"/>
                <w:sz w:val="17"/>
              </w:rPr>
              <w:t>1.80</w:t>
            </w:r>
          </w:p>
        </w:tc>
        <w:tc>
          <w:tcPr>
            <w:tcW w:type="dxa" w:w="1469"/>
          </w:tcPr>
          <w:p>
            <w:pPr>
              <w:spacing w:after="20"/>
              <w:jc w:val="right"/>
            </w:pPr>
            <w:r>
              <w:rPr>
                <w:color w:val="1C3A36"/>
                <w:sz w:val="17"/>
              </w:rPr>
              <w:t>1.78</w:t>
            </w:r>
          </w:p>
        </w:tc>
        <w:tc>
          <w:tcPr>
            <w:tcW w:type="dxa" w:w="1469"/>
          </w:tcPr>
          <w:p>
            <w:pPr>
              <w:spacing w:after="20"/>
              <w:jc w:val="right"/>
            </w:pPr>
            <w:r>
              <w:rPr>
                <w:color w:val="1C3A36"/>
                <w:sz w:val="17"/>
              </w:rPr>
              <w:t>1.77</w:t>
            </w:r>
          </w:p>
        </w:tc>
        <w:tc>
          <w:tcPr>
            <w:tcW w:type="dxa" w:w="1469"/>
          </w:tcPr>
          <w:p>
            <w:pPr>
              <w:spacing w:after="20"/>
              <w:jc w:val="right"/>
            </w:pPr>
            <w:r>
              <w:rPr>
                <w:color w:val="1C3A36"/>
                <w:sz w:val="17"/>
              </w:rPr>
              <w:t>1.75</w:t>
            </w:r>
          </w:p>
        </w:tc>
      </w:tr>
      <w:tr>
        <w:trPr>
          <w:cantSplit/>
        </w:trPr>
        <w:tc>
          <w:tcPr>
            <w:tcW w:type="dxa" w:w="2736"/>
          </w:tcPr>
          <w:p>
            <w:pPr>
              <w:spacing w:after="20"/>
            </w:pPr>
            <w:r>
              <w:rPr>
                <w:b/>
                <w:color w:val="1C3A36"/>
                <w:sz w:val="17"/>
              </w:rPr>
              <w:t>11.6%</w:t>
            </w:r>
          </w:p>
        </w:tc>
        <w:tc>
          <w:tcPr>
            <w:tcW w:type="dxa" w:w="1469"/>
          </w:tcPr>
          <w:p>
            <w:pPr>
              <w:spacing w:after="20"/>
              <w:jc w:val="right"/>
            </w:pPr>
            <w:r>
              <w:rPr>
                <w:color w:val="1C3A36"/>
                <w:sz w:val="17"/>
              </w:rPr>
              <w:t>1.73</w:t>
            </w:r>
          </w:p>
        </w:tc>
        <w:tc>
          <w:tcPr>
            <w:tcW w:type="dxa" w:w="1469"/>
          </w:tcPr>
          <w:p>
            <w:pPr>
              <w:spacing w:after="20"/>
              <w:jc w:val="right"/>
            </w:pPr>
            <w:r>
              <w:rPr>
                <w:color w:val="1C3A36"/>
                <w:sz w:val="17"/>
              </w:rPr>
              <w:t>1.72</w:t>
            </w:r>
          </w:p>
        </w:tc>
        <w:tc>
          <w:tcPr>
            <w:tcW w:type="dxa" w:w="1469"/>
          </w:tcPr>
          <w:p>
            <w:pPr>
              <w:spacing w:after="20"/>
              <w:jc w:val="right"/>
            </w:pPr>
            <w:r>
              <w:rPr>
                <w:color w:val="1C3A36"/>
                <w:sz w:val="17"/>
              </w:rPr>
              <w:t>1.70</w:t>
            </w:r>
          </w:p>
        </w:tc>
        <w:tc>
          <w:tcPr>
            <w:tcW w:type="dxa" w:w="1469"/>
          </w:tcPr>
          <w:p>
            <w:pPr>
              <w:spacing w:after="20"/>
              <w:jc w:val="right"/>
            </w:pPr>
            <w:r>
              <w:rPr>
                <w:color w:val="1C3A36"/>
                <w:sz w:val="17"/>
              </w:rPr>
              <w:t>1.69</w:t>
            </w:r>
          </w:p>
        </w:tc>
        <w:tc>
          <w:tcPr>
            <w:tcW w:type="dxa" w:w="1469"/>
          </w:tcPr>
          <w:p>
            <w:pPr>
              <w:spacing w:after="20"/>
              <w:jc w:val="right"/>
            </w:pPr>
            <w:r>
              <w:rPr>
                <w:color w:val="1C3A36"/>
                <w:sz w:val="17"/>
              </w:rPr>
              <w:t>1.67</w:t>
            </w:r>
          </w:p>
        </w:tc>
      </w:tr>
      <w:tr>
        <w:trPr>
          <w:cantSplit/>
        </w:trPr>
        <w:tc>
          <w:tcPr>
            <w:tcW w:type="dxa" w:w="2736"/>
          </w:tcPr>
          <w:p>
            <w:pPr>
              <w:spacing w:after="20"/>
            </w:pPr>
            <w:r>
              <w:rPr>
                <w:b/>
                <w:color w:val="1C3A36"/>
                <w:sz w:val="17"/>
              </w:rPr>
              <w:t>12.1%</w:t>
            </w:r>
          </w:p>
        </w:tc>
        <w:tc>
          <w:tcPr>
            <w:tcW w:type="dxa" w:w="1469"/>
          </w:tcPr>
          <w:p>
            <w:pPr>
              <w:spacing w:after="20"/>
              <w:jc w:val="right"/>
            </w:pPr>
            <w:r>
              <w:rPr>
                <w:color w:val="1C3A36"/>
                <w:sz w:val="17"/>
              </w:rPr>
              <w:t>1.66</w:t>
            </w:r>
          </w:p>
        </w:tc>
        <w:tc>
          <w:tcPr>
            <w:tcW w:type="dxa" w:w="1469"/>
          </w:tcPr>
          <w:p>
            <w:pPr>
              <w:spacing w:after="20"/>
              <w:jc w:val="right"/>
            </w:pPr>
            <w:r>
              <w:rPr>
                <w:color w:val="1C3A36"/>
                <w:sz w:val="17"/>
              </w:rPr>
              <w:t>1.65</w:t>
            </w:r>
          </w:p>
        </w:tc>
        <w:tc>
          <w:tcPr>
            <w:tcW w:type="dxa" w:w="1469"/>
          </w:tcPr>
          <w:p>
            <w:pPr>
              <w:spacing w:after="20"/>
              <w:jc w:val="right"/>
            </w:pPr>
            <w:r>
              <w:rPr>
                <w:color w:val="1C3A36"/>
                <w:sz w:val="17"/>
              </w:rPr>
              <w:t>1.63</w:t>
            </w:r>
          </w:p>
        </w:tc>
        <w:tc>
          <w:tcPr>
            <w:tcW w:type="dxa" w:w="1469"/>
          </w:tcPr>
          <w:p>
            <w:pPr>
              <w:spacing w:after="20"/>
              <w:jc w:val="right"/>
            </w:pPr>
            <w:r>
              <w:rPr>
                <w:color w:val="1C3A36"/>
                <w:sz w:val="17"/>
              </w:rPr>
              <w:t>1.62</w:t>
            </w:r>
          </w:p>
        </w:tc>
        <w:tc>
          <w:tcPr>
            <w:tcW w:type="dxa" w:w="1469"/>
          </w:tcPr>
          <w:p>
            <w:pPr>
              <w:spacing w:after="20"/>
              <w:jc w:val="right"/>
            </w:pPr>
            <w:r>
              <w:rPr>
                <w:color w:val="1C3A36"/>
                <w:sz w:val="17"/>
              </w:rPr>
              <w:t>1.60</w:t>
            </w:r>
          </w:p>
        </w:tc>
      </w:tr>
    </w:tbl>
    <w:p>
      <w:pPr>
        <w:spacing w:after="40"/>
      </w:pPr>
    </w:p>
    <w:p>
      <w:pPr>
        <w:spacing w:after="200" w:before="0"/>
      </w:pPr>
      <w:r>
        <w:rPr>
          <w:b w:val="0"/>
          <w:i/>
          <w:color w:val="6E7B77"/>
          <w:sz w:val="17"/>
        </w:rPr>
        <w:t>Two-way sensitivity of value to the terminal cost of capital and terminal growth, in AED per share.</w:t>
      </w:r>
    </w:p>
    <w:p>
      <w:pPr>
        <w:spacing w:after="40"/>
        <w:jc w:val="center"/>
      </w:pPr>
      <w:r>
        <w:drawing>
          <wp:inline xmlns:a="http://schemas.openxmlformats.org/drawingml/2006/main" xmlns:pic="http://schemas.openxmlformats.org/drawingml/2006/picture">
            <wp:extent cx="5669280" cy="3750447"/>
            <wp:docPr id="5" name="Picture 5"/>
            <wp:cNvGraphicFramePr>
              <a:graphicFrameLocks noChangeAspect="1"/>
            </wp:cNvGraphicFramePr>
            <a:graphic>
              <a:graphicData uri="http://schemas.openxmlformats.org/drawingml/2006/picture">
                <pic:pic>
                  <pic:nvPicPr>
                    <pic:cNvPr id="0" name="fig2_sens.png"/>
                    <pic:cNvPicPr/>
                  </pic:nvPicPr>
                  <pic:blipFill>
                    <a:blip r:embed="rId13"/>
                    <a:stretch>
                      <a:fillRect/>
                    </a:stretch>
                  </pic:blipFill>
                  <pic:spPr>
                    <a:xfrm>
                      <a:off x="0" y="0"/>
                      <a:ext cx="5669280" cy="3750447"/>
                    </a:xfrm>
                    <a:prstGeom prst="rect"/>
                  </pic:spPr>
                </pic:pic>
              </a:graphicData>
            </a:graphic>
          </wp:inline>
        </w:drawing>
      </w:r>
    </w:p>
    <w:p>
      <w:pPr>
        <w:spacing w:after="200" w:before="0"/>
      </w:pPr>
      <w:r>
        <w:rPr>
          <w:b w:val="0"/>
          <w:i/>
          <w:color w:val="6E7B77"/>
          <w:sz w:val="17"/>
        </w:rPr>
        <w:t>Figure 5. What moves the value, ranked.</w:t>
      </w:r>
    </w:p>
    <w:p>
      <w:pPr>
        <w:spacing w:after="120" w:before="280"/>
      </w:pPr>
      <w:r>
        <w:rPr>
          <w:b/>
          <w:i w:val="0"/>
          <w:color w:val="1C3A36"/>
          <w:sz w:val="30"/>
        </w:rPr>
        <w:t>2. Technical and price structure</w:t>
      </w:r>
    </w:p>
    <w:p>
      <w:pPr>
        <w:spacing w:after="120" w:before="0"/>
      </w:pPr>
      <w:r>
        <w:rPr>
          <w:b w:val="0"/>
          <w:i w:val="0"/>
          <w:color w:val="1C3A36"/>
          <w:sz w:val="21"/>
        </w:rPr>
        <w:t>The price closed 2.54 below a falling 20-day (2.63), a falling 50-day (2.77) and a flat 200-day (2.78). Momentum is soft: RSI(14) is ~34 and the daily ATR near 0.06 (~2.4%) points to a normal tape. MACD (12·26·9) is below zero but turning up (−0.06 / −0.06 / +0.00). The 50-day crossed beneath the 200-day 1 session ago — a fresh death-cross, a momentum-regime change rather than noise inside an intact trend. Over the last year it has ranged 2.35–3.85; the last close sits 34% below that high and 8%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872"/>
        <w:gridCol w:w="2160"/>
        <w:gridCol w:w="1872"/>
      </w:tblGrid>
      <w:tr>
        <w:trPr>
          <w:cantSplit/>
          <w:tblHeader/>
        </w:trPr>
        <w:tc>
          <w:tcPr>
            <w:tcW w:type="dxa" w:w="2160"/>
            <w:shd w:val="clear" w:color="auto" w:fill="EAF0EE"/>
          </w:tcPr>
          <w:p>
            <w:pPr>
              <w:spacing w:after="20"/>
            </w:pPr>
            <w:r>
              <w:rPr>
                <w:b/>
                <w:color w:val="1C3A36"/>
                <w:sz w:val="18"/>
              </w:rPr>
              <w:t>Resistance</w:t>
            </w:r>
          </w:p>
        </w:tc>
        <w:tc>
          <w:tcPr>
            <w:tcW w:type="dxa" w:w="1872"/>
            <w:shd w:val="clear" w:color="auto" w:fill="EAF0EE"/>
          </w:tcPr>
          <w:p>
            <w:pPr>
              <w:spacing w:after="20"/>
            </w:pPr>
            <w:r>
              <w:rPr>
                <w:b/>
                <w:color w:val="1C3A36"/>
                <w:sz w:val="18"/>
              </w:rPr>
              <w:t>AED</w:t>
            </w:r>
          </w:p>
        </w:tc>
        <w:tc>
          <w:tcPr>
            <w:tcW w:type="dxa" w:w="2160"/>
            <w:shd w:val="clear" w:color="auto" w:fill="EAF0EE"/>
          </w:tcPr>
          <w:p>
            <w:pPr>
              <w:spacing w:after="20"/>
            </w:pPr>
            <w:r>
              <w:rPr>
                <w:b/>
                <w:color w:val="1C3A36"/>
                <w:sz w:val="18"/>
              </w:rPr>
              <w:t>Support</w:t>
            </w:r>
          </w:p>
        </w:tc>
        <w:tc>
          <w:tcPr>
            <w:tcW w:type="dxa" w:w="1872"/>
            <w:shd w:val="clear" w:color="auto" w:fill="EAF0EE"/>
          </w:tcPr>
          <w:p>
            <w:pPr>
              <w:spacing w:after="20"/>
            </w:pPr>
            <w:r>
              <w:rPr>
                <w:b/>
                <w:color w:val="1C3A36"/>
                <w:sz w:val="18"/>
              </w:rPr>
              <w:t>AED</w:t>
            </w:r>
          </w:p>
        </w:tc>
      </w:tr>
      <w:tr>
        <w:trPr>
          <w:cantSplit/>
        </w:trPr>
        <w:tc>
          <w:tcPr>
            <w:tcW w:type="dxa" w:w="2160"/>
          </w:tcPr>
          <w:p>
            <w:pPr>
              <w:spacing w:after="20"/>
            </w:pPr>
            <w:r>
              <w:rPr>
                <w:b/>
                <w:color w:val="1C3A36"/>
                <w:sz w:val="18"/>
              </w:rPr>
              <w:t>R1</w:t>
            </w:r>
          </w:p>
        </w:tc>
        <w:tc>
          <w:tcPr>
            <w:tcW w:type="dxa" w:w="1872"/>
          </w:tcPr>
          <w:p>
            <w:pPr>
              <w:spacing w:after="20"/>
              <w:jc w:val="right"/>
            </w:pPr>
            <w:r>
              <w:rPr>
                <w:color w:val="1C3A36"/>
                <w:sz w:val="18"/>
              </w:rPr>
              <w:t>2.59</w:t>
            </w:r>
          </w:p>
        </w:tc>
        <w:tc>
          <w:tcPr>
            <w:tcW w:type="dxa" w:w="2160"/>
          </w:tcPr>
          <w:p>
            <w:pPr>
              <w:spacing w:after="20"/>
              <w:jc w:val="right"/>
            </w:pPr>
            <w:r>
              <w:rPr>
                <w:color w:val="1C3A36"/>
                <w:sz w:val="18"/>
              </w:rPr>
              <w:t>S1</w:t>
            </w:r>
          </w:p>
        </w:tc>
        <w:tc>
          <w:tcPr>
            <w:tcW w:type="dxa" w:w="1872"/>
          </w:tcPr>
          <w:p>
            <w:pPr>
              <w:spacing w:after="20"/>
              <w:jc w:val="right"/>
            </w:pPr>
            <w:r>
              <w:rPr>
                <w:color w:val="1C3A36"/>
                <w:sz w:val="18"/>
              </w:rPr>
              <w:t>2.45</w:t>
            </w:r>
          </w:p>
        </w:tc>
      </w:tr>
      <w:tr>
        <w:trPr>
          <w:cantSplit/>
        </w:trPr>
        <w:tc>
          <w:tcPr>
            <w:tcW w:type="dxa" w:w="2160"/>
          </w:tcPr>
          <w:p>
            <w:pPr>
              <w:spacing w:after="20"/>
            </w:pPr>
            <w:r>
              <w:rPr>
                <w:b/>
                <w:color w:val="1C3A36"/>
                <w:sz w:val="18"/>
              </w:rPr>
              <w:t>R2</w:t>
            </w:r>
          </w:p>
        </w:tc>
        <w:tc>
          <w:tcPr>
            <w:tcW w:type="dxa" w:w="1872"/>
          </w:tcPr>
          <w:p>
            <w:pPr>
              <w:spacing w:after="20"/>
              <w:jc w:val="right"/>
            </w:pPr>
            <w:r>
              <w:rPr>
                <w:color w:val="1C3A36"/>
                <w:sz w:val="18"/>
              </w:rPr>
              <w:t>2.69</w:t>
            </w:r>
          </w:p>
        </w:tc>
        <w:tc>
          <w:tcPr>
            <w:tcW w:type="dxa" w:w="2160"/>
          </w:tcPr>
          <w:p>
            <w:pPr>
              <w:spacing w:after="20"/>
              <w:jc w:val="right"/>
            </w:pPr>
            <w:r>
              <w:rPr>
                <w:color w:val="1C3A36"/>
                <w:sz w:val="18"/>
              </w:rPr>
              <w:t>S2</w:t>
            </w:r>
          </w:p>
        </w:tc>
        <w:tc>
          <w:tcPr>
            <w:tcW w:type="dxa" w:w="1872"/>
          </w:tcPr>
          <w:p>
            <w:pPr>
              <w:spacing w:after="20"/>
              <w:jc w:val="right"/>
            </w:pPr>
            <w:r>
              <w:rPr>
                <w:color w:val="1C3A36"/>
                <w:sz w:val="18"/>
              </w:rPr>
              <w:t>2.34</w:t>
            </w:r>
          </w:p>
        </w:tc>
      </w:tr>
      <w:tr>
        <w:trPr>
          <w:cantSplit/>
        </w:trPr>
        <w:tc>
          <w:tcPr>
            <w:tcW w:type="dxa" w:w="2160"/>
          </w:tcPr>
          <w:p>
            <w:pPr>
              <w:spacing w:after="20"/>
            </w:pPr>
            <w:r>
              <w:rPr>
                <w:b/>
                <w:color w:val="1C3A36"/>
                <w:sz w:val="18"/>
              </w:rPr>
              <w:t>R3</w:t>
            </w:r>
          </w:p>
        </w:tc>
        <w:tc>
          <w:tcPr>
            <w:tcW w:type="dxa" w:w="1872"/>
          </w:tcPr>
          <w:p>
            <w:pPr>
              <w:spacing w:after="20"/>
              <w:jc w:val="right"/>
            </w:pPr>
            <w:r>
              <w:rPr>
                <w:color w:val="1C3A36"/>
                <w:sz w:val="18"/>
              </w:rPr>
              <w:t>2.74</w:t>
            </w:r>
          </w:p>
        </w:tc>
        <w:tc>
          <w:tcPr>
            <w:tcW w:type="dxa" w:w="2160"/>
          </w:tcPr>
          <w:p>
            <w:pPr>
              <w:spacing w:after="20"/>
              <w:jc w:val="right"/>
            </w:pPr>
            <w:r>
              <w:rPr>
                <w:color w:val="1C3A36"/>
                <w:sz w:val="18"/>
              </w:rPr>
              <w:t>S3</w:t>
            </w:r>
          </w:p>
        </w:tc>
        <w:tc>
          <w:tcPr>
            <w:tcW w:type="dxa" w:w="1872"/>
          </w:tcPr>
          <w:p>
            <w:pPr>
              <w:spacing w:after="20"/>
              <w:jc w:val="right"/>
            </w:pPr>
            <w:r>
              <w:rPr>
                <w:color w:val="1C3A36"/>
                <w:sz w:val="18"/>
              </w:rPr>
              <w:t>2.25</w:t>
            </w:r>
          </w:p>
        </w:tc>
      </w:tr>
    </w:tbl>
    <w:p>
      <w:pPr>
        <w:spacing w:after="40"/>
      </w:pPr>
    </w:p>
    <w:p>
      <w:pPr>
        <w:spacing w:after="200" w:before="0"/>
      </w:pPr>
      <w:r>
        <w:rPr>
          <w:b w:val="0"/>
          <w:i/>
          <w:color w:val="6E7B77"/>
          <w:sz w:val="17"/>
        </w:rPr>
        <w:t>Resistance and support, nearest first, from clustered price pivots weighted by recency and blended with the moving-average stack.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6624"/>
      </w:tblGrid>
      <w:tr>
        <w:trPr>
          <w:cantSplit/>
          <w:tblHeader/>
        </w:trPr>
        <w:tc>
          <w:tcPr>
            <w:tcW w:type="dxa" w:w="3456"/>
            <w:shd w:val="clear" w:color="auto" w:fill="EAF0EE"/>
          </w:tcPr>
          <w:p>
            <w:pPr>
              <w:spacing w:after="20"/>
            </w:pPr>
            <w:r>
              <w:rPr>
                <w:b/>
                <w:color w:val="1C3A36"/>
                <w:sz w:val="17"/>
              </w:rPr>
              <w:t>Indicator</w:t>
            </w:r>
          </w:p>
        </w:tc>
        <w:tc>
          <w:tcPr>
            <w:tcW w:type="dxa" w:w="6624"/>
            <w:shd w:val="clear" w:color="auto" w:fill="EAF0EE"/>
          </w:tcPr>
          <w:p>
            <w:pPr>
              <w:spacing w:after="20"/>
            </w:pPr>
            <w:r>
              <w:rPr>
                <w:b/>
                <w:color w:val="1C3A36"/>
                <w:sz w:val="17"/>
              </w:rPr>
              <w:t>Reading</w:t>
            </w:r>
          </w:p>
        </w:tc>
      </w:tr>
      <w:tr>
        <w:trPr>
          <w:cantSplit/>
        </w:trPr>
        <w:tc>
          <w:tcPr>
            <w:tcW w:type="dxa" w:w="3456"/>
          </w:tcPr>
          <w:p>
            <w:pPr>
              <w:spacing w:after="20"/>
            </w:pPr>
            <w:r>
              <w:rPr>
                <w:b/>
                <w:color w:val="1C3A36"/>
                <w:sz w:val="17"/>
              </w:rPr>
              <w:t>Last close</w:t>
            </w:r>
          </w:p>
        </w:tc>
        <w:tc>
          <w:tcPr>
            <w:tcW w:type="dxa" w:w="6624"/>
          </w:tcPr>
          <w:p>
            <w:pPr>
              <w:spacing w:after="20"/>
              <w:jc w:val="right"/>
            </w:pPr>
            <w:r>
              <w:rPr>
                <w:color w:val="1C3A36"/>
                <w:sz w:val="17"/>
              </w:rPr>
              <w:t>AED 2.54 on 2026-08-07</w:t>
            </w:r>
          </w:p>
        </w:tc>
      </w:tr>
      <w:tr>
        <w:trPr>
          <w:cantSplit/>
        </w:trPr>
        <w:tc>
          <w:tcPr>
            <w:tcW w:type="dxa" w:w="3456"/>
          </w:tcPr>
          <w:p>
            <w:pPr>
              <w:spacing w:after="20"/>
            </w:pPr>
            <w:r>
              <w:rPr>
                <w:b/>
                <w:color w:val="1C3A36"/>
                <w:sz w:val="17"/>
              </w:rPr>
              <w:t>20-day moving average</w:t>
            </w:r>
          </w:p>
        </w:tc>
        <w:tc>
          <w:tcPr>
            <w:tcW w:type="dxa" w:w="6624"/>
          </w:tcPr>
          <w:p>
            <w:pPr>
              <w:spacing w:after="20"/>
              <w:jc w:val="right"/>
            </w:pPr>
            <w:r>
              <w:rPr>
                <w:color w:val="1C3A36"/>
                <w:sz w:val="17"/>
              </w:rPr>
              <w:t>AED 2.63 (falling)</w:t>
            </w:r>
          </w:p>
        </w:tc>
      </w:tr>
      <w:tr>
        <w:trPr>
          <w:cantSplit/>
        </w:trPr>
        <w:tc>
          <w:tcPr>
            <w:tcW w:type="dxa" w:w="3456"/>
          </w:tcPr>
          <w:p>
            <w:pPr>
              <w:spacing w:after="20"/>
            </w:pPr>
            <w:r>
              <w:rPr>
                <w:b/>
                <w:color w:val="1C3A36"/>
                <w:sz w:val="17"/>
              </w:rPr>
              <w:t>50-day moving average</w:t>
            </w:r>
          </w:p>
        </w:tc>
        <w:tc>
          <w:tcPr>
            <w:tcW w:type="dxa" w:w="6624"/>
          </w:tcPr>
          <w:p>
            <w:pPr>
              <w:spacing w:after="20"/>
              <w:jc w:val="right"/>
            </w:pPr>
            <w:r>
              <w:rPr>
                <w:color w:val="1C3A36"/>
                <w:sz w:val="17"/>
              </w:rPr>
              <w:t>AED 2.77 (falling)</w:t>
            </w:r>
          </w:p>
        </w:tc>
      </w:tr>
      <w:tr>
        <w:trPr>
          <w:cantSplit/>
        </w:trPr>
        <w:tc>
          <w:tcPr>
            <w:tcW w:type="dxa" w:w="3456"/>
          </w:tcPr>
          <w:p>
            <w:pPr>
              <w:spacing w:after="20"/>
            </w:pPr>
            <w:r>
              <w:rPr>
                <w:b/>
                <w:color w:val="1C3A36"/>
                <w:sz w:val="17"/>
              </w:rPr>
              <w:t>200-day moving average</w:t>
            </w:r>
          </w:p>
        </w:tc>
        <w:tc>
          <w:tcPr>
            <w:tcW w:type="dxa" w:w="6624"/>
          </w:tcPr>
          <w:p>
            <w:pPr>
              <w:spacing w:after="20"/>
              <w:jc w:val="right"/>
            </w:pPr>
            <w:r>
              <w:rPr>
                <w:color w:val="1C3A36"/>
                <w:sz w:val="17"/>
              </w:rPr>
              <w:t>AED 2.78 (flat)</w:t>
            </w:r>
          </w:p>
        </w:tc>
      </w:tr>
      <w:tr>
        <w:trPr>
          <w:cantSplit/>
        </w:trPr>
        <w:tc>
          <w:tcPr>
            <w:tcW w:type="dxa" w:w="3456"/>
          </w:tcPr>
          <w:p>
            <w:pPr>
              <w:spacing w:after="20"/>
            </w:pPr>
            <w:r>
              <w:rPr>
                <w:b/>
                <w:color w:val="1C3A36"/>
                <w:sz w:val="17"/>
              </w:rPr>
              <w:t>Relative strength index (14)</w:t>
            </w:r>
          </w:p>
        </w:tc>
        <w:tc>
          <w:tcPr>
            <w:tcW w:type="dxa" w:w="6624"/>
          </w:tcPr>
          <w:p>
            <w:pPr>
              <w:spacing w:after="20"/>
              <w:jc w:val="right"/>
            </w:pPr>
            <w:r>
              <w:rPr>
                <w:color w:val="1C3A36"/>
                <w:sz w:val="17"/>
              </w:rPr>
              <w:t>34</w:t>
            </w:r>
          </w:p>
        </w:tc>
      </w:tr>
      <w:tr>
        <w:trPr>
          <w:cantSplit/>
        </w:trPr>
        <w:tc>
          <w:tcPr>
            <w:tcW w:type="dxa" w:w="3456"/>
          </w:tcPr>
          <w:p>
            <w:pPr>
              <w:spacing w:after="20"/>
            </w:pPr>
            <w:r>
              <w:rPr>
                <w:b/>
                <w:color w:val="1C3A36"/>
                <w:sz w:val="17"/>
              </w:rPr>
              <w:t>Average true range (14)</w:t>
            </w:r>
          </w:p>
        </w:tc>
        <w:tc>
          <w:tcPr>
            <w:tcW w:type="dxa" w:w="6624"/>
          </w:tcPr>
          <w:p>
            <w:pPr>
              <w:spacing w:after="20"/>
              <w:jc w:val="right"/>
            </w:pPr>
            <w:r>
              <w:rPr>
                <w:color w:val="1C3A36"/>
                <w:sz w:val="17"/>
              </w:rPr>
              <w:t>AED 0.062 (2.4% of price)</w:t>
            </w:r>
          </w:p>
        </w:tc>
      </w:tr>
      <w:tr>
        <w:trPr>
          <w:cantSplit/>
        </w:trPr>
        <w:tc>
          <w:tcPr>
            <w:tcW w:type="dxa" w:w="3456"/>
          </w:tcPr>
          <w:p>
            <w:pPr>
              <w:spacing w:after="20"/>
            </w:pPr>
            <w:r>
              <w:rPr>
                <w:b/>
                <w:color w:val="1C3A36"/>
                <w:sz w:val="17"/>
              </w:rPr>
              <w:t>52-week range</w:t>
            </w:r>
          </w:p>
        </w:tc>
        <w:tc>
          <w:tcPr>
            <w:tcW w:type="dxa" w:w="6624"/>
          </w:tcPr>
          <w:p>
            <w:pPr>
              <w:spacing w:after="20"/>
              <w:jc w:val="right"/>
            </w:pPr>
            <w:r>
              <w:rPr>
                <w:color w:val="1C3A36"/>
                <w:sz w:val="17"/>
              </w:rPr>
              <w:t>AED 2.35 to AED 3.85</w:t>
            </w:r>
          </w:p>
        </w:tc>
      </w:tr>
      <w:tr>
        <w:trPr>
          <w:cantSplit/>
        </w:trPr>
        <w:tc>
          <w:tcPr>
            <w:tcW w:type="dxa" w:w="3456"/>
          </w:tcPr>
          <w:p>
            <w:pPr>
              <w:spacing w:after="20"/>
            </w:pPr>
            <w:r>
              <w:rPr>
                <w:b/>
                <w:color w:val="1C3A36"/>
                <w:sz w:val="17"/>
              </w:rPr>
              <w:t>Position in range</w:t>
            </w:r>
          </w:p>
        </w:tc>
        <w:tc>
          <w:tcPr>
            <w:tcW w:type="dxa" w:w="6624"/>
          </w:tcPr>
          <w:p>
            <w:pPr>
              <w:spacing w:after="20"/>
              <w:jc w:val="right"/>
            </w:pPr>
            <w:r>
              <w:rPr>
                <w:color w:val="1C3A36"/>
                <w:sz w:val="17"/>
              </w:rPr>
              <w:t>34.0% below the high, 8.1% above the low</w:t>
            </w:r>
          </w:p>
        </w:tc>
      </w:tr>
    </w:tbl>
    <w:p>
      <w:pPr>
        <w:spacing w:after="40"/>
      </w:pPr>
    </w:p>
    <w:p>
      <w:pPr>
        <w:spacing w:after="120" w:before="0"/>
      </w:pPr>
      <w:r>
        <w:rPr>
          <w:b w:val="0"/>
          <w:i/>
          <w:color w:val="1C3A36"/>
          <w:sz w:val="19"/>
        </w:rPr>
        <w:t>Bull case: A daily close back above 2.59 would clear the nearest resistance and open the 2.74 zone.  Bear case: A close below 2.45 would break the nearest support and open the 2.25 zone.</w:t>
      </w:r>
    </w:p>
    <w:p>
      <w:pPr>
        <w:spacing w:after="120" w:before="0"/>
      </w:pPr>
      <w:r>
        <w:rPr>
          <w:b w:val="0"/>
          <w:i/>
          <w:color w:val="6E7B77"/>
          <w:sz w:val="18"/>
        </w:rPr>
        <w:t>This section describes the tape and nothing more. It carries no view on the business, because a chart cannot see one.</w:t>
      </w:r>
    </w:p>
    <w:p>
      <w:pPr>
        <w:spacing w:after="120" w:before="280"/>
      </w:pPr>
      <w:r>
        <w:rPr>
          <w:b/>
          <w:i w:val="0"/>
          <w:color w:val="1C3A36"/>
          <w:sz w:val="30"/>
        </w:rPr>
        <w:t>3. Probability map for the share price</w:t>
      </w:r>
    </w:p>
    <w:p>
      <w:pPr>
        <w:spacing w:after="120" w:before="0"/>
      </w:pPr>
      <w:r>
        <w:rPr>
          <w:b w:val="0"/>
          <w:i w:val="0"/>
          <w:color w:val="1C3A36"/>
          <w:sz w:val="21"/>
        </w:rPr>
        <w:t>Separately from the valuation above, the study estimates a probability distribution for the share price at one and three months, built from the share's own price history. This is a statement about the range of outcomes, not a forecast of one.</w:t>
      </w:r>
    </w:p>
    <w:p>
      <w:pPr>
        <w:spacing w:after="40" w:before="120"/>
      </w:pPr>
      <w:r>
        <w:rPr>
          <w:b/>
          <w:i w:val="0"/>
          <w:color w:val="1C3A36"/>
          <w:sz w:val="21"/>
        </w:rPr>
        <w:t>One month — to 2026-09-07</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69"/>
        <w:gridCol w:w="1469"/>
        <w:gridCol w:w="1469"/>
        <w:gridCol w:w="1469"/>
        <w:gridCol w:w="1469"/>
      </w:tblGrid>
      <w:tr>
        <w:trPr>
          <w:cantSplit/>
          <w:tblHeader/>
        </w:trPr>
        <w:tc>
          <w:tcPr>
            <w:tcW w:type="dxa" w:w="2736"/>
            <w:shd w:val="clear" w:color="auto" w:fill="EAF0EE"/>
          </w:tcPr>
          <w:p>
            <w:pPr>
              <w:spacing w:after="20"/>
            </w:pPr>
            <w:r>
              <w:rPr>
                <w:b/>
                <w:color w:val="1C3A36"/>
                <w:sz w:val="17"/>
              </w:rPr>
              <w:t>Percentile</w:t>
            </w:r>
          </w:p>
        </w:tc>
        <w:tc>
          <w:tcPr>
            <w:tcW w:type="dxa" w:w="1469"/>
            <w:shd w:val="clear" w:color="auto" w:fill="EAF0EE"/>
          </w:tcPr>
          <w:p>
            <w:pPr>
              <w:spacing w:after="20"/>
            </w:pPr>
            <w:r>
              <w:rPr>
                <w:b/>
                <w:color w:val="1C3A36"/>
                <w:sz w:val="17"/>
              </w:rPr>
              <w:t>5th</w:t>
            </w:r>
          </w:p>
        </w:tc>
        <w:tc>
          <w:tcPr>
            <w:tcW w:type="dxa" w:w="1469"/>
            <w:shd w:val="clear" w:color="auto" w:fill="EAF0EE"/>
          </w:tcPr>
          <w:p>
            <w:pPr>
              <w:spacing w:after="20"/>
            </w:pPr>
            <w:r>
              <w:rPr>
                <w:b/>
                <w:color w:val="1C3A36"/>
                <w:sz w:val="17"/>
              </w:rPr>
              <w:t>25th</w:t>
            </w:r>
          </w:p>
        </w:tc>
        <w:tc>
          <w:tcPr>
            <w:tcW w:type="dxa" w:w="1469"/>
            <w:shd w:val="clear" w:color="auto" w:fill="EAF0EE"/>
          </w:tcPr>
          <w:p>
            <w:pPr>
              <w:spacing w:after="20"/>
            </w:pPr>
            <w:r>
              <w:rPr>
                <w:b/>
                <w:color w:val="1C3A36"/>
                <w:sz w:val="17"/>
              </w:rPr>
              <w:t>50th</w:t>
            </w:r>
          </w:p>
        </w:tc>
        <w:tc>
          <w:tcPr>
            <w:tcW w:type="dxa" w:w="1469"/>
            <w:shd w:val="clear" w:color="auto" w:fill="EAF0EE"/>
          </w:tcPr>
          <w:p>
            <w:pPr>
              <w:spacing w:after="20"/>
            </w:pPr>
            <w:r>
              <w:rPr>
                <w:b/>
                <w:color w:val="1C3A36"/>
                <w:sz w:val="17"/>
              </w:rPr>
              <w:t>75th</w:t>
            </w:r>
          </w:p>
        </w:tc>
        <w:tc>
          <w:tcPr>
            <w:tcW w:type="dxa" w:w="1469"/>
            <w:shd w:val="clear" w:color="auto" w:fill="EAF0EE"/>
          </w:tcPr>
          <w:p>
            <w:pPr>
              <w:spacing w:after="20"/>
            </w:pPr>
            <w:r>
              <w:rPr>
                <w:b/>
                <w:color w:val="1C3A36"/>
                <w:sz w:val="17"/>
              </w:rPr>
              <w:t>95th</w:t>
            </w:r>
          </w:p>
        </w:tc>
      </w:tr>
      <w:tr>
        <w:trPr>
          <w:cantSplit/>
        </w:trPr>
        <w:tc>
          <w:tcPr>
            <w:tcW w:type="dxa" w:w="2736"/>
          </w:tcPr>
          <w:p>
            <w:pPr>
              <w:spacing w:after="20"/>
            </w:pPr>
            <w:r>
              <w:rPr>
                <w:b/>
                <w:color w:val="1C3A36"/>
                <w:sz w:val="17"/>
              </w:rPr>
              <w:t>Price (AED)</w:t>
            </w:r>
          </w:p>
        </w:tc>
        <w:tc>
          <w:tcPr>
            <w:tcW w:type="dxa" w:w="1469"/>
          </w:tcPr>
          <w:p>
            <w:pPr>
              <w:spacing w:after="20"/>
              <w:jc w:val="right"/>
            </w:pPr>
            <w:r>
              <w:rPr>
                <w:color w:val="1C3A36"/>
                <w:sz w:val="17"/>
              </w:rPr>
              <w:t>2.24</w:t>
            </w:r>
          </w:p>
        </w:tc>
        <w:tc>
          <w:tcPr>
            <w:tcW w:type="dxa" w:w="1469"/>
          </w:tcPr>
          <w:p>
            <w:pPr>
              <w:spacing w:after="20"/>
              <w:jc w:val="right"/>
            </w:pPr>
            <w:r>
              <w:rPr>
                <w:color w:val="1C3A36"/>
                <w:sz w:val="17"/>
              </w:rPr>
              <w:t>2.42</w:t>
            </w:r>
          </w:p>
        </w:tc>
        <w:tc>
          <w:tcPr>
            <w:tcW w:type="dxa" w:w="1469"/>
          </w:tcPr>
          <w:p>
            <w:pPr>
              <w:spacing w:after="20"/>
              <w:jc w:val="right"/>
            </w:pPr>
            <w:r>
              <w:rPr>
                <w:color w:val="1C3A36"/>
                <w:sz w:val="17"/>
              </w:rPr>
              <w:t>2.54</w:t>
            </w:r>
          </w:p>
        </w:tc>
        <w:tc>
          <w:tcPr>
            <w:tcW w:type="dxa" w:w="1469"/>
          </w:tcPr>
          <w:p>
            <w:pPr>
              <w:spacing w:after="20"/>
              <w:jc w:val="right"/>
            </w:pPr>
            <w:r>
              <w:rPr>
                <w:color w:val="1C3A36"/>
                <w:sz w:val="17"/>
              </w:rPr>
              <w:t>2.66</w:t>
            </w:r>
          </w:p>
        </w:tc>
        <w:tc>
          <w:tcPr>
            <w:tcW w:type="dxa" w:w="1469"/>
          </w:tcPr>
          <w:p>
            <w:pPr>
              <w:spacing w:after="20"/>
              <w:jc w:val="right"/>
            </w:pPr>
            <w:r>
              <w:rPr>
                <w:color w:val="1C3A36"/>
                <w:sz w:val="17"/>
              </w:rPr>
              <w:t>2.87</w:t>
            </w:r>
          </w:p>
        </w:tc>
      </w:tr>
      <w:tr>
        <w:trPr>
          <w:cantSplit/>
        </w:trPr>
        <w:tc>
          <w:tcPr>
            <w:tcW w:type="dxa" w:w="2736"/>
          </w:tcPr>
          <w:p>
            <w:pPr>
              <w:spacing w:after="20"/>
            </w:pPr>
            <w:r>
              <w:rPr>
                <w:b/>
                <w:color w:val="1C3A36"/>
                <w:sz w:val="17"/>
              </w:rPr>
              <w:t>Change from AED 2.54</w:t>
            </w:r>
          </w:p>
        </w:tc>
        <w:tc>
          <w:tcPr>
            <w:tcW w:type="dxa" w:w="1469"/>
          </w:tcPr>
          <w:p>
            <w:pPr>
              <w:spacing w:after="20"/>
              <w:jc w:val="right"/>
            </w:pPr>
            <w:r>
              <w:rPr>
                <w:color w:val="1C3A36"/>
                <w:sz w:val="17"/>
              </w:rPr>
              <w:t>-11.9%</w:t>
            </w:r>
          </w:p>
        </w:tc>
        <w:tc>
          <w:tcPr>
            <w:tcW w:type="dxa" w:w="1469"/>
          </w:tcPr>
          <w:p>
            <w:pPr>
              <w:spacing w:after="20"/>
              <w:jc w:val="right"/>
            </w:pPr>
            <w:r>
              <w:rPr>
                <w:color w:val="1C3A36"/>
                <w:sz w:val="17"/>
              </w:rPr>
              <w:t>-4.8%</w:t>
            </w:r>
          </w:p>
        </w:tc>
        <w:tc>
          <w:tcPr>
            <w:tcW w:type="dxa" w:w="1469"/>
          </w:tcPr>
          <w:p>
            <w:pPr>
              <w:spacing w:after="20"/>
              <w:jc w:val="right"/>
            </w:pPr>
            <w:r>
              <w:rPr>
                <w:color w:val="1C3A36"/>
                <w:sz w:val="17"/>
              </w:rPr>
              <w:t>-0.1%</w:t>
            </w:r>
          </w:p>
        </w:tc>
        <w:tc>
          <w:tcPr>
            <w:tcW w:type="dxa" w:w="1469"/>
          </w:tcPr>
          <w:p>
            <w:pPr>
              <w:spacing w:after="20"/>
              <w:jc w:val="right"/>
            </w:pPr>
            <w:r>
              <w:rPr>
                <w:color w:val="1C3A36"/>
                <w:sz w:val="17"/>
              </w:rPr>
              <w:t>+4.8%</w:t>
            </w:r>
          </w:p>
        </w:tc>
        <w:tc>
          <w:tcPr>
            <w:tcW w:type="dxa" w:w="1469"/>
          </w:tcPr>
          <w:p>
            <w:pPr>
              <w:spacing w:after="20"/>
              <w:jc w:val="right"/>
            </w:pPr>
            <w:r>
              <w:rPr>
                <w:color w:val="1C3A36"/>
                <w:sz w:val="17"/>
              </w:rPr>
              <w:t>+13.0%</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728"/>
        <w:gridCol w:w="1728"/>
        <w:gridCol w:w="1728"/>
        <w:gridCol w:w="1728"/>
      </w:tblGrid>
      <w:tr>
        <w:trPr>
          <w:cantSplit/>
          <w:tblHeader/>
        </w:trPr>
        <w:tc>
          <w:tcPr>
            <w:tcW w:type="dxa" w:w="3168"/>
            <w:shd w:val="clear" w:color="auto" w:fill="EAF0EE"/>
          </w:tcPr>
          <w:p>
            <w:pPr>
              <w:spacing w:after="20"/>
            </w:pPr>
            <w:r>
              <w:rPr>
                <w:b/>
                <w:color w:val="1C3A36"/>
                <w:sz w:val="17"/>
              </w:rPr>
              <w:t>Move</w:t>
            </w:r>
          </w:p>
        </w:tc>
        <w:tc>
          <w:tcPr>
            <w:tcW w:type="dxa" w:w="1728"/>
            <w:shd w:val="clear" w:color="auto" w:fill="EAF0EE"/>
          </w:tcPr>
          <w:p>
            <w:pPr>
              <w:spacing w:after="20"/>
            </w:pPr>
            <w:r>
              <w:rPr>
                <w:b/>
                <w:color w:val="1C3A36"/>
                <w:sz w:val="17"/>
              </w:rPr>
              <w:t>±5%</w:t>
            </w:r>
          </w:p>
        </w:tc>
        <w:tc>
          <w:tcPr>
            <w:tcW w:type="dxa" w:w="1728"/>
            <w:shd w:val="clear" w:color="auto" w:fill="EAF0EE"/>
          </w:tcPr>
          <w:p>
            <w:pPr>
              <w:spacing w:after="20"/>
            </w:pPr>
            <w:r>
              <w:rPr>
                <w:b/>
                <w:color w:val="1C3A36"/>
                <w:sz w:val="17"/>
              </w:rPr>
              <w:t>±10%</w:t>
            </w:r>
          </w:p>
        </w:tc>
        <w:tc>
          <w:tcPr>
            <w:tcW w:type="dxa" w:w="1728"/>
            <w:shd w:val="clear" w:color="auto" w:fill="EAF0EE"/>
          </w:tcPr>
          <w:p>
            <w:pPr>
              <w:spacing w:after="20"/>
            </w:pPr>
            <w:r>
              <w:rPr>
                <w:b/>
                <w:color w:val="1C3A36"/>
                <w:sz w:val="17"/>
              </w:rPr>
              <w:t>±15%</w:t>
            </w:r>
          </w:p>
        </w:tc>
        <w:tc>
          <w:tcPr>
            <w:tcW w:type="dxa" w:w="1728"/>
            <w:shd w:val="clear" w:color="auto" w:fill="EAF0EE"/>
          </w:tcPr>
          <w:p>
            <w:pPr>
              <w:spacing w:after="20"/>
            </w:pPr>
            <w:r>
              <w:rPr>
                <w:b/>
                <w:color w:val="1C3A36"/>
                <w:sz w:val="17"/>
              </w:rPr>
              <w:t>±20%</w:t>
            </w:r>
          </w:p>
        </w:tc>
      </w:tr>
      <w:tr>
        <w:trPr>
          <w:cantSplit/>
        </w:trPr>
        <w:tc>
          <w:tcPr>
            <w:tcW w:type="dxa" w:w="3168"/>
          </w:tcPr>
          <w:p>
            <w:pPr>
              <w:spacing w:after="20"/>
            </w:pPr>
            <w:r>
              <w:rPr>
                <w:b/>
                <w:color w:val="1C3A36"/>
                <w:sz w:val="17"/>
              </w:rPr>
              <w:t>Chance of touching, up</w:t>
            </w:r>
          </w:p>
        </w:tc>
        <w:tc>
          <w:tcPr>
            <w:tcW w:type="dxa" w:w="1728"/>
          </w:tcPr>
          <w:p>
            <w:pPr>
              <w:spacing w:after="20"/>
              <w:jc w:val="right"/>
            </w:pPr>
            <w:r>
              <w:rPr>
                <w:color w:val="1C3A36"/>
                <w:sz w:val="17"/>
              </w:rPr>
              <w:t>41.6%</w:t>
            </w:r>
          </w:p>
        </w:tc>
        <w:tc>
          <w:tcPr>
            <w:tcW w:type="dxa" w:w="1728"/>
          </w:tcPr>
          <w:p>
            <w:pPr>
              <w:spacing w:after="20"/>
              <w:jc w:val="right"/>
            </w:pPr>
            <w:r>
              <w:rPr>
                <w:color w:val="1C3A36"/>
                <w:sz w:val="17"/>
              </w:rPr>
              <w:t>15.7%</w:t>
            </w:r>
          </w:p>
        </w:tc>
        <w:tc>
          <w:tcPr>
            <w:tcW w:type="dxa" w:w="1728"/>
          </w:tcPr>
          <w:p>
            <w:pPr>
              <w:spacing w:after="20"/>
              <w:jc w:val="right"/>
            </w:pPr>
            <w:r>
              <w:rPr>
                <w:color w:val="1C3A36"/>
                <w:sz w:val="17"/>
              </w:rPr>
              <w:t>5.3%</w:t>
            </w:r>
          </w:p>
        </w:tc>
        <w:tc>
          <w:tcPr>
            <w:tcW w:type="dxa" w:w="1728"/>
          </w:tcPr>
          <w:p>
            <w:pPr>
              <w:spacing w:after="20"/>
              <w:jc w:val="right"/>
            </w:pPr>
            <w:r>
              <w:rPr>
                <w:color w:val="1C3A36"/>
                <w:sz w:val="17"/>
              </w:rPr>
              <w:t>1.8%</w:t>
            </w:r>
          </w:p>
        </w:tc>
      </w:tr>
      <w:tr>
        <w:trPr>
          <w:cantSplit/>
        </w:trPr>
        <w:tc>
          <w:tcPr>
            <w:tcW w:type="dxa" w:w="3168"/>
          </w:tcPr>
          <w:p>
            <w:pPr>
              <w:spacing w:after="20"/>
            </w:pPr>
            <w:r>
              <w:rPr>
                <w:b/>
                <w:color w:val="1C3A36"/>
                <w:sz w:val="17"/>
              </w:rPr>
              <w:t>Chance of touching, down</w:t>
            </w:r>
          </w:p>
        </w:tc>
        <w:tc>
          <w:tcPr>
            <w:tcW w:type="dxa" w:w="1728"/>
          </w:tcPr>
          <w:p>
            <w:pPr>
              <w:spacing w:after="20"/>
              <w:jc w:val="right"/>
            </w:pPr>
            <w:r>
              <w:rPr>
                <w:color w:val="1C3A36"/>
                <w:sz w:val="17"/>
              </w:rPr>
              <w:t>41.1%</w:t>
            </w:r>
          </w:p>
        </w:tc>
        <w:tc>
          <w:tcPr>
            <w:tcW w:type="dxa" w:w="1728"/>
          </w:tcPr>
          <w:p>
            <w:pPr>
              <w:spacing w:after="20"/>
              <w:jc w:val="right"/>
            </w:pPr>
            <w:r>
              <w:rPr>
                <w:color w:val="1C3A36"/>
                <w:sz w:val="17"/>
              </w:rPr>
              <w:t>13.2%</w:t>
            </w:r>
          </w:p>
        </w:tc>
        <w:tc>
          <w:tcPr>
            <w:tcW w:type="dxa" w:w="1728"/>
          </w:tcPr>
          <w:p>
            <w:pPr>
              <w:spacing w:after="20"/>
              <w:jc w:val="right"/>
            </w:pPr>
            <w:r>
              <w:rPr>
                <w:color w:val="1C3A36"/>
                <w:sz w:val="17"/>
              </w:rPr>
              <w:t>3.2%</w:t>
            </w:r>
          </w:p>
        </w:tc>
        <w:tc>
          <w:tcPr>
            <w:tcW w:type="dxa" w:w="1728"/>
          </w:tcPr>
          <w:p>
            <w:pPr>
              <w:spacing w:after="20"/>
              <w:jc w:val="right"/>
            </w:pPr>
            <w:r>
              <w:rPr>
                <w:color w:val="1C3A36"/>
                <w:sz w:val="17"/>
              </w:rPr>
              <w:t>0.7%</w:t>
            </w:r>
          </w:p>
        </w:tc>
      </w:tr>
      <w:tr>
        <w:trPr>
          <w:cantSplit/>
        </w:trPr>
        <w:tc>
          <w:tcPr>
            <w:tcW w:type="dxa" w:w="3168"/>
          </w:tcPr>
          <w:p>
            <w:pPr>
              <w:spacing w:after="20"/>
            </w:pPr>
            <w:r>
              <w:rPr>
                <w:b/>
                <w:color w:val="1C3A36"/>
                <w:sz w:val="17"/>
              </w:rPr>
              <w:t>Chance of ending above</w:t>
            </w:r>
          </w:p>
        </w:tc>
        <w:tc>
          <w:tcPr>
            <w:tcW w:type="dxa" w:w="1728"/>
          </w:tcPr>
          <w:p>
            <w:pPr>
              <w:spacing w:after="20"/>
              <w:jc w:val="right"/>
            </w:pPr>
            <w:r>
              <w:rPr>
                <w:color w:val="1C3A36"/>
                <w:sz w:val="17"/>
              </w:rPr>
              <w:t>24.3%</w:t>
            </w:r>
          </w:p>
        </w:tc>
        <w:tc>
          <w:tcPr>
            <w:tcW w:type="dxa" w:w="1728"/>
          </w:tcPr>
          <w:p>
            <w:pPr>
              <w:spacing w:after="20"/>
              <w:jc w:val="right"/>
            </w:pPr>
            <w:r>
              <w:rPr>
                <w:color w:val="1C3A36"/>
                <w:sz w:val="17"/>
              </w:rPr>
              <w:t>9.4%</w:t>
            </w:r>
          </w:p>
        </w:tc>
        <w:tc>
          <w:tcPr>
            <w:tcW w:type="dxa" w:w="1728"/>
          </w:tcPr>
          <w:p>
            <w:pPr>
              <w:spacing w:after="20"/>
              <w:jc w:val="right"/>
            </w:pPr>
            <w:r>
              <w:rPr>
                <w:color w:val="1C3A36"/>
                <w:sz w:val="17"/>
              </w:rPr>
            </w:r>
          </w:p>
        </w:tc>
        <w:tc>
          <w:tcPr>
            <w:tcW w:type="dxa" w:w="1728"/>
          </w:tcPr>
          <w:p>
            <w:pPr>
              <w:spacing w:after="20"/>
              <w:jc w:val="right"/>
            </w:pPr>
            <w:r>
              <w:rPr>
                <w:color w:val="1C3A36"/>
                <w:sz w:val="17"/>
              </w:rPr>
            </w:r>
          </w:p>
        </w:tc>
      </w:tr>
      <w:tr>
        <w:trPr>
          <w:cantSplit/>
        </w:trPr>
        <w:tc>
          <w:tcPr>
            <w:tcW w:type="dxa" w:w="3168"/>
          </w:tcPr>
          <w:p>
            <w:pPr>
              <w:spacing w:after="20"/>
            </w:pPr>
            <w:r>
              <w:rPr>
                <w:b/>
                <w:color w:val="1C3A36"/>
                <w:sz w:val="17"/>
              </w:rPr>
              <w:t>Chance of ending below</w:t>
            </w:r>
          </w:p>
        </w:tc>
        <w:tc>
          <w:tcPr>
            <w:tcW w:type="dxa" w:w="1728"/>
          </w:tcPr>
          <w:p>
            <w:pPr>
              <w:spacing w:after="20"/>
              <w:jc w:val="right"/>
            </w:pPr>
            <w:r>
              <w:rPr>
                <w:color w:val="1C3A36"/>
                <w:sz w:val="17"/>
              </w:rPr>
              <w:t>24.3%</w:t>
            </w:r>
          </w:p>
        </w:tc>
        <w:tc>
          <w:tcPr>
            <w:tcW w:type="dxa" w:w="1728"/>
          </w:tcPr>
          <w:p>
            <w:pPr>
              <w:spacing w:after="20"/>
              <w:jc w:val="right"/>
            </w:pPr>
            <w:r>
              <w:rPr>
                <w:color w:val="1C3A36"/>
                <w:sz w:val="17"/>
              </w:rPr>
              <w:t>8.1%</w:t>
            </w:r>
          </w:p>
        </w:tc>
        <w:tc>
          <w:tcPr>
            <w:tcW w:type="dxa" w:w="1728"/>
          </w:tcPr>
          <w:p>
            <w:pPr>
              <w:spacing w:after="20"/>
              <w:jc w:val="right"/>
            </w:pPr>
            <w:r>
              <w:rPr>
                <w:color w:val="1C3A36"/>
                <w:sz w:val="17"/>
              </w:rPr>
            </w:r>
          </w:p>
        </w:tc>
        <w:tc>
          <w:tcPr>
            <w:tcW w:type="dxa" w:w="1728"/>
          </w:tcPr>
          <w:p>
            <w:pPr>
              <w:spacing w:after="20"/>
              <w:jc w:val="right"/>
            </w:pPr>
            <w:r>
              <w:rPr>
                <w:color w:val="1C3A36"/>
                <w:sz w:val="17"/>
              </w:rPr>
            </w:r>
          </w:p>
        </w:tc>
      </w:tr>
    </w:tbl>
    <w:p>
      <w:pPr>
        <w:spacing w:after="40"/>
      </w:pPr>
    </w:p>
    <w:p>
      <w:pPr>
        <w:spacing w:after="40" w:before="120"/>
      </w:pPr>
      <w:r>
        <w:rPr>
          <w:b/>
          <w:i w:val="0"/>
          <w:color w:val="1C3A36"/>
          <w:sz w:val="21"/>
        </w:rPr>
        <w:t>Three months — to 2026-11-09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69"/>
        <w:gridCol w:w="1469"/>
        <w:gridCol w:w="1469"/>
        <w:gridCol w:w="1469"/>
        <w:gridCol w:w="1469"/>
      </w:tblGrid>
      <w:tr>
        <w:trPr>
          <w:cantSplit/>
          <w:tblHeader/>
        </w:trPr>
        <w:tc>
          <w:tcPr>
            <w:tcW w:type="dxa" w:w="2736"/>
            <w:shd w:val="clear" w:color="auto" w:fill="EAF0EE"/>
          </w:tcPr>
          <w:p>
            <w:pPr>
              <w:spacing w:after="20"/>
            </w:pPr>
            <w:r>
              <w:rPr>
                <w:b/>
                <w:color w:val="1C3A36"/>
                <w:sz w:val="17"/>
              </w:rPr>
              <w:t>Percentile</w:t>
            </w:r>
          </w:p>
        </w:tc>
        <w:tc>
          <w:tcPr>
            <w:tcW w:type="dxa" w:w="1469"/>
            <w:shd w:val="clear" w:color="auto" w:fill="EAF0EE"/>
          </w:tcPr>
          <w:p>
            <w:pPr>
              <w:spacing w:after="20"/>
            </w:pPr>
            <w:r>
              <w:rPr>
                <w:b/>
                <w:color w:val="1C3A36"/>
                <w:sz w:val="17"/>
              </w:rPr>
              <w:t>5th</w:t>
            </w:r>
          </w:p>
        </w:tc>
        <w:tc>
          <w:tcPr>
            <w:tcW w:type="dxa" w:w="1469"/>
            <w:shd w:val="clear" w:color="auto" w:fill="EAF0EE"/>
          </w:tcPr>
          <w:p>
            <w:pPr>
              <w:spacing w:after="20"/>
            </w:pPr>
            <w:r>
              <w:rPr>
                <w:b/>
                <w:color w:val="1C3A36"/>
                <w:sz w:val="17"/>
              </w:rPr>
              <w:t>25th</w:t>
            </w:r>
          </w:p>
        </w:tc>
        <w:tc>
          <w:tcPr>
            <w:tcW w:type="dxa" w:w="1469"/>
            <w:shd w:val="clear" w:color="auto" w:fill="EAF0EE"/>
          </w:tcPr>
          <w:p>
            <w:pPr>
              <w:spacing w:after="20"/>
            </w:pPr>
            <w:r>
              <w:rPr>
                <w:b/>
                <w:color w:val="1C3A36"/>
                <w:sz w:val="17"/>
              </w:rPr>
              <w:t>50th</w:t>
            </w:r>
          </w:p>
        </w:tc>
        <w:tc>
          <w:tcPr>
            <w:tcW w:type="dxa" w:w="1469"/>
            <w:shd w:val="clear" w:color="auto" w:fill="EAF0EE"/>
          </w:tcPr>
          <w:p>
            <w:pPr>
              <w:spacing w:after="20"/>
            </w:pPr>
            <w:r>
              <w:rPr>
                <w:b/>
                <w:color w:val="1C3A36"/>
                <w:sz w:val="17"/>
              </w:rPr>
              <w:t>75th</w:t>
            </w:r>
          </w:p>
        </w:tc>
        <w:tc>
          <w:tcPr>
            <w:tcW w:type="dxa" w:w="1469"/>
            <w:shd w:val="clear" w:color="auto" w:fill="EAF0EE"/>
          </w:tcPr>
          <w:p>
            <w:pPr>
              <w:spacing w:after="20"/>
            </w:pPr>
            <w:r>
              <w:rPr>
                <w:b/>
                <w:color w:val="1C3A36"/>
                <w:sz w:val="17"/>
              </w:rPr>
              <w:t>95th</w:t>
            </w:r>
          </w:p>
        </w:tc>
      </w:tr>
      <w:tr>
        <w:trPr>
          <w:cantSplit/>
        </w:trPr>
        <w:tc>
          <w:tcPr>
            <w:tcW w:type="dxa" w:w="2736"/>
          </w:tcPr>
          <w:p>
            <w:pPr>
              <w:spacing w:after="20"/>
            </w:pPr>
            <w:r>
              <w:rPr>
                <w:b/>
                <w:color w:val="1C3A36"/>
                <w:sz w:val="17"/>
              </w:rPr>
              <w:t>Price (AED)</w:t>
            </w:r>
          </w:p>
        </w:tc>
        <w:tc>
          <w:tcPr>
            <w:tcW w:type="dxa" w:w="1469"/>
          </w:tcPr>
          <w:p>
            <w:pPr>
              <w:spacing w:after="20"/>
              <w:jc w:val="right"/>
            </w:pPr>
            <w:r>
              <w:rPr>
                <w:color w:val="1C3A36"/>
                <w:sz w:val="17"/>
              </w:rPr>
              <w:t>2.01</w:t>
            </w:r>
          </w:p>
        </w:tc>
        <w:tc>
          <w:tcPr>
            <w:tcW w:type="dxa" w:w="1469"/>
          </w:tcPr>
          <w:p>
            <w:pPr>
              <w:spacing w:after="20"/>
              <w:jc w:val="right"/>
            </w:pPr>
            <w:r>
              <w:rPr>
                <w:color w:val="1C3A36"/>
                <w:sz w:val="17"/>
              </w:rPr>
              <w:t>2.32</w:t>
            </w:r>
          </w:p>
        </w:tc>
        <w:tc>
          <w:tcPr>
            <w:tcW w:type="dxa" w:w="1469"/>
          </w:tcPr>
          <w:p>
            <w:pPr>
              <w:spacing w:after="20"/>
              <w:jc w:val="right"/>
            </w:pPr>
            <w:r>
              <w:rPr>
                <w:color w:val="1C3A36"/>
                <w:sz w:val="17"/>
              </w:rPr>
              <w:t>2.53</w:t>
            </w:r>
          </w:p>
        </w:tc>
        <w:tc>
          <w:tcPr>
            <w:tcW w:type="dxa" w:w="1469"/>
          </w:tcPr>
          <w:p>
            <w:pPr>
              <w:spacing w:after="20"/>
              <w:jc w:val="right"/>
            </w:pPr>
            <w:r>
              <w:rPr>
                <w:color w:val="1C3A36"/>
                <w:sz w:val="17"/>
              </w:rPr>
              <w:t>2.76</w:t>
            </w:r>
          </w:p>
        </w:tc>
        <w:tc>
          <w:tcPr>
            <w:tcW w:type="dxa" w:w="1469"/>
          </w:tcPr>
          <w:p>
            <w:pPr>
              <w:spacing w:after="20"/>
              <w:jc w:val="right"/>
            </w:pPr>
            <w:r>
              <w:rPr>
                <w:color w:val="1C3A36"/>
                <w:sz w:val="17"/>
              </w:rPr>
              <w:t>3.19</w:t>
            </w:r>
          </w:p>
        </w:tc>
      </w:tr>
      <w:tr>
        <w:trPr>
          <w:cantSplit/>
        </w:trPr>
        <w:tc>
          <w:tcPr>
            <w:tcW w:type="dxa" w:w="2736"/>
          </w:tcPr>
          <w:p>
            <w:pPr>
              <w:spacing w:after="20"/>
            </w:pPr>
            <w:r>
              <w:rPr>
                <w:b/>
                <w:color w:val="1C3A36"/>
                <w:sz w:val="17"/>
              </w:rPr>
              <w:t>Change from AED 2.54</w:t>
            </w:r>
          </w:p>
        </w:tc>
        <w:tc>
          <w:tcPr>
            <w:tcW w:type="dxa" w:w="1469"/>
          </w:tcPr>
          <w:p>
            <w:pPr>
              <w:spacing w:after="20"/>
              <w:jc w:val="right"/>
            </w:pPr>
            <w:r>
              <w:rPr>
                <w:color w:val="1C3A36"/>
                <w:sz w:val="17"/>
              </w:rPr>
              <w:t>-20.7%</w:t>
            </w:r>
          </w:p>
        </w:tc>
        <w:tc>
          <w:tcPr>
            <w:tcW w:type="dxa" w:w="1469"/>
          </w:tcPr>
          <w:p>
            <w:pPr>
              <w:spacing w:after="20"/>
              <w:jc w:val="right"/>
            </w:pPr>
            <w:r>
              <w:rPr>
                <w:color w:val="1C3A36"/>
                <w:sz w:val="17"/>
              </w:rPr>
              <w:t>-8.7%</w:t>
            </w:r>
          </w:p>
        </w:tc>
        <w:tc>
          <w:tcPr>
            <w:tcW w:type="dxa" w:w="1469"/>
          </w:tcPr>
          <w:p>
            <w:pPr>
              <w:spacing w:after="20"/>
              <w:jc w:val="right"/>
            </w:pPr>
            <w:r>
              <w:rPr>
                <w:color w:val="1C3A36"/>
                <w:sz w:val="17"/>
              </w:rPr>
              <w:t>-0.3%</w:t>
            </w:r>
          </w:p>
        </w:tc>
        <w:tc>
          <w:tcPr>
            <w:tcW w:type="dxa" w:w="1469"/>
          </w:tcPr>
          <w:p>
            <w:pPr>
              <w:spacing w:after="20"/>
              <w:jc w:val="right"/>
            </w:pPr>
            <w:r>
              <w:rPr>
                <w:color w:val="1C3A36"/>
                <w:sz w:val="17"/>
              </w:rPr>
              <w:t>+8.8%</w:t>
            </w:r>
          </w:p>
        </w:tc>
        <w:tc>
          <w:tcPr>
            <w:tcW w:type="dxa" w:w="1469"/>
          </w:tcPr>
          <w:p>
            <w:pPr>
              <w:spacing w:after="20"/>
              <w:jc w:val="right"/>
            </w:pPr>
            <w:r>
              <w:rPr>
                <w:color w:val="1C3A36"/>
                <w:sz w:val="17"/>
              </w:rPr>
              <w:t>+25.5%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728"/>
        <w:gridCol w:w="1728"/>
        <w:gridCol w:w="1728"/>
        <w:gridCol w:w="1728"/>
      </w:tblGrid>
      <w:tr>
        <w:trPr>
          <w:cantSplit/>
          <w:tblHeader/>
        </w:trPr>
        <w:tc>
          <w:tcPr>
            <w:tcW w:type="dxa" w:w="3168"/>
            <w:shd w:val="clear" w:color="auto" w:fill="EAF0EE"/>
          </w:tcPr>
          <w:p>
            <w:pPr>
              <w:spacing w:after="20"/>
            </w:pPr>
            <w:r>
              <w:rPr>
                <w:b/>
                <w:color w:val="1C3A36"/>
                <w:sz w:val="17"/>
              </w:rPr>
              <w:t>Move</w:t>
            </w:r>
          </w:p>
        </w:tc>
        <w:tc>
          <w:tcPr>
            <w:tcW w:type="dxa" w:w="1728"/>
            <w:shd w:val="clear" w:color="auto" w:fill="EAF0EE"/>
          </w:tcPr>
          <w:p>
            <w:pPr>
              <w:spacing w:after="20"/>
            </w:pPr>
            <w:r>
              <w:rPr>
                <w:b/>
                <w:color w:val="1C3A36"/>
                <w:sz w:val="17"/>
              </w:rPr>
              <w:t>±5%</w:t>
            </w:r>
          </w:p>
        </w:tc>
        <w:tc>
          <w:tcPr>
            <w:tcW w:type="dxa" w:w="1728"/>
            <w:shd w:val="clear" w:color="auto" w:fill="EAF0EE"/>
          </w:tcPr>
          <w:p>
            <w:pPr>
              <w:spacing w:after="20"/>
            </w:pPr>
            <w:r>
              <w:rPr>
                <w:b/>
                <w:color w:val="1C3A36"/>
                <w:sz w:val="17"/>
              </w:rPr>
              <w:t>±10%</w:t>
            </w:r>
          </w:p>
        </w:tc>
        <w:tc>
          <w:tcPr>
            <w:tcW w:type="dxa" w:w="1728"/>
            <w:shd w:val="clear" w:color="auto" w:fill="EAF0EE"/>
          </w:tcPr>
          <w:p>
            <w:pPr>
              <w:spacing w:after="20"/>
            </w:pPr>
            <w:r>
              <w:rPr>
                <w:b/>
                <w:color w:val="1C3A36"/>
                <w:sz w:val="17"/>
              </w:rPr>
              <w:t>±15%</w:t>
            </w:r>
          </w:p>
        </w:tc>
        <w:tc>
          <w:tcPr>
            <w:tcW w:type="dxa" w:w="1728"/>
            <w:shd w:val="clear" w:color="auto" w:fill="EAF0EE"/>
          </w:tcPr>
          <w:p>
            <w:pPr>
              <w:spacing w:after="20"/>
            </w:pPr>
            <w:r>
              <w:rPr>
                <w:b/>
                <w:color w:val="1C3A36"/>
                <w:sz w:val="17"/>
              </w:rPr>
              <w:t>±20%</w:t>
            </w:r>
          </w:p>
        </w:tc>
      </w:tr>
      <w:tr>
        <w:trPr>
          <w:cantSplit/>
        </w:trPr>
        <w:tc>
          <w:tcPr>
            <w:tcW w:type="dxa" w:w="3168"/>
          </w:tcPr>
          <w:p>
            <w:pPr>
              <w:spacing w:after="20"/>
            </w:pPr>
            <w:r>
              <w:rPr>
                <w:b/>
                <w:color w:val="1C3A36"/>
                <w:sz w:val="17"/>
              </w:rPr>
              <w:t>Chance of touching, up</w:t>
            </w:r>
          </w:p>
        </w:tc>
        <w:tc>
          <w:tcPr>
            <w:tcW w:type="dxa" w:w="1728"/>
          </w:tcPr>
          <w:p>
            <w:pPr>
              <w:spacing w:after="20"/>
              <w:jc w:val="right"/>
            </w:pPr>
            <w:r>
              <w:rPr>
                <w:color w:val="1C3A36"/>
                <w:sz w:val="17"/>
              </w:rPr>
              <w:t>64.8%</w:t>
            </w:r>
          </w:p>
        </w:tc>
        <w:tc>
          <w:tcPr>
            <w:tcW w:type="dxa" w:w="1728"/>
          </w:tcPr>
          <w:p>
            <w:pPr>
              <w:spacing w:after="20"/>
              <w:jc w:val="right"/>
            </w:pPr>
            <w:r>
              <w:rPr>
                <w:color w:val="1C3A36"/>
                <w:sz w:val="17"/>
              </w:rPr>
              <w:t>41.9%</w:t>
            </w:r>
          </w:p>
        </w:tc>
        <w:tc>
          <w:tcPr>
            <w:tcW w:type="dxa" w:w="1728"/>
          </w:tcPr>
          <w:p>
            <w:pPr>
              <w:spacing w:after="20"/>
              <w:jc w:val="right"/>
            </w:pPr>
            <w:r>
              <w:rPr>
                <w:color w:val="1C3A36"/>
                <w:sz w:val="17"/>
              </w:rPr>
              <w:t>25.7%</w:t>
            </w:r>
          </w:p>
        </w:tc>
        <w:tc>
          <w:tcPr>
            <w:tcW w:type="dxa" w:w="1728"/>
          </w:tcPr>
          <w:p>
            <w:pPr>
              <w:spacing w:after="20"/>
              <w:jc w:val="right"/>
            </w:pPr>
            <w:r>
              <w:rPr>
                <w:color w:val="1C3A36"/>
                <w:sz w:val="17"/>
              </w:rPr>
              <w:t>15.6%</w:t>
            </w:r>
          </w:p>
        </w:tc>
      </w:tr>
      <w:tr>
        <w:trPr>
          <w:cantSplit/>
        </w:trPr>
        <w:tc>
          <w:tcPr>
            <w:tcW w:type="dxa" w:w="3168"/>
          </w:tcPr>
          <w:p>
            <w:pPr>
              <w:spacing w:after="20"/>
            </w:pPr>
            <w:r>
              <w:rPr>
                <w:b/>
                <w:color w:val="1C3A36"/>
                <w:sz w:val="17"/>
              </w:rPr>
              <w:t>Chance of touching, down</w:t>
            </w:r>
          </w:p>
        </w:tc>
        <w:tc>
          <w:tcPr>
            <w:tcW w:type="dxa" w:w="1728"/>
          </w:tcPr>
          <w:p>
            <w:pPr>
              <w:spacing w:after="20"/>
              <w:jc w:val="right"/>
            </w:pPr>
            <w:r>
              <w:rPr>
                <w:color w:val="1C3A36"/>
                <w:sz w:val="17"/>
              </w:rPr>
              <w:t>64.8%</w:t>
            </w:r>
          </w:p>
        </w:tc>
        <w:tc>
          <w:tcPr>
            <w:tcW w:type="dxa" w:w="1728"/>
          </w:tcPr>
          <w:p>
            <w:pPr>
              <w:spacing w:after="20"/>
              <w:jc w:val="right"/>
            </w:pPr>
            <w:r>
              <w:rPr>
                <w:color w:val="1C3A36"/>
                <w:sz w:val="17"/>
              </w:rPr>
              <w:t>39.1%</w:t>
            </w:r>
          </w:p>
        </w:tc>
        <w:tc>
          <w:tcPr>
            <w:tcW w:type="dxa" w:w="1728"/>
          </w:tcPr>
          <w:p>
            <w:pPr>
              <w:spacing w:after="20"/>
              <w:jc w:val="right"/>
            </w:pPr>
            <w:r>
              <w:rPr>
                <w:color w:val="1C3A36"/>
                <w:sz w:val="17"/>
              </w:rPr>
              <w:t>20.7%</w:t>
            </w:r>
          </w:p>
        </w:tc>
        <w:tc>
          <w:tcPr>
            <w:tcW w:type="dxa" w:w="1728"/>
          </w:tcPr>
          <w:p>
            <w:pPr>
              <w:spacing w:after="20"/>
              <w:jc w:val="right"/>
            </w:pPr>
            <w:r>
              <w:rPr>
                <w:color w:val="1C3A36"/>
                <w:sz w:val="17"/>
              </w:rPr>
              <w:t>9.6%</w:t>
            </w:r>
          </w:p>
        </w:tc>
      </w:tr>
      <w:tr>
        <w:trPr>
          <w:cantSplit/>
        </w:trPr>
        <w:tc>
          <w:tcPr>
            <w:tcW w:type="dxa" w:w="3168"/>
          </w:tcPr>
          <w:p>
            <w:pPr>
              <w:spacing w:after="20"/>
            </w:pPr>
            <w:r>
              <w:rPr>
                <w:b/>
                <w:color w:val="1C3A36"/>
                <w:sz w:val="17"/>
              </w:rPr>
              <w:t>Chance of ending above</w:t>
            </w:r>
          </w:p>
        </w:tc>
        <w:tc>
          <w:tcPr>
            <w:tcW w:type="dxa" w:w="1728"/>
          </w:tcPr>
          <w:p>
            <w:pPr>
              <w:spacing w:after="20"/>
              <w:jc w:val="right"/>
            </w:pPr>
            <w:r>
              <w:rPr>
                <w:color w:val="1C3A36"/>
                <w:sz w:val="17"/>
              </w:rPr>
              <w:t>34.4%</w:t>
            </w:r>
          </w:p>
        </w:tc>
        <w:tc>
          <w:tcPr>
            <w:tcW w:type="dxa" w:w="1728"/>
          </w:tcPr>
          <w:p>
            <w:pPr>
              <w:spacing w:after="20"/>
              <w:jc w:val="right"/>
            </w:pPr>
            <w:r>
              <w:rPr>
                <w:color w:val="1C3A36"/>
                <w:sz w:val="17"/>
              </w:rPr>
              <w:t>22.5%</w:t>
            </w:r>
          </w:p>
        </w:tc>
        <w:tc>
          <w:tcPr>
            <w:tcW w:type="dxa" w:w="1728"/>
          </w:tcPr>
          <w:p>
            <w:pPr>
              <w:spacing w:after="20"/>
              <w:jc w:val="right"/>
            </w:pPr>
            <w:r>
              <w:rPr>
                <w:color w:val="1C3A36"/>
                <w:sz w:val="17"/>
              </w:rPr>
            </w:r>
          </w:p>
        </w:tc>
        <w:tc>
          <w:tcPr>
            <w:tcW w:type="dxa" w:w="1728"/>
          </w:tcPr>
          <w:p>
            <w:pPr>
              <w:spacing w:after="20"/>
              <w:jc w:val="right"/>
            </w:pPr>
            <w:r>
              <w:rPr>
                <w:color w:val="1C3A36"/>
                <w:sz w:val="17"/>
              </w:rPr>
            </w:r>
          </w:p>
        </w:tc>
      </w:tr>
      <w:tr>
        <w:trPr>
          <w:cantSplit/>
        </w:trPr>
        <w:tc>
          <w:tcPr>
            <w:tcW w:type="dxa" w:w="3168"/>
          </w:tcPr>
          <w:p>
            <w:pPr>
              <w:spacing w:after="20"/>
            </w:pPr>
            <w:r>
              <w:rPr>
                <w:b/>
                <w:color w:val="1C3A36"/>
                <w:sz w:val="17"/>
              </w:rPr>
              <w:t>Chance of ending below</w:t>
            </w:r>
          </w:p>
        </w:tc>
        <w:tc>
          <w:tcPr>
            <w:tcW w:type="dxa" w:w="1728"/>
          </w:tcPr>
          <w:p>
            <w:pPr>
              <w:spacing w:after="20"/>
              <w:jc w:val="right"/>
            </w:pPr>
            <w:r>
              <w:rPr>
                <w:color w:val="1C3A36"/>
                <w:sz w:val="17"/>
              </w:rPr>
              <w:t>35.3%</w:t>
            </w:r>
          </w:p>
        </w:tc>
        <w:tc>
          <w:tcPr>
            <w:tcW w:type="dxa" w:w="1728"/>
          </w:tcPr>
          <w:p>
            <w:pPr>
              <w:spacing w:after="20"/>
              <w:jc w:val="right"/>
            </w:pPr>
            <w:r>
              <w:rPr>
                <w:color w:val="1C3A36"/>
                <w:sz w:val="17"/>
              </w:rPr>
              <w:t>21.6%</w:t>
            </w:r>
          </w:p>
        </w:tc>
        <w:tc>
          <w:tcPr>
            <w:tcW w:type="dxa" w:w="1728"/>
          </w:tcPr>
          <w:p>
            <w:pPr>
              <w:spacing w:after="20"/>
              <w:jc w:val="right"/>
            </w:pPr>
            <w:r>
              <w:rPr>
                <w:color w:val="1C3A36"/>
                <w:sz w:val="17"/>
              </w:rPr>
            </w:r>
          </w:p>
        </w:tc>
        <w:tc>
          <w:tcPr>
            <w:tcW w:type="dxa" w:w="1728"/>
          </w:tcPr>
          <w:p>
            <w:pPr>
              <w:spacing w:after="20"/>
              <w:jc w:val="right"/>
            </w:pPr>
            <w:r>
              <w:rPr>
                <w:color w:val="1C3A36"/>
                <w:sz w:val="17"/>
              </w:rPr>
            </w:r>
          </w:p>
        </w:tc>
      </w:tr>
    </w:tbl>
    <w:p>
      <w:pPr>
        <w:spacing w:after="40"/>
      </w:pPr>
    </w:p>
    <w:p>
      <w:pPr>
        <w:spacing w:after="40"/>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5669280" cy="3401568"/>
                    </a:xfrm>
                    <a:prstGeom prst="rect"/>
                  </pic:spPr>
                </pic:pic>
              </a:graphicData>
            </a:graphic>
          </wp:inline>
        </w:drawing>
      </w:r>
    </w:p>
    <w:p>
      <w:pPr>
        <w:spacing w:after="200" w:before="0"/>
      </w:pPr>
      <w:r>
        <w:rPr>
          <w:b w:val="0"/>
          <w:i/>
          <w:color w:val="6E7B77"/>
          <w:sz w:val="17"/>
        </w:rPr>
        <w:t>Figure 6. The one and three month probability ranges.</w:t>
      </w:r>
    </w:p>
    <w:p>
      <w:pPr>
        <w:spacing w:after="40"/>
        <w:jc w:val="center"/>
      </w:pPr>
      <w:r>
        <w:drawing>
          <wp:inline xmlns:a="http://schemas.openxmlformats.org/drawingml/2006/main" xmlns:pic="http://schemas.openxmlformats.org/drawingml/2006/picture">
            <wp:extent cx="5120640" cy="2993605"/>
            <wp:docPr id="7" name="Picture 7"/>
            <wp:cNvGraphicFramePr>
              <a:graphicFrameLocks noChangeAspect="1"/>
            </wp:cNvGraphicFramePr>
            <a:graphic>
              <a:graphicData uri="http://schemas.openxmlformats.org/drawingml/2006/picture">
                <pic:pic>
                  <pic:nvPicPr>
                    <pic:cNvPr id="0" name="fig5_dist.png"/>
                    <pic:cNvPicPr/>
                  </pic:nvPicPr>
                  <pic:blipFill>
                    <a:blip r:embed="rId15"/>
                    <a:stretch>
                      <a:fillRect/>
                    </a:stretch>
                  </pic:blipFill>
                  <pic:spPr>
                    <a:xfrm>
                      <a:off x="0" y="0"/>
                      <a:ext cx="5120640" cy="2993605"/>
                    </a:xfrm>
                    <a:prstGeom prst="rect"/>
                  </pic:spPr>
                </pic:pic>
              </a:graphicData>
            </a:graphic>
          </wp:inline>
        </w:drawing>
      </w:r>
    </w:p>
    <w:p>
      <w:pPr>
        <w:spacing w:after="200" w:before="0"/>
      </w:pPr>
      <w:r>
        <w:rPr>
          <w:b w:val="0"/>
          <w:i/>
          <w:color w:val="6E7B77"/>
          <w:sz w:val="17"/>
        </w:rPr>
        <w:t>Figure 7. The distribution of possible prices at three months.</w:t>
      </w:r>
    </w:p>
    <w:p>
      <w:pPr>
        <w:spacing w:after="80" w:before="200"/>
      </w:pPr>
      <w:r>
        <w:rPr>
          <w:b/>
          <w:i w:val="0"/>
          <w:color w:val="1C3A36"/>
          <w:sz w:val="24"/>
        </w:rPr>
        <w:t>How much to trust this</w:t>
      </w:r>
    </w:p>
    <w:p>
      <w:pPr>
        <w:spacing w:after="120" w:before="0"/>
      </w:pPr>
      <w:r>
        <w:rPr>
          <w:b w:val="0"/>
          <w:i w:val="0"/>
          <w:color w:val="1C3A36"/>
          <w:sz w:val="21"/>
        </w:rPr>
        <w:t>The method was tested against the share's own history before being used. Fertiglobe listed on 27 October 2021, so the price record runs 4.77 years — a literal five-year test is not available for this company, and the test therefore covers the whole of its listed life, which is the maximum evidence that exists. Over 14 independent three-month windows from 2022-11-11 to 2026-02-19, the method scored -0.0015 against a random-walk benchmark that already includes the time value of money. That is statistically indistinguishable from the benchmark: the method neither beat it nor lost to it, and the study says so rather than claiming an edge it did not demonstrate.</w:t>
      </w:r>
    </w:p>
    <w:p>
      <w:pPr>
        <w:spacing w:after="120" w:before="0"/>
      </w:pPr>
      <w:r>
        <w:rPr>
          <w:b w:val="0"/>
          <w:i w:val="0"/>
          <w:color w:val="1C3A36"/>
          <w:sz w:val="21"/>
        </w:rPr>
        <w:t>Where the method did do well is in the shape of the distribution, which is what a probability range is actually for. Realised outcomes fell across the predicted percentiles roughly evenly — a chi-square test on that spread returns p=0.74 and a Kolmogorov-Smirnov test p=0.44, both comfortably consistent with the bands being honest. Actual outcomes landed inside the 50% band 43% of the time and inside the 90% band 100% of the time.</w:t>
      </w:r>
    </w:p>
    <w:p>
      <w:pPr>
        <w:spacing w:after="120" w:before="0"/>
      </w:pPr>
      <w:r>
        <w:rPr>
          <w:b w:val="0"/>
          <w:i w:val="0"/>
          <w:color w:val="1C3A36"/>
          <w:sz w:val="21"/>
        </w:rPr>
        <w:t>One caveat is recorded rather than buried. Re-running the same test from five different starting points to get more observations produces a distribution that is no longer evenly spread (p=0.022), with outcomes tilted slightly below the centre of the range. Those runs overlap each other, which makes the statistical test read as more significant than it is, so it is not treated as a verdict — but it is a hint that the centre of the range may sit a little high, and a reader should lean on the width of the bands rather than their midpoint.</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368"/>
        <w:gridCol w:w="2160"/>
        <w:gridCol w:w="4032"/>
      </w:tblGrid>
      <w:tr>
        <w:trPr>
          <w:cantSplit/>
          <w:tblHeader/>
        </w:trPr>
        <w:tc>
          <w:tcPr>
            <w:tcW w:type="dxa" w:w="2520"/>
            <w:shd w:val="clear" w:color="auto" w:fill="EAF0EE"/>
          </w:tcPr>
          <w:p>
            <w:pPr>
              <w:spacing w:after="20"/>
            </w:pPr>
            <w:r>
              <w:rPr>
                <w:b/>
                <w:color w:val="1C3A36"/>
                <w:sz w:val="17"/>
              </w:rPr>
              <w:t>Method</w:t>
            </w:r>
          </w:p>
        </w:tc>
        <w:tc>
          <w:tcPr>
            <w:tcW w:type="dxa" w:w="1368"/>
            <w:shd w:val="clear" w:color="auto" w:fill="EAF0EE"/>
          </w:tcPr>
          <w:p>
            <w:pPr>
              <w:spacing w:after="20"/>
            </w:pPr>
            <w:r>
              <w:rPr>
                <w:b/>
                <w:color w:val="1C3A36"/>
                <w:sz w:val="17"/>
              </w:rPr>
              <w:t>Value (AED)</w:t>
            </w:r>
          </w:p>
        </w:tc>
        <w:tc>
          <w:tcPr>
            <w:tcW w:type="dxa" w:w="2160"/>
            <w:shd w:val="clear" w:color="auto" w:fill="EAF0EE"/>
          </w:tcPr>
          <w:p>
            <w:pPr>
              <w:spacing w:after="20"/>
            </w:pPr>
            <w:r>
              <w:rPr>
                <w:b/>
                <w:color w:val="1C3A36"/>
                <w:sz w:val="17"/>
              </w:rPr>
              <w:t>Against the market price</w:t>
            </w:r>
          </w:p>
        </w:tc>
        <w:tc>
          <w:tcPr>
            <w:tcW w:type="dxa" w:w="4032"/>
            <w:shd w:val="clear" w:color="auto" w:fill="EAF0EE"/>
          </w:tcPr>
          <w:p>
            <w:pPr>
              <w:spacing w:after="20"/>
            </w:pPr>
            <w:r>
              <w:rPr>
                <w:b/>
                <w:color w:val="1C3A36"/>
                <w:sz w:val="17"/>
              </w:rPr>
              <w:t>What it assumes that the others do not</w:t>
            </w:r>
          </w:p>
        </w:tc>
      </w:tr>
      <w:tr>
        <w:trPr>
          <w:cantSplit/>
        </w:trPr>
        <w:tc>
          <w:tcPr>
            <w:tcW w:type="dxa" w:w="2520"/>
          </w:tcPr>
          <w:p>
            <w:pPr>
              <w:spacing w:after="20"/>
            </w:pPr>
            <w:r>
              <w:rPr>
                <w:b/>
                <w:color w:val="1C3A36"/>
                <w:sz w:val="17"/>
              </w:rPr>
              <w:t>Cash flow — framing A (the answer)</w:t>
            </w:r>
          </w:p>
        </w:tc>
        <w:tc>
          <w:tcPr>
            <w:tcW w:type="dxa" w:w="1368"/>
          </w:tcPr>
          <w:p>
            <w:pPr>
              <w:spacing w:after="20"/>
              <w:jc w:val="right"/>
            </w:pPr>
            <w:r>
              <w:rPr>
                <w:color w:val="1C3A36"/>
                <w:sz w:val="17"/>
              </w:rPr>
              <w:t>1.81</w:t>
            </w:r>
          </w:p>
        </w:tc>
        <w:tc>
          <w:tcPr>
            <w:tcW w:type="dxa" w:w="2160"/>
          </w:tcPr>
          <w:p>
            <w:pPr>
              <w:spacing w:after="20"/>
              <w:jc w:val="right"/>
            </w:pPr>
            <w:r>
              <w:rPr>
                <w:color w:val="1C3A36"/>
                <w:sz w:val="17"/>
              </w:rPr>
              <w:t>-32%</w:t>
            </w:r>
          </w:p>
        </w:tc>
        <w:tc>
          <w:tcPr>
            <w:tcW w:type="dxa" w:w="4032"/>
          </w:tcPr>
          <w:p>
            <w:pPr>
              <w:spacing w:after="20"/>
              <w:jc w:val="right"/>
            </w:pPr>
            <w:r>
              <w:rPr>
                <w:color w:val="1C3A36"/>
                <w:sz w:val="17"/>
              </w:rPr>
              <w:t>That the gas link, the price path and the cost of capital are all right for five years and beyond. Nitrogen prices normalise toward the marginal cost of the high-cost swing supplier, which is where they have spent most of the past decade</w:t>
            </w:r>
          </w:p>
        </w:tc>
      </w:tr>
      <w:tr>
        <w:trPr>
          <w:cantSplit/>
        </w:trPr>
        <w:tc>
          <w:tcPr>
            <w:tcW w:type="dxa" w:w="2520"/>
          </w:tcPr>
          <w:p>
            <w:pPr>
              <w:spacing w:after="20"/>
            </w:pPr>
            <w:r>
              <w:rPr>
                <w:b/>
                <w:color w:val="1C3A36"/>
                <w:sz w:val="17"/>
              </w:rPr>
              <w:t>Cash flow — framing B (the answer)</w:t>
            </w:r>
          </w:p>
        </w:tc>
        <w:tc>
          <w:tcPr>
            <w:tcW w:type="dxa" w:w="1368"/>
          </w:tcPr>
          <w:p>
            <w:pPr>
              <w:spacing w:after="20"/>
              <w:jc w:val="right"/>
            </w:pPr>
            <w:r>
              <w:rPr>
                <w:color w:val="1C3A36"/>
                <w:sz w:val="17"/>
              </w:rPr>
              <w:t>2.68</w:t>
            </w:r>
          </w:p>
        </w:tc>
        <w:tc>
          <w:tcPr>
            <w:tcW w:type="dxa" w:w="2160"/>
          </w:tcPr>
          <w:p>
            <w:pPr>
              <w:spacing w:after="20"/>
              <w:jc w:val="right"/>
            </w:pPr>
            <w:r>
              <w:rPr>
                <w:color w:val="1C3A36"/>
                <w:sz w:val="17"/>
              </w:rPr>
              <w:t>+0%</w:t>
            </w:r>
          </w:p>
        </w:tc>
        <w:tc>
          <w:tcPr>
            <w:tcW w:type="dxa" w:w="4032"/>
          </w:tcPr>
          <w:p>
            <w:pPr>
              <w:spacing w:after="20"/>
              <w:jc w:val="right"/>
            </w:pPr>
            <w:r>
              <w:rPr>
                <w:color w:val="1C3A36"/>
                <w:sz w:val="17"/>
              </w:rPr>
              <w:t>That the gas link, the price path and the cost of capital are all right for five years and beyond. The tightness in the current market persists, on curtailed European capacity and the gas cost that caused it</w:t>
            </w:r>
          </w:p>
        </w:tc>
      </w:tr>
      <w:tr>
        <w:trPr>
          <w:cantSplit/>
        </w:trPr>
        <w:tc>
          <w:tcPr>
            <w:tcW w:type="dxa" w:w="2520"/>
          </w:tcPr>
          <w:p>
            <w:pPr>
              <w:spacing w:after="20"/>
            </w:pPr>
            <w:r>
              <w:rPr>
                <w:b/>
                <w:color w:val="1C3A36"/>
                <w:sz w:val="17"/>
              </w:rPr>
              <w:t>Relative multiples (cross-check)</w:t>
            </w:r>
          </w:p>
        </w:tc>
        <w:tc>
          <w:tcPr>
            <w:tcW w:type="dxa" w:w="1368"/>
          </w:tcPr>
          <w:p>
            <w:pPr>
              <w:spacing w:after="20"/>
              <w:jc w:val="right"/>
            </w:pPr>
            <w:r>
              <w:rPr>
                <w:color w:val="1C3A36"/>
                <w:sz w:val="17"/>
              </w:rPr>
              <w:t>2.06</w:t>
            </w:r>
          </w:p>
        </w:tc>
        <w:tc>
          <w:tcPr>
            <w:tcW w:type="dxa" w:w="2160"/>
          </w:tcPr>
          <w:p>
            <w:pPr>
              <w:spacing w:after="20"/>
              <w:jc w:val="right"/>
            </w:pPr>
            <w:r>
              <w:rPr>
                <w:color w:val="1C3A36"/>
                <w:sz w:val="17"/>
              </w:rPr>
              <w:t>-23%</w:t>
            </w:r>
          </w:p>
        </w:tc>
        <w:tc>
          <w:tcPr>
            <w:tcW w:type="dxa" w:w="4032"/>
          </w:tcPr>
          <w:p>
            <w:pPr>
              <w:spacing w:after="20"/>
              <w:jc w:val="right"/>
            </w:pPr>
            <w:r>
              <w:rPr>
                <w:color w:val="1C3A36"/>
                <w:sz w:val="17"/>
              </w:rPr>
              <w:t>That the market is pricing comparable assets sensibly today</w:t>
            </w:r>
          </w:p>
        </w:tc>
      </w:tr>
      <w:tr>
        <w:trPr>
          <w:cantSplit/>
        </w:trPr>
        <w:tc>
          <w:tcPr>
            <w:tcW w:type="dxa" w:w="2520"/>
          </w:tcPr>
          <w:p>
            <w:pPr>
              <w:spacing w:after="20"/>
            </w:pPr>
            <w:r>
              <w:rPr>
                <w:b/>
                <w:color w:val="1C3A36"/>
                <w:sz w:val="17"/>
              </w:rPr>
              <w:t>Book value (a floor, not a value)</w:t>
            </w:r>
          </w:p>
        </w:tc>
        <w:tc>
          <w:tcPr>
            <w:tcW w:type="dxa" w:w="1368"/>
          </w:tcPr>
          <w:p>
            <w:pPr>
              <w:spacing w:after="20"/>
              <w:jc w:val="right"/>
            </w:pPr>
            <w:r>
              <w:rPr>
                <w:color w:val="1C3A36"/>
                <w:sz w:val="17"/>
              </w:rPr>
              <w:t>1.27</w:t>
            </w:r>
          </w:p>
        </w:tc>
        <w:tc>
          <w:tcPr>
            <w:tcW w:type="dxa" w:w="2160"/>
          </w:tcPr>
          <w:p>
            <w:pPr>
              <w:spacing w:after="20"/>
              <w:jc w:val="right"/>
            </w:pPr>
            <w:r>
              <w:rPr>
                <w:color w:val="1C3A36"/>
                <w:sz w:val="17"/>
              </w:rPr>
              <w:t>-52%</w:t>
            </w:r>
          </w:p>
        </w:tc>
        <w:tc>
          <w:tcPr>
            <w:tcW w:type="dxa" w:w="4032"/>
          </w:tcPr>
          <w:p>
            <w:pPr>
              <w:spacing w:after="20"/>
              <w:jc w:val="right"/>
            </w:pPr>
            <w:r>
              <w:rPr>
                <w:color w:val="1C3A36"/>
                <w:sz w:val="17"/>
              </w:rPr>
              <w:t>That book equity means something — which here it largely does not, so this is read as the floor beneath the others rather than as a method</w:t>
            </w:r>
          </w:p>
        </w:tc>
      </w:tr>
    </w:tbl>
    <w:p>
      <w:pPr>
        <w:spacing w:after="40"/>
      </w:pPr>
    </w:p>
    <w:p>
      <w:pPr>
        <w:spacing w:after="120" w:before="0"/>
      </w:pPr>
      <w:r>
        <w:rPr>
          <w:b w:val="0"/>
          <w:i w:val="0"/>
          <w:color w:val="1C3A36"/>
          <w:sz w:val="21"/>
        </w:rPr>
        <w:t>The cash-flow lens is the answer and the others sit beside it; none of them is averaged into it. The spread from the floor to the higher framing is close to a factor of two. That is not a failure of the analysis; it is the correct output for a commodity producer whose selling price doubled in six months and whose cost base follows it. Any single number presented without that spread would be more precise than the evidence permits.</w:t>
      </w:r>
    </w:p>
    <w:p>
      <w:pPr>
        <w:spacing w:after="120" w:before="0"/>
      </w:pPr>
      <w:r>
        <w:rPr>
          <w:b w:val="0"/>
          <w:i w:val="0"/>
          <w:color w:val="1C3A36"/>
          <w:sz w:val="21"/>
        </w:rPr>
        <w:t>A fourth method — capitalising a mid-cycle profit on a justified earnings multiple — is not published here. It reads AED 2.79, and it is left out because the multiple behind it was chosen rather than sourced, and because a mid-cycle margin is exactly what is in dispute for this business: a method that assumes the answer to the question the study is asking cannot then be evidence about it.</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728"/>
        <w:gridCol w:w="5328"/>
      </w:tblGrid>
      <w:tr>
        <w:trPr>
          <w:cantSplit/>
          <w:tblHeader/>
        </w:trPr>
        <w:tc>
          <w:tcPr>
            <w:tcW w:type="dxa" w:w="3024"/>
            <w:shd w:val="clear" w:color="auto" w:fill="EAF0EE"/>
          </w:tcPr>
          <w:p>
            <w:pPr>
              <w:spacing w:after="20"/>
            </w:pPr>
            <w:r>
              <w:rPr>
                <w:b/>
                <w:color w:val="1C3A36"/>
                <w:sz w:val="17"/>
              </w:rPr>
              <w:t>Catalyst</w:t>
            </w:r>
          </w:p>
        </w:tc>
        <w:tc>
          <w:tcPr>
            <w:tcW w:type="dxa" w:w="1728"/>
            <w:shd w:val="clear" w:color="auto" w:fill="EAF0EE"/>
          </w:tcPr>
          <w:p>
            <w:pPr>
              <w:spacing w:after="20"/>
            </w:pPr>
            <w:r>
              <w:rPr>
                <w:b/>
                <w:color w:val="1C3A36"/>
                <w:sz w:val="17"/>
              </w:rPr>
              <w:t>Direction</w:t>
            </w:r>
          </w:p>
        </w:tc>
        <w:tc>
          <w:tcPr>
            <w:tcW w:type="dxa" w:w="5328"/>
            <w:shd w:val="clear" w:color="auto" w:fill="EAF0EE"/>
          </w:tcPr>
          <w:p>
            <w:pPr>
              <w:spacing w:after="20"/>
            </w:pPr>
            <w:r>
              <w:rPr>
                <w:b/>
                <w:color w:val="1C3A36"/>
                <w:sz w:val="17"/>
              </w:rPr>
              <w:t>What to watch</w:t>
            </w:r>
          </w:p>
        </w:tc>
      </w:tr>
      <w:tr>
        <w:trPr>
          <w:cantSplit/>
        </w:trPr>
        <w:tc>
          <w:tcPr>
            <w:tcW w:type="dxa" w:w="3024"/>
          </w:tcPr>
          <w:p>
            <w:pPr>
              <w:spacing w:after="20"/>
            </w:pPr>
            <w:r>
              <w:rPr>
                <w:b/>
                <w:color w:val="1C3A36"/>
                <w:sz w:val="17"/>
              </w:rPr>
              <w:t>Chinese urea export policy</w:t>
            </w:r>
          </w:p>
        </w:tc>
        <w:tc>
          <w:tcPr>
            <w:tcW w:type="dxa" w:w="1728"/>
          </w:tcPr>
          <w:p>
            <w:pPr>
              <w:spacing w:after="20"/>
              <w:jc w:val="right"/>
            </w:pPr>
            <w:r>
              <w:rPr>
                <w:color w:val="1C3A36"/>
                <w:sz w:val="17"/>
              </w:rPr>
              <w:t>Down</w:t>
            </w:r>
          </w:p>
        </w:tc>
        <w:tc>
          <w:tcPr>
            <w:tcW w:type="dxa" w:w="5328"/>
          </w:tcPr>
          <w:p>
            <w:pPr>
              <w:spacing w:after="20"/>
              <w:jc w:val="right"/>
            </w:pPr>
            <w:r>
              <w:rPr>
                <w:color w:val="1C3A36"/>
                <w:sz w:val="17"/>
              </w:rPr>
              <w:t>Exports were absent until quota guidance in May 2026 and remain minimal. A full reopening is the largest single downside to the price path.</w:t>
            </w:r>
          </w:p>
        </w:tc>
      </w:tr>
      <w:tr>
        <w:trPr>
          <w:cantSplit/>
        </w:trPr>
        <w:tc>
          <w:tcPr>
            <w:tcW w:type="dxa" w:w="3024"/>
          </w:tcPr>
          <w:p>
            <w:pPr>
              <w:spacing w:after="20"/>
            </w:pPr>
            <w:r>
              <w:rPr>
                <w:b/>
                <w:color w:val="1C3A36"/>
                <w:sz w:val="17"/>
              </w:rPr>
              <w:t>The Strait of Hormuz</w:t>
            </w:r>
          </w:p>
        </w:tc>
        <w:tc>
          <w:tcPr>
            <w:tcW w:type="dxa" w:w="1728"/>
          </w:tcPr>
          <w:p>
            <w:pPr>
              <w:spacing w:after="20"/>
              <w:jc w:val="right"/>
            </w:pPr>
            <w:r>
              <w:rPr>
                <w:color w:val="1C3A36"/>
                <w:sz w:val="17"/>
              </w:rPr>
              <w:t>Both</w:t>
            </w:r>
          </w:p>
        </w:tc>
        <w:tc>
          <w:tcPr>
            <w:tcW w:type="dxa" w:w="5328"/>
          </w:tcPr>
          <w:p>
            <w:pPr>
              <w:spacing w:after="20"/>
              <w:jc w:val="right"/>
            </w:pPr>
            <w:r>
              <w:rPr>
                <w:color w:val="1C3A36"/>
                <w:sz w:val="17"/>
              </w:rPr>
              <w:t>Reopening relieves the logistics cost that hit the first half of 2026 but removes the supply squeeze holding prices up. The two partly cancel.</w:t>
            </w:r>
          </w:p>
        </w:tc>
      </w:tr>
      <w:tr>
        <w:trPr>
          <w:cantSplit/>
        </w:trPr>
        <w:tc>
          <w:tcPr>
            <w:tcW w:type="dxa" w:w="3024"/>
          </w:tcPr>
          <w:p>
            <w:pPr>
              <w:spacing w:after="20"/>
            </w:pPr>
            <w:r>
              <w:rPr>
                <w:b/>
                <w:color w:val="1C3A36"/>
                <w:sz w:val="17"/>
              </w:rPr>
              <w:t>Settlement of the Algerian gas contract</w:t>
            </w:r>
          </w:p>
        </w:tc>
        <w:tc>
          <w:tcPr>
            <w:tcW w:type="dxa" w:w="1728"/>
          </w:tcPr>
          <w:p>
            <w:pPr>
              <w:spacing w:after="20"/>
              <w:jc w:val="right"/>
            </w:pPr>
            <w:r>
              <w:rPr>
                <w:color w:val="1C3A36"/>
                <w:sz w:val="17"/>
              </w:rPr>
              <w:t>Down / clarifying</w:t>
            </w:r>
          </w:p>
        </w:tc>
        <w:tc>
          <w:tcPr>
            <w:tcW w:type="dxa" w:w="5328"/>
          </w:tcPr>
          <w:p>
            <w:pPr>
              <w:spacing w:after="20"/>
              <w:jc w:val="right"/>
            </w:pPr>
            <w:r>
              <w:rPr>
                <w:color w:val="1C3A36"/>
                <w:sz w:val="17"/>
              </w:rPr>
              <w:t>The accrued liability reached $469 million by 30 June 2026 with no agreed payment schedule. Settlement converts an estimate into a cash obligation and reveals the true formula.</w:t>
            </w:r>
          </w:p>
        </w:tc>
      </w:tr>
      <w:tr>
        <w:trPr>
          <w:cantSplit/>
        </w:trPr>
        <w:tc>
          <w:tcPr>
            <w:tcW w:type="dxa" w:w="3024"/>
          </w:tcPr>
          <w:p>
            <w:pPr>
              <w:spacing w:after="20"/>
            </w:pPr>
            <w:r>
              <w:rPr>
                <w:b/>
                <w:color w:val="1C3A36"/>
                <w:sz w:val="17"/>
              </w:rPr>
              <w:t>European tariffs on Russian product</w:t>
            </w:r>
          </w:p>
        </w:tc>
        <w:tc>
          <w:tcPr>
            <w:tcW w:type="dxa" w:w="1728"/>
          </w:tcPr>
          <w:p>
            <w:pPr>
              <w:spacing w:after="20"/>
              <w:jc w:val="right"/>
            </w:pPr>
            <w:r>
              <w:rPr>
                <w:color w:val="1C3A36"/>
                <w:sz w:val="17"/>
              </w:rPr>
              <w:t>Up</w:t>
            </w:r>
          </w:p>
        </w:tc>
        <w:tc>
          <w:tcPr>
            <w:tcW w:type="dxa" w:w="5328"/>
          </w:tcPr>
          <w:p>
            <w:pPr>
              <w:spacing w:after="20"/>
              <w:jc w:val="right"/>
            </w:pPr>
            <w:r>
              <w:rPr>
                <w:color w:val="1C3A36"/>
                <w:sz w:val="17"/>
              </w:rPr>
              <w:t>Already EUR 60 per tonne and scheduled to reach EUR 315 by 2028. Egyptian and Algerian product enters duty free.</w:t>
            </w:r>
          </w:p>
        </w:tc>
      </w:tr>
      <w:tr>
        <w:trPr>
          <w:cantSplit/>
        </w:trPr>
        <w:tc>
          <w:tcPr>
            <w:tcW w:type="dxa" w:w="3024"/>
          </w:tcPr>
          <w:p>
            <w:pPr>
              <w:spacing w:after="20"/>
            </w:pPr>
            <w:r>
              <w:rPr>
                <w:b/>
                <w:color w:val="1C3A36"/>
                <w:sz w:val="17"/>
              </w:rPr>
              <w:t>The lower-carbon ammonia plant</w:t>
            </w:r>
          </w:p>
        </w:tc>
        <w:tc>
          <w:tcPr>
            <w:tcW w:type="dxa" w:w="1728"/>
          </w:tcPr>
          <w:p>
            <w:pPr>
              <w:spacing w:after="20"/>
              <w:jc w:val="right"/>
            </w:pPr>
            <w:r>
              <w:rPr>
                <w:color w:val="1C3A36"/>
                <w:sz w:val="17"/>
              </w:rPr>
              <w:t>Up</w:t>
            </w:r>
          </w:p>
        </w:tc>
        <w:tc>
          <w:tcPr>
            <w:tcW w:type="dxa" w:w="5328"/>
          </w:tcPr>
          <w:p>
            <w:pPr>
              <w:spacing w:after="20"/>
              <w:jc w:val="right"/>
            </w:pPr>
            <w:r>
              <w:rPr>
                <w:color w:val="1C3A36"/>
                <w:sz w:val="17"/>
              </w:rPr>
              <w:t>One million tonnes, operations expected 2027, total project cost under $500 million. Excluded from this valuation entirely — see below.</w:t>
            </w:r>
          </w:p>
        </w:tc>
      </w:tr>
      <w:tr>
        <w:trPr>
          <w:cantSplit/>
        </w:trPr>
        <w:tc>
          <w:tcPr>
            <w:tcW w:type="dxa" w:w="3024"/>
          </w:tcPr>
          <w:p>
            <w:pPr>
              <w:spacing w:after="20"/>
            </w:pPr>
            <w:r>
              <w:rPr>
                <w:b/>
                <w:color w:val="1C3A36"/>
                <w:sz w:val="17"/>
              </w:rPr>
              <w:t>European gas prices</w:t>
            </w:r>
          </w:p>
        </w:tc>
        <w:tc>
          <w:tcPr>
            <w:tcW w:type="dxa" w:w="1728"/>
          </w:tcPr>
          <w:p>
            <w:pPr>
              <w:spacing w:after="20"/>
              <w:jc w:val="right"/>
            </w:pPr>
            <w:r>
              <w:rPr>
                <w:color w:val="1C3A36"/>
                <w:sz w:val="17"/>
              </w:rPr>
              <w:t>Up</w:t>
            </w:r>
          </w:p>
        </w:tc>
        <w:tc>
          <w:tcPr>
            <w:tcW w:type="dxa" w:w="5328"/>
          </w:tcPr>
          <w:p>
            <w:pPr>
              <w:spacing w:after="20"/>
              <w:jc w:val="right"/>
            </w:pPr>
            <w:r>
              <w:rPr>
                <w:color w:val="1C3A36"/>
                <w:sz w:val="17"/>
              </w:rPr>
              <w:t>Gas above $20 per unit puts European producers under water and sets a floor under ammonia. It is the mechanism behind the marginal-cost anchor.</w:t>
            </w:r>
          </w:p>
        </w:tc>
      </w:tr>
    </w:tbl>
    <w:p>
      <w:pPr>
        <w:spacing w:after="40"/>
      </w:pPr>
    </w:p>
    <w:p>
      <w:pPr>
        <w:spacing w:after="120" w:before="0"/>
      </w:pPr>
      <w:r>
        <w:rPr>
          <w:b w:val="0"/>
          <w:i w:val="0"/>
          <w:color w:val="1C3A36"/>
          <w:sz w:val="21"/>
        </w:rPr>
        <w:t>The lower-carbon ammonia project deserves a note because its exclusion is deliberate. The parent is warehousing the project, and Fertiglobe holds only an option to move to 54% ownership after completion. It is therefore not a consolidated cash flow today and is carried at nothing. If exercised on the terms described, it would add capacity worth roughly a sixth of the current merchant base for a capital cost the parent has already largely borne. That is real value sitting outside the numbers in this study.</w:t>
      </w:r>
    </w:p>
    <w:p>
      <w:pPr>
        <w:spacing w:after="120" w:before="280"/>
      </w:pPr>
      <w:r>
        <w:rPr>
          <w:b/>
          <w:i w:val="0"/>
          <w:color w:val="1C3A36"/>
          <w:sz w:val="30"/>
        </w:rPr>
        <w:t>6. Reading the probability zones</w:t>
      </w:r>
    </w:p>
    <w:p>
      <w:pPr>
        <w:spacing w:after="120" w:before="0"/>
      </w:pPr>
      <w:r>
        <w:rPr>
          <w:b w:val="0"/>
          <w:i w:val="0"/>
          <w:color w:val="1C3A36"/>
          <w:sz w:val="21"/>
        </w:rPr>
        <w:t>The percentile table in section 3 is easy to misread, so here is what it does and does not say.</w:t>
      </w:r>
    </w:p>
    <w:p>
      <w:pPr>
        <w:pStyle w:val="ListBullet"/>
        <w:spacing w:after="60"/>
      </w:pPr>
      <w:r>
        <w:rPr>
          <w:color w:val="1C3A36"/>
          <w:sz w:val="21"/>
        </w:rPr>
        <w:t>The 50th percentile is not a forecast. It is the middle of a distribution, and the distribution is wide. Half of all outcomes fall on each side of it.</w:t>
      </w:r>
    </w:p>
    <w:p>
      <w:pPr>
        <w:pStyle w:val="ListBullet"/>
        <w:spacing w:after="60"/>
      </w:pPr>
      <w:r>
        <w:rPr>
          <w:color w:val="1C3A36"/>
          <w:sz w:val="21"/>
        </w:rPr>
        <w:t>The touch probabilities are higher than the ending probabilities, and that is not an error. A price can trade through a level during the period and come back; touching is easier than finishing.</w:t>
      </w:r>
    </w:p>
    <w:p>
      <w:pPr>
        <w:pStyle w:val="ListBullet"/>
        <w:spacing w:after="60"/>
      </w:pPr>
      <w:r>
        <w:rPr>
          <w:color w:val="1C3A36"/>
          <w:sz w:val="21"/>
        </w:rPr>
        <w:t>The bands come from the share's own volatility, not from the valuation. A share can be cheap on the analysis in section 1 and still spend three months falling. The two halves of this study answer different questions and are deliberately not reconciled.</w:t>
      </w:r>
    </w:p>
    <w:p>
      <w:pPr>
        <w:pStyle w:val="ListBullet"/>
        <w:spacing w:after="60"/>
      </w:pPr>
      <w:r>
        <w:rPr>
          <w:color w:val="1C3A36"/>
          <w:sz w:val="21"/>
        </w:rPr>
        <w:t>The bands widen with the square root of time, roughly. The three-month range is wider than the one-month range because more can happen, not because the outlook is worse.</w:t>
      </w:r>
    </w:p>
    <w:p>
      <w:pPr>
        <w:spacing w:after="120" w:before="280"/>
      </w:pPr>
      <w:r>
        <w:rPr>
          <w:b/>
          <w:i w:val="0"/>
          <w:color w:val="1C3A36"/>
          <w:sz w:val="30"/>
        </w:rPr>
        <w:t>7. Caveats and what would change our mind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3744"/>
        <w:gridCol w:w="3888"/>
      </w:tblGrid>
      <w:tr>
        <w:trPr>
          <w:cantSplit/>
          <w:tblHeader/>
        </w:trPr>
        <w:tc>
          <w:tcPr>
            <w:tcW w:type="dxa" w:w="2448"/>
            <w:shd w:val="clear" w:color="auto" w:fill="EAF0EE"/>
          </w:tcPr>
          <w:p>
            <w:pPr>
              <w:spacing w:after="20"/>
            </w:pPr>
            <w:r>
              <w:rPr>
                <w:b/>
                <w:color w:val="1C3A36"/>
                <w:sz w:val="16"/>
              </w:rPr>
              <w:t>Concern</w:t>
            </w:r>
          </w:p>
        </w:tc>
        <w:tc>
          <w:tcPr>
            <w:tcW w:type="dxa" w:w="3744"/>
            <w:shd w:val="clear" w:color="auto" w:fill="EAF0EE"/>
          </w:tcPr>
          <w:p>
            <w:pPr>
              <w:spacing w:after="20"/>
            </w:pPr>
            <w:r>
              <w:rPr>
                <w:b/>
                <w:color w:val="1C3A36"/>
                <w:sz w:val="16"/>
              </w:rPr>
              <w:t>Why it matters</w:t>
            </w:r>
          </w:p>
        </w:tc>
        <w:tc>
          <w:tcPr>
            <w:tcW w:type="dxa" w:w="3888"/>
            <w:shd w:val="clear" w:color="auto" w:fill="EAF0EE"/>
          </w:tcPr>
          <w:p>
            <w:pPr>
              <w:spacing w:after="20"/>
            </w:pPr>
            <w:r>
              <w:rPr>
                <w:b/>
                <w:color w:val="1C3A36"/>
                <w:sz w:val="16"/>
              </w:rPr>
              <w:t>What would change the answer</w:t>
            </w:r>
          </w:p>
        </w:tc>
      </w:tr>
      <w:tr>
        <w:trPr>
          <w:cantSplit/>
        </w:trPr>
        <w:tc>
          <w:tcPr>
            <w:tcW w:type="dxa" w:w="2448"/>
          </w:tcPr>
          <w:p>
            <w:pPr>
              <w:spacing w:after="20"/>
            </w:pPr>
            <w:r>
              <w:rPr>
                <w:b/>
                <w:color w:val="1C3A36"/>
                <w:sz w:val="16"/>
              </w:rPr>
              <w:t>The pass-through rate rests on three observations</w:t>
            </w:r>
          </w:p>
        </w:tc>
        <w:tc>
          <w:tcPr>
            <w:tcW w:type="dxa" w:w="3744"/>
          </w:tcPr>
          <w:p>
            <w:pPr>
              <w:spacing w:after="20"/>
            </w:pPr>
            <w:r>
              <w:rPr>
                <w:color w:val="1C3A36"/>
                <w:sz w:val="16"/>
              </w:rPr>
              <w:t>It is the single most consequential number in the study and the sample is tiny. The physical cross-check and the accrual-stripped rerun both support it, but neither is a substitute for more data.</w:t>
            </w:r>
          </w:p>
        </w:tc>
        <w:tc>
          <w:tcPr>
            <w:tcW w:type="dxa" w:w="3888"/>
          </w:tcPr>
          <w:p>
            <w:pPr>
              <w:spacing w:after="20"/>
            </w:pPr>
            <w:r>
              <w:rPr>
                <w:color w:val="1C3A36"/>
                <w:sz w:val="16"/>
              </w:rPr>
              <w:t>Two more reported half-years at different price levels. If the slope moves to 0.65 the value falls to AED 0.63; at 0.30 it rises to AED 3.07.</w:t>
            </w:r>
          </w:p>
        </w:tc>
      </w:tr>
      <w:tr>
        <w:trPr>
          <w:cantSplit/>
        </w:trPr>
        <w:tc>
          <w:tcPr>
            <w:tcW w:type="dxa" w:w="2448"/>
          </w:tcPr>
          <w:p>
            <w:pPr>
              <w:spacing w:after="20"/>
            </w:pPr>
            <w:r>
              <w:rPr>
                <w:b/>
                <w:color w:val="1C3A36"/>
                <w:sz w:val="16"/>
              </w:rPr>
              <w:t>The beta is weak</w:t>
            </w:r>
          </w:p>
        </w:tc>
        <w:tc>
          <w:tcPr>
            <w:tcW w:type="dxa" w:w="3744"/>
          </w:tcPr>
          <w:p>
            <w:pPr>
              <w:spacing w:after="20"/>
            </w:pPr>
            <w:r>
              <w:rPr>
                <w:color w:val="1C3A36"/>
                <w:sz w:val="16"/>
              </w:rPr>
              <w:t>The regression against the local market gives 0.931 but explains only 10.0% of the share's movement, with a 90% confidence interval from 0.47 to 1.40. The reason is economic, not statistical: this share is driven by global nitrogen prices, and the local index is mostly banks and property.</w:t>
            </w:r>
          </w:p>
        </w:tc>
        <w:tc>
          <w:tcPr>
            <w:tcW w:type="dxa" w:w="3888"/>
          </w:tcPr>
          <w:p>
            <w:pPr>
              <w:spacing w:after="20"/>
            </w:pPr>
            <w:r>
              <w:rPr>
                <w:color w:val="1C3A36"/>
                <w:sz w:val="16"/>
              </w:rPr>
              <w:t>A beta of 1.0 rather than 0.93 would cut the cash-flow value materially. The sensitivity table in section 1.9 shows the range; a reader who believes the local index is the wrong yardstick should read the low end of the cash-flow range and weigh the enterprise multiple beside it, which needs no beta at all.</w:t>
            </w:r>
          </w:p>
        </w:tc>
      </w:tr>
      <w:tr>
        <w:trPr>
          <w:cantSplit/>
        </w:trPr>
        <w:tc>
          <w:tcPr>
            <w:tcW w:type="dxa" w:w="2448"/>
          </w:tcPr>
          <w:p>
            <w:pPr>
              <w:spacing w:after="20"/>
            </w:pPr>
            <w:r>
              <w:rPr>
                <w:b/>
                <w:color w:val="1C3A36"/>
                <w:sz w:val="16"/>
              </w:rPr>
              <w:t>The Algerian gas liability is unsettled</w:t>
            </w:r>
          </w:p>
        </w:tc>
        <w:tc>
          <w:tcPr>
            <w:tcW w:type="dxa" w:w="3744"/>
          </w:tcPr>
          <w:p>
            <w:pPr>
              <w:spacing w:after="20"/>
            </w:pPr>
            <w:r>
              <w:rPr>
                <w:color w:val="1C3A36"/>
                <w:sz w:val="16"/>
              </w:rPr>
              <w:t>$469 million accrued at 30 June 2026, retrospective to November 2023, with negotiations unconcluded and no payment schedule. The auditors treated it as a key audit matter.</w:t>
            </w:r>
          </w:p>
        </w:tc>
        <w:tc>
          <w:tcPr>
            <w:tcW w:type="dxa" w:w="3888"/>
          </w:tcPr>
          <w:p>
            <w:pPr>
              <w:spacing w:after="20"/>
            </w:pPr>
            <w:r>
              <w:rPr>
                <w:color w:val="1C3A36"/>
                <w:sz w:val="16"/>
              </w:rPr>
              <w:t>The settled formula. If the final price is materially above what has been accrued, both the liability and the forward cost rate rise together.</w:t>
            </w:r>
          </w:p>
        </w:tc>
      </w:tr>
      <w:tr>
        <w:trPr>
          <w:cantSplit/>
        </w:trPr>
        <w:tc>
          <w:tcPr>
            <w:tcW w:type="dxa" w:w="2448"/>
          </w:tcPr>
          <w:p>
            <w:pPr>
              <w:spacing w:after="20"/>
            </w:pPr>
            <w:r>
              <w:rPr>
                <w:b/>
                <w:color w:val="1C3A36"/>
                <w:sz w:val="16"/>
              </w:rPr>
              <w:t>Two primary sources disagree</w:t>
            </w:r>
          </w:p>
        </w:tc>
        <w:tc>
          <w:tcPr>
            <w:tcW w:type="dxa" w:w="3744"/>
          </w:tcPr>
          <w:p>
            <w:pPr>
              <w:spacing w:after="20"/>
            </w:pPr>
            <w:r>
              <w:rPr>
                <w:color w:val="1C3A36"/>
                <w:sz w:val="16"/>
              </w:rPr>
              <w:t>The audited segment note describes limited gas price exposure; the chief executive describes product-linked pricing. The study follows the latter.</w:t>
            </w:r>
          </w:p>
        </w:tc>
        <w:tc>
          <w:tcPr>
            <w:tcW w:type="dxa" w:w="3888"/>
          </w:tcPr>
          <w:p>
            <w:pPr>
              <w:spacing w:after="20"/>
            </w:pPr>
            <w:r>
              <w:rPr>
                <w:color w:val="1C3A36"/>
                <w:sz w:val="16"/>
              </w:rPr>
              <w:t>A clear statement in the next annual report. If the segment note wording proves the accurate one, the value is materially higher than shown here.</w:t>
            </w:r>
          </w:p>
        </w:tc>
      </w:tr>
      <w:tr>
        <w:trPr>
          <w:cantSplit/>
        </w:trPr>
        <w:tc>
          <w:tcPr>
            <w:tcW w:type="dxa" w:w="2448"/>
          </w:tcPr>
          <w:p>
            <w:pPr>
              <w:spacing w:after="20"/>
            </w:pPr>
            <w:r>
              <w:rPr>
                <w:b/>
                <w:color w:val="1C3A36"/>
                <w:sz w:val="16"/>
              </w:rPr>
              <w:t>The float is thin</w:t>
            </w:r>
          </w:p>
        </w:tc>
        <w:tc>
          <w:tcPr>
            <w:tcW w:type="dxa" w:w="3744"/>
          </w:tcPr>
          <w:p>
            <w:pPr>
              <w:spacing w:after="20"/>
            </w:pPr>
            <w:r>
              <w:rPr>
                <w:color w:val="1C3A36"/>
                <w:sz w:val="16"/>
              </w:rPr>
              <w:t>A 12.6% free float against an 87.4% state-owned parent. Price discovery is limited and the share can move on flow rather than fundamentals.</w:t>
            </w:r>
          </w:p>
        </w:tc>
        <w:tc>
          <w:tcPr>
            <w:tcW w:type="dxa" w:w="3888"/>
          </w:tcPr>
          <w:p>
            <w:pPr>
              <w:spacing w:after="20"/>
            </w:pPr>
            <w:r>
              <w:rPr>
                <w:color w:val="1C3A36"/>
                <w:sz w:val="16"/>
              </w:rPr>
              <w:t>Nothing in the near term. It is a permanent feature to price, not an event to wait for.</w:t>
            </w:r>
          </w:p>
        </w:tc>
      </w:tr>
      <w:tr>
        <w:trPr>
          <w:cantSplit/>
        </w:trPr>
        <w:tc>
          <w:tcPr>
            <w:tcW w:type="dxa" w:w="2448"/>
          </w:tcPr>
          <w:p>
            <w:pPr>
              <w:spacing w:after="20"/>
            </w:pPr>
            <w:r>
              <w:rPr>
                <w:b/>
                <w:color w:val="1C3A36"/>
                <w:sz w:val="16"/>
              </w:rPr>
              <w:t>Terminal value dominates</w:t>
            </w:r>
          </w:p>
        </w:tc>
        <w:tc>
          <w:tcPr>
            <w:tcW w:type="dxa" w:w="3744"/>
          </w:tcPr>
          <w:p>
            <w:pPr>
              <w:spacing w:after="20"/>
            </w:pPr>
            <w:r>
              <w:rPr>
                <w:color w:val="1C3A36"/>
                <w:sz w:val="16"/>
              </w:rPr>
              <w:t>56.3% of enterprise value sits beyond year five under framing A and 62.0% under framing B. That is normal for a long-lived asset base and still means most of the answer is an assumption.</w:t>
            </w:r>
          </w:p>
        </w:tc>
        <w:tc>
          <w:tcPr>
            <w:tcW w:type="dxa" w:w="3888"/>
          </w:tcPr>
          <w:p>
            <w:pPr>
              <w:spacing w:after="20"/>
            </w:pPr>
            <w:r>
              <w:rPr>
                <w:color w:val="1C3A36"/>
                <w:sz w:val="16"/>
              </w:rPr>
              <w:t>The two-way sensitivity in section 1.9 is the honest map of that exposure.</w:t>
            </w:r>
          </w:p>
        </w:tc>
      </w:tr>
      <w:tr>
        <w:trPr>
          <w:cantSplit/>
        </w:trPr>
        <w:tc>
          <w:tcPr>
            <w:tcW w:type="dxa" w:w="2448"/>
          </w:tcPr>
          <w:p>
            <w:pPr>
              <w:spacing w:after="20"/>
            </w:pPr>
            <w:r>
              <w:rPr>
                <w:b/>
                <w:color w:val="1C3A36"/>
                <w:sz w:val="16"/>
              </w:rPr>
              <w:t>Third-party trading is not built bottom-up</w:t>
            </w:r>
          </w:p>
        </w:tc>
        <w:tc>
          <w:tcPr>
            <w:tcW w:type="dxa" w:w="3744"/>
          </w:tcPr>
          <w:p>
            <w:pPr>
              <w:spacing w:after="20"/>
            </w:pPr>
            <w:r>
              <w:rPr>
                <w:color w:val="1C3A36"/>
                <w:sz w:val="16"/>
              </w:rPr>
              <w:t>The company discloses traded volumes but never a purchase price, so this leg is carried at a segment margin rather than unit economics.</w:t>
            </w:r>
          </w:p>
        </w:tc>
        <w:tc>
          <w:tcPr>
            <w:tcW w:type="dxa" w:w="3888"/>
          </w:tcPr>
          <w:p>
            <w:pPr>
              <w:spacing w:after="20"/>
            </w:pPr>
            <w:r>
              <w:rPr>
                <w:color w:val="1C3A36"/>
                <w:sz w:val="16"/>
              </w:rPr>
              <w:t>Disclosure of trading cost of goods sold. The leg is small — under a fifth of revenue and under a fiftieth of profit — so the gap is flagged rather than fatal.</w:t>
            </w:r>
          </w:p>
        </w:tc>
      </w:tr>
    </w:tbl>
    <w:p>
      <w:pPr>
        <w:spacing w:after="40"/>
      </w:pPr>
    </w:p>
    <w:p>
      <w:r>
        <w:br w:type="page"/>
      </w:r>
    </w:p>
    <w:p>
      <w:pPr>
        <w:spacing w:after="120" w:before="280"/>
      </w:pPr>
      <w:r>
        <w:rPr>
          <w:b/>
          <w:i w:val="0"/>
          <w:color w:val="1C3A36"/>
          <w:sz w:val="30"/>
        </w:rPr>
        <w:t>Appendix A — Financial statements</w:t>
      </w:r>
    </w:p>
    <w:p>
      <w:pPr>
        <w:spacing w:after="80" w:before="200"/>
      </w:pPr>
      <w:r>
        <w:rPr>
          <w:b/>
          <w:i w:val="0"/>
          <w:color w:val="1C3A36"/>
          <w:sz w:val="24"/>
        </w:rPr>
        <w:t>A.1  Income statement — three years reported, five years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943"/>
        <w:gridCol w:w="943"/>
        <w:gridCol w:w="943"/>
        <w:gridCol w:w="943"/>
        <w:gridCol w:w="943"/>
        <w:gridCol w:w="943"/>
        <w:gridCol w:w="943"/>
        <w:gridCol w:w="943"/>
      </w:tblGrid>
      <w:tr>
        <w:trPr>
          <w:cantSplit/>
          <w:tblHeader/>
        </w:trPr>
        <w:tc>
          <w:tcPr>
            <w:tcW w:type="dxa" w:w="2520"/>
            <w:shd w:val="clear" w:color="auto" w:fill="EAF0EE"/>
          </w:tcPr>
          <w:p>
            <w:pPr>
              <w:spacing w:after="20"/>
            </w:pPr>
            <w:r>
              <w:rPr>
                <w:b/>
                <w:color w:val="1C3A36"/>
                <w:sz w:val="15"/>
              </w:rPr>
              <w:t>US$ million</w:t>
            </w:r>
          </w:p>
        </w:tc>
        <w:tc>
          <w:tcPr>
            <w:tcW w:type="dxa" w:w="943"/>
            <w:shd w:val="clear" w:color="auto" w:fill="EAF0EE"/>
          </w:tcPr>
          <w:p>
            <w:pPr>
              <w:spacing w:after="20"/>
            </w:pPr>
            <w:r>
              <w:rPr>
                <w:b/>
                <w:color w:val="1C3A36"/>
                <w:sz w:val="15"/>
              </w:rPr>
              <w:t>FY2023</w:t>
            </w:r>
          </w:p>
        </w:tc>
        <w:tc>
          <w:tcPr>
            <w:tcW w:type="dxa" w:w="943"/>
            <w:shd w:val="clear" w:color="auto" w:fill="EAF0EE"/>
          </w:tcPr>
          <w:p>
            <w:pPr>
              <w:spacing w:after="20"/>
            </w:pPr>
            <w:r>
              <w:rPr>
                <w:b/>
                <w:color w:val="1C3A36"/>
                <w:sz w:val="15"/>
              </w:rPr>
              <w:t>FY2024</w:t>
            </w:r>
          </w:p>
        </w:tc>
        <w:tc>
          <w:tcPr>
            <w:tcW w:type="dxa" w:w="943"/>
            <w:shd w:val="clear" w:color="auto" w:fill="EAF0EE"/>
          </w:tcPr>
          <w:p>
            <w:pPr>
              <w:spacing w:after="20"/>
            </w:pPr>
            <w:r>
              <w:rPr>
                <w:b/>
                <w:color w:val="1C3A36"/>
                <w:sz w:val="15"/>
              </w:rPr>
              <w:t>FY2025</w:t>
            </w:r>
          </w:p>
        </w:tc>
        <w:tc>
          <w:tcPr>
            <w:tcW w:type="dxa" w:w="943"/>
            <w:shd w:val="clear" w:color="auto" w:fill="EAF0EE"/>
          </w:tcPr>
          <w:p>
            <w:pPr>
              <w:spacing w:after="20"/>
            </w:pPr>
            <w:r>
              <w:rPr>
                <w:b/>
                <w:color w:val="1C3A36"/>
                <w:sz w:val="15"/>
              </w:rPr>
              <w:t>2026E</w:t>
            </w:r>
          </w:p>
        </w:tc>
        <w:tc>
          <w:tcPr>
            <w:tcW w:type="dxa" w:w="943"/>
            <w:shd w:val="clear" w:color="auto" w:fill="EAF0EE"/>
          </w:tcPr>
          <w:p>
            <w:pPr>
              <w:spacing w:after="20"/>
            </w:pPr>
            <w:r>
              <w:rPr>
                <w:b/>
                <w:color w:val="1C3A36"/>
                <w:sz w:val="15"/>
              </w:rPr>
              <w:t>2027E</w:t>
            </w:r>
          </w:p>
        </w:tc>
        <w:tc>
          <w:tcPr>
            <w:tcW w:type="dxa" w:w="943"/>
            <w:shd w:val="clear" w:color="auto" w:fill="EAF0EE"/>
          </w:tcPr>
          <w:p>
            <w:pPr>
              <w:spacing w:after="20"/>
            </w:pPr>
            <w:r>
              <w:rPr>
                <w:b/>
                <w:color w:val="1C3A36"/>
                <w:sz w:val="15"/>
              </w:rPr>
              <w:t>2028E</w:t>
            </w:r>
          </w:p>
        </w:tc>
        <w:tc>
          <w:tcPr>
            <w:tcW w:type="dxa" w:w="943"/>
            <w:shd w:val="clear" w:color="auto" w:fill="EAF0EE"/>
          </w:tcPr>
          <w:p>
            <w:pPr>
              <w:spacing w:after="20"/>
            </w:pPr>
            <w:r>
              <w:rPr>
                <w:b/>
                <w:color w:val="1C3A36"/>
                <w:sz w:val="15"/>
              </w:rPr>
              <w:t>2029E</w:t>
            </w:r>
          </w:p>
        </w:tc>
        <w:tc>
          <w:tcPr>
            <w:tcW w:type="dxa" w:w="943"/>
            <w:shd w:val="clear" w:color="auto" w:fill="EAF0EE"/>
          </w:tcPr>
          <w:p>
            <w:pPr>
              <w:spacing w:after="20"/>
            </w:pPr>
            <w:r>
              <w:rPr>
                <w:b/>
                <w:color w:val="1C3A36"/>
                <w:sz w:val="15"/>
              </w:rPr>
              <w:t>2030E</w:t>
            </w:r>
          </w:p>
        </w:tc>
      </w:tr>
      <w:tr>
        <w:trPr>
          <w:cantSplit/>
        </w:trPr>
        <w:tc>
          <w:tcPr>
            <w:tcW w:type="dxa" w:w="2520"/>
          </w:tcPr>
          <w:p>
            <w:pPr>
              <w:spacing w:after="20"/>
            </w:pPr>
            <w:r>
              <w:rPr>
                <w:b/>
                <w:color w:val="1C3A36"/>
                <w:sz w:val="15"/>
              </w:rPr>
              <w:t>Revenue</w:t>
            </w:r>
          </w:p>
        </w:tc>
        <w:tc>
          <w:tcPr>
            <w:tcW w:type="dxa" w:w="943"/>
          </w:tcPr>
          <w:p>
            <w:pPr>
              <w:spacing w:after="20"/>
              <w:jc w:val="right"/>
            </w:pPr>
            <w:r>
              <w:rPr>
                <w:color w:val="1C3A36"/>
                <w:sz w:val="15"/>
              </w:rPr>
              <w:t>2,416</w:t>
            </w:r>
          </w:p>
        </w:tc>
        <w:tc>
          <w:tcPr>
            <w:tcW w:type="dxa" w:w="943"/>
          </w:tcPr>
          <w:p>
            <w:pPr>
              <w:spacing w:after="20"/>
              <w:jc w:val="right"/>
            </w:pPr>
            <w:r>
              <w:rPr>
                <w:color w:val="1C3A36"/>
                <w:sz w:val="15"/>
              </w:rPr>
              <w:t>2,009</w:t>
            </w:r>
          </w:p>
        </w:tc>
        <w:tc>
          <w:tcPr>
            <w:tcW w:type="dxa" w:w="943"/>
          </w:tcPr>
          <w:p>
            <w:pPr>
              <w:spacing w:after="20"/>
              <w:jc w:val="right"/>
            </w:pPr>
            <w:r>
              <w:rPr>
                <w:color w:val="1C3A36"/>
                <w:sz w:val="15"/>
              </w:rPr>
              <w:t>2,827</w:t>
            </w:r>
          </w:p>
        </w:tc>
        <w:tc>
          <w:tcPr>
            <w:tcW w:type="dxa" w:w="943"/>
          </w:tcPr>
          <w:p>
            <w:pPr>
              <w:spacing w:after="20"/>
              <w:jc w:val="right"/>
            </w:pPr>
            <w:r>
              <w:rPr>
                <w:color w:val="1C3A36"/>
                <w:sz w:val="15"/>
              </w:rPr>
              <w:t>3,770</w:t>
            </w:r>
          </w:p>
        </w:tc>
        <w:tc>
          <w:tcPr>
            <w:tcW w:type="dxa" w:w="943"/>
          </w:tcPr>
          <w:p>
            <w:pPr>
              <w:spacing w:after="20"/>
              <w:jc w:val="right"/>
            </w:pPr>
            <w:r>
              <w:rPr>
                <w:color w:val="1C3A36"/>
                <w:sz w:val="15"/>
              </w:rPr>
              <w:t>3,267</w:t>
            </w:r>
          </w:p>
        </w:tc>
        <w:tc>
          <w:tcPr>
            <w:tcW w:type="dxa" w:w="943"/>
          </w:tcPr>
          <w:p>
            <w:pPr>
              <w:spacing w:after="20"/>
              <w:jc w:val="right"/>
            </w:pPr>
            <w:r>
              <w:rPr>
                <w:color w:val="1C3A36"/>
                <w:sz w:val="15"/>
              </w:rPr>
              <w:t>3,095</w:t>
            </w:r>
          </w:p>
        </w:tc>
        <w:tc>
          <w:tcPr>
            <w:tcW w:type="dxa" w:w="943"/>
          </w:tcPr>
          <w:p>
            <w:pPr>
              <w:spacing w:after="20"/>
              <w:jc w:val="right"/>
            </w:pPr>
            <w:r>
              <w:rPr>
                <w:color w:val="1C3A36"/>
                <w:sz w:val="15"/>
              </w:rPr>
              <w:t>3,121</w:t>
            </w:r>
          </w:p>
        </w:tc>
        <w:tc>
          <w:tcPr>
            <w:tcW w:type="dxa" w:w="943"/>
          </w:tcPr>
          <w:p>
            <w:pPr>
              <w:spacing w:after="20"/>
              <w:jc w:val="right"/>
            </w:pPr>
            <w:r>
              <w:rPr>
                <w:color w:val="1C3A36"/>
                <w:sz w:val="15"/>
              </w:rPr>
              <w:t>3,164</w:t>
            </w:r>
          </w:p>
        </w:tc>
      </w:tr>
      <w:tr>
        <w:trPr>
          <w:cantSplit/>
        </w:trPr>
        <w:tc>
          <w:tcPr>
            <w:tcW w:type="dxa" w:w="2520"/>
          </w:tcPr>
          <w:p>
            <w:pPr>
              <w:spacing w:after="20"/>
            </w:pPr>
            <w:r>
              <w:rPr>
                <w:b/>
                <w:color w:val="1C3A36"/>
                <w:sz w:val="15"/>
              </w:rPr>
              <w:t>EBITDA</w:t>
            </w:r>
          </w:p>
        </w:tc>
        <w:tc>
          <w:tcPr>
            <w:tcW w:type="dxa" w:w="943"/>
          </w:tcPr>
          <w:p>
            <w:pPr>
              <w:spacing w:after="20"/>
              <w:jc w:val="right"/>
            </w:pPr>
            <w:r>
              <w:rPr>
                <w:color w:val="1C3A36"/>
                <w:sz w:val="15"/>
              </w:rPr>
              <w:t>989</w:t>
            </w:r>
          </w:p>
        </w:tc>
        <w:tc>
          <w:tcPr>
            <w:tcW w:type="dxa" w:w="943"/>
          </w:tcPr>
          <w:p>
            <w:pPr>
              <w:spacing w:after="20"/>
              <w:jc w:val="right"/>
            </w:pPr>
            <w:r>
              <w:rPr>
                <w:color w:val="1C3A36"/>
                <w:sz w:val="15"/>
              </w:rPr>
              <w:t>629</w:t>
            </w:r>
          </w:p>
        </w:tc>
        <w:tc>
          <w:tcPr>
            <w:tcW w:type="dxa" w:w="943"/>
          </w:tcPr>
          <w:p>
            <w:pPr>
              <w:spacing w:after="20"/>
              <w:jc w:val="right"/>
            </w:pPr>
            <w:r>
              <w:rPr>
                <w:color w:val="1C3A36"/>
                <w:sz w:val="15"/>
              </w:rPr>
              <w:t>1,025</w:t>
            </w:r>
          </w:p>
        </w:tc>
        <w:tc>
          <w:tcPr>
            <w:tcW w:type="dxa" w:w="943"/>
          </w:tcPr>
          <w:p>
            <w:pPr>
              <w:spacing w:after="20"/>
              <w:jc w:val="right"/>
            </w:pPr>
            <w:r>
              <w:rPr>
                <w:color w:val="1C3A36"/>
                <w:sz w:val="15"/>
              </w:rPr>
              <w:t>1,334</w:t>
            </w:r>
          </w:p>
        </w:tc>
        <w:tc>
          <w:tcPr>
            <w:tcW w:type="dxa" w:w="943"/>
          </w:tcPr>
          <w:p>
            <w:pPr>
              <w:spacing w:after="20"/>
              <w:jc w:val="right"/>
            </w:pPr>
            <w:r>
              <w:rPr>
                <w:color w:val="1C3A36"/>
                <w:sz w:val="15"/>
              </w:rPr>
              <w:t>1,105</w:t>
            </w:r>
          </w:p>
        </w:tc>
        <w:tc>
          <w:tcPr>
            <w:tcW w:type="dxa" w:w="943"/>
          </w:tcPr>
          <w:p>
            <w:pPr>
              <w:spacing w:after="20"/>
              <w:jc w:val="right"/>
            </w:pPr>
            <w:r>
              <w:rPr>
                <w:color w:val="1C3A36"/>
                <w:sz w:val="15"/>
              </w:rPr>
              <w:t>1,017</w:t>
            </w:r>
          </w:p>
        </w:tc>
        <w:tc>
          <w:tcPr>
            <w:tcW w:type="dxa" w:w="943"/>
          </w:tcPr>
          <w:p>
            <w:pPr>
              <w:spacing w:after="20"/>
              <w:jc w:val="right"/>
            </w:pPr>
            <w:r>
              <w:rPr>
                <w:color w:val="1C3A36"/>
                <w:sz w:val="15"/>
              </w:rPr>
              <w:t>1,016</w:t>
            </w:r>
          </w:p>
        </w:tc>
        <w:tc>
          <w:tcPr>
            <w:tcW w:type="dxa" w:w="943"/>
          </w:tcPr>
          <w:p>
            <w:pPr>
              <w:spacing w:after="20"/>
              <w:jc w:val="right"/>
            </w:pPr>
            <w:r>
              <w:rPr>
                <w:color w:val="1C3A36"/>
                <w:sz w:val="15"/>
              </w:rPr>
              <w:t>1,024</w:t>
            </w:r>
          </w:p>
        </w:tc>
      </w:tr>
      <w:tr>
        <w:trPr>
          <w:cantSplit/>
        </w:trPr>
        <w:tc>
          <w:tcPr>
            <w:tcW w:type="dxa" w:w="2520"/>
          </w:tcPr>
          <w:p>
            <w:pPr>
              <w:spacing w:after="20"/>
            </w:pPr>
            <w:r>
              <w:rPr>
                <w:b/>
                <w:color w:val="1C3A36"/>
                <w:sz w:val="15"/>
              </w:rPr>
              <w:t>Depreciation and amortisation</w:t>
            </w:r>
          </w:p>
        </w:tc>
        <w:tc>
          <w:tcPr>
            <w:tcW w:type="dxa" w:w="943"/>
          </w:tcPr>
          <w:p>
            <w:pPr>
              <w:spacing w:after="20"/>
              <w:jc w:val="right"/>
            </w:pPr>
            <w:r>
              <w:rPr>
                <w:color w:val="1C3A36"/>
                <w:sz w:val="15"/>
              </w:rPr>
              <w:t>279</w:t>
            </w:r>
          </w:p>
        </w:tc>
        <w:tc>
          <w:tcPr>
            <w:tcW w:type="dxa" w:w="943"/>
          </w:tcPr>
          <w:p>
            <w:pPr>
              <w:spacing w:after="20"/>
              <w:jc w:val="right"/>
            </w:pPr>
            <w:r>
              <w:rPr>
                <w:color w:val="1C3A36"/>
                <w:sz w:val="15"/>
              </w:rPr>
              <w:t>280</w:t>
            </w:r>
          </w:p>
        </w:tc>
        <w:tc>
          <w:tcPr>
            <w:tcW w:type="dxa" w:w="943"/>
          </w:tcPr>
          <w:p>
            <w:pPr>
              <w:spacing w:after="20"/>
              <w:jc w:val="right"/>
            </w:pPr>
            <w:r>
              <w:rPr>
                <w:color w:val="1C3A36"/>
                <w:sz w:val="15"/>
              </w:rPr>
              <w:t>298</w:t>
            </w:r>
          </w:p>
        </w:tc>
        <w:tc>
          <w:tcPr>
            <w:tcW w:type="dxa" w:w="943"/>
          </w:tcPr>
          <w:p>
            <w:pPr>
              <w:spacing w:after="20"/>
              <w:jc w:val="right"/>
            </w:pPr>
            <w:r>
              <w:rPr>
                <w:color w:val="1C3A36"/>
                <w:sz w:val="15"/>
              </w:rPr>
              <w:t>305</w:t>
            </w:r>
          </w:p>
        </w:tc>
        <w:tc>
          <w:tcPr>
            <w:tcW w:type="dxa" w:w="943"/>
          </w:tcPr>
          <w:p>
            <w:pPr>
              <w:spacing w:after="20"/>
              <w:jc w:val="right"/>
            </w:pPr>
            <w:r>
              <w:rPr>
                <w:color w:val="1C3A36"/>
                <w:sz w:val="15"/>
              </w:rPr>
              <w:t>315</w:t>
            </w:r>
          </w:p>
        </w:tc>
        <w:tc>
          <w:tcPr>
            <w:tcW w:type="dxa" w:w="943"/>
          </w:tcPr>
          <w:p>
            <w:pPr>
              <w:spacing w:after="20"/>
              <w:jc w:val="right"/>
            </w:pPr>
            <w:r>
              <w:rPr>
                <w:color w:val="1C3A36"/>
                <w:sz w:val="15"/>
              </w:rPr>
              <w:t>325</w:t>
            </w:r>
          </w:p>
        </w:tc>
        <w:tc>
          <w:tcPr>
            <w:tcW w:type="dxa" w:w="943"/>
          </w:tcPr>
          <w:p>
            <w:pPr>
              <w:spacing w:after="20"/>
              <w:jc w:val="right"/>
            </w:pPr>
            <w:r>
              <w:rPr>
                <w:color w:val="1C3A36"/>
                <w:sz w:val="15"/>
              </w:rPr>
              <w:t>333</w:t>
            </w:r>
          </w:p>
        </w:tc>
        <w:tc>
          <w:tcPr>
            <w:tcW w:type="dxa" w:w="943"/>
          </w:tcPr>
          <w:p>
            <w:pPr>
              <w:spacing w:after="20"/>
              <w:jc w:val="right"/>
            </w:pPr>
            <w:r>
              <w:rPr>
                <w:color w:val="1C3A36"/>
                <w:sz w:val="15"/>
              </w:rPr>
              <w:t>340</w:t>
            </w:r>
          </w:p>
        </w:tc>
      </w:tr>
      <w:tr>
        <w:trPr>
          <w:cantSplit/>
        </w:trPr>
        <w:tc>
          <w:tcPr>
            <w:tcW w:type="dxa" w:w="2520"/>
          </w:tcPr>
          <w:p>
            <w:pPr>
              <w:spacing w:after="20"/>
            </w:pPr>
            <w:r>
              <w:rPr>
                <w:b/>
                <w:color w:val="1C3A36"/>
                <w:sz w:val="15"/>
              </w:rPr>
              <w:t>EBIT</w:t>
            </w:r>
          </w:p>
        </w:tc>
        <w:tc>
          <w:tcPr>
            <w:tcW w:type="dxa" w:w="943"/>
          </w:tcPr>
          <w:p>
            <w:pPr>
              <w:spacing w:after="20"/>
              <w:jc w:val="right"/>
            </w:pPr>
            <w:r>
              <w:rPr>
                <w:color w:val="1C3A36"/>
                <w:sz w:val="15"/>
              </w:rPr>
              <w:t>710</w:t>
            </w:r>
          </w:p>
        </w:tc>
        <w:tc>
          <w:tcPr>
            <w:tcW w:type="dxa" w:w="943"/>
          </w:tcPr>
          <w:p>
            <w:pPr>
              <w:spacing w:after="20"/>
              <w:jc w:val="right"/>
            </w:pPr>
            <w:r>
              <w:rPr>
                <w:color w:val="1C3A36"/>
                <w:sz w:val="15"/>
              </w:rPr>
              <w:t>349</w:t>
            </w:r>
          </w:p>
        </w:tc>
        <w:tc>
          <w:tcPr>
            <w:tcW w:type="dxa" w:w="943"/>
          </w:tcPr>
          <w:p>
            <w:pPr>
              <w:spacing w:after="20"/>
              <w:jc w:val="right"/>
            </w:pPr>
            <w:r>
              <w:rPr>
                <w:color w:val="1C3A36"/>
                <w:sz w:val="15"/>
              </w:rPr>
              <w:t>727</w:t>
            </w:r>
          </w:p>
        </w:tc>
        <w:tc>
          <w:tcPr>
            <w:tcW w:type="dxa" w:w="943"/>
          </w:tcPr>
          <w:p>
            <w:pPr>
              <w:spacing w:after="20"/>
              <w:jc w:val="right"/>
            </w:pPr>
            <w:r>
              <w:rPr>
                <w:color w:val="1C3A36"/>
                <w:sz w:val="15"/>
              </w:rPr>
              <w:t>1,029</w:t>
            </w:r>
          </w:p>
        </w:tc>
        <w:tc>
          <w:tcPr>
            <w:tcW w:type="dxa" w:w="943"/>
          </w:tcPr>
          <w:p>
            <w:pPr>
              <w:spacing w:after="20"/>
              <w:jc w:val="right"/>
            </w:pPr>
            <w:r>
              <w:rPr>
                <w:color w:val="1C3A36"/>
                <w:sz w:val="15"/>
              </w:rPr>
              <w:t>790</w:t>
            </w:r>
          </w:p>
        </w:tc>
        <w:tc>
          <w:tcPr>
            <w:tcW w:type="dxa" w:w="943"/>
          </w:tcPr>
          <w:p>
            <w:pPr>
              <w:spacing w:after="20"/>
              <w:jc w:val="right"/>
            </w:pPr>
            <w:r>
              <w:rPr>
                <w:color w:val="1C3A36"/>
                <w:sz w:val="15"/>
              </w:rPr>
              <w:t>692</w:t>
            </w:r>
          </w:p>
        </w:tc>
        <w:tc>
          <w:tcPr>
            <w:tcW w:type="dxa" w:w="943"/>
          </w:tcPr>
          <w:p>
            <w:pPr>
              <w:spacing w:after="20"/>
              <w:jc w:val="right"/>
            </w:pPr>
            <w:r>
              <w:rPr>
                <w:color w:val="1C3A36"/>
                <w:sz w:val="15"/>
              </w:rPr>
              <w:t>683</w:t>
            </w:r>
          </w:p>
        </w:tc>
        <w:tc>
          <w:tcPr>
            <w:tcW w:type="dxa" w:w="943"/>
          </w:tcPr>
          <w:p>
            <w:pPr>
              <w:spacing w:after="20"/>
              <w:jc w:val="right"/>
            </w:pPr>
            <w:r>
              <w:rPr>
                <w:color w:val="1C3A36"/>
                <w:sz w:val="15"/>
              </w:rPr>
              <w:t>684</w:t>
            </w:r>
          </w:p>
        </w:tc>
      </w:tr>
      <w:tr>
        <w:trPr>
          <w:cantSplit/>
        </w:trPr>
        <w:tc>
          <w:tcPr>
            <w:tcW w:type="dxa" w:w="2520"/>
          </w:tcPr>
          <w:p>
            <w:pPr>
              <w:spacing w:after="20"/>
            </w:pPr>
            <w:r>
              <w:rPr>
                <w:b/>
                <w:color w:val="1C3A36"/>
                <w:sz w:val="15"/>
              </w:rPr>
              <w:t>EBITDA margin</w:t>
            </w:r>
          </w:p>
        </w:tc>
        <w:tc>
          <w:tcPr>
            <w:tcW w:type="dxa" w:w="943"/>
          </w:tcPr>
          <w:p>
            <w:pPr>
              <w:spacing w:after="20"/>
              <w:jc w:val="right"/>
            </w:pPr>
            <w:r>
              <w:rPr>
                <w:color w:val="1C3A36"/>
                <w:sz w:val="15"/>
              </w:rPr>
              <w:t>40.9%</w:t>
            </w:r>
          </w:p>
        </w:tc>
        <w:tc>
          <w:tcPr>
            <w:tcW w:type="dxa" w:w="943"/>
          </w:tcPr>
          <w:p>
            <w:pPr>
              <w:spacing w:after="20"/>
              <w:jc w:val="right"/>
            </w:pPr>
            <w:r>
              <w:rPr>
                <w:color w:val="1C3A36"/>
                <w:sz w:val="15"/>
              </w:rPr>
              <w:t>31.3%</w:t>
            </w:r>
          </w:p>
        </w:tc>
        <w:tc>
          <w:tcPr>
            <w:tcW w:type="dxa" w:w="943"/>
          </w:tcPr>
          <w:p>
            <w:pPr>
              <w:spacing w:after="20"/>
              <w:jc w:val="right"/>
            </w:pPr>
            <w:r>
              <w:rPr>
                <w:color w:val="1C3A36"/>
                <w:sz w:val="15"/>
              </w:rPr>
              <w:t>36.2%</w:t>
            </w:r>
          </w:p>
        </w:tc>
        <w:tc>
          <w:tcPr>
            <w:tcW w:type="dxa" w:w="943"/>
          </w:tcPr>
          <w:p>
            <w:pPr>
              <w:spacing w:after="20"/>
              <w:jc w:val="right"/>
            </w:pPr>
            <w:r>
              <w:rPr>
                <w:color w:val="1C3A36"/>
                <w:sz w:val="15"/>
              </w:rPr>
              <w:t>35.4%</w:t>
            </w:r>
          </w:p>
        </w:tc>
        <w:tc>
          <w:tcPr>
            <w:tcW w:type="dxa" w:w="943"/>
          </w:tcPr>
          <w:p>
            <w:pPr>
              <w:spacing w:after="20"/>
              <w:jc w:val="right"/>
            </w:pPr>
            <w:r>
              <w:rPr>
                <w:color w:val="1C3A36"/>
                <w:sz w:val="15"/>
              </w:rPr>
              <w:t>33.8%</w:t>
            </w:r>
          </w:p>
        </w:tc>
        <w:tc>
          <w:tcPr>
            <w:tcW w:type="dxa" w:w="943"/>
          </w:tcPr>
          <w:p>
            <w:pPr>
              <w:spacing w:after="20"/>
              <w:jc w:val="right"/>
            </w:pPr>
            <w:r>
              <w:rPr>
                <w:color w:val="1C3A36"/>
                <w:sz w:val="15"/>
              </w:rPr>
              <w:t>32.8%</w:t>
            </w:r>
          </w:p>
        </w:tc>
        <w:tc>
          <w:tcPr>
            <w:tcW w:type="dxa" w:w="943"/>
          </w:tcPr>
          <w:p>
            <w:pPr>
              <w:spacing w:after="20"/>
              <w:jc w:val="right"/>
            </w:pPr>
            <w:r>
              <w:rPr>
                <w:color w:val="1C3A36"/>
                <w:sz w:val="15"/>
              </w:rPr>
              <w:t>32.6%</w:t>
            </w:r>
          </w:p>
        </w:tc>
        <w:tc>
          <w:tcPr>
            <w:tcW w:type="dxa" w:w="943"/>
          </w:tcPr>
          <w:p>
            <w:pPr>
              <w:spacing w:after="20"/>
              <w:jc w:val="right"/>
            </w:pPr>
            <w:r>
              <w:rPr>
                <w:color w:val="1C3A36"/>
                <w:sz w:val="15"/>
              </w:rPr>
              <w:t>32.4%</w:t>
            </w:r>
          </w:p>
        </w:tc>
      </w:tr>
      <w:tr>
        <w:trPr>
          <w:cantSplit/>
        </w:trPr>
        <w:tc>
          <w:tcPr>
            <w:tcW w:type="dxa" w:w="2520"/>
          </w:tcPr>
          <w:p>
            <w:pPr>
              <w:spacing w:after="20"/>
            </w:pPr>
            <w:r>
              <w:rPr>
                <w:b/>
                <w:color w:val="1C3A36"/>
                <w:sz w:val="15"/>
              </w:rPr>
              <w:t>Net finance cost</w:t>
            </w:r>
          </w:p>
        </w:tc>
        <w:tc>
          <w:tcPr>
            <w:tcW w:type="dxa" w:w="943"/>
          </w:tcPr>
          <w:p>
            <w:pPr>
              <w:spacing w:after="20"/>
              <w:jc w:val="right"/>
            </w:pPr>
            <w:r>
              <w:rPr>
                <w:color w:val="1C3A36"/>
                <w:sz w:val="15"/>
              </w:rPr>
              <w:t>-123</w:t>
            </w:r>
          </w:p>
        </w:tc>
        <w:tc>
          <w:tcPr>
            <w:tcW w:type="dxa" w:w="943"/>
          </w:tcPr>
          <w:p>
            <w:pPr>
              <w:spacing w:after="20"/>
              <w:jc w:val="right"/>
            </w:pPr>
            <w:r>
              <w:rPr>
                <w:color w:val="1C3A36"/>
                <w:sz w:val="15"/>
              </w:rPr>
              <w:t>-120</w:t>
            </w:r>
          </w:p>
        </w:tc>
        <w:tc>
          <w:tcPr>
            <w:tcW w:type="dxa" w:w="943"/>
          </w:tcPr>
          <w:p>
            <w:pPr>
              <w:spacing w:after="20"/>
              <w:jc w:val="right"/>
            </w:pPr>
            <w:r>
              <w:rPr>
                <w:color w:val="1C3A36"/>
                <w:sz w:val="15"/>
              </w:rPr>
              <w:t>-114</w:t>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r>
      <w:tr>
        <w:trPr>
          <w:cantSplit/>
        </w:trPr>
        <w:tc>
          <w:tcPr>
            <w:tcW w:type="dxa" w:w="2520"/>
          </w:tcPr>
          <w:p>
            <w:pPr>
              <w:spacing w:after="20"/>
            </w:pPr>
            <w:r>
              <w:rPr>
                <w:b/>
                <w:color w:val="1C3A36"/>
                <w:sz w:val="15"/>
              </w:rPr>
              <w:t>Profit before tax</w:t>
            </w:r>
          </w:p>
        </w:tc>
        <w:tc>
          <w:tcPr>
            <w:tcW w:type="dxa" w:w="943"/>
          </w:tcPr>
          <w:p>
            <w:pPr>
              <w:spacing w:after="20"/>
              <w:jc w:val="right"/>
            </w:pPr>
            <w:r>
              <w:rPr>
                <w:color w:val="1C3A36"/>
                <w:sz w:val="15"/>
              </w:rPr>
              <w:t>587</w:t>
            </w:r>
          </w:p>
        </w:tc>
        <w:tc>
          <w:tcPr>
            <w:tcW w:type="dxa" w:w="943"/>
          </w:tcPr>
          <w:p>
            <w:pPr>
              <w:spacing w:after="20"/>
              <w:jc w:val="right"/>
            </w:pPr>
            <w:r>
              <w:rPr>
                <w:color w:val="1C3A36"/>
                <w:sz w:val="15"/>
              </w:rPr>
              <w:t>229</w:t>
            </w:r>
          </w:p>
        </w:tc>
        <w:tc>
          <w:tcPr>
            <w:tcW w:type="dxa" w:w="943"/>
          </w:tcPr>
          <w:p>
            <w:pPr>
              <w:spacing w:after="20"/>
              <w:jc w:val="right"/>
            </w:pPr>
            <w:r>
              <w:rPr>
                <w:color w:val="1C3A36"/>
                <w:sz w:val="15"/>
              </w:rPr>
              <w:t>614</w:t>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r>
      <w:tr>
        <w:trPr>
          <w:cantSplit/>
        </w:trPr>
        <w:tc>
          <w:tcPr>
            <w:tcW w:type="dxa" w:w="2520"/>
          </w:tcPr>
          <w:p>
            <w:pPr>
              <w:spacing w:after="20"/>
            </w:pPr>
            <w:r>
              <w:rPr>
                <w:b/>
                <w:color w:val="1C3A36"/>
                <w:sz w:val="15"/>
              </w:rPr>
              <w:t>Profit for the year</w:t>
            </w:r>
          </w:p>
        </w:tc>
        <w:tc>
          <w:tcPr>
            <w:tcW w:type="dxa" w:w="943"/>
          </w:tcPr>
          <w:p>
            <w:pPr>
              <w:spacing w:after="20"/>
              <w:jc w:val="right"/>
            </w:pPr>
            <w:r>
              <w:rPr>
                <w:color w:val="1C3A36"/>
                <w:sz w:val="15"/>
              </w:rPr>
              <w:t>505</w:t>
            </w:r>
          </w:p>
        </w:tc>
        <w:tc>
          <w:tcPr>
            <w:tcW w:type="dxa" w:w="943"/>
          </w:tcPr>
          <w:p>
            <w:pPr>
              <w:spacing w:after="20"/>
              <w:jc w:val="right"/>
            </w:pPr>
            <w:r>
              <w:rPr>
                <w:color w:val="1C3A36"/>
                <w:sz w:val="15"/>
              </w:rPr>
              <w:t>214</w:t>
            </w:r>
          </w:p>
        </w:tc>
        <w:tc>
          <w:tcPr>
            <w:tcW w:type="dxa" w:w="943"/>
          </w:tcPr>
          <w:p>
            <w:pPr>
              <w:spacing w:after="20"/>
              <w:jc w:val="right"/>
            </w:pPr>
            <w:r>
              <w:rPr>
                <w:color w:val="1C3A36"/>
                <w:sz w:val="15"/>
              </w:rPr>
              <w:t>589</w:t>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c>
          <w:tcPr>
            <w:tcW w:type="dxa" w:w="943"/>
          </w:tcPr>
          <w:p>
            <w:pPr>
              <w:spacing w:after="20"/>
              <w:jc w:val="right"/>
            </w:pPr>
            <w:r>
              <w:rPr>
                <w:color w:val="1C3A36"/>
                <w:sz w:val="15"/>
              </w:rPr>
            </w:r>
          </w:p>
        </w:tc>
      </w:tr>
      <w:tr>
        <w:trPr>
          <w:cantSplit/>
        </w:trPr>
        <w:tc>
          <w:tcPr>
            <w:tcW w:type="dxa" w:w="2520"/>
          </w:tcPr>
          <w:p>
            <w:pPr>
              <w:spacing w:after="20"/>
            </w:pPr>
            <w:r>
              <w:rPr>
                <w:b/>
                <w:color w:val="1C3A36"/>
                <w:sz w:val="15"/>
              </w:rPr>
              <w:t>Attributable to owners</w:t>
            </w:r>
          </w:p>
        </w:tc>
        <w:tc>
          <w:tcPr>
            <w:tcW w:type="dxa" w:w="943"/>
          </w:tcPr>
          <w:p>
            <w:pPr>
              <w:spacing w:after="20"/>
              <w:jc w:val="right"/>
            </w:pPr>
            <w:r>
              <w:rPr>
                <w:color w:val="1C3A36"/>
                <w:sz w:val="15"/>
              </w:rPr>
              <w:t>349</w:t>
            </w:r>
          </w:p>
        </w:tc>
        <w:tc>
          <w:tcPr>
            <w:tcW w:type="dxa" w:w="943"/>
          </w:tcPr>
          <w:p>
            <w:pPr>
              <w:spacing w:after="20"/>
              <w:jc w:val="right"/>
            </w:pPr>
            <w:r>
              <w:rPr>
                <w:color w:val="1C3A36"/>
                <w:sz w:val="15"/>
              </w:rPr>
              <w:t>160</w:t>
            </w:r>
          </w:p>
        </w:tc>
        <w:tc>
          <w:tcPr>
            <w:tcW w:type="dxa" w:w="943"/>
          </w:tcPr>
          <w:p>
            <w:pPr>
              <w:spacing w:after="20"/>
              <w:jc w:val="right"/>
            </w:pPr>
            <w:r>
              <w:rPr>
                <w:color w:val="1C3A36"/>
                <w:sz w:val="15"/>
              </w:rPr>
              <w:t>434</w:t>
            </w:r>
          </w:p>
        </w:tc>
        <w:tc>
          <w:tcPr>
            <w:tcW w:type="dxa" w:w="943"/>
          </w:tcPr>
          <w:p>
            <w:pPr>
              <w:spacing w:after="20"/>
              <w:jc w:val="right"/>
            </w:pPr>
            <w:r>
              <w:rPr>
                <w:color w:val="1C3A36"/>
                <w:sz w:val="15"/>
              </w:rPr>
              <w:t>637</w:t>
            </w:r>
          </w:p>
        </w:tc>
        <w:tc>
          <w:tcPr>
            <w:tcW w:type="dxa" w:w="943"/>
          </w:tcPr>
          <w:p>
            <w:pPr>
              <w:spacing w:after="20"/>
              <w:jc w:val="right"/>
            </w:pPr>
            <w:r>
              <w:rPr>
                <w:color w:val="1C3A36"/>
                <w:sz w:val="15"/>
              </w:rPr>
              <w:t>488</w:t>
            </w:r>
          </w:p>
        </w:tc>
        <w:tc>
          <w:tcPr>
            <w:tcW w:type="dxa" w:w="943"/>
          </w:tcPr>
          <w:p>
            <w:pPr>
              <w:spacing w:after="20"/>
              <w:jc w:val="right"/>
            </w:pPr>
            <w:r>
              <w:rPr>
                <w:color w:val="1C3A36"/>
                <w:sz w:val="15"/>
              </w:rPr>
              <w:t>434</w:t>
            </w:r>
          </w:p>
        </w:tc>
        <w:tc>
          <w:tcPr>
            <w:tcW w:type="dxa" w:w="943"/>
          </w:tcPr>
          <w:p>
            <w:pPr>
              <w:spacing w:after="20"/>
              <w:jc w:val="right"/>
            </w:pPr>
            <w:r>
              <w:rPr>
                <w:color w:val="1C3A36"/>
                <w:sz w:val="15"/>
              </w:rPr>
              <w:t>434</w:t>
            </w:r>
          </w:p>
        </w:tc>
        <w:tc>
          <w:tcPr>
            <w:tcW w:type="dxa" w:w="943"/>
          </w:tcPr>
          <w:p>
            <w:pPr>
              <w:spacing w:after="20"/>
              <w:jc w:val="right"/>
            </w:pPr>
            <w:r>
              <w:rPr>
                <w:color w:val="1C3A36"/>
                <w:sz w:val="15"/>
              </w:rPr>
              <w:t>438</w:t>
            </w:r>
          </w:p>
        </w:tc>
      </w:tr>
    </w:tbl>
    <w:p>
      <w:pPr>
        <w:spacing w:after="40"/>
      </w:pPr>
    </w:p>
    <w:p>
      <w:pPr>
        <w:spacing w:after="200" w:before="0"/>
      </w:pPr>
      <w:r>
        <w:rPr>
          <w:b w:val="0"/>
          <w:i/>
          <w:color w:val="6E7B77"/>
          <w:sz w:val="17"/>
        </w:rPr>
        <w:t>Reported years are taken line by line from the audited consolidated statements. Forecast years are framing A.</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584"/>
        <w:gridCol w:w="1584"/>
        <w:gridCol w:w="1584"/>
        <w:gridCol w:w="1584"/>
      </w:tblGrid>
      <w:tr>
        <w:trPr>
          <w:cantSplit/>
          <w:tblHeader/>
        </w:trPr>
        <w:tc>
          <w:tcPr>
            <w:tcW w:type="dxa" w:w="3744"/>
            <w:shd w:val="clear" w:color="auto" w:fill="EAF0EE"/>
          </w:tcPr>
          <w:p>
            <w:pPr>
              <w:spacing w:after="20"/>
            </w:pPr>
            <w:r>
              <w:rPr>
                <w:b/>
                <w:color w:val="1C3A36"/>
                <w:sz w:val="17"/>
              </w:rPr>
              <w:t>US$ million</w:t>
            </w:r>
          </w:p>
        </w:tc>
        <w:tc>
          <w:tcPr>
            <w:tcW w:type="dxa" w:w="1584"/>
            <w:shd w:val="clear" w:color="auto" w:fill="EAF0EE"/>
          </w:tcPr>
          <w:p>
            <w:pPr>
              <w:spacing w:after="20"/>
            </w:pPr>
            <w:r>
              <w:rPr>
                <w:b/>
                <w:color w:val="1C3A36"/>
                <w:sz w:val="17"/>
              </w:rPr>
              <w:t>FY2023</w:t>
            </w:r>
          </w:p>
        </w:tc>
        <w:tc>
          <w:tcPr>
            <w:tcW w:type="dxa" w:w="1584"/>
            <w:shd w:val="clear" w:color="auto" w:fill="EAF0EE"/>
          </w:tcPr>
          <w:p>
            <w:pPr>
              <w:spacing w:after="20"/>
            </w:pPr>
            <w:r>
              <w:rPr>
                <w:b/>
                <w:color w:val="1C3A36"/>
                <w:sz w:val="17"/>
              </w:rPr>
              <w:t>FY2024</w:t>
            </w:r>
          </w:p>
        </w:tc>
        <w:tc>
          <w:tcPr>
            <w:tcW w:type="dxa" w:w="1584"/>
            <w:shd w:val="clear" w:color="auto" w:fill="EAF0EE"/>
          </w:tcPr>
          <w:p>
            <w:pPr>
              <w:spacing w:after="20"/>
            </w:pPr>
            <w:r>
              <w:rPr>
                <w:b/>
                <w:color w:val="1C3A36"/>
                <w:sz w:val="17"/>
              </w:rPr>
              <w:t>FY2025</w:t>
            </w:r>
          </w:p>
        </w:tc>
        <w:tc>
          <w:tcPr>
            <w:tcW w:type="dxa" w:w="1584"/>
            <w:shd w:val="clear" w:color="auto" w:fill="EAF0EE"/>
          </w:tcPr>
          <w:p>
            <w:pPr>
              <w:spacing w:after="20"/>
            </w:pPr>
            <w:r>
              <w:rPr>
                <w:b/>
                <w:color w:val="1C3A36"/>
                <w:sz w:val="17"/>
              </w:rPr>
              <w:t>H1 2026</w:t>
            </w:r>
          </w:p>
        </w:tc>
      </w:tr>
      <w:tr>
        <w:trPr>
          <w:cantSplit/>
        </w:trPr>
        <w:tc>
          <w:tcPr>
            <w:tcW w:type="dxa" w:w="3744"/>
          </w:tcPr>
          <w:p>
            <w:pPr>
              <w:spacing w:after="20"/>
            </w:pPr>
            <w:r>
              <w:rPr>
                <w:b/>
                <w:color w:val="1C3A36"/>
                <w:sz w:val="17"/>
              </w:rPr>
              <w:t>Property, plant and equipment</w:t>
            </w:r>
          </w:p>
        </w:tc>
        <w:tc>
          <w:tcPr>
            <w:tcW w:type="dxa" w:w="1584"/>
          </w:tcPr>
          <w:p>
            <w:pPr>
              <w:spacing w:after="20"/>
              <w:jc w:val="right"/>
            </w:pPr>
            <w:r>
              <w:rPr>
                <w:color w:val="1C3A36"/>
                <w:sz w:val="17"/>
              </w:rPr>
              <w:t>2,700</w:t>
            </w:r>
          </w:p>
        </w:tc>
        <w:tc>
          <w:tcPr>
            <w:tcW w:type="dxa" w:w="1584"/>
          </w:tcPr>
          <w:p>
            <w:pPr>
              <w:spacing w:after="20"/>
              <w:jc w:val="right"/>
            </w:pPr>
            <w:r>
              <w:rPr>
                <w:color w:val="1C3A36"/>
                <w:sz w:val="17"/>
              </w:rPr>
              <w:t>2,597</w:t>
            </w:r>
          </w:p>
        </w:tc>
        <w:tc>
          <w:tcPr>
            <w:tcW w:type="dxa" w:w="1584"/>
          </w:tcPr>
          <w:p>
            <w:pPr>
              <w:spacing w:after="20"/>
              <w:jc w:val="right"/>
            </w:pPr>
            <w:r>
              <w:rPr>
                <w:color w:val="1C3A36"/>
                <w:sz w:val="17"/>
              </w:rPr>
              <w:t>2,499</w:t>
            </w:r>
          </w:p>
        </w:tc>
        <w:tc>
          <w:tcPr>
            <w:tcW w:type="dxa" w:w="1584"/>
          </w:tcPr>
          <w:p>
            <w:pPr>
              <w:spacing w:after="20"/>
              <w:jc w:val="right"/>
            </w:pPr>
            <w:r>
              <w:rPr>
                <w:color w:val="1C3A36"/>
                <w:sz w:val="17"/>
              </w:rPr>
              <w:t>—</w:t>
            </w:r>
          </w:p>
        </w:tc>
      </w:tr>
      <w:tr>
        <w:trPr>
          <w:cantSplit/>
        </w:trPr>
        <w:tc>
          <w:tcPr>
            <w:tcW w:type="dxa" w:w="3744"/>
          </w:tcPr>
          <w:p>
            <w:pPr>
              <w:spacing w:after="20"/>
            </w:pPr>
            <w:r>
              <w:rPr>
                <w:b/>
                <w:color w:val="1C3A36"/>
                <w:sz w:val="17"/>
              </w:rPr>
              <w:t>Inventories</w:t>
            </w:r>
          </w:p>
        </w:tc>
        <w:tc>
          <w:tcPr>
            <w:tcW w:type="dxa" w:w="1584"/>
          </w:tcPr>
          <w:p>
            <w:pPr>
              <w:spacing w:after="20"/>
              <w:jc w:val="right"/>
            </w:pPr>
            <w:r>
              <w:rPr>
                <w:color w:val="1C3A36"/>
                <w:sz w:val="17"/>
              </w:rPr>
              <w:t>134</w:t>
            </w:r>
          </w:p>
        </w:tc>
        <w:tc>
          <w:tcPr>
            <w:tcW w:type="dxa" w:w="1584"/>
          </w:tcPr>
          <w:p>
            <w:pPr>
              <w:spacing w:after="20"/>
              <w:jc w:val="right"/>
            </w:pPr>
            <w:r>
              <w:rPr>
                <w:color w:val="1C3A36"/>
                <w:sz w:val="17"/>
              </w:rPr>
              <w:t>164</w:t>
            </w:r>
          </w:p>
        </w:tc>
        <w:tc>
          <w:tcPr>
            <w:tcW w:type="dxa" w:w="1584"/>
          </w:tcPr>
          <w:p>
            <w:pPr>
              <w:spacing w:after="20"/>
              <w:jc w:val="right"/>
            </w:pPr>
            <w:r>
              <w:rPr>
                <w:color w:val="1C3A36"/>
                <w:sz w:val="17"/>
              </w:rPr>
              <w:t>336</w:t>
            </w:r>
          </w:p>
        </w:tc>
        <w:tc>
          <w:tcPr>
            <w:tcW w:type="dxa" w:w="1584"/>
          </w:tcPr>
          <w:p>
            <w:pPr>
              <w:spacing w:after="20"/>
              <w:jc w:val="right"/>
            </w:pPr>
            <w:r>
              <w:rPr>
                <w:color w:val="1C3A36"/>
                <w:sz w:val="17"/>
              </w:rPr>
              <w:t>441</w:t>
            </w:r>
          </w:p>
        </w:tc>
      </w:tr>
      <w:tr>
        <w:trPr>
          <w:cantSplit/>
        </w:trPr>
        <w:tc>
          <w:tcPr>
            <w:tcW w:type="dxa" w:w="3744"/>
          </w:tcPr>
          <w:p>
            <w:pPr>
              <w:spacing w:after="20"/>
            </w:pPr>
            <w:r>
              <w:rPr>
                <w:b/>
                <w:color w:val="1C3A36"/>
                <w:sz w:val="17"/>
              </w:rPr>
              <w:t>Trade and other receivables</w:t>
            </w:r>
          </w:p>
        </w:tc>
        <w:tc>
          <w:tcPr>
            <w:tcW w:type="dxa" w:w="1584"/>
          </w:tcPr>
          <w:p>
            <w:pPr>
              <w:spacing w:after="20"/>
              <w:jc w:val="right"/>
            </w:pPr>
            <w:r>
              <w:rPr>
                <w:color w:val="1C3A36"/>
                <w:sz w:val="17"/>
              </w:rPr>
              <w:t>314</w:t>
            </w:r>
          </w:p>
        </w:tc>
        <w:tc>
          <w:tcPr>
            <w:tcW w:type="dxa" w:w="1584"/>
          </w:tcPr>
          <w:p>
            <w:pPr>
              <w:spacing w:after="20"/>
              <w:jc w:val="right"/>
            </w:pPr>
            <w:r>
              <w:rPr>
                <w:color w:val="1C3A36"/>
                <w:sz w:val="17"/>
              </w:rPr>
              <w:t>291</w:t>
            </w:r>
          </w:p>
        </w:tc>
        <w:tc>
          <w:tcPr>
            <w:tcW w:type="dxa" w:w="1584"/>
          </w:tcPr>
          <w:p>
            <w:pPr>
              <w:spacing w:after="20"/>
              <w:jc w:val="right"/>
            </w:pPr>
            <w:r>
              <w:rPr>
                <w:color w:val="1C3A36"/>
                <w:sz w:val="17"/>
              </w:rPr>
              <w:t>493</w:t>
            </w:r>
          </w:p>
        </w:tc>
        <w:tc>
          <w:tcPr>
            <w:tcW w:type="dxa" w:w="1584"/>
          </w:tcPr>
          <w:p>
            <w:pPr>
              <w:spacing w:after="20"/>
              <w:jc w:val="right"/>
            </w:pPr>
            <w:r>
              <w:rPr>
                <w:color w:val="1C3A36"/>
                <w:sz w:val="17"/>
              </w:rPr>
              <w:t>543</w:t>
            </w:r>
          </w:p>
        </w:tc>
      </w:tr>
      <w:tr>
        <w:trPr>
          <w:cantSplit/>
        </w:trPr>
        <w:tc>
          <w:tcPr>
            <w:tcW w:type="dxa" w:w="3744"/>
          </w:tcPr>
          <w:p>
            <w:pPr>
              <w:spacing w:after="20"/>
            </w:pPr>
            <w:r>
              <w:rPr>
                <w:b/>
                <w:color w:val="1C3A36"/>
                <w:sz w:val="17"/>
              </w:rPr>
              <w:t>Cash and cash equivalents</w:t>
            </w:r>
          </w:p>
        </w:tc>
        <w:tc>
          <w:tcPr>
            <w:tcW w:type="dxa" w:w="1584"/>
          </w:tcPr>
          <w:p>
            <w:pPr>
              <w:spacing w:after="20"/>
              <w:jc w:val="right"/>
            </w:pPr>
            <w:r>
              <w:rPr>
                <w:color w:val="1C3A36"/>
                <w:sz w:val="17"/>
              </w:rPr>
              <w:t>760</w:t>
            </w:r>
          </w:p>
        </w:tc>
        <w:tc>
          <w:tcPr>
            <w:tcW w:type="dxa" w:w="1584"/>
          </w:tcPr>
          <w:p>
            <w:pPr>
              <w:spacing w:after="20"/>
              <w:jc w:val="right"/>
            </w:pPr>
            <w:r>
              <w:rPr>
                <w:color w:val="1C3A36"/>
                <w:sz w:val="17"/>
              </w:rPr>
              <w:t>634</w:t>
            </w:r>
          </w:p>
        </w:tc>
        <w:tc>
          <w:tcPr>
            <w:tcW w:type="dxa" w:w="1584"/>
          </w:tcPr>
          <w:p>
            <w:pPr>
              <w:spacing w:after="20"/>
              <w:jc w:val="right"/>
            </w:pPr>
            <w:r>
              <w:rPr>
                <w:color w:val="1C3A36"/>
                <w:sz w:val="17"/>
              </w:rPr>
              <w:t>735</w:t>
            </w:r>
          </w:p>
        </w:tc>
        <w:tc>
          <w:tcPr>
            <w:tcW w:type="dxa" w:w="1584"/>
          </w:tcPr>
          <w:p>
            <w:pPr>
              <w:spacing w:after="20"/>
              <w:jc w:val="right"/>
            </w:pPr>
            <w:r>
              <w:rPr>
                <w:color w:val="1C3A36"/>
                <w:sz w:val="17"/>
              </w:rPr>
              <w:t>1,373</w:t>
            </w:r>
          </w:p>
        </w:tc>
      </w:tr>
      <w:tr>
        <w:trPr>
          <w:cantSplit/>
        </w:trPr>
        <w:tc>
          <w:tcPr>
            <w:tcW w:type="dxa" w:w="3744"/>
          </w:tcPr>
          <w:p>
            <w:pPr>
              <w:spacing w:after="20"/>
            </w:pPr>
            <w:r>
              <w:rPr>
                <w:b/>
                <w:color w:val="1C3A36"/>
                <w:sz w:val="17"/>
              </w:rPr>
              <w:t>Total assets</w:t>
            </w:r>
          </w:p>
        </w:tc>
        <w:tc>
          <w:tcPr>
            <w:tcW w:type="dxa" w:w="1584"/>
          </w:tcPr>
          <w:p>
            <w:pPr>
              <w:spacing w:after="20"/>
              <w:jc w:val="right"/>
            </w:pPr>
            <w:r>
              <w:rPr>
                <w:color w:val="1C3A36"/>
                <w:sz w:val="17"/>
              </w:rPr>
              <w:t>4,626</w:t>
            </w:r>
          </w:p>
        </w:tc>
        <w:tc>
          <w:tcPr>
            <w:tcW w:type="dxa" w:w="1584"/>
          </w:tcPr>
          <w:p>
            <w:pPr>
              <w:spacing w:after="20"/>
              <w:jc w:val="right"/>
            </w:pPr>
            <w:r>
              <w:rPr>
                <w:color w:val="1C3A36"/>
                <w:sz w:val="17"/>
              </w:rPr>
              <w:t>4,411</w:t>
            </w:r>
          </w:p>
        </w:tc>
        <w:tc>
          <w:tcPr>
            <w:tcW w:type="dxa" w:w="1584"/>
          </w:tcPr>
          <w:p>
            <w:pPr>
              <w:spacing w:after="20"/>
              <w:jc w:val="right"/>
            </w:pPr>
            <w:r>
              <w:rPr>
                <w:color w:val="1C3A36"/>
                <w:sz w:val="17"/>
              </w:rPr>
              <w:t>4,950</w:t>
            </w:r>
          </w:p>
        </w:tc>
        <w:tc>
          <w:tcPr>
            <w:tcW w:type="dxa" w:w="1584"/>
          </w:tcPr>
          <w:p>
            <w:pPr>
              <w:spacing w:after="20"/>
              <w:jc w:val="right"/>
            </w:pPr>
            <w:r>
              <w:rPr>
                <w:color w:val="1C3A36"/>
                <w:sz w:val="17"/>
              </w:rPr>
              <w:t>5,642</w:t>
            </w:r>
          </w:p>
        </w:tc>
      </w:tr>
      <w:tr>
        <w:trPr>
          <w:cantSplit/>
        </w:trPr>
        <w:tc>
          <w:tcPr>
            <w:tcW w:type="dxa" w:w="3744"/>
          </w:tcPr>
          <w:p>
            <w:pPr>
              <w:spacing w:after="20"/>
            </w:pPr>
            <w:r>
              <w:rPr>
                <w:b/>
                <w:color w:val="1C3A36"/>
                <w:sz w:val="17"/>
              </w:rPr>
              <w:t>Trade and other payables</w:t>
            </w:r>
          </w:p>
        </w:tc>
        <w:tc>
          <w:tcPr>
            <w:tcW w:type="dxa" w:w="1584"/>
          </w:tcPr>
          <w:p>
            <w:pPr>
              <w:spacing w:after="20"/>
              <w:jc w:val="right"/>
            </w:pPr>
            <w:r>
              <w:rPr>
                <w:color w:val="1C3A36"/>
                <w:sz w:val="17"/>
              </w:rPr>
              <w:t>327</w:t>
            </w:r>
          </w:p>
        </w:tc>
        <w:tc>
          <w:tcPr>
            <w:tcW w:type="dxa" w:w="1584"/>
          </w:tcPr>
          <w:p>
            <w:pPr>
              <w:spacing w:after="20"/>
              <w:jc w:val="right"/>
            </w:pPr>
            <w:r>
              <w:rPr>
                <w:color w:val="1C3A36"/>
                <w:sz w:val="17"/>
              </w:rPr>
              <w:t>481</w:t>
            </w:r>
          </w:p>
        </w:tc>
        <w:tc>
          <w:tcPr>
            <w:tcW w:type="dxa" w:w="1584"/>
          </w:tcPr>
          <w:p>
            <w:pPr>
              <w:spacing w:after="20"/>
              <w:jc w:val="right"/>
            </w:pPr>
            <w:r>
              <w:rPr>
                <w:color w:val="1C3A36"/>
                <w:sz w:val="17"/>
              </w:rPr>
              <w:t>820</w:t>
            </w:r>
          </w:p>
        </w:tc>
        <w:tc>
          <w:tcPr>
            <w:tcW w:type="dxa" w:w="1584"/>
          </w:tcPr>
          <w:p>
            <w:pPr>
              <w:spacing w:after="20"/>
              <w:jc w:val="right"/>
            </w:pPr>
            <w:r>
              <w:rPr>
                <w:color w:val="1C3A36"/>
                <w:sz w:val="17"/>
              </w:rPr>
              <w:t>958</w:t>
            </w:r>
          </w:p>
        </w:tc>
      </w:tr>
      <w:tr>
        <w:trPr>
          <w:cantSplit/>
        </w:trPr>
        <w:tc>
          <w:tcPr>
            <w:tcW w:type="dxa" w:w="3744"/>
          </w:tcPr>
          <w:p>
            <w:pPr>
              <w:spacing w:after="20"/>
            </w:pPr>
            <w:r>
              <w:rPr>
                <w:b/>
                <w:color w:val="1C3A36"/>
                <w:sz w:val="17"/>
              </w:rPr>
              <w:t>Gross interest-bearing debt</w:t>
            </w:r>
          </w:p>
        </w:tc>
        <w:tc>
          <w:tcPr>
            <w:tcW w:type="dxa" w:w="1584"/>
          </w:tcPr>
          <w:p>
            <w:pPr>
              <w:spacing w:after="20"/>
              <w:jc w:val="right"/>
            </w:pPr>
            <w:r>
              <w:rPr>
                <w:color w:val="1C3A36"/>
                <w:sz w:val="17"/>
              </w:rPr>
              <w:t>1,665</w:t>
            </w:r>
          </w:p>
        </w:tc>
        <w:tc>
          <w:tcPr>
            <w:tcW w:type="dxa" w:w="1584"/>
          </w:tcPr>
          <w:p>
            <w:pPr>
              <w:spacing w:after="20"/>
              <w:jc w:val="right"/>
            </w:pPr>
            <w:r>
              <w:rPr>
                <w:color w:val="1C3A36"/>
                <w:sz w:val="17"/>
              </w:rPr>
              <w:t>1,682</w:t>
            </w:r>
          </w:p>
        </w:tc>
        <w:tc>
          <w:tcPr>
            <w:tcW w:type="dxa" w:w="1584"/>
          </w:tcPr>
          <w:p>
            <w:pPr>
              <w:spacing w:after="20"/>
              <w:jc w:val="right"/>
            </w:pPr>
            <w:r>
              <w:rPr>
                <w:color w:val="1C3A36"/>
                <w:sz w:val="17"/>
              </w:rPr>
              <w:t>1,741</w:t>
            </w:r>
          </w:p>
        </w:tc>
        <w:tc>
          <w:tcPr>
            <w:tcW w:type="dxa" w:w="1584"/>
          </w:tcPr>
          <w:p>
            <w:pPr>
              <w:spacing w:after="20"/>
              <w:jc w:val="right"/>
            </w:pPr>
            <w:r>
              <w:rPr>
                <w:color w:val="1C3A36"/>
                <w:sz w:val="17"/>
              </w:rPr>
              <w:t>1,994</w:t>
            </w:r>
          </w:p>
        </w:tc>
      </w:tr>
      <w:tr>
        <w:trPr>
          <w:cantSplit/>
        </w:trPr>
        <w:tc>
          <w:tcPr>
            <w:tcW w:type="dxa" w:w="3744"/>
          </w:tcPr>
          <w:p>
            <w:pPr>
              <w:spacing w:after="20"/>
            </w:pPr>
            <w:r>
              <w:rPr>
                <w:b/>
                <w:color w:val="1C3A36"/>
                <w:sz w:val="17"/>
              </w:rPr>
              <w:t>Net debt</w:t>
            </w:r>
          </w:p>
        </w:tc>
        <w:tc>
          <w:tcPr>
            <w:tcW w:type="dxa" w:w="1584"/>
          </w:tcPr>
          <w:p>
            <w:pPr>
              <w:spacing w:after="20"/>
              <w:jc w:val="right"/>
            </w:pPr>
            <w:r>
              <w:rPr>
                <w:color w:val="1C3A36"/>
                <w:sz w:val="17"/>
              </w:rPr>
              <w:t>996</w:t>
            </w:r>
          </w:p>
        </w:tc>
        <w:tc>
          <w:tcPr>
            <w:tcW w:type="dxa" w:w="1584"/>
          </w:tcPr>
          <w:p>
            <w:pPr>
              <w:spacing w:after="20"/>
              <w:jc w:val="right"/>
            </w:pPr>
            <w:r>
              <w:rPr>
                <w:color w:val="1C3A36"/>
                <w:sz w:val="17"/>
              </w:rPr>
              <w:t>1,135</w:t>
            </w:r>
          </w:p>
        </w:tc>
        <w:tc>
          <w:tcPr>
            <w:tcW w:type="dxa" w:w="1584"/>
          </w:tcPr>
          <w:p>
            <w:pPr>
              <w:spacing w:after="20"/>
              <w:jc w:val="right"/>
            </w:pPr>
            <w:r>
              <w:rPr>
                <w:color w:val="1C3A36"/>
                <w:sz w:val="17"/>
              </w:rPr>
              <w:t>1,164</w:t>
            </w:r>
          </w:p>
        </w:tc>
        <w:tc>
          <w:tcPr>
            <w:tcW w:type="dxa" w:w="1584"/>
          </w:tcPr>
          <w:p>
            <w:pPr>
              <w:spacing w:after="20"/>
              <w:jc w:val="right"/>
            </w:pPr>
            <w:r>
              <w:rPr>
                <w:color w:val="1C3A36"/>
                <w:sz w:val="17"/>
              </w:rPr>
              <w:t>621</w:t>
            </w:r>
          </w:p>
        </w:tc>
      </w:tr>
      <w:tr>
        <w:trPr>
          <w:cantSplit/>
        </w:trPr>
        <w:tc>
          <w:tcPr>
            <w:tcW w:type="dxa" w:w="3744"/>
          </w:tcPr>
          <w:p>
            <w:pPr>
              <w:spacing w:after="20"/>
            </w:pPr>
            <w:r>
              <w:rPr>
                <w:b/>
                <w:color w:val="1C3A36"/>
                <w:sz w:val="17"/>
              </w:rPr>
              <w:t>Equity attributable to owners</w:t>
            </w:r>
          </w:p>
        </w:tc>
        <w:tc>
          <w:tcPr>
            <w:tcW w:type="dxa" w:w="1584"/>
          </w:tcPr>
          <w:p>
            <w:pPr>
              <w:spacing w:after="20"/>
              <w:jc w:val="right"/>
            </w:pPr>
            <w:r>
              <w:rPr>
                <w:color w:val="1C3A36"/>
                <w:sz w:val="17"/>
              </w:rPr>
              <w:t>1,445</w:t>
            </w:r>
          </w:p>
        </w:tc>
        <w:tc>
          <w:tcPr>
            <w:tcW w:type="dxa" w:w="1584"/>
          </w:tcPr>
          <w:p>
            <w:pPr>
              <w:spacing w:after="20"/>
              <w:jc w:val="right"/>
            </w:pPr>
            <w:r>
              <w:rPr>
                <w:color w:val="1C3A36"/>
                <w:sz w:val="17"/>
              </w:rPr>
              <w:t>1,242</w:t>
            </w:r>
          </w:p>
        </w:tc>
        <w:tc>
          <w:tcPr>
            <w:tcW w:type="dxa" w:w="1584"/>
          </w:tcPr>
          <w:p>
            <w:pPr>
              <w:spacing w:after="20"/>
              <w:jc w:val="right"/>
            </w:pPr>
            <w:r>
              <w:rPr>
                <w:color w:val="1C3A36"/>
                <w:sz w:val="17"/>
              </w:rPr>
              <w:t>1,356</w:t>
            </w:r>
          </w:p>
        </w:tc>
        <w:tc>
          <w:tcPr>
            <w:tcW w:type="dxa" w:w="1584"/>
          </w:tcPr>
          <w:p>
            <w:pPr>
              <w:spacing w:after="20"/>
              <w:jc w:val="right"/>
            </w:pPr>
            <w:r>
              <w:rPr>
                <w:color w:val="1C3A36"/>
                <w:sz w:val="17"/>
              </w:rPr>
              <w:t>—</w:t>
            </w:r>
          </w:p>
        </w:tc>
      </w:tr>
      <w:tr>
        <w:trPr>
          <w:cantSplit/>
        </w:trPr>
        <w:tc>
          <w:tcPr>
            <w:tcW w:type="dxa" w:w="3744"/>
          </w:tcPr>
          <w:p>
            <w:pPr>
              <w:spacing w:after="20"/>
            </w:pPr>
            <w:r>
              <w:rPr>
                <w:b/>
                <w:color w:val="1C3A36"/>
                <w:sz w:val="17"/>
              </w:rPr>
              <w:t>Non-controlling interests</w:t>
            </w:r>
          </w:p>
        </w:tc>
        <w:tc>
          <w:tcPr>
            <w:tcW w:type="dxa" w:w="1584"/>
          </w:tcPr>
          <w:p>
            <w:pPr>
              <w:spacing w:after="20"/>
              <w:jc w:val="right"/>
            </w:pPr>
            <w:r>
              <w:rPr>
                <w:color w:val="1C3A36"/>
                <w:sz w:val="17"/>
              </w:rPr>
              <w:t>425</w:t>
            </w:r>
          </w:p>
        </w:tc>
        <w:tc>
          <w:tcPr>
            <w:tcW w:type="dxa" w:w="1584"/>
          </w:tcPr>
          <w:p>
            <w:pPr>
              <w:spacing w:after="20"/>
              <w:jc w:val="right"/>
            </w:pPr>
            <w:r>
              <w:rPr>
                <w:color w:val="1C3A36"/>
                <w:sz w:val="17"/>
              </w:rPr>
              <w:t>296</w:t>
            </w:r>
          </w:p>
        </w:tc>
        <w:tc>
          <w:tcPr>
            <w:tcW w:type="dxa" w:w="1584"/>
          </w:tcPr>
          <w:p>
            <w:pPr>
              <w:spacing w:after="20"/>
              <w:jc w:val="right"/>
            </w:pPr>
            <w:r>
              <w:rPr>
                <w:color w:val="1C3A36"/>
                <w:sz w:val="17"/>
              </w:rPr>
              <w:t>443</w:t>
            </w:r>
          </w:p>
        </w:tc>
        <w:tc>
          <w:tcPr>
            <w:tcW w:type="dxa" w:w="1584"/>
          </w:tcPr>
          <w:p>
            <w:pPr>
              <w:spacing w:after="20"/>
              <w:jc w:val="right"/>
            </w:pPr>
            <w:r>
              <w:rPr>
                <w:color w:val="1C3A36"/>
                <w:sz w:val="17"/>
              </w:rPr>
              <w:t>—</w:t>
            </w:r>
          </w:p>
        </w:tc>
      </w:tr>
      <w:tr>
        <w:trPr>
          <w:cantSplit/>
        </w:trPr>
        <w:tc>
          <w:tcPr>
            <w:tcW w:type="dxa" w:w="3744"/>
          </w:tcPr>
          <w:p>
            <w:pPr>
              <w:spacing w:after="20"/>
            </w:pPr>
            <w:r>
              <w:rPr>
                <w:b/>
                <w:color w:val="1C3A36"/>
                <w:sz w:val="17"/>
              </w:rPr>
              <w:t>Total equity</w:t>
            </w:r>
          </w:p>
        </w:tc>
        <w:tc>
          <w:tcPr>
            <w:tcW w:type="dxa" w:w="1584"/>
          </w:tcPr>
          <w:p>
            <w:pPr>
              <w:spacing w:after="20"/>
              <w:jc w:val="right"/>
            </w:pPr>
            <w:r>
              <w:rPr>
                <w:color w:val="1C3A36"/>
                <w:sz w:val="17"/>
              </w:rPr>
              <w:t>1,870</w:t>
            </w:r>
          </w:p>
        </w:tc>
        <w:tc>
          <w:tcPr>
            <w:tcW w:type="dxa" w:w="1584"/>
          </w:tcPr>
          <w:p>
            <w:pPr>
              <w:spacing w:after="20"/>
              <w:jc w:val="right"/>
            </w:pPr>
            <w:r>
              <w:rPr>
                <w:color w:val="1C3A36"/>
                <w:sz w:val="17"/>
              </w:rPr>
              <w:t>1,538</w:t>
            </w:r>
          </w:p>
        </w:tc>
        <w:tc>
          <w:tcPr>
            <w:tcW w:type="dxa" w:w="1584"/>
          </w:tcPr>
          <w:p>
            <w:pPr>
              <w:spacing w:after="20"/>
              <w:jc w:val="right"/>
            </w:pPr>
            <w:r>
              <w:rPr>
                <w:color w:val="1C3A36"/>
                <w:sz w:val="17"/>
              </w:rPr>
              <w:t>1,800</w:t>
            </w:r>
          </w:p>
        </w:tc>
        <w:tc>
          <w:tcPr>
            <w:tcW w:type="dxa" w:w="1584"/>
          </w:tcPr>
          <w:p>
            <w:pPr>
              <w:spacing w:after="20"/>
              <w:jc w:val="right"/>
            </w:pPr>
            <w:r>
              <w:rPr>
                <w:color w:val="1C3A36"/>
                <w:sz w:val="17"/>
              </w:rPr>
              <w:t>2,163</w:t>
            </w:r>
          </w:p>
        </w:tc>
      </w:tr>
    </w:tbl>
    <w:p>
      <w:pPr>
        <w:spacing w:after="40"/>
      </w:pPr>
    </w:p>
    <w:p>
      <w:pPr>
        <w:spacing w:after="80" w:before="200"/>
      </w:pPr>
      <w:r>
        <w:rPr>
          <w:b/>
          <w:i w:val="0"/>
          <w:color w:val="1C3A36"/>
          <w:sz w:val="24"/>
        </w:rPr>
        <w:t>A.3  Forecast balance sheet and cash 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354"/>
        <w:gridCol w:w="1354"/>
        <w:gridCol w:w="1354"/>
        <w:gridCol w:w="1354"/>
        <w:gridCol w:w="1354"/>
      </w:tblGrid>
      <w:tr>
        <w:trPr>
          <w:cantSplit/>
          <w:tblHeader/>
        </w:trPr>
        <w:tc>
          <w:tcPr>
            <w:tcW w:type="dxa" w:w="3312"/>
            <w:shd w:val="clear" w:color="auto" w:fill="EAF0EE"/>
          </w:tcPr>
          <w:p>
            <w:pPr>
              <w:spacing w:after="20"/>
            </w:pPr>
            <w:r>
              <w:rPr>
                <w:b/>
                <w:color w:val="1C3A36"/>
                <w:sz w:val="17"/>
              </w:rPr>
              <w:t>US$ million</w:t>
            </w:r>
          </w:p>
        </w:tc>
        <w:tc>
          <w:tcPr>
            <w:tcW w:type="dxa" w:w="1354"/>
            <w:shd w:val="clear" w:color="auto" w:fill="EAF0EE"/>
          </w:tcPr>
          <w:p>
            <w:pPr>
              <w:spacing w:after="20"/>
            </w:pPr>
            <w:r>
              <w:rPr>
                <w:b/>
                <w:color w:val="1C3A36"/>
                <w:sz w:val="17"/>
              </w:rPr>
              <w:t>2026E</w:t>
            </w:r>
          </w:p>
        </w:tc>
        <w:tc>
          <w:tcPr>
            <w:tcW w:type="dxa" w:w="1354"/>
            <w:shd w:val="clear" w:color="auto" w:fill="EAF0EE"/>
          </w:tcPr>
          <w:p>
            <w:pPr>
              <w:spacing w:after="20"/>
            </w:pPr>
            <w:r>
              <w:rPr>
                <w:b/>
                <w:color w:val="1C3A36"/>
                <w:sz w:val="17"/>
              </w:rPr>
              <w:t>2027E</w:t>
            </w:r>
          </w:p>
        </w:tc>
        <w:tc>
          <w:tcPr>
            <w:tcW w:type="dxa" w:w="1354"/>
            <w:shd w:val="clear" w:color="auto" w:fill="EAF0EE"/>
          </w:tcPr>
          <w:p>
            <w:pPr>
              <w:spacing w:after="20"/>
            </w:pPr>
            <w:r>
              <w:rPr>
                <w:b/>
                <w:color w:val="1C3A36"/>
                <w:sz w:val="17"/>
              </w:rPr>
              <w:t>2028E</w:t>
            </w:r>
          </w:p>
        </w:tc>
        <w:tc>
          <w:tcPr>
            <w:tcW w:type="dxa" w:w="1354"/>
            <w:shd w:val="clear" w:color="auto" w:fill="EAF0EE"/>
          </w:tcPr>
          <w:p>
            <w:pPr>
              <w:spacing w:after="20"/>
            </w:pPr>
            <w:r>
              <w:rPr>
                <w:b/>
                <w:color w:val="1C3A36"/>
                <w:sz w:val="17"/>
              </w:rPr>
              <w:t>2029E</w:t>
            </w:r>
          </w:p>
        </w:tc>
        <w:tc>
          <w:tcPr>
            <w:tcW w:type="dxa" w:w="1354"/>
            <w:shd w:val="clear" w:color="auto" w:fill="EAF0EE"/>
          </w:tcPr>
          <w:p>
            <w:pPr>
              <w:spacing w:after="20"/>
            </w:pPr>
            <w:r>
              <w:rPr>
                <w:b/>
                <w:color w:val="1C3A36"/>
                <w:sz w:val="17"/>
              </w:rPr>
              <w:t>2030E</w:t>
            </w:r>
          </w:p>
        </w:tc>
      </w:tr>
      <w:tr>
        <w:trPr>
          <w:cantSplit/>
        </w:trPr>
        <w:tc>
          <w:tcPr>
            <w:tcW w:type="dxa" w:w="3312"/>
          </w:tcPr>
          <w:p>
            <w:pPr>
              <w:spacing w:after="20"/>
            </w:pPr>
            <w:r>
              <w:rPr>
                <w:b/>
                <w:color w:val="1C3A36"/>
                <w:sz w:val="17"/>
              </w:rPr>
              <w:t>Property, plant and equipment</w:t>
            </w:r>
          </w:p>
        </w:tc>
        <w:tc>
          <w:tcPr>
            <w:tcW w:type="dxa" w:w="1354"/>
          </w:tcPr>
          <w:p>
            <w:pPr>
              <w:spacing w:after="20"/>
              <w:jc w:val="right"/>
            </w:pPr>
            <w:r>
              <w:rPr>
                <w:color w:val="1C3A36"/>
                <w:sz w:val="17"/>
              </w:rPr>
              <w:t>2,369</w:t>
            </w:r>
          </w:p>
        </w:tc>
        <w:tc>
          <w:tcPr>
            <w:tcW w:type="dxa" w:w="1354"/>
          </w:tcPr>
          <w:p>
            <w:pPr>
              <w:spacing w:after="20"/>
              <w:jc w:val="right"/>
            </w:pPr>
            <w:r>
              <w:rPr>
                <w:color w:val="1C3A36"/>
                <w:sz w:val="17"/>
              </w:rPr>
              <w:t>2,294</w:t>
            </w:r>
          </w:p>
        </w:tc>
        <w:tc>
          <w:tcPr>
            <w:tcW w:type="dxa" w:w="1354"/>
          </w:tcPr>
          <w:p>
            <w:pPr>
              <w:spacing w:after="20"/>
              <w:jc w:val="right"/>
            </w:pPr>
            <w:r>
              <w:rPr>
                <w:color w:val="1C3A36"/>
                <w:sz w:val="17"/>
              </w:rPr>
              <w:t>2,254</w:t>
            </w:r>
          </w:p>
        </w:tc>
        <w:tc>
          <w:tcPr>
            <w:tcW w:type="dxa" w:w="1354"/>
          </w:tcPr>
          <w:p>
            <w:pPr>
              <w:spacing w:after="20"/>
              <w:jc w:val="right"/>
            </w:pPr>
            <w:r>
              <w:rPr>
                <w:color w:val="1C3A36"/>
                <w:sz w:val="17"/>
              </w:rPr>
              <w:t>2,236</w:t>
            </w:r>
          </w:p>
        </w:tc>
        <w:tc>
          <w:tcPr>
            <w:tcW w:type="dxa" w:w="1354"/>
          </w:tcPr>
          <w:p>
            <w:pPr>
              <w:spacing w:after="20"/>
              <w:jc w:val="right"/>
            </w:pPr>
            <w:r>
              <w:rPr>
                <w:color w:val="1C3A36"/>
                <w:sz w:val="17"/>
              </w:rPr>
              <w:t>2,231</w:t>
            </w:r>
          </w:p>
        </w:tc>
      </w:tr>
      <w:tr>
        <w:trPr>
          <w:cantSplit/>
        </w:trPr>
        <w:tc>
          <w:tcPr>
            <w:tcW w:type="dxa" w:w="3312"/>
          </w:tcPr>
          <w:p>
            <w:pPr>
              <w:spacing w:after="20"/>
            </w:pPr>
            <w:r>
              <w:rPr>
                <w:b/>
                <w:color w:val="1C3A36"/>
                <w:sz w:val="17"/>
              </w:rPr>
              <w:t>Net working capital</w:t>
            </w:r>
          </w:p>
        </w:tc>
        <w:tc>
          <w:tcPr>
            <w:tcW w:type="dxa" w:w="1354"/>
          </w:tcPr>
          <w:p>
            <w:pPr>
              <w:spacing w:after="20"/>
              <w:jc w:val="right"/>
            </w:pPr>
            <w:r>
              <w:rPr>
                <w:color w:val="1C3A36"/>
                <w:sz w:val="17"/>
              </w:rPr>
              <w:t>534</w:t>
            </w:r>
          </w:p>
        </w:tc>
        <w:tc>
          <w:tcPr>
            <w:tcW w:type="dxa" w:w="1354"/>
          </w:tcPr>
          <w:p>
            <w:pPr>
              <w:spacing w:after="20"/>
              <w:jc w:val="right"/>
            </w:pPr>
            <w:r>
              <w:rPr>
                <w:color w:val="1C3A36"/>
                <w:sz w:val="17"/>
              </w:rPr>
              <w:t>460</w:t>
            </w:r>
          </w:p>
        </w:tc>
        <w:tc>
          <w:tcPr>
            <w:tcW w:type="dxa" w:w="1354"/>
          </w:tcPr>
          <w:p>
            <w:pPr>
              <w:spacing w:after="20"/>
              <w:jc w:val="right"/>
            </w:pPr>
            <w:r>
              <w:rPr>
                <w:color w:val="1C3A36"/>
                <w:sz w:val="17"/>
              </w:rPr>
              <w:t>434</w:t>
            </w:r>
          </w:p>
        </w:tc>
        <w:tc>
          <w:tcPr>
            <w:tcW w:type="dxa" w:w="1354"/>
          </w:tcPr>
          <w:p>
            <w:pPr>
              <w:spacing w:after="20"/>
              <w:jc w:val="right"/>
            </w:pPr>
            <w:r>
              <w:rPr>
                <w:color w:val="1C3A36"/>
                <w:sz w:val="17"/>
              </w:rPr>
              <w:t>438</w:t>
            </w:r>
          </w:p>
        </w:tc>
        <w:tc>
          <w:tcPr>
            <w:tcW w:type="dxa" w:w="1354"/>
          </w:tcPr>
          <w:p>
            <w:pPr>
              <w:spacing w:after="20"/>
              <w:jc w:val="right"/>
            </w:pPr>
            <w:r>
              <w:rPr>
                <w:color w:val="1C3A36"/>
                <w:sz w:val="17"/>
              </w:rPr>
              <w:t>443</w:t>
            </w:r>
          </w:p>
        </w:tc>
      </w:tr>
      <w:tr>
        <w:trPr>
          <w:cantSplit/>
        </w:trPr>
        <w:tc>
          <w:tcPr>
            <w:tcW w:type="dxa" w:w="3312"/>
          </w:tcPr>
          <w:p>
            <w:pPr>
              <w:spacing w:after="20"/>
            </w:pPr>
            <w:r>
              <w:rPr>
                <w:b/>
                <w:color w:val="1C3A36"/>
                <w:sz w:val="17"/>
              </w:rPr>
              <w:t>Invested capital</w:t>
            </w:r>
          </w:p>
        </w:tc>
        <w:tc>
          <w:tcPr>
            <w:tcW w:type="dxa" w:w="1354"/>
          </w:tcPr>
          <w:p>
            <w:pPr>
              <w:spacing w:after="20"/>
              <w:jc w:val="right"/>
            </w:pPr>
            <w:r>
              <w:rPr>
                <w:color w:val="1C3A36"/>
                <w:sz w:val="17"/>
              </w:rPr>
              <w:t>2,903</w:t>
            </w:r>
          </w:p>
        </w:tc>
        <w:tc>
          <w:tcPr>
            <w:tcW w:type="dxa" w:w="1354"/>
          </w:tcPr>
          <w:p>
            <w:pPr>
              <w:spacing w:after="20"/>
              <w:jc w:val="right"/>
            </w:pPr>
            <w:r>
              <w:rPr>
                <w:color w:val="1C3A36"/>
                <w:sz w:val="17"/>
              </w:rPr>
              <w:t>2,754</w:t>
            </w:r>
          </w:p>
        </w:tc>
        <w:tc>
          <w:tcPr>
            <w:tcW w:type="dxa" w:w="1354"/>
          </w:tcPr>
          <w:p>
            <w:pPr>
              <w:spacing w:after="20"/>
              <w:jc w:val="right"/>
            </w:pPr>
            <w:r>
              <w:rPr>
                <w:color w:val="1C3A36"/>
                <w:sz w:val="17"/>
              </w:rPr>
              <w:t>2,688</w:t>
            </w:r>
          </w:p>
        </w:tc>
        <w:tc>
          <w:tcPr>
            <w:tcW w:type="dxa" w:w="1354"/>
          </w:tcPr>
          <w:p>
            <w:pPr>
              <w:spacing w:after="20"/>
              <w:jc w:val="right"/>
            </w:pPr>
            <w:r>
              <w:rPr>
                <w:color w:val="1C3A36"/>
                <w:sz w:val="17"/>
              </w:rPr>
              <w:t>2,674</w:t>
            </w:r>
          </w:p>
        </w:tc>
        <w:tc>
          <w:tcPr>
            <w:tcW w:type="dxa" w:w="1354"/>
          </w:tcPr>
          <w:p>
            <w:pPr>
              <w:spacing w:after="20"/>
              <w:jc w:val="right"/>
            </w:pPr>
            <w:r>
              <w:rPr>
                <w:color w:val="1C3A36"/>
                <w:sz w:val="17"/>
              </w:rPr>
              <w:t>2,674</w:t>
            </w:r>
          </w:p>
        </w:tc>
      </w:tr>
      <w:tr>
        <w:trPr>
          <w:cantSplit/>
        </w:trPr>
        <w:tc>
          <w:tcPr>
            <w:tcW w:type="dxa" w:w="3312"/>
          </w:tcPr>
          <w:p>
            <w:pPr>
              <w:spacing w:after="20"/>
            </w:pPr>
            <w:r>
              <w:rPr>
                <w:b/>
                <w:color w:val="1C3A36"/>
                <w:sz w:val="17"/>
              </w:rPr>
              <w:t>Return on invested capital</w:t>
            </w:r>
          </w:p>
        </w:tc>
        <w:tc>
          <w:tcPr>
            <w:tcW w:type="dxa" w:w="1354"/>
          </w:tcPr>
          <w:p>
            <w:pPr>
              <w:spacing w:after="20"/>
              <w:jc w:val="right"/>
            </w:pPr>
            <w:r>
              <w:rPr>
                <w:color w:val="1C3A36"/>
                <w:sz w:val="17"/>
              </w:rPr>
              <w:t>30.8%</w:t>
            </w:r>
          </w:p>
        </w:tc>
        <w:tc>
          <w:tcPr>
            <w:tcW w:type="dxa" w:w="1354"/>
          </w:tcPr>
          <w:p>
            <w:pPr>
              <w:spacing w:after="20"/>
              <w:jc w:val="right"/>
            </w:pPr>
            <w:r>
              <w:rPr>
                <w:color w:val="1C3A36"/>
                <w:sz w:val="17"/>
              </w:rPr>
              <w:t>24.9%</w:t>
            </w:r>
          </w:p>
        </w:tc>
        <w:tc>
          <w:tcPr>
            <w:tcW w:type="dxa" w:w="1354"/>
          </w:tcPr>
          <w:p>
            <w:pPr>
              <w:spacing w:after="20"/>
              <w:jc w:val="right"/>
            </w:pPr>
            <w:r>
              <w:rPr>
                <w:color w:val="1C3A36"/>
                <w:sz w:val="17"/>
              </w:rPr>
              <w:t>22.3%</w:t>
            </w:r>
          </w:p>
        </w:tc>
        <w:tc>
          <w:tcPr>
            <w:tcW w:type="dxa" w:w="1354"/>
          </w:tcPr>
          <w:p>
            <w:pPr>
              <w:spacing w:after="20"/>
              <w:jc w:val="right"/>
            </w:pPr>
            <w:r>
              <w:rPr>
                <w:color w:val="1C3A36"/>
                <w:sz w:val="17"/>
              </w:rPr>
              <w:t>22.2%</w:t>
            </w:r>
          </w:p>
        </w:tc>
        <w:tc>
          <w:tcPr>
            <w:tcW w:type="dxa" w:w="1354"/>
          </w:tcPr>
          <w:p>
            <w:pPr>
              <w:spacing w:after="20"/>
              <w:jc w:val="right"/>
            </w:pPr>
            <w:r>
              <w:rPr>
                <w:color w:val="1C3A36"/>
                <w:sz w:val="17"/>
              </w:rPr>
              <w:t>22.2%</w:t>
            </w:r>
          </w:p>
        </w:tc>
      </w:tr>
      <w:tr>
        <w:trPr>
          <w:cantSplit/>
        </w:trPr>
        <w:tc>
          <w:tcPr>
            <w:tcW w:type="dxa" w:w="3312"/>
          </w:tcPr>
          <w:p>
            <w:pPr>
              <w:spacing w:after="20"/>
            </w:pPr>
            <w:r>
              <w:rPr>
                <w:b/>
                <w:color w:val="1C3A36"/>
                <w:sz w:val="17"/>
              </w:rPr>
              <w:t>Net debt</w:t>
            </w:r>
          </w:p>
        </w:tc>
        <w:tc>
          <w:tcPr>
            <w:tcW w:type="dxa" w:w="1354"/>
          </w:tcPr>
          <w:p>
            <w:pPr>
              <w:spacing w:after="20"/>
              <w:jc w:val="right"/>
            </w:pPr>
            <w:r>
              <w:rPr>
                <w:color w:val="1C3A36"/>
                <w:sz w:val="17"/>
              </w:rPr>
              <w:t>503</w:t>
            </w:r>
          </w:p>
        </w:tc>
        <w:tc>
          <w:tcPr>
            <w:tcW w:type="dxa" w:w="1354"/>
          </w:tcPr>
          <w:p>
            <w:pPr>
              <w:spacing w:after="20"/>
              <w:jc w:val="right"/>
            </w:pPr>
            <w:r>
              <w:rPr>
                <w:color w:val="1C3A36"/>
                <w:sz w:val="17"/>
              </w:rPr>
              <w:t>257</w:t>
            </w:r>
          </w:p>
        </w:tc>
        <w:tc>
          <w:tcPr>
            <w:tcW w:type="dxa" w:w="1354"/>
          </w:tcPr>
          <w:p>
            <w:pPr>
              <w:spacing w:after="20"/>
              <w:jc w:val="right"/>
            </w:pPr>
            <w:r>
              <w:rPr>
                <w:color w:val="1C3A36"/>
                <w:sz w:val="17"/>
              </w:rPr>
              <w:t>104</w:t>
            </w:r>
          </w:p>
        </w:tc>
        <w:tc>
          <w:tcPr>
            <w:tcW w:type="dxa" w:w="1354"/>
          </w:tcPr>
          <w:p>
            <w:pPr>
              <w:spacing w:after="20"/>
              <w:jc w:val="right"/>
            </w:pPr>
            <w:r>
              <w:rPr>
                <w:color w:val="1C3A36"/>
                <w:sz w:val="17"/>
              </w:rPr>
              <w:t>3</w:t>
            </w:r>
          </w:p>
        </w:tc>
        <w:tc>
          <w:tcPr>
            <w:tcW w:type="dxa" w:w="1354"/>
          </w:tcPr>
          <w:p>
            <w:pPr>
              <w:spacing w:after="20"/>
              <w:jc w:val="right"/>
            </w:pPr>
            <w:r>
              <w:rPr>
                <w:color w:val="1C3A36"/>
                <w:sz w:val="17"/>
              </w:rPr>
              <w:t>-84</w:t>
            </w:r>
          </w:p>
        </w:tc>
      </w:tr>
      <w:tr>
        <w:trPr>
          <w:cantSplit/>
        </w:trPr>
        <w:tc>
          <w:tcPr>
            <w:tcW w:type="dxa" w:w="3312"/>
          </w:tcPr>
          <w:p>
            <w:pPr>
              <w:spacing w:after="20"/>
            </w:pPr>
            <w:r>
              <w:rPr>
                <w:b/>
                <w:color w:val="1C3A36"/>
                <w:sz w:val="17"/>
              </w:rPr>
              <w:t>Capital expenditure</w:t>
            </w:r>
          </w:p>
        </w:tc>
        <w:tc>
          <w:tcPr>
            <w:tcW w:type="dxa" w:w="1354"/>
          </w:tcPr>
          <w:p>
            <w:pPr>
              <w:spacing w:after="20"/>
              <w:jc w:val="right"/>
            </w:pPr>
            <w:r>
              <w:rPr>
                <w:color w:val="1C3A36"/>
                <w:sz w:val="17"/>
              </w:rPr>
              <w:t>175</w:t>
            </w:r>
          </w:p>
        </w:tc>
        <w:tc>
          <w:tcPr>
            <w:tcW w:type="dxa" w:w="1354"/>
          </w:tcPr>
          <w:p>
            <w:pPr>
              <w:spacing w:after="20"/>
              <w:jc w:val="right"/>
            </w:pPr>
            <w:r>
              <w:rPr>
                <w:color w:val="1C3A36"/>
                <w:sz w:val="17"/>
              </w:rPr>
              <w:t>240</w:t>
            </w:r>
          </w:p>
        </w:tc>
        <w:tc>
          <w:tcPr>
            <w:tcW w:type="dxa" w:w="1354"/>
          </w:tcPr>
          <w:p>
            <w:pPr>
              <w:spacing w:after="20"/>
              <w:jc w:val="right"/>
            </w:pPr>
            <w:r>
              <w:rPr>
                <w:color w:val="1C3A36"/>
                <w:sz w:val="17"/>
              </w:rPr>
              <w:t>285</w:t>
            </w:r>
          </w:p>
        </w:tc>
        <w:tc>
          <w:tcPr>
            <w:tcW w:type="dxa" w:w="1354"/>
          </w:tcPr>
          <w:p>
            <w:pPr>
              <w:spacing w:after="20"/>
              <w:jc w:val="right"/>
            </w:pPr>
            <w:r>
              <w:rPr>
                <w:color w:val="1C3A36"/>
                <w:sz w:val="17"/>
              </w:rPr>
              <w:t>315</w:t>
            </w:r>
          </w:p>
        </w:tc>
        <w:tc>
          <w:tcPr>
            <w:tcW w:type="dxa" w:w="1354"/>
          </w:tcPr>
          <w:p>
            <w:pPr>
              <w:spacing w:after="20"/>
              <w:jc w:val="right"/>
            </w:pPr>
            <w:r>
              <w:rPr>
                <w:color w:val="1C3A36"/>
                <w:sz w:val="17"/>
              </w:rPr>
              <w:t>335</w:t>
            </w:r>
          </w:p>
        </w:tc>
      </w:tr>
      <w:tr>
        <w:trPr>
          <w:cantSplit/>
        </w:trPr>
        <w:tc>
          <w:tcPr>
            <w:tcW w:type="dxa" w:w="3312"/>
          </w:tcPr>
          <w:p>
            <w:pPr>
              <w:spacing w:after="20"/>
            </w:pPr>
            <w:r>
              <w:rPr>
                <w:b/>
                <w:color w:val="1C3A36"/>
                <w:sz w:val="17"/>
              </w:rPr>
              <w:t>Free cash flow to the firm</w:t>
            </w:r>
          </w:p>
        </w:tc>
        <w:tc>
          <w:tcPr>
            <w:tcW w:type="dxa" w:w="1354"/>
          </w:tcPr>
          <w:p>
            <w:pPr>
              <w:spacing w:after="20"/>
              <w:jc w:val="right"/>
            </w:pPr>
            <w:r>
              <w:rPr>
                <w:color w:val="1C3A36"/>
                <w:sz w:val="17"/>
              </w:rPr>
              <w:t>885</w:t>
            </w:r>
          </w:p>
        </w:tc>
        <w:tc>
          <w:tcPr>
            <w:tcW w:type="dxa" w:w="1354"/>
          </w:tcPr>
          <w:p>
            <w:pPr>
              <w:spacing w:after="20"/>
              <w:jc w:val="right"/>
            </w:pPr>
            <w:r>
              <w:rPr>
                <w:color w:val="1C3A36"/>
                <w:sz w:val="17"/>
              </w:rPr>
              <w:t>835</w:t>
            </w:r>
          </w:p>
        </w:tc>
        <w:tc>
          <w:tcPr>
            <w:tcW w:type="dxa" w:w="1354"/>
          </w:tcPr>
          <w:p>
            <w:pPr>
              <w:spacing w:after="20"/>
              <w:jc w:val="right"/>
            </w:pPr>
            <w:r>
              <w:rPr>
                <w:color w:val="1C3A36"/>
                <w:sz w:val="17"/>
              </w:rPr>
              <w:t>666</w:t>
            </w:r>
          </w:p>
        </w:tc>
        <w:tc>
          <w:tcPr>
            <w:tcW w:type="dxa" w:w="1354"/>
          </w:tcPr>
          <w:p>
            <w:pPr>
              <w:spacing w:after="20"/>
              <w:jc w:val="right"/>
            </w:pPr>
            <w:r>
              <w:rPr>
                <w:color w:val="1C3A36"/>
                <w:sz w:val="17"/>
              </w:rPr>
              <w:t>608</w:t>
            </w:r>
          </w:p>
        </w:tc>
        <w:tc>
          <w:tcPr>
            <w:tcW w:type="dxa" w:w="1354"/>
          </w:tcPr>
          <w:p>
            <w:pPr>
              <w:spacing w:after="20"/>
              <w:jc w:val="right"/>
            </w:pPr>
            <w:r>
              <w:rPr>
                <w:color w:val="1C3A36"/>
                <w:sz w:val="17"/>
              </w:rPr>
              <w:t>593</w:t>
            </w:r>
          </w:p>
        </w:tc>
      </w:tr>
    </w:tbl>
    <w:p>
      <w:pPr>
        <w:spacing w:after="40"/>
      </w:pPr>
    </w:p>
    <w:p>
      <w:pPr>
        <w:spacing w:after="120" w:before="80"/>
      </w:pPr>
      <w:r>
        <w:rPr>
          <w:b w:val="0"/>
          <w:i w:val="0"/>
          <w:color w:val="1C3A36"/>
          <w:sz w:val="21"/>
        </w:rPr>
        <w:t>The working-capital cycle is projected from the cycle the company actually runs, not plugged. Receivable days, inventory days and payable days measured off the filed statements were 64, 63 and 82 respectively for 2025, the payable figure excluding the Algerian gas accrual because that is not a trade payable in the ordinary course. Including it would have shown a negative cash conversion cycle of 27 days and made the business look as though suppliers funded it; excluding it gives 45 days, which is the honest figure and the one used.</w:t>
      </w:r>
    </w:p>
    <w:p>
      <w:r>
        <w:br w:type="page"/>
      </w:r>
    </w:p>
    <w:p>
      <w:pPr>
        <w:spacing w:after="120" w:before="280"/>
      </w:pPr>
      <w:r>
        <w:rPr>
          <w:b/>
          <w:i w:val="0"/>
          <w:color w:val="1C3A36"/>
          <w:sz w:val="30"/>
        </w:rPr>
        <w:t>Appendix B — Peers, risks and sources</w:t>
      </w:r>
    </w:p>
    <w:p>
      <w:pPr>
        <w:spacing w:after="80" w:before="200"/>
      </w:pPr>
      <w:r>
        <w:rPr>
          <w:b/>
          <w:i w:val="0"/>
          <w:color w:val="1C3A36"/>
          <w:sz w:val="24"/>
        </w:rPr>
        <w:t>B.1  Comparable companies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152"/>
        <w:gridCol w:w="2304"/>
        <w:gridCol w:w="4176"/>
      </w:tblGrid>
      <w:tr>
        <w:trPr>
          <w:cantSplit/>
          <w:tblHeader/>
        </w:trPr>
        <w:tc>
          <w:tcPr>
            <w:tcW w:type="dxa" w:w="2448"/>
            <w:shd w:val="clear" w:color="auto" w:fill="EAF0EE"/>
          </w:tcPr>
          <w:p>
            <w:pPr>
              <w:spacing w:after="20"/>
            </w:pPr>
            <w:r>
              <w:rPr>
                <w:b/>
                <w:color w:val="1C3A36"/>
                <w:sz w:val="17"/>
              </w:rPr>
              <w:t>Company</w:t>
            </w:r>
          </w:p>
        </w:tc>
        <w:tc>
          <w:tcPr>
            <w:tcW w:type="dxa" w:w="1152"/>
            <w:shd w:val="clear" w:color="auto" w:fill="EAF0EE"/>
          </w:tcPr>
          <w:p>
            <w:pPr>
              <w:spacing w:after="20"/>
            </w:pPr>
            <w:r>
              <w:rPr>
                <w:b/>
                <w:color w:val="1C3A36"/>
                <w:sz w:val="17"/>
              </w:rPr>
              <w:t>Market</w:t>
            </w:r>
          </w:p>
        </w:tc>
        <w:tc>
          <w:tcPr>
            <w:tcW w:type="dxa" w:w="2304"/>
            <w:shd w:val="clear" w:color="auto" w:fill="EAF0EE"/>
          </w:tcPr>
          <w:p>
            <w:pPr>
              <w:spacing w:after="20"/>
            </w:pPr>
            <w:r>
              <w:rPr>
                <w:b/>
                <w:color w:val="1C3A36"/>
                <w:sz w:val="17"/>
              </w:rPr>
              <w:t>Enterprise value to EBITDA</w:t>
            </w:r>
          </w:p>
        </w:tc>
        <w:tc>
          <w:tcPr>
            <w:tcW w:type="dxa" w:w="4176"/>
            <w:shd w:val="clear" w:color="auto" w:fill="EAF0EE"/>
          </w:tcPr>
          <w:p>
            <w:pPr>
              <w:spacing w:after="20"/>
            </w:pPr>
            <w:r>
              <w:rPr>
                <w:b/>
                <w:color w:val="1C3A36"/>
                <w:sz w:val="17"/>
              </w:rPr>
              <w:t>Character</w:t>
            </w:r>
          </w:p>
        </w:tc>
      </w:tr>
      <w:tr>
        <w:trPr>
          <w:cantSplit/>
        </w:trPr>
        <w:tc>
          <w:tcPr>
            <w:tcW w:type="dxa" w:w="2448"/>
          </w:tcPr>
          <w:p>
            <w:pPr>
              <w:spacing w:after="20"/>
            </w:pPr>
            <w:r>
              <w:rPr>
                <w:b/>
                <w:color w:val="1C3A36"/>
                <w:sz w:val="17"/>
              </w:rPr>
              <w:t>Nutrien</w:t>
            </w:r>
          </w:p>
        </w:tc>
        <w:tc>
          <w:tcPr>
            <w:tcW w:type="dxa" w:w="1152"/>
          </w:tcPr>
          <w:p>
            <w:pPr>
              <w:spacing w:after="20"/>
              <w:jc w:val="right"/>
            </w:pPr>
            <w:r>
              <w:rPr>
                <w:color w:val="1C3A36"/>
                <w:sz w:val="17"/>
              </w:rPr>
              <w:t>US</w:t>
            </w:r>
          </w:p>
        </w:tc>
        <w:tc>
          <w:tcPr>
            <w:tcW w:type="dxa" w:w="2304"/>
          </w:tcPr>
          <w:p>
            <w:pPr>
              <w:spacing w:after="20"/>
              <w:jc w:val="right"/>
            </w:pPr>
            <w:r>
              <w:rPr>
                <w:color w:val="1C3A36"/>
                <w:sz w:val="17"/>
              </w:rPr>
              <w:t>7.4x</w:t>
            </w:r>
          </w:p>
        </w:tc>
        <w:tc>
          <w:tcPr>
            <w:tcW w:type="dxa" w:w="4176"/>
          </w:tcPr>
          <w:p>
            <w:pPr>
              <w:spacing w:after="20"/>
              <w:jc w:val="right"/>
            </w:pPr>
            <w:r>
              <w:rPr>
                <w:color w:val="1C3A36"/>
                <w:sz w:val="17"/>
              </w:rPr>
              <w:t>diversified nutrient, retail attached</w:t>
            </w:r>
          </w:p>
        </w:tc>
      </w:tr>
      <w:tr>
        <w:trPr>
          <w:cantSplit/>
        </w:trPr>
        <w:tc>
          <w:tcPr>
            <w:tcW w:type="dxa" w:w="2448"/>
          </w:tcPr>
          <w:p>
            <w:pPr>
              <w:spacing w:after="20"/>
            </w:pPr>
            <w:r>
              <w:rPr>
                <w:b/>
                <w:color w:val="1C3A36"/>
                <w:sz w:val="17"/>
              </w:rPr>
              <w:t>CF Industries</w:t>
            </w:r>
          </w:p>
        </w:tc>
        <w:tc>
          <w:tcPr>
            <w:tcW w:type="dxa" w:w="1152"/>
          </w:tcPr>
          <w:p>
            <w:pPr>
              <w:spacing w:after="20"/>
              <w:jc w:val="right"/>
            </w:pPr>
            <w:r>
              <w:rPr>
                <w:color w:val="1C3A36"/>
                <w:sz w:val="17"/>
              </w:rPr>
              <w:t>US</w:t>
            </w:r>
          </w:p>
        </w:tc>
        <w:tc>
          <w:tcPr>
            <w:tcW w:type="dxa" w:w="2304"/>
          </w:tcPr>
          <w:p>
            <w:pPr>
              <w:spacing w:after="20"/>
              <w:jc w:val="right"/>
            </w:pPr>
            <w:r>
              <w:rPr>
                <w:color w:val="1C3A36"/>
                <w:sz w:val="17"/>
              </w:rPr>
              <w:t>6.1x</w:t>
            </w:r>
          </w:p>
        </w:tc>
        <w:tc>
          <w:tcPr>
            <w:tcW w:type="dxa" w:w="4176"/>
          </w:tcPr>
          <w:p>
            <w:pPr>
              <w:spacing w:after="20"/>
              <w:jc w:val="right"/>
            </w:pPr>
            <w:r>
              <w:rPr>
                <w:color w:val="1C3A36"/>
                <w:sz w:val="17"/>
              </w:rPr>
              <w:t>pure nitrogen, Henry Hub advantaged</w:t>
            </w:r>
          </w:p>
        </w:tc>
      </w:tr>
      <w:tr>
        <w:trPr>
          <w:cantSplit/>
        </w:trPr>
        <w:tc>
          <w:tcPr>
            <w:tcW w:type="dxa" w:w="2448"/>
          </w:tcPr>
          <w:p>
            <w:pPr>
              <w:spacing w:after="20"/>
            </w:pPr>
            <w:r>
              <w:rPr>
                <w:b/>
                <w:color w:val="1C3A36"/>
                <w:sz w:val="17"/>
              </w:rPr>
              <w:t>Yara International</w:t>
            </w:r>
          </w:p>
        </w:tc>
        <w:tc>
          <w:tcPr>
            <w:tcW w:type="dxa" w:w="1152"/>
          </w:tcPr>
          <w:p>
            <w:pPr>
              <w:spacing w:after="20"/>
              <w:jc w:val="right"/>
            </w:pPr>
            <w:r>
              <w:rPr>
                <w:color w:val="1C3A36"/>
                <w:sz w:val="17"/>
              </w:rPr>
              <w:t>NO</w:t>
            </w:r>
          </w:p>
        </w:tc>
        <w:tc>
          <w:tcPr>
            <w:tcW w:type="dxa" w:w="2304"/>
          </w:tcPr>
          <w:p>
            <w:pPr>
              <w:spacing w:after="20"/>
              <w:jc w:val="right"/>
            </w:pPr>
            <w:r>
              <w:rPr>
                <w:color w:val="1C3A36"/>
                <w:sz w:val="17"/>
              </w:rPr>
              <w:t>5.2x</w:t>
            </w:r>
          </w:p>
        </w:tc>
        <w:tc>
          <w:tcPr>
            <w:tcW w:type="dxa" w:w="4176"/>
          </w:tcPr>
          <w:p>
            <w:pPr>
              <w:spacing w:after="20"/>
              <w:jc w:val="right"/>
            </w:pPr>
            <w:r>
              <w:rPr>
                <w:color w:val="1C3A36"/>
                <w:sz w:val="17"/>
              </w:rPr>
              <w:t>nitrogen, European gas cost</w:t>
            </w:r>
          </w:p>
        </w:tc>
      </w:tr>
      <w:tr>
        <w:trPr>
          <w:cantSplit/>
        </w:trPr>
        <w:tc>
          <w:tcPr>
            <w:tcW w:type="dxa" w:w="2448"/>
          </w:tcPr>
          <w:p>
            <w:pPr>
              <w:spacing w:after="20"/>
            </w:pPr>
            <w:r>
              <w:rPr>
                <w:b/>
                <w:color w:val="1C3A36"/>
                <w:sz w:val="17"/>
              </w:rPr>
              <w:t>OCI Global</w:t>
            </w:r>
          </w:p>
        </w:tc>
        <w:tc>
          <w:tcPr>
            <w:tcW w:type="dxa" w:w="1152"/>
          </w:tcPr>
          <w:p>
            <w:pPr>
              <w:spacing w:after="20"/>
              <w:jc w:val="right"/>
            </w:pPr>
            <w:r>
              <w:rPr>
                <w:color w:val="1C3A36"/>
                <w:sz w:val="17"/>
              </w:rPr>
              <w:t>NL</w:t>
            </w:r>
          </w:p>
        </w:tc>
        <w:tc>
          <w:tcPr>
            <w:tcW w:type="dxa" w:w="2304"/>
          </w:tcPr>
          <w:p>
            <w:pPr>
              <w:spacing w:after="20"/>
              <w:jc w:val="right"/>
            </w:pPr>
            <w:r>
              <w:rPr>
                <w:color w:val="1C3A36"/>
                <w:sz w:val="17"/>
              </w:rPr>
              <w:t>5.6x</w:t>
            </w:r>
          </w:p>
        </w:tc>
        <w:tc>
          <w:tcPr>
            <w:tcW w:type="dxa" w:w="4176"/>
          </w:tcPr>
          <w:p>
            <w:pPr>
              <w:spacing w:after="20"/>
              <w:jc w:val="right"/>
            </w:pPr>
            <w:r>
              <w:rPr>
                <w:color w:val="1C3A36"/>
                <w:sz w:val="17"/>
              </w:rPr>
              <w:t>nitrogen and methanol</w:t>
            </w:r>
          </w:p>
        </w:tc>
      </w:tr>
      <w:tr>
        <w:trPr>
          <w:cantSplit/>
        </w:trPr>
        <w:tc>
          <w:tcPr>
            <w:tcW w:type="dxa" w:w="2448"/>
          </w:tcPr>
          <w:p>
            <w:pPr>
              <w:spacing w:after="20"/>
            </w:pPr>
            <w:r>
              <w:rPr>
                <w:b/>
                <w:color w:val="1C3A36"/>
                <w:sz w:val="17"/>
              </w:rPr>
              <w:t>Industries Qatar</w:t>
            </w:r>
          </w:p>
        </w:tc>
        <w:tc>
          <w:tcPr>
            <w:tcW w:type="dxa" w:w="1152"/>
          </w:tcPr>
          <w:p>
            <w:pPr>
              <w:spacing w:after="20"/>
              <w:jc w:val="right"/>
            </w:pPr>
            <w:r>
              <w:rPr>
                <w:color w:val="1C3A36"/>
                <w:sz w:val="17"/>
              </w:rPr>
              <w:t>QA</w:t>
            </w:r>
          </w:p>
        </w:tc>
        <w:tc>
          <w:tcPr>
            <w:tcW w:type="dxa" w:w="2304"/>
          </w:tcPr>
          <w:p>
            <w:pPr>
              <w:spacing w:after="20"/>
              <w:jc w:val="right"/>
            </w:pPr>
            <w:r>
              <w:rPr>
                <w:color w:val="1C3A36"/>
                <w:sz w:val="17"/>
              </w:rPr>
              <w:t>9.1x</w:t>
            </w:r>
          </w:p>
        </w:tc>
        <w:tc>
          <w:tcPr>
            <w:tcW w:type="dxa" w:w="4176"/>
          </w:tcPr>
          <w:p>
            <w:pPr>
              <w:spacing w:after="20"/>
              <w:jc w:val="right"/>
            </w:pPr>
            <w:r>
              <w:rPr>
                <w:color w:val="1C3A36"/>
                <w:sz w:val="17"/>
              </w:rPr>
              <w:t>Gulf petrochemical and fertiliser</w:t>
            </w:r>
          </w:p>
        </w:tc>
      </w:tr>
      <w:tr>
        <w:trPr>
          <w:cantSplit/>
        </w:trPr>
        <w:tc>
          <w:tcPr>
            <w:tcW w:type="dxa" w:w="2448"/>
          </w:tcPr>
          <w:p>
            <w:pPr>
              <w:spacing w:after="20"/>
            </w:pPr>
            <w:r>
              <w:rPr>
                <w:b/>
                <w:color w:val="1C3A36"/>
                <w:sz w:val="17"/>
              </w:rPr>
              <w:t>SABIC Agri-Nutrients</w:t>
            </w:r>
          </w:p>
        </w:tc>
        <w:tc>
          <w:tcPr>
            <w:tcW w:type="dxa" w:w="1152"/>
          </w:tcPr>
          <w:p>
            <w:pPr>
              <w:spacing w:after="20"/>
              <w:jc w:val="right"/>
            </w:pPr>
            <w:r>
              <w:rPr>
                <w:color w:val="1C3A36"/>
                <w:sz w:val="17"/>
              </w:rPr>
              <w:t>SA</w:t>
            </w:r>
          </w:p>
        </w:tc>
        <w:tc>
          <w:tcPr>
            <w:tcW w:type="dxa" w:w="2304"/>
          </w:tcPr>
          <w:p>
            <w:pPr>
              <w:spacing w:after="20"/>
              <w:jc w:val="right"/>
            </w:pPr>
            <w:r>
              <w:rPr>
                <w:color w:val="1C3A36"/>
                <w:sz w:val="17"/>
              </w:rPr>
              <w:t>10.4x</w:t>
            </w:r>
          </w:p>
        </w:tc>
        <w:tc>
          <w:tcPr>
            <w:tcW w:type="dxa" w:w="4176"/>
          </w:tcPr>
          <w:p>
            <w:pPr>
              <w:spacing w:after="20"/>
              <w:jc w:val="right"/>
            </w:pPr>
            <w:r>
              <w:rPr>
                <w:color w:val="1C3A36"/>
                <w:sz w:val="17"/>
              </w:rPr>
              <w:t>Gulf nitrogen, Tadawul rating</w:t>
            </w:r>
          </w:p>
        </w:tc>
      </w:tr>
    </w:tbl>
    <w:p>
      <w:pPr>
        <w:spacing w:after="40"/>
      </w:pP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944"/>
        <w:gridCol w:w="5112"/>
      </w:tblGrid>
      <w:tr>
        <w:trPr>
          <w:cantSplit/>
          <w:tblHeader/>
        </w:trPr>
        <w:tc>
          <w:tcPr>
            <w:tcW w:type="dxa" w:w="3024"/>
            <w:shd w:val="clear" w:color="auto" w:fill="EAF0EE"/>
          </w:tcPr>
          <w:p>
            <w:pPr>
              <w:spacing w:after="20"/>
            </w:pPr>
            <w:r>
              <w:rPr>
                <w:b/>
                <w:color w:val="1C3A36"/>
                <w:sz w:val="17"/>
              </w:rPr>
              <w:t>Risk</w:t>
            </w:r>
          </w:p>
        </w:tc>
        <w:tc>
          <w:tcPr>
            <w:tcW w:type="dxa" w:w="1944"/>
            <w:shd w:val="clear" w:color="auto" w:fill="EAF0EE"/>
          </w:tcPr>
          <w:p>
            <w:pPr>
              <w:spacing w:after="20"/>
            </w:pPr>
            <w:r>
              <w:rPr>
                <w:b/>
                <w:color w:val="1C3A36"/>
                <w:sz w:val="17"/>
              </w:rPr>
              <w:t>Type</w:t>
            </w:r>
          </w:p>
        </w:tc>
        <w:tc>
          <w:tcPr>
            <w:tcW w:type="dxa" w:w="5112"/>
            <w:shd w:val="clear" w:color="auto" w:fill="EAF0EE"/>
          </w:tcPr>
          <w:p>
            <w:pPr>
              <w:spacing w:after="20"/>
            </w:pPr>
            <w:r>
              <w:rPr>
                <w:b/>
                <w:color w:val="1C3A36"/>
                <w:sz w:val="17"/>
              </w:rPr>
              <w:t>Assessment</w:t>
            </w:r>
          </w:p>
        </w:tc>
      </w:tr>
      <w:tr>
        <w:trPr>
          <w:cantSplit/>
        </w:trPr>
        <w:tc>
          <w:tcPr>
            <w:tcW w:type="dxa" w:w="3024"/>
          </w:tcPr>
          <w:p>
            <w:pPr>
              <w:spacing w:after="20"/>
            </w:pPr>
            <w:r>
              <w:rPr>
                <w:b/>
                <w:color w:val="1C3A36"/>
                <w:sz w:val="17"/>
              </w:rPr>
              <w:t>Nitrogen price cycle</w:t>
            </w:r>
          </w:p>
        </w:tc>
        <w:tc>
          <w:tcPr>
            <w:tcW w:type="dxa" w:w="1944"/>
          </w:tcPr>
          <w:p>
            <w:pPr>
              <w:spacing w:after="20"/>
            </w:pPr>
            <w:r>
              <w:rPr>
                <w:color w:val="1C3A36"/>
                <w:sz w:val="17"/>
              </w:rPr>
              <w:t>Market</w:t>
            </w:r>
          </w:p>
        </w:tc>
        <w:tc>
          <w:tcPr>
            <w:tcW w:type="dxa" w:w="5112"/>
          </w:tcPr>
          <w:p>
            <w:pPr>
              <w:spacing w:after="20"/>
              <w:jc w:val="right"/>
            </w:pPr>
            <w:r>
              <w:rPr>
                <w:color w:val="1C3A36"/>
                <w:sz w:val="17"/>
              </w:rPr>
              <w:t>The dominant exposure, partly self-hedged by the gas link</w:t>
            </w:r>
          </w:p>
        </w:tc>
      </w:tr>
      <w:tr>
        <w:trPr>
          <w:cantSplit/>
        </w:trPr>
        <w:tc>
          <w:tcPr>
            <w:tcW w:type="dxa" w:w="3024"/>
          </w:tcPr>
          <w:p>
            <w:pPr>
              <w:spacing w:after="20"/>
            </w:pPr>
            <w:r>
              <w:rPr>
                <w:b/>
                <w:color w:val="1C3A36"/>
                <w:sz w:val="17"/>
              </w:rPr>
              <w:t>Algerian gas contract settlement</w:t>
            </w:r>
          </w:p>
        </w:tc>
        <w:tc>
          <w:tcPr>
            <w:tcW w:type="dxa" w:w="1944"/>
          </w:tcPr>
          <w:p>
            <w:pPr>
              <w:spacing w:after="20"/>
            </w:pPr>
            <w:r>
              <w:rPr>
                <w:color w:val="1C3A36"/>
                <w:sz w:val="17"/>
              </w:rPr>
              <w:t>Contractual</w:t>
            </w:r>
          </w:p>
        </w:tc>
        <w:tc>
          <w:tcPr>
            <w:tcW w:type="dxa" w:w="5112"/>
          </w:tcPr>
          <w:p>
            <w:pPr>
              <w:spacing w:after="20"/>
              <w:jc w:val="right"/>
            </w:pPr>
            <w:r>
              <w:rPr>
                <w:color w:val="1C3A36"/>
                <w:sz w:val="17"/>
              </w:rPr>
              <w:t>Unquantified until agreed; accrued but not settled</w:t>
            </w:r>
          </w:p>
        </w:tc>
      </w:tr>
      <w:tr>
        <w:trPr>
          <w:cantSplit/>
        </w:trPr>
        <w:tc>
          <w:tcPr>
            <w:tcW w:type="dxa" w:w="3024"/>
          </w:tcPr>
          <w:p>
            <w:pPr>
              <w:spacing w:after="20"/>
            </w:pPr>
            <w:r>
              <w:rPr>
                <w:b/>
                <w:color w:val="1C3A36"/>
                <w:sz w:val="17"/>
              </w:rPr>
              <w:t>Egyptian gas supply</w:t>
            </w:r>
          </w:p>
        </w:tc>
        <w:tc>
          <w:tcPr>
            <w:tcW w:type="dxa" w:w="1944"/>
          </w:tcPr>
          <w:p>
            <w:pPr>
              <w:spacing w:after="20"/>
            </w:pPr>
            <w:r>
              <w:rPr>
                <w:color w:val="1C3A36"/>
                <w:sz w:val="17"/>
              </w:rPr>
              <w:t>Operational</w:t>
            </w:r>
          </w:p>
        </w:tc>
        <w:tc>
          <w:tcPr>
            <w:tcW w:type="dxa" w:w="5112"/>
          </w:tcPr>
          <w:p>
            <w:pPr>
              <w:spacing w:after="20"/>
              <w:jc w:val="right"/>
            </w:pPr>
            <w:r>
              <w:rPr>
                <w:color w:val="1C3A36"/>
                <w:sz w:val="17"/>
              </w:rPr>
              <w:t>Curtailments hit the second quarter of 2025; management reported no interruptions through the first half of 2026</w:t>
            </w:r>
          </w:p>
        </w:tc>
      </w:tr>
      <w:tr>
        <w:trPr>
          <w:cantSplit/>
        </w:trPr>
        <w:tc>
          <w:tcPr>
            <w:tcW w:type="dxa" w:w="3024"/>
          </w:tcPr>
          <w:p>
            <w:pPr>
              <w:spacing w:after="20"/>
            </w:pPr>
            <w:r>
              <w:rPr>
                <w:b/>
                <w:color w:val="1C3A36"/>
                <w:sz w:val="17"/>
              </w:rPr>
              <w:t>Regional conflict and shipping routes</w:t>
            </w:r>
          </w:p>
        </w:tc>
        <w:tc>
          <w:tcPr>
            <w:tcW w:type="dxa" w:w="1944"/>
          </w:tcPr>
          <w:p>
            <w:pPr>
              <w:spacing w:after="20"/>
            </w:pPr>
            <w:r>
              <w:rPr>
                <w:color w:val="1C3A36"/>
                <w:sz w:val="17"/>
              </w:rPr>
              <w:t>Geopolitical</w:t>
            </w:r>
          </w:p>
        </w:tc>
        <w:tc>
          <w:tcPr>
            <w:tcW w:type="dxa" w:w="5112"/>
          </w:tcPr>
          <w:p>
            <w:pPr>
              <w:spacing w:after="20"/>
              <w:jc w:val="right"/>
            </w:pPr>
            <w:r>
              <w:rPr>
                <w:color w:val="1C3A36"/>
                <w:sz w:val="17"/>
              </w:rPr>
              <w:t>Directly affected export volumes and logistics cost in 2026</w:t>
            </w:r>
          </w:p>
        </w:tc>
      </w:tr>
      <w:tr>
        <w:trPr>
          <w:cantSplit/>
        </w:trPr>
        <w:tc>
          <w:tcPr>
            <w:tcW w:type="dxa" w:w="3024"/>
          </w:tcPr>
          <w:p>
            <w:pPr>
              <w:spacing w:after="20"/>
            </w:pPr>
            <w:r>
              <w:rPr>
                <w:b/>
                <w:color w:val="1C3A36"/>
                <w:sz w:val="17"/>
              </w:rPr>
              <w:t>Country risk in Egypt and Algeria</w:t>
            </w:r>
          </w:p>
        </w:tc>
        <w:tc>
          <w:tcPr>
            <w:tcW w:type="dxa" w:w="1944"/>
          </w:tcPr>
          <w:p>
            <w:pPr>
              <w:spacing w:after="20"/>
            </w:pPr>
            <w:r>
              <w:rPr>
                <w:color w:val="1C3A36"/>
                <w:sz w:val="17"/>
              </w:rPr>
              <w:t>Sovereign</w:t>
            </w:r>
          </w:p>
        </w:tc>
        <w:tc>
          <w:tcPr>
            <w:tcW w:type="dxa" w:w="5112"/>
          </w:tcPr>
          <w:p>
            <w:pPr>
              <w:spacing w:after="20"/>
              <w:jc w:val="right"/>
            </w:pPr>
            <w:r>
              <w:rPr>
                <w:color w:val="1C3A36"/>
                <w:sz w:val="17"/>
              </w:rPr>
              <w:t>Priced explicitly through the asset-weighted equity risk premium</w:t>
            </w:r>
          </w:p>
        </w:tc>
      </w:tr>
      <w:tr>
        <w:trPr>
          <w:cantSplit/>
        </w:trPr>
        <w:tc>
          <w:tcPr>
            <w:tcW w:type="dxa" w:w="3024"/>
          </w:tcPr>
          <w:p>
            <w:pPr>
              <w:spacing w:after="20"/>
            </w:pPr>
            <w:r>
              <w:rPr>
                <w:b/>
                <w:color w:val="1C3A36"/>
                <w:sz w:val="17"/>
              </w:rPr>
              <w:t>Concentrated ownership and thin float</w:t>
            </w:r>
          </w:p>
        </w:tc>
        <w:tc>
          <w:tcPr>
            <w:tcW w:type="dxa" w:w="1944"/>
          </w:tcPr>
          <w:p>
            <w:pPr>
              <w:spacing w:after="20"/>
            </w:pPr>
            <w:r>
              <w:rPr>
                <w:color w:val="1C3A36"/>
                <w:sz w:val="17"/>
              </w:rPr>
              <w:t>Governance / liquidity</w:t>
            </w:r>
          </w:p>
        </w:tc>
        <w:tc>
          <w:tcPr>
            <w:tcW w:type="dxa" w:w="5112"/>
          </w:tcPr>
          <w:p>
            <w:pPr>
              <w:spacing w:after="20"/>
              <w:jc w:val="right"/>
            </w:pPr>
            <w:r>
              <w:rPr>
                <w:color w:val="1C3A36"/>
                <w:sz w:val="17"/>
              </w:rPr>
              <w:t>87.4% held by one shareholder</w:t>
            </w:r>
          </w:p>
        </w:tc>
      </w:tr>
      <w:tr>
        <w:trPr>
          <w:cantSplit/>
        </w:trPr>
        <w:tc>
          <w:tcPr>
            <w:tcW w:type="dxa" w:w="3024"/>
          </w:tcPr>
          <w:p>
            <w:pPr>
              <w:spacing w:after="20"/>
            </w:pPr>
            <w:r>
              <w:rPr>
                <w:b/>
                <w:color w:val="1C3A36"/>
                <w:sz w:val="17"/>
              </w:rPr>
              <w:t>Currency</w:t>
            </w:r>
          </w:p>
        </w:tc>
        <w:tc>
          <w:tcPr>
            <w:tcW w:type="dxa" w:w="1944"/>
          </w:tcPr>
          <w:p>
            <w:pPr>
              <w:spacing w:after="20"/>
            </w:pPr>
            <w:r>
              <w:rPr>
                <w:color w:val="1C3A36"/>
                <w:sz w:val="17"/>
              </w:rPr>
              <w:t>Financial</w:t>
            </w:r>
          </w:p>
        </w:tc>
        <w:tc>
          <w:tcPr>
            <w:tcW w:type="dxa" w:w="5112"/>
          </w:tcPr>
          <w:p>
            <w:pPr>
              <w:spacing w:after="20"/>
              <w:jc w:val="right"/>
            </w:pPr>
            <w:r>
              <w:rPr>
                <w:color w:val="1C3A36"/>
                <w:sz w:val="17"/>
              </w:rPr>
              <w:t>Low — reporting, revenue and most debt are all in US dollars, and the dirham is pegged</w:t>
            </w:r>
          </w:p>
        </w:tc>
      </w:tr>
    </w:tbl>
    <w:p>
      <w:pPr>
        <w:spacing w:after="40"/>
      </w:pPr>
    </w:p>
    <w:p>
      <w:pPr>
        <w:spacing w:after="80" w:before="200"/>
      </w:pPr>
      <w:r>
        <w:rPr>
          <w:b/>
          <w:i w:val="0"/>
          <w:color w:val="1C3A36"/>
          <w:sz w:val="24"/>
        </w:rPr>
        <w:t>B.3  Sources</w:t>
      </w:r>
    </w:p>
    <w:p>
      <w:pPr>
        <w:spacing w:after="120" w:before="0"/>
      </w:pPr>
      <w:r>
        <w:rPr>
          <w:b w:val="0"/>
          <w:i w:val="0"/>
          <w:color w:val="1C3A36"/>
          <w:sz w:val="21"/>
        </w:rPr>
        <w:t>The complete source record — every input with its value, date and derivation, grouped by research layer, together with the primary documents, the judgements and what would overturn each of them, and the searches that returned nothing — is published as a separate document accompanying this study. In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008"/>
        <w:gridCol w:w="5328"/>
      </w:tblGrid>
      <w:tr>
        <w:trPr>
          <w:cantSplit/>
          <w:tblHeader/>
        </w:trPr>
        <w:tc>
          <w:tcPr>
            <w:tcW w:type="dxa" w:w="3744"/>
            <w:shd w:val="clear" w:color="auto" w:fill="EAF0EE"/>
          </w:tcPr>
          <w:p>
            <w:pPr>
              <w:spacing w:after="20"/>
            </w:pPr>
            <w:r>
              <w:rPr>
                <w:b/>
                <w:color w:val="1C3A36"/>
                <w:sz w:val="17"/>
              </w:rPr>
              <w:t>Category</w:t>
            </w:r>
          </w:p>
        </w:tc>
        <w:tc>
          <w:tcPr>
            <w:tcW w:type="dxa" w:w="1008"/>
            <w:shd w:val="clear" w:color="auto" w:fill="EAF0EE"/>
          </w:tcPr>
          <w:p>
            <w:pPr>
              <w:spacing w:after="20"/>
            </w:pPr>
            <w:r>
              <w:rPr>
                <w:b/>
                <w:color w:val="1C3A36"/>
                <w:sz w:val="17"/>
              </w:rPr>
              <w:t>Count</w:t>
            </w:r>
          </w:p>
        </w:tc>
        <w:tc>
          <w:tcPr>
            <w:tcW w:type="dxa" w:w="5328"/>
            <w:shd w:val="clear" w:color="auto" w:fill="EAF0EE"/>
          </w:tcPr>
          <w:p>
            <w:pPr>
              <w:spacing w:after="20"/>
            </w:pPr>
            <w:r>
              <w:rPr>
                <w:b/>
                <w:color w:val="1C3A36"/>
                <w:sz w:val="17"/>
              </w:rPr>
              <w:t>Detail</w:t>
            </w:r>
          </w:p>
        </w:tc>
      </w:tr>
      <w:tr>
        <w:trPr>
          <w:cantSplit/>
        </w:trPr>
        <w:tc>
          <w:tcPr>
            <w:tcW w:type="dxa" w:w="3744"/>
          </w:tcPr>
          <w:p>
            <w:pPr>
              <w:spacing w:after="20"/>
            </w:pPr>
            <w:r>
              <w:rPr>
                <w:b/>
                <w:color w:val="1C3A36"/>
                <w:sz w:val="17"/>
              </w:rPr>
              <w:t>Complete audited financial years obtained</w:t>
            </w:r>
          </w:p>
        </w:tc>
        <w:tc>
          <w:tcPr>
            <w:tcW w:type="dxa" w:w="1008"/>
          </w:tcPr>
          <w:p>
            <w:pPr>
              <w:spacing w:after="20"/>
              <w:jc w:val="right"/>
            </w:pPr>
            <w:r>
              <w:rPr>
                <w:color w:val="1C3A36"/>
                <w:sz w:val="17"/>
              </w:rPr>
              <w:t>4</w:t>
            </w:r>
          </w:p>
        </w:tc>
        <w:tc>
          <w:tcPr>
            <w:tcW w:type="dxa" w:w="5328"/>
          </w:tcPr>
          <w:p>
            <w:pPr>
              <w:spacing w:after="20"/>
              <w:jc w:val="right"/>
            </w:pPr>
            <w:r>
              <w:rPr>
                <w:color w:val="1C3A36"/>
                <w:sz w:val="17"/>
              </w:rPr>
              <w:t>FY2022, FY2023, FY2024 and FY2025, each from the signed consolidated statements</w:t>
            </w:r>
          </w:p>
        </w:tc>
      </w:tr>
      <w:tr>
        <w:trPr>
          <w:cantSplit/>
        </w:trPr>
        <w:tc>
          <w:tcPr>
            <w:tcW w:type="dxa" w:w="3744"/>
          </w:tcPr>
          <w:p>
            <w:pPr>
              <w:spacing w:after="20"/>
            </w:pPr>
            <w:r>
              <w:rPr>
                <w:b/>
                <w:color w:val="1C3A36"/>
                <w:sz w:val="17"/>
              </w:rPr>
              <w:t>Interim periods of the current year</w:t>
            </w:r>
          </w:p>
        </w:tc>
        <w:tc>
          <w:tcPr>
            <w:tcW w:type="dxa" w:w="1008"/>
          </w:tcPr>
          <w:p>
            <w:pPr>
              <w:spacing w:after="20"/>
              <w:jc w:val="right"/>
            </w:pPr>
            <w:r>
              <w:rPr>
                <w:color w:val="1C3A36"/>
                <w:sz w:val="17"/>
              </w:rPr>
              <w:t>2</w:t>
            </w:r>
          </w:p>
        </w:tc>
        <w:tc>
          <w:tcPr>
            <w:tcW w:type="dxa" w:w="5328"/>
          </w:tcPr>
          <w:p>
            <w:pPr>
              <w:spacing w:after="20"/>
              <w:jc w:val="right"/>
            </w:pPr>
            <w:r>
              <w:rPr>
                <w:color w:val="1C3A36"/>
                <w:sz w:val="17"/>
              </w:rPr>
              <w:t>First quarter and first half of 2026, both already on the public record and both incorporated before the forecast was built</w:t>
            </w:r>
          </w:p>
        </w:tc>
      </w:tr>
      <w:tr>
        <w:trPr>
          <w:cantSplit/>
        </w:trPr>
        <w:tc>
          <w:tcPr>
            <w:tcW w:type="dxa" w:w="3744"/>
          </w:tcPr>
          <w:p>
            <w:pPr>
              <w:spacing w:after="20"/>
            </w:pPr>
            <w:r>
              <w:rPr>
                <w:b/>
                <w:color w:val="1C3A36"/>
                <w:sz w:val="17"/>
              </w:rPr>
              <w:t>Company documents read</w:t>
            </w:r>
          </w:p>
        </w:tc>
        <w:tc>
          <w:tcPr>
            <w:tcW w:type="dxa" w:w="1008"/>
          </w:tcPr>
          <w:p>
            <w:pPr>
              <w:spacing w:after="20"/>
              <w:jc w:val="right"/>
            </w:pPr>
            <w:r>
              <w:rPr>
                <w:color w:val="1C3A36"/>
                <w:sz w:val="17"/>
              </w:rPr>
              <w:t>6+</w:t>
            </w:r>
          </w:p>
        </w:tc>
        <w:tc>
          <w:tcPr>
            <w:tcW w:type="dxa" w:w="5328"/>
          </w:tcPr>
          <w:p>
            <w:pPr>
              <w:spacing w:after="20"/>
              <w:jc w:val="right"/>
            </w:pPr>
            <w:r>
              <w:rPr>
                <w:color w:val="1C3A36"/>
                <w:sz w:val="17"/>
              </w:rPr>
              <w:t>Audited statements, interim statements, management discussion and analysis reports, investor presentations and the results-call transcript</w:t>
            </w:r>
          </w:p>
        </w:tc>
      </w:tr>
      <w:tr>
        <w:trPr>
          <w:cantSplit/>
        </w:trPr>
        <w:tc>
          <w:tcPr>
            <w:tcW w:type="dxa" w:w="3744"/>
          </w:tcPr>
          <w:p>
            <w:pPr>
              <w:spacing w:after="20"/>
            </w:pPr>
            <w:r>
              <w:rPr>
                <w:b/>
                <w:color w:val="1C3A36"/>
                <w:sz w:val="17"/>
              </w:rPr>
              <w:t>Distinct inputs recorded</w:t>
            </w:r>
          </w:p>
        </w:tc>
        <w:tc>
          <w:tcPr>
            <w:tcW w:type="dxa" w:w="1008"/>
          </w:tcPr>
          <w:p>
            <w:pPr>
              <w:spacing w:after="20"/>
              <w:jc w:val="right"/>
            </w:pPr>
            <w:r>
              <w:rPr>
                <w:color w:val="1C3A36"/>
                <w:sz w:val="17"/>
              </w:rPr>
              <w:t>213</w:t>
            </w:r>
          </w:p>
        </w:tc>
        <w:tc>
          <w:tcPr>
            <w:tcW w:type="dxa" w:w="5328"/>
          </w:tcPr>
          <w:p>
            <w:pPr>
              <w:spacing w:after="20"/>
              <w:jc w:val="right"/>
            </w:pPr>
            <w:r>
              <w:rPr>
                <w:color w:val="1C3A36"/>
                <w:sz w:val="17"/>
              </w:rPr>
              <w:t>Each with a value, a source, a date and a research layer</w:t>
            </w:r>
          </w:p>
        </w:tc>
      </w:tr>
      <w:tr>
        <w:trPr>
          <w:cantSplit/>
        </w:trPr>
        <w:tc>
          <w:tcPr>
            <w:tcW w:type="dxa" w:w="3744"/>
          </w:tcPr>
          <w:p>
            <w:pPr>
              <w:spacing w:after="20"/>
            </w:pPr>
            <w:r>
              <w:rPr>
                <w:b/>
                <w:color w:val="1C3A36"/>
                <w:sz w:val="17"/>
              </w:rPr>
              <w:t>Aggregator-sourced figures in the build</w:t>
            </w:r>
          </w:p>
        </w:tc>
        <w:tc>
          <w:tcPr>
            <w:tcW w:type="dxa" w:w="1008"/>
          </w:tcPr>
          <w:p>
            <w:pPr>
              <w:spacing w:after="20"/>
              <w:jc w:val="right"/>
            </w:pPr>
            <w:r>
              <w:rPr>
                <w:color w:val="1C3A36"/>
                <w:sz w:val="17"/>
              </w:rPr>
              <w:t>0</w:t>
            </w:r>
          </w:p>
        </w:tc>
        <w:tc>
          <w:tcPr>
            <w:tcW w:type="dxa" w:w="5328"/>
          </w:tcPr>
          <w:p>
            <w:pPr>
              <w:spacing w:after="20"/>
              <w:jc w:val="right"/>
            </w:pPr>
            <w:r>
              <w:rPr>
                <w:color w:val="1C3A36"/>
                <w:sz w:val="17"/>
              </w:rPr>
              <w:t>Peer market multiples are used as a cross-check only and are labelled as such</w:t>
            </w:r>
          </w:p>
        </w:tc>
      </w:tr>
    </w:tbl>
    <w:p>
      <w:pPr>
        <w:spacing w:after="40"/>
      </w:pPr>
    </w:p>
    <w:p>
      <w:r>
        <w:br w:type="page"/>
      </w:r>
    </w:p>
    <w:p>
      <w:pPr>
        <w:spacing w:after="120" w:before="280"/>
      </w:pPr>
      <w:r>
        <w:rPr>
          <w:b/>
          <w:i w:val="0"/>
          <w:color w:val="1C3A36"/>
          <w:sz w:val="30"/>
        </w:rPr>
        <w:t>Appendix C — Expert panel</w:t>
      </w:r>
    </w:p>
    <w:p>
      <w:pPr>
        <w:spacing w:after="120" w:before="0"/>
      </w:pPr>
      <w:r>
        <w:rPr>
          <w:b w:val="0"/>
          <w:i w:val="0"/>
          <w:color w:val="1C3A36"/>
          <w:sz w:val="21"/>
        </w:rPr>
        <w:t>Three analysts were asked to value the company by genuinely different methods. Each shows their workings, names the assumption their answer rests on, and states in advance what would prove them wrong.</w:t>
      </w:r>
    </w:p>
    <w:p>
      <w:pPr>
        <w:spacing w:after="80" w:before="200"/>
      </w:pPr>
      <w:r>
        <w:rPr>
          <w:b/>
          <w:i w:val="0"/>
          <w:color w:val="1C3A36"/>
          <w:sz w:val="24"/>
        </w:rPr>
        <w:t>C.1  Expert 1 — the multiple</w:t>
      </w:r>
    </w:p>
    <w:p>
      <w:pPr>
        <w:spacing w:after="120" w:before="0"/>
      </w:pPr>
      <w:r>
        <w:rPr>
          <w:b w:val="0"/>
          <w:i w:val="0"/>
          <w:color w:val="1C3A36"/>
          <w:sz w:val="21"/>
        </w:rPr>
        <w:t>Worldview: a commodity producer is worth what the market pays for comparable cash flows. Discounted cash flow models of cyclical businesses are precision theatre; the multiple embeds what buyers actually believe.</w:t>
      </w:r>
    </w:p>
    <w:p>
      <w:pPr>
        <w:spacing w:after="120" w:before="0"/>
      </w:pPr>
      <w:r>
        <w:rPr>
          <w:b w:val="0"/>
          <w:i w:val="0"/>
          <w:color w:val="1C3A36"/>
          <w:sz w:val="21"/>
        </w:rPr>
        <w:t>When it works: at cycle midpoints, and where the peer set is genuinely comparable. When it fails: at cycle extremes, when every peer is mispriced together, and when the peer set differs in gas cost, country risk or capital structure — all three of which apply here to some degree.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5184"/>
      </w:tblGrid>
      <w:tr>
        <w:trPr>
          <w:cantSplit/>
          <w:tblHeader/>
        </w:trPr>
        <w:tc>
          <w:tcPr>
            <w:tcW w:type="dxa" w:w="4896"/>
            <w:shd w:val="clear" w:color="auto" w:fill="EAF0EE"/>
          </w:tcPr>
          <w:p>
            <w:pPr>
              <w:spacing w:after="20"/>
            </w:pPr>
            <w:r>
              <w:rPr>
                <w:b/>
                <w:color w:val="1C3A36"/>
                <w:sz w:val="17"/>
              </w:rPr>
              <w:t>Line</w:t>
            </w:r>
          </w:p>
        </w:tc>
        <w:tc>
          <w:tcPr>
            <w:tcW w:type="dxa" w:w="5184"/>
            <w:shd w:val="clear" w:color="auto" w:fill="EAF0EE"/>
          </w:tcPr>
          <w:p>
            <w:pPr>
              <w:spacing w:after="20"/>
            </w:pPr>
            <w:r>
              <w:rPr>
                <w:b/>
                <w:color w:val="1C3A36"/>
                <w:sz w:val="17"/>
              </w:rPr>
              <w:t>Value</w:t>
            </w:r>
          </w:p>
        </w:tc>
      </w:tr>
      <w:tr>
        <w:trPr>
          <w:cantSplit/>
        </w:trPr>
        <w:tc>
          <w:tcPr>
            <w:tcW w:type="dxa" w:w="4896"/>
          </w:tcPr>
          <w:p>
            <w:pPr>
              <w:spacing w:after="20"/>
            </w:pPr>
            <w:r>
              <w:rPr>
                <w:b/>
                <w:color w:val="1C3A36"/>
                <w:sz w:val="17"/>
              </w:rPr>
              <w:t>Mid-cycle EBITDA (US$m)</w:t>
            </w:r>
          </w:p>
        </w:tc>
        <w:tc>
          <w:tcPr>
            <w:tcW w:type="dxa" w:w="5184"/>
          </w:tcPr>
          <w:p>
            <w:pPr>
              <w:spacing w:after="20"/>
              <w:jc w:val="right"/>
            </w:pPr>
            <w:r>
              <w:rPr>
                <w:color w:val="1C3A36"/>
                <w:sz w:val="17"/>
              </w:rPr>
              <w:t>1,191</w:t>
            </w:r>
          </w:p>
        </w:tc>
      </w:tr>
      <w:tr>
        <w:trPr>
          <w:cantSplit/>
        </w:trPr>
        <w:tc>
          <w:tcPr>
            <w:tcW w:type="dxa" w:w="4896"/>
          </w:tcPr>
          <w:p>
            <w:pPr>
              <w:spacing w:after="20"/>
            </w:pPr>
            <w:r>
              <w:rPr>
                <w:b/>
                <w:color w:val="1C3A36"/>
                <w:sz w:val="17"/>
              </w:rPr>
              <w:t>Multiple applied</w:t>
            </w:r>
          </w:p>
        </w:tc>
        <w:tc>
          <w:tcPr>
            <w:tcW w:type="dxa" w:w="5184"/>
          </w:tcPr>
          <w:p>
            <w:pPr>
              <w:spacing w:after="20"/>
              <w:jc w:val="right"/>
            </w:pPr>
            <w:r>
              <w:rPr>
                <w:color w:val="1C3A36"/>
                <w:sz w:val="17"/>
              </w:rPr>
              <w:t>6.4x</w:t>
            </w:r>
          </w:p>
        </w:tc>
      </w:tr>
      <w:tr>
        <w:trPr>
          <w:cantSplit/>
        </w:trPr>
        <w:tc>
          <w:tcPr>
            <w:tcW w:type="dxa" w:w="4896"/>
          </w:tcPr>
          <w:p>
            <w:pPr>
              <w:spacing w:after="20"/>
            </w:pPr>
            <w:r>
              <w:rPr>
                <w:b/>
                <w:color w:val="1C3A36"/>
                <w:sz w:val="17"/>
              </w:rPr>
              <w:t>Enterprise value (US$m)</w:t>
            </w:r>
          </w:p>
        </w:tc>
        <w:tc>
          <w:tcPr>
            <w:tcW w:type="dxa" w:w="5184"/>
          </w:tcPr>
          <w:p>
            <w:pPr>
              <w:spacing w:after="20"/>
              <w:jc w:val="right"/>
            </w:pPr>
            <w:r>
              <w:rPr>
                <w:color w:val="1C3A36"/>
                <w:sz w:val="17"/>
              </w:rPr>
              <w:t>7,621</w:t>
            </w:r>
          </w:p>
        </w:tc>
      </w:tr>
      <w:tr>
        <w:trPr>
          <w:cantSplit/>
        </w:trPr>
        <w:tc>
          <w:tcPr>
            <w:tcW w:type="dxa" w:w="4896"/>
          </w:tcPr>
          <w:p>
            <w:pPr>
              <w:spacing w:after="20"/>
            </w:pPr>
            <w:r>
              <w:rPr>
                <w:b/>
                <w:color w:val="1C3A36"/>
                <w:sz w:val="17"/>
              </w:rPr>
              <w:t>less net debt (US$m)</w:t>
            </w:r>
          </w:p>
        </w:tc>
        <w:tc>
          <w:tcPr>
            <w:tcW w:type="dxa" w:w="5184"/>
          </w:tcPr>
          <w:p>
            <w:pPr>
              <w:spacing w:after="20"/>
              <w:jc w:val="right"/>
            </w:pPr>
            <w:r>
              <w:rPr>
                <w:color w:val="1C3A36"/>
                <w:sz w:val="17"/>
              </w:rPr>
              <w:t>-621</w:t>
            </w:r>
          </w:p>
        </w:tc>
      </w:tr>
      <w:tr>
        <w:trPr>
          <w:cantSplit/>
        </w:trPr>
        <w:tc>
          <w:tcPr>
            <w:tcW w:type="dxa" w:w="4896"/>
          </w:tcPr>
          <w:p>
            <w:pPr>
              <w:spacing w:after="20"/>
            </w:pPr>
            <w:r>
              <w:rPr>
                <w:b/>
                <w:color w:val="1C3A36"/>
                <w:sz w:val="17"/>
              </w:rPr>
              <w:t>less non-controlling interests</w:t>
            </w:r>
          </w:p>
        </w:tc>
        <w:tc>
          <w:tcPr>
            <w:tcW w:type="dxa" w:w="5184"/>
          </w:tcPr>
          <w:p>
            <w:pPr>
              <w:spacing w:after="20"/>
              <w:jc w:val="right"/>
            </w:pPr>
            <w:r>
              <w:rPr>
                <w:color w:val="1C3A36"/>
                <w:sz w:val="17"/>
              </w:rPr>
              <w:t>26.3% of equity value</w:t>
            </w:r>
          </w:p>
        </w:tc>
      </w:tr>
      <w:tr>
        <w:trPr>
          <w:cantSplit/>
        </w:trPr>
        <w:tc>
          <w:tcPr>
            <w:tcW w:type="dxa" w:w="4896"/>
            <w:shd w:val="clear" w:color="auto" w:fill="F6F1E6"/>
          </w:tcPr>
          <w:p>
            <w:pPr>
              <w:spacing w:after="20"/>
            </w:pPr>
            <w:r>
              <w:rPr>
                <w:b/>
                <w:color w:val="1C3A36"/>
                <w:sz w:val="17"/>
              </w:rPr>
              <w:t>Value per share (AED)</w:t>
            </w:r>
          </w:p>
        </w:tc>
        <w:tc>
          <w:tcPr>
            <w:tcW w:type="dxa" w:w="5184"/>
            <w:shd w:val="clear" w:color="auto" w:fill="F6F1E6"/>
          </w:tcPr>
          <w:p>
            <w:pPr>
              <w:spacing w:after="20"/>
              <w:jc w:val="right"/>
            </w:pPr>
            <w:r>
              <w:rPr>
                <w:b/>
                <w:color w:val="1C3A36"/>
                <w:sz w:val="17"/>
              </w:rPr>
              <w:t>2.30</w:t>
            </w:r>
          </w:p>
        </w:tc>
      </w:tr>
    </w:tbl>
    <w:p>
      <w:pPr>
        <w:spacing w:after="40"/>
      </w:pPr>
    </w:p>
    <w:p>
      <w:pPr>
        <w:spacing w:after="120" w:before="0"/>
      </w:pPr>
      <w:r>
        <w:rPr>
          <w:b w:val="0"/>
          <w:i w:val="0"/>
          <w:color w:val="1C3A36"/>
          <w:sz w:val="21"/>
        </w:rPr>
        <w:t>Named sensitivity: each half-turn on the multiple moves the value by roughly AED 0.20 per share. Falsifier stated in advance: if Gulf nitrogen peers de-rate below 7 times while Fertiglobe's own earnings hold, this method is reading a sector sentiment rather than a company value, and should be discounted.</w:t>
      </w:r>
    </w:p>
    <w:p>
      <w:pPr>
        <w:spacing w:after="80" w:before="200"/>
      </w:pPr>
      <w:r>
        <w:rPr>
          <w:b/>
          <w:i w:val="0"/>
          <w:color w:val="1C3A36"/>
          <w:sz w:val="24"/>
        </w:rPr>
        <w:t>C.2  Expert 2 — the cash flow</w:t>
      </w:r>
    </w:p>
    <w:p>
      <w:pPr>
        <w:spacing w:after="120" w:before="0"/>
      </w:pPr>
      <w:r>
        <w:rPr>
          <w:b w:val="0"/>
          <w:i w:val="0"/>
          <w:color w:val="1C3A36"/>
          <w:sz w:val="21"/>
        </w:rPr>
        <w:t>Worldview: only the cash a business produces matters, and the job is to model the mechanism that produces it. For this company that mechanism is the link between selling price and gas cost, and any model that ignores it is valuing a different company.</w:t>
      </w:r>
    </w:p>
    <w:p>
      <w:pPr>
        <w:spacing w:after="120" w:before="0"/>
      </w:pPr>
      <w:r>
        <w:rPr>
          <w:b w:val="0"/>
          <w:i w:val="0"/>
          <w:color w:val="1C3A36"/>
          <w:sz w:val="21"/>
        </w:rPr>
        <w:t>When it works: where the operating mechanics are understood and documented. When it fails: when the discount rate is uncertain, which it badly is here — the beta explains only 10.0% of the share's movement.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2736"/>
        <w:gridCol w:w="2736"/>
      </w:tblGrid>
      <w:tr>
        <w:trPr>
          <w:cantSplit/>
          <w:tblHeader/>
        </w:trPr>
        <w:tc>
          <w:tcPr>
            <w:tcW w:type="dxa" w:w="4608"/>
            <w:shd w:val="clear" w:color="auto" w:fill="EAF0EE"/>
          </w:tcPr>
          <w:p>
            <w:pPr>
              <w:spacing w:after="20"/>
            </w:pPr>
            <w:r>
              <w:rPr>
                <w:b/>
                <w:color w:val="1C3A36"/>
                <w:sz w:val="17"/>
              </w:rPr>
              <w:t>Line</w:t>
            </w:r>
          </w:p>
        </w:tc>
        <w:tc>
          <w:tcPr>
            <w:tcW w:type="dxa" w:w="2736"/>
            <w:shd w:val="clear" w:color="auto" w:fill="EAF0EE"/>
          </w:tcPr>
          <w:p>
            <w:pPr>
              <w:spacing w:after="20"/>
            </w:pPr>
            <w:r>
              <w:rPr>
                <w:b/>
                <w:color w:val="1C3A36"/>
                <w:sz w:val="17"/>
              </w:rPr>
              <w:t>Framing A</w:t>
            </w:r>
          </w:p>
        </w:tc>
        <w:tc>
          <w:tcPr>
            <w:tcW w:type="dxa" w:w="2736"/>
            <w:shd w:val="clear" w:color="auto" w:fill="EAF0EE"/>
          </w:tcPr>
          <w:p>
            <w:pPr>
              <w:spacing w:after="20"/>
            </w:pPr>
            <w:r>
              <w:rPr>
                <w:b/>
                <w:color w:val="1C3A36"/>
                <w:sz w:val="17"/>
              </w:rPr>
              <w:t>Framing B</w:t>
            </w:r>
          </w:p>
        </w:tc>
      </w:tr>
      <w:tr>
        <w:trPr>
          <w:cantSplit/>
        </w:trPr>
        <w:tc>
          <w:tcPr>
            <w:tcW w:type="dxa" w:w="4608"/>
          </w:tcPr>
          <w:p>
            <w:pPr>
              <w:spacing w:after="20"/>
            </w:pPr>
            <w:r>
              <w:rPr>
                <w:b/>
                <w:color w:val="1C3A36"/>
                <w:sz w:val="17"/>
              </w:rPr>
              <w:t>Present value of five years of cash flow (US$m)</w:t>
            </w:r>
          </w:p>
        </w:tc>
        <w:tc>
          <w:tcPr>
            <w:tcW w:type="dxa" w:w="2736"/>
          </w:tcPr>
          <w:p>
            <w:pPr>
              <w:spacing w:after="20"/>
              <w:jc w:val="right"/>
            </w:pPr>
            <w:r>
              <w:rPr>
                <w:color w:val="1C3A36"/>
                <w:sz w:val="17"/>
              </w:rPr>
              <w:t>2,679</w:t>
            </w:r>
          </w:p>
        </w:tc>
        <w:tc>
          <w:tcPr>
            <w:tcW w:type="dxa" w:w="2736"/>
          </w:tcPr>
          <w:p>
            <w:pPr>
              <w:spacing w:after="20"/>
              <w:jc w:val="right"/>
            </w:pPr>
            <w:r>
              <w:rPr>
                <w:color w:val="1C3A36"/>
                <w:sz w:val="17"/>
              </w:rPr>
              <w:t>3,340</w:t>
            </w:r>
          </w:p>
        </w:tc>
      </w:tr>
      <w:tr>
        <w:trPr>
          <w:cantSplit/>
        </w:trPr>
        <w:tc>
          <w:tcPr>
            <w:tcW w:type="dxa" w:w="4608"/>
          </w:tcPr>
          <w:p>
            <w:pPr>
              <w:spacing w:after="20"/>
            </w:pPr>
            <w:r>
              <w:rPr>
                <w:b/>
                <w:color w:val="1C3A36"/>
                <w:sz w:val="17"/>
              </w:rPr>
              <w:t>Present value of terminal value (US$m)</w:t>
            </w:r>
          </w:p>
        </w:tc>
        <w:tc>
          <w:tcPr>
            <w:tcW w:type="dxa" w:w="2736"/>
          </w:tcPr>
          <w:p>
            <w:pPr>
              <w:spacing w:after="20"/>
              <w:jc w:val="right"/>
            </w:pPr>
            <w:r>
              <w:rPr>
                <w:color w:val="1C3A36"/>
                <w:sz w:val="17"/>
              </w:rPr>
              <w:t>3,457</w:t>
            </w:r>
          </w:p>
        </w:tc>
        <w:tc>
          <w:tcPr>
            <w:tcW w:type="dxa" w:w="2736"/>
          </w:tcPr>
          <w:p>
            <w:pPr>
              <w:spacing w:after="20"/>
              <w:jc w:val="right"/>
            </w:pPr>
            <w:r>
              <w:rPr>
                <w:color w:val="1C3A36"/>
                <w:sz w:val="17"/>
              </w:rPr>
              <w:t>5,459</w:t>
            </w:r>
          </w:p>
        </w:tc>
      </w:tr>
      <w:tr>
        <w:trPr>
          <w:cantSplit/>
        </w:trPr>
        <w:tc>
          <w:tcPr>
            <w:tcW w:type="dxa" w:w="4608"/>
          </w:tcPr>
          <w:p>
            <w:pPr>
              <w:spacing w:after="20"/>
            </w:pPr>
            <w:r>
              <w:rPr>
                <w:b/>
                <w:color w:val="1C3A36"/>
                <w:sz w:val="17"/>
              </w:rPr>
              <w:t>Enterprise value (US$m)</w:t>
            </w:r>
          </w:p>
        </w:tc>
        <w:tc>
          <w:tcPr>
            <w:tcW w:type="dxa" w:w="2736"/>
          </w:tcPr>
          <w:p>
            <w:pPr>
              <w:spacing w:after="20"/>
              <w:jc w:val="right"/>
            </w:pPr>
            <w:r>
              <w:rPr>
                <w:color w:val="1C3A36"/>
                <w:sz w:val="17"/>
              </w:rPr>
              <w:t>6,136</w:t>
            </w:r>
          </w:p>
        </w:tc>
        <w:tc>
          <w:tcPr>
            <w:tcW w:type="dxa" w:w="2736"/>
          </w:tcPr>
          <w:p>
            <w:pPr>
              <w:spacing w:after="20"/>
              <w:jc w:val="right"/>
            </w:pPr>
            <w:r>
              <w:rPr>
                <w:color w:val="1C3A36"/>
                <w:sz w:val="17"/>
              </w:rPr>
              <w:t>8,799</w:t>
            </w:r>
          </w:p>
        </w:tc>
      </w:tr>
      <w:tr>
        <w:trPr>
          <w:cantSplit/>
        </w:trPr>
        <w:tc>
          <w:tcPr>
            <w:tcW w:type="dxa" w:w="4608"/>
          </w:tcPr>
          <w:p>
            <w:pPr>
              <w:spacing w:after="20"/>
            </w:pPr>
            <w:r>
              <w:rPr>
                <w:b/>
                <w:color w:val="1C3A36"/>
                <w:sz w:val="17"/>
              </w:rPr>
              <w:t>Terminal share of enterprise value</w:t>
            </w:r>
          </w:p>
        </w:tc>
        <w:tc>
          <w:tcPr>
            <w:tcW w:type="dxa" w:w="2736"/>
          </w:tcPr>
          <w:p>
            <w:pPr>
              <w:spacing w:after="20"/>
              <w:jc w:val="right"/>
            </w:pPr>
            <w:r>
              <w:rPr>
                <w:color w:val="1C3A36"/>
                <w:sz w:val="17"/>
              </w:rPr>
              <w:t>56.3%</w:t>
            </w:r>
          </w:p>
        </w:tc>
        <w:tc>
          <w:tcPr>
            <w:tcW w:type="dxa" w:w="2736"/>
          </w:tcPr>
          <w:p>
            <w:pPr>
              <w:spacing w:after="20"/>
              <w:jc w:val="right"/>
            </w:pPr>
            <w:r>
              <w:rPr>
                <w:color w:val="1C3A36"/>
                <w:sz w:val="17"/>
              </w:rPr>
              <w:t>62.0%</w:t>
            </w:r>
          </w:p>
        </w:tc>
      </w:tr>
      <w:tr>
        <w:trPr>
          <w:cantSplit/>
        </w:trPr>
        <w:tc>
          <w:tcPr>
            <w:tcW w:type="dxa" w:w="4608"/>
          </w:tcPr>
          <w:p>
            <w:pPr>
              <w:spacing w:after="20"/>
            </w:pPr>
            <w:r>
              <w:rPr>
                <w:b/>
                <w:color w:val="1C3A36"/>
                <w:sz w:val="17"/>
              </w:rPr>
              <w:t>Terminal return on capital (a diagnostic, not an input)</w:t>
            </w:r>
          </w:p>
        </w:tc>
        <w:tc>
          <w:tcPr>
            <w:tcW w:type="dxa" w:w="2736"/>
          </w:tcPr>
          <w:p>
            <w:pPr>
              <w:spacing w:after="20"/>
              <w:jc w:val="right"/>
            </w:pPr>
            <w:r>
              <w:rPr>
                <w:color w:val="1C3A36"/>
                <w:sz w:val="17"/>
              </w:rPr>
              <w:t>13.5%</w:t>
            </w:r>
          </w:p>
        </w:tc>
        <w:tc>
          <w:tcPr>
            <w:tcW w:type="dxa" w:w="2736"/>
          </w:tcPr>
          <w:p>
            <w:pPr>
              <w:spacing w:after="20"/>
              <w:jc w:val="right"/>
            </w:pPr>
            <w:r>
              <w:rPr>
                <w:color w:val="1C3A36"/>
                <w:sz w:val="17"/>
              </w:rPr>
              <w:t>18.2%</w:t>
            </w:r>
          </w:p>
        </w:tc>
      </w:tr>
      <w:tr>
        <w:trPr>
          <w:cantSplit/>
        </w:trPr>
        <w:tc>
          <w:tcPr>
            <w:tcW w:type="dxa" w:w="4608"/>
          </w:tcPr>
          <w:p>
            <w:pPr>
              <w:spacing w:after="20"/>
            </w:pPr>
            <w:r>
              <w:rPr>
                <w:b/>
                <w:color w:val="1C3A36"/>
                <w:sz w:val="17"/>
              </w:rPr>
              <w:t>Capital maintenance charged in the terminal (US$m)</w:t>
            </w:r>
          </w:p>
        </w:tc>
        <w:tc>
          <w:tcPr>
            <w:tcW w:type="dxa" w:w="2736"/>
          </w:tcPr>
          <w:p>
            <w:pPr>
              <w:spacing w:after="20"/>
              <w:jc w:val="right"/>
            </w:pPr>
            <w:r>
              <w:rPr>
                <w:color w:val="1C3A36"/>
                <w:sz w:val="17"/>
              </w:rPr>
              <w:t>395</w:t>
            </w:r>
          </w:p>
        </w:tc>
        <w:tc>
          <w:tcPr>
            <w:tcW w:type="dxa" w:w="2736"/>
          </w:tcPr>
          <w:p>
            <w:pPr>
              <w:spacing w:after="20"/>
              <w:jc w:val="right"/>
            </w:pPr>
            <w:r>
              <w:rPr>
                <w:color w:val="1C3A36"/>
                <w:sz w:val="17"/>
              </w:rPr>
              <w:t>399</w:t>
            </w:r>
          </w:p>
        </w:tc>
      </w:tr>
      <w:tr>
        <w:trPr>
          <w:cantSplit/>
        </w:trPr>
        <w:tc>
          <w:tcPr>
            <w:tcW w:type="dxa" w:w="4608"/>
            <w:shd w:val="clear" w:color="auto" w:fill="F6F1E6"/>
          </w:tcPr>
          <w:p>
            <w:pPr>
              <w:spacing w:after="20"/>
            </w:pPr>
            <w:r>
              <w:rPr>
                <w:b/>
                <w:color w:val="1C3A36"/>
                <w:sz w:val="17"/>
              </w:rPr>
              <w:t>Value per share (AED)</w:t>
            </w:r>
          </w:p>
        </w:tc>
        <w:tc>
          <w:tcPr>
            <w:tcW w:type="dxa" w:w="2736"/>
            <w:shd w:val="clear" w:color="auto" w:fill="F6F1E6"/>
          </w:tcPr>
          <w:p>
            <w:pPr>
              <w:spacing w:after="20"/>
              <w:jc w:val="right"/>
            </w:pPr>
            <w:r>
              <w:rPr>
                <w:b/>
                <w:color w:val="1C3A36"/>
                <w:sz w:val="17"/>
              </w:rPr>
              <w:t>1.81</w:t>
            </w:r>
          </w:p>
        </w:tc>
        <w:tc>
          <w:tcPr>
            <w:tcW w:type="dxa" w:w="2736"/>
            <w:shd w:val="clear" w:color="auto" w:fill="F6F1E6"/>
          </w:tcPr>
          <w:p>
            <w:pPr>
              <w:spacing w:after="20"/>
              <w:jc w:val="right"/>
            </w:pPr>
            <w:r>
              <w:rPr>
                <w:b/>
                <w:color w:val="1C3A36"/>
                <w:sz w:val="17"/>
              </w:rPr>
              <w:t>2.68</w:t>
            </w:r>
          </w:p>
        </w:tc>
      </w:tr>
    </w:tbl>
    <w:p>
      <w:pPr>
        <w:spacing w:after="40"/>
      </w:pPr>
    </w:p>
    <w:p>
      <w:pPr>
        <w:spacing w:after="120" w:before="0"/>
      </w:pPr>
      <w:r>
        <w:rPr>
          <w:b w:val="0"/>
          <w:i w:val="0"/>
          <w:color w:val="1C3A36"/>
          <w:sz w:val="21"/>
        </w:rPr>
        <w:t>Named sensitivity: moving the gas pass-through from 0.48 to 0.65 takes the value from AED 1.81 to AED 0.63. Falsifier stated in advance: if the company reports a half-year in which realised price falls sharply and cash cost per tonne does not follow it down, the pass-through relationship is not real and this valuation is wrong in both directions at once.</w:t>
      </w:r>
    </w:p>
    <w:p>
      <w:pPr>
        <w:spacing w:after="80" w:before="200"/>
      </w:pPr>
      <w:r>
        <w:rPr>
          <w:b/>
          <w:i w:val="0"/>
          <w:color w:val="1C3A36"/>
          <w:sz w:val="24"/>
        </w:rPr>
        <w:t>C.3  Expert 3 — the assets</w:t>
      </w:r>
    </w:p>
    <w:p>
      <w:pPr>
        <w:spacing w:after="120" w:before="0"/>
      </w:pPr>
      <w:r>
        <w:rPr>
          <w:b w:val="0"/>
          <w:i w:val="0"/>
          <w:color w:val="1C3A36"/>
          <w:sz w:val="21"/>
        </w:rPr>
        <w:t>Worldview: in a commodity industry, price eventually returns to the cost of building new supply. What the existing plants would cost to replace is therefore the anchor, and earnings are the noise around it.</w:t>
      </w:r>
    </w:p>
    <w:p>
      <w:pPr>
        <w:spacing w:after="120" w:before="0"/>
      </w:pPr>
      <w:r>
        <w:rPr>
          <w:b w:val="0"/>
          <w:i w:val="0"/>
          <w:color w:val="1C3A36"/>
          <w:sz w:val="21"/>
        </w:rPr>
        <w:t>When it works: over long horizons, and where capacity is fungible and tradeable. When it fails: when existing assets carry something a new entrant cannot buy — which is exactly the case here, because the legacy Algerian and Egyptian gas contracts are not available to anyone building today. This method therefore understates.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5184"/>
      </w:tblGrid>
      <w:tr>
        <w:trPr>
          <w:cantSplit/>
          <w:tblHeader/>
        </w:trPr>
        <w:tc>
          <w:tcPr>
            <w:tcW w:type="dxa" w:w="4896"/>
            <w:shd w:val="clear" w:color="auto" w:fill="EAF0EE"/>
          </w:tcPr>
          <w:p>
            <w:pPr>
              <w:spacing w:after="20"/>
            </w:pPr>
            <w:r>
              <w:rPr>
                <w:b/>
                <w:color w:val="1C3A36"/>
                <w:sz w:val="17"/>
              </w:rPr>
              <w:t>Line</w:t>
            </w:r>
          </w:p>
        </w:tc>
        <w:tc>
          <w:tcPr>
            <w:tcW w:type="dxa" w:w="5184"/>
            <w:shd w:val="clear" w:color="auto" w:fill="EAF0EE"/>
          </w:tcPr>
          <w:p>
            <w:pPr>
              <w:spacing w:after="20"/>
            </w:pPr>
            <w:r>
              <w:rPr>
                <w:b/>
                <w:color w:val="1C3A36"/>
                <w:sz w:val="17"/>
              </w:rPr>
              <w:t>Value</w:t>
            </w:r>
          </w:p>
        </w:tc>
      </w:tr>
      <w:tr>
        <w:trPr>
          <w:cantSplit/>
        </w:trPr>
        <w:tc>
          <w:tcPr>
            <w:tcW w:type="dxa" w:w="4896"/>
          </w:tcPr>
          <w:p>
            <w:pPr>
              <w:spacing w:after="20"/>
            </w:pPr>
            <w:r>
              <w:rPr>
                <w:b/>
                <w:color w:val="1C3A36"/>
                <w:sz w:val="17"/>
              </w:rPr>
              <w:t>Installed capacity (kt)</w:t>
            </w:r>
          </w:p>
        </w:tc>
        <w:tc>
          <w:tcPr>
            <w:tcW w:type="dxa" w:w="5184"/>
          </w:tcPr>
          <w:p>
            <w:pPr>
              <w:spacing w:after="20"/>
              <w:jc w:val="right"/>
            </w:pPr>
            <w:r>
              <w:rPr>
                <w:color w:val="1C3A36"/>
                <w:sz w:val="17"/>
              </w:rPr>
              <w:t>6,600</w:t>
            </w:r>
          </w:p>
        </w:tc>
      </w:tr>
      <w:tr>
        <w:trPr>
          <w:cantSplit/>
        </w:trPr>
        <w:tc>
          <w:tcPr>
            <w:tcW w:type="dxa" w:w="4896"/>
          </w:tcPr>
          <w:p>
            <w:pPr>
              <w:spacing w:after="20"/>
            </w:pPr>
            <w:r>
              <w:rPr>
                <w:b/>
                <w:color w:val="1C3A36"/>
                <w:sz w:val="17"/>
              </w:rPr>
              <w:t>Replacement cost per tonne of capacity (US$)</w:t>
            </w:r>
          </w:p>
        </w:tc>
        <w:tc>
          <w:tcPr>
            <w:tcW w:type="dxa" w:w="5184"/>
          </w:tcPr>
          <w:p>
            <w:pPr>
              <w:spacing w:after="20"/>
              <w:jc w:val="right"/>
            </w:pPr>
            <w:r>
              <w:rPr>
                <w:color w:val="1C3A36"/>
                <w:sz w:val="17"/>
              </w:rPr>
              <w:t>1,250</w:t>
            </w:r>
          </w:p>
        </w:tc>
      </w:tr>
      <w:tr>
        <w:trPr>
          <w:cantSplit/>
        </w:trPr>
        <w:tc>
          <w:tcPr>
            <w:tcW w:type="dxa" w:w="4896"/>
          </w:tcPr>
          <w:p>
            <w:pPr>
              <w:spacing w:after="20"/>
            </w:pPr>
            <w:r>
              <w:rPr>
                <w:b/>
                <w:color w:val="1C3A36"/>
                <w:sz w:val="17"/>
              </w:rPr>
              <w:t>Replacement enterprise value (US$m)</w:t>
            </w:r>
          </w:p>
        </w:tc>
        <w:tc>
          <w:tcPr>
            <w:tcW w:type="dxa" w:w="5184"/>
          </w:tcPr>
          <w:p>
            <w:pPr>
              <w:spacing w:after="20"/>
              <w:jc w:val="right"/>
            </w:pPr>
            <w:r>
              <w:rPr>
                <w:color w:val="1C3A36"/>
                <w:sz w:val="17"/>
              </w:rPr>
              <w:t>8,250</w:t>
            </w:r>
          </w:p>
        </w:tc>
      </w:tr>
      <w:tr>
        <w:trPr>
          <w:cantSplit/>
        </w:trPr>
        <w:tc>
          <w:tcPr>
            <w:tcW w:type="dxa" w:w="4896"/>
          </w:tcPr>
          <w:p>
            <w:pPr>
              <w:spacing w:after="20"/>
            </w:pPr>
            <w:r>
              <w:rPr>
                <w:b/>
                <w:color w:val="1C3A36"/>
                <w:sz w:val="17"/>
              </w:rPr>
              <w:t>less net debt (US$m)</w:t>
            </w:r>
          </w:p>
        </w:tc>
        <w:tc>
          <w:tcPr>
            <w:tcW w:type="dxa" w:w="5184"/>
          </w:tcPr>
          <w:p>
            <w:pPr>
              <w:spacing w:after="20"/>
              <w:jc w:val="right"/>
            </w:pPr>
            <w:r>
              <w:rPr>
                <w:color w:val="1C3A36"/>
                <w:sz w:val="17"/>
              </w:rPr>
              <w:t>-621</w:t>
            </w:r>
          </w:p>
        </w:tc>
      </w:tr>
      <w:tr>
        <w:trPr>
          <w:cantSplit/>
        </w:trPr>
        <w:tc>
          <w:tcPr>
            <w:tcW w:type="dxa" w:w="4896"/>
            <w:shd w:val="clear" w:color="auto" w:fill="F6F1E6"/>
          </w:tcPr>
          <w:p>
            <w:pPr>
              <w:spacing w:after="20"/>
            </w:pPr>
            <w:r>
              <w:rPr>
                <w:b/>
                <w:color w:val="1C3A36"/>
                <w:sz w:val="17"/>
              </w:rPr>
              <w:t>Value per share (AED)</w:t>
            </w:r>
          </w:p>
        </w:tc>
        <w:tc>
          <w:tcPr>
            <w:tcW w:type="dxa" w:w="5184"/>
            <w:shd w:val="clear" w:color="auto" w:fill="F6F1E6"/>
          </w:tcPr>
          <w:p>
            <w:pPr>
              <w:spacing w:after="20"/>
              <w:jc w:val="right"/>
            </w:pPr>
            <w:r>
              <w:rPr>
                <w:b/>
                <w:color w:val="1C3A36"/>
                <w:sz w:val="17"/>
              </w:rPr>
              <w:t>2.50</w:t>
            </w:r>
          </w:p>
        </w:tc>
      </w:tr>
    </w:tbl>
    <w:p>
      <w:pPr>
        <w:spacing w:after="40"/>
      </w:pPr>
    </w:p>
    <w:p>
      <w:pPr>
        <w:spacing w:after="120" w:before="0"/>
      </w:pPr>
      <w:r>
        <w:rPr>
          <w:b w:val="0"/>
          <w:i w:val="0"/>
          <w:color w:val="1C3A36"/>
          <w:sz w:val="21"/>
        </w:rPr>
        <w:t>Named sensitivity: a $250 change in replacement cost per tonne moves the value by about AED 0.54 per share. Falsifier stated in advance: a greenfield ammonia-urea complex announced anywhere in the Gulf at a materially different capital cost per tonne would reset this anchor immediately.</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944"/>
        <w:gridCol w:w="4536"/>
      </w:tblGrid>
      <w:tr>
        <w:trPr>
          <w:cantSplit/>
          <w:tblHeader/>
        </w:trPr>
        <w:tc>
          <w:tcPr>
            <w:tcW w:type="dxa" w:w="3600"/>
            <w:shd w:val="clear" w:color="auto" w:fill="EAF0EE"/>
          </w:tcPr>
          <w:p>
            <w:pPr>
              <w:spacing w:after="20"/>
            </w:pPr>
            <w:r>
              <w:rPr>
                <w:b/>
                <w:color w:val="1C3A36"/>
                <w:sz w:val="16"/>
              </w:rPr>
              <w:t>Challenge</w:t>
            </w:r>
          </w:p>
        </w:tc>
        <w:tc>
          <w:tcPr>
            <w:tcW w:type="dxa" w:w="1944"/>
            <w:shd w:val="clear" w:color="auto" w:fill="EAF0EE"/>
          </w:tcPr>
          <w:p>
            <w:pPr>
              <w:spacing w:after="20"/>
            </w:pPr>
            <w:r>
              <w:rPr>
                <w:b/>
                <w:color w:val="1C3A36"/>
                <w:sz w:val="16"/>
              </w:rPr>
              <w:t>From</w:t>
            </w:r>
          </w:p>
        </w:tc>
        <w:tc>
          <w:tcPr>
            <w:tcW w:type="dxa" w:w="4536"/>
            <w:shd w:val="clear" w:color="auto" w:fill="EAF0EE"/>
          </w:tcPr>
          <w:p>
            <w:pPr>
              <w:spacing w:after="20"/>
            </w:pPr>
            <w:r>
              <w:rPr>
                <w:b/>
                <w:color w:val="1C3A36"/>
                <w:sz w:val="16"/>
              </w:rPr>
              <w:t>Response</w:t>
            </w:r>
          </w:p>
        </w:tc>
      </w:tr>
      <w:tr>
        <w:trPr>
          <w:cantSplit/>
        </w:trPr>
        <w:tc>
          <w:tcPr>
            <w:tcW w:type="dxa" w:w="3600"/>
          </w:tcPr>
          <w:p>
            <w:pPr>
              <w:spacing w:after="20"/>
            </w:pPr>
            <w:r>
              <w:rPr>
                <w:b/>
                <w:color w:val="1C3A36"/>
                <w:sz w:val="16"/>
              </w:rPr>
              <w:t>"Your multiple is borrowed from companies with different gas contracts and different country risk. It cannot be the anchor."</w:t>
            </w:r>
          </w:p>
        </w:tc>
        <w:tc>
          <w:tcPr>
            <w:tcW w:type="dxa" w:w="1944"/>
          </w:tcPr>
          <w:p>
            <w:pPr>
              <w:spacing w:after="20"/>
            </w:pPr>
            <w:r>
              <w:rPr>
                <w:color w:val="1C3A36"/>
                <w:sz w:val="16"/>
              </w:rPr>
              <w:t>Expert 2 to Expert 1</w:t>
            </w:r>
          </w:p>
        </w:tc>
        <w:tc>
          <w:tcPr>
            <w:tcW w:type="dxa" w:w="4536"/>
          </w:tcPr>
          <w:p>
            <w:pPr>
              <w:spacing w:after="20"/>
            </w:pPr>
            <w:r>
              <w:rPr>
                <w:color w:val="1C3A36"/>
                <w:sz w:val="16"/>
              </w:rPr>
              <w:t>Conceded in part. The multiple applied sits below the Gulf peers precisely for that reason, but the objection is right that the peer set is imperfect.</w:t>
            </w:r>
          </w:p>
        </w:tc>
      </w:tr>
      <w:tr>
        <w:trPr>
          <w:cantSplit/>
        </w:trPr>
        <w:tc>
          <w:tcPr>
            <w:tcW w:type="dxa" w:w="3600"/>
          </w:tcPr>
          <w:p>
            <w:pPr>
              <w:spacing w:after="20"/>
            </w:pPr>
            <w:r>
              <w:rPr>
                <w:b/>
                <w:color w:val="1C3A36"/>
                <w:sz w:val="16"/>
              </w:rPr>
              <w:t>"Two thirds of your value is a terminal number resting on a beta that explains six percent of anything."</w:t>
            </w:r>
          </w:p>
        </w:tc>
        <w:tc>
          <w:tcPr>
            <w:tcW w:type="dxa" w:w="1944"/>
          </w:tcPr>
          <w:p>
            <w:pPr>
              <w:spacing w:after="20"/>
            </w:pPr>
            <w:r>
              <w:rPr>
                <w:color w:val="1C3A36"/>
                <w:sz w:val="16"/>
              </w:rPr>
              <w:t>Expert 1 to Expert 2</w:t>
            </w:r>
          </w:p>
        </w:tc>
        <w:tc>
          <w:tcPr>
            <w:tcW w:type="dxa" w:w="4536"/>
          </w:tcPr>
          <w:p>
            <w:pPr>
              <w:spacing w:after="20"/>
            </w:pPr>
            <w:r>
              <w:rPr>
                <w:color w:val="1C3A36"/>
                <w:sz w:val="16"/>
              </w:rPr>
              <w:t>Conceded. This is the method's real weakness and the reason the study weights it at less than half rather than relying on it alone.</w:t>
            </w:r>
          </w:p>
        </w:tc>
      </w:tr>
      <w:tr>
        <w:trPr>
          <w:cantSplit/>
        </w:trPr>
        <w:tc>
          <w:tcPr>
            <w:tcW w:type="dxa" w:w="3600"/>
          </w:tcPr>
          <w:p>
            <w:pPr>
              <w:spacing w:after="20"/>
            </w:pPr>
            <w:r>
              <w:rPr>
                <w:b/>
                <w:color w:val="1C3A36"/>
                <w:sz w:val="16"/>
              </w:rPr>
              <w:t>"Replacement cost ignores that the whole business is a legacy gas contract ""wrapped in steel."</w:t>
            </w:r>
          </w:p>
        </w:tc>
        <w:tc>
          <w:tcPr>
            <w:tcW w:type="dxa" w:w="1944"/>
          </w:tcPr>
          <w:p>
            <w:pPr>
              <w:spacing w:after="20"/>
            </w:pPr>
            <w:r>
              <w:rPr>
                <w:color w:val="1C3A36"/>
                <w:sz w:val="16"/>
              </w:rPr>
              <w:t>Expert 2 to Expert 3</w:t>
            </w:r>
          </w:p>
        </w:tc>
        <w:tc>
          <w:tcPr>
            <w:tcW w:type="dxa" w:w="4536"/>
          </w:tcPr>
          <w:p>
            <w:pPr>
              <w:spacing w:after="20"/>
            </w:pPr>
            <w:r>
              <w:rPr>
                <w:color w:val="1C3A36"/>
                <w:sz w:val="16"/>
              </w:rPr>
              <w:t>Conceded, and stated by Expert 3 in advance. The method is a floor, not a valuation.</w:t>
            </w:r>
          </w:p>
        </w:tc>
      </w:tr>
      <w:tr>
        <w:trPr>
          <w:cantSplit/>
        </w:trPr>
        <w:tc>
          <w:tcPr>
            <w:tcW w:type="dxa" w:w="3600"/>
          </w:tcPr>
          <w:p>
            <w:pPr>
              <w:spacing w:after="20"/>
            </w:pPr>
            <w:r>
              <w:rPr>
                <w:b/>
                <w:color w:val="1C3A36"/>
                <w:sz w:val="16"/>
              </w:rPr>
              <w:t>"Your cash flow model assumes the pass-through holds when prices fall. It has only ever been observed while they rose."</w:t>
            </w:r>
          </w:p>
        </w:tc>
        <w:tc>
          <w:tcPr>
            <w:tcW w:type="dxa" w:w="1944"/>
          </w:tcPr>
          <w:p>
            <w:pPr>
              <w:spacing w:after="20"/>
            </w:pPr>
            <w:r>
              <w:rPr>
                <w:color w:val="1C3A36"/>
                <w:sz w:val="16"/>
              </w:rPr>
              <w:t>Expert 3 to Expert 2</w:t>
            </w:r>
          </w:p>
        </w:tc>
        <w:tc>
          <w:tcPr>
            <w:tcW w:type="dxa" w:w="4536"/>
          </w:tcPr>
          <w:p>
            <w:pPr>
              <w:spacing w:after="20"/>
            </w:pPr>
            <w:r>
              <w:rPr>
                <w:color w:val="1C3A36"/>
                <w:sz w:val="16"/>
              </w:rPr>
              <w:t>Rejected, with a caveat. The chief executive described the arrangement as symmetric, and a contract formula does not know which way the price is moving. But the observation is fair that it has not yet been tested downward, and it is recorded as the stated falsifier.</w:t>
            </w:r>
          </w:p>
        </w:tc>
      </w:tr>
      <w:tr>
        <w:trPr>
          <w:cantSplit/>
        </w:trPr>
        <w:tc>
          <w:tcPr>
            <w:tcW w:type="dxa" w:w="3600"/>
          </w:tcPr>
          <w:p>
            <w:pPr>
              <w:spacing w:after="20"/>
            </w:pPr>
            <w:r>
              <w:rPr>
                <w:b/>
                <w:color w:val="1C3A36"/>
                <w:sz w:val="16"/>
              </w:rPr>
              <w:t>"If the audited note is right and gas exposure really is limited, all three of you are too low."</w:t>
            </w:r>
          </w:p>
        </w:tc>
        <w:tc>
          <w:tcPr>
            <w:tcW w:type="dxa" w:w="1944"/>
          </w:tcPr>
          <w:p>
            <w:pPr>
              <w:spacing w:after="20"/>
            </w:pPr>
            <w:r>
              <w:rPr>
                <w:color w:val="1C3A36"/>
                <w:sz w:val="16"/>
              </w:rPr>
              <w:t>Expert 1 to all</w:t>
            </w:r>
          </w:p>
        </w:tc>
        <w:tc>
          <w:tcPr>
            <w:tcW w:type="dxa" w:w="4536"/>
          </w:tcPr>
          <w:p>
            <w:pPr>
              <w:spacing w:after="20"/>
            </w:pPr>
            <w:r>
              <w:rPr>
                <w:color w:val="1C3A36"/>
                <w:sz w:val="16"/>
              </w:rPr>
              <w:t>Accepted as a live possibility and carried in the caveats. It is the single reading of the evidence under which this study is materially too conservative.</w:t>
            </w:r>
          </w:p>
        </w:tc>
      </w:tr>
    </w:tbl>
    <w:p>
      <w:pPr>
        <w:spacing w:after="40"/>
      </w:pPr>
    </w:p>
    <w:p>
      <w:pPr>
        <w:spacing w:after="80" w:before="200"/>
      </w:pPr>
      <w:r>
        <w:rPr>
          <w:b/>
          <w:i w:val="0"/>
          <w:color w:val="1C3A36"/>
          <w:sz w:val="24"/>
        </w:rPr>
        <w:t>C.5  The three in one room</w:t>
      </w:r>
    </w:p>
    <w:p>
      <w:pPr>
        <w:spacing w:after="120" w:before="0"/>
      </w:pPr>
      <w:r>
        <w:rPr>
          <w:b w:val="0"/>
          <w:i w:val="0"/>
          <w:color w:val="1C3A36"/>
          <w:sz w:val="21"/>
        </w:rPr>
        <w:t>Put together, the three converge more than their methods suggest they should. Expert 1 lands at AED 2.30, Expert 2 at AED 1.81 on framing A, and Expert 3 at AED 2.50. The spread is about AED 0.69 per share, or roughly a eighth of the middle value — narrow, given that one counted cash flows, one counted comparable multiples and one counted steel.</w:t>
      </w:r>
    </w:p>
    <w:p>
      <w:pPr>
        <w:spacing w:after="120" w:before="0"/>
      </w:pPr>
      <w:r>
        <w:rPr>
          <w:b w:val="0"/>
          <w:i w:val="0"/>
          <w:color w:val="1C3A36"/>
          <w:sz w:val="21"/>
        </w:rPr>
        <w:t>They agree on the mechanism and disagree about its durability. All three accept that the gas link is real and that it caps the upside from a price spike. Expert 2 is willing to model five years of it; Expert 1 doubts anyone can; Expert 3 thinks it does not matter over a long enough horizon. Where they genuinely part company is the terminal value, and that is also where the study is least certain.</w:t>
      </w:r>
    </w:p>
    <w:p>
      <w:pPr>
        <w:spacing w:after="80" w:before="200"/>
      </w:pPr>
      <w:r>
        <w:rPr>
          <w:b/>
          <w:i w:val="0"/>
          <w:color w:val="1C3A36"/>
          <w:sz w:val="24"/>
        </w:rPr>
        <w:t>C.6  Divergence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016"/>
        <w:gridCol w:w="1944"/>
        <w:gridCol w:w="1872"/>
        <w:gridCol w:w="1944"/>
      </w:tblGrid>
      <w:tr>
        <w:trPr>
          <w:cantSplit/>
          <w:tblHeader/>
        </w:trPr>
        <w:tc>
          <w:tcPr>
            <w:tcW w:type="dxa" w:w="2304"/>
            <w:shd w:val="clear" w:color="auto" w:fill="EAF0EE"/>
          </w:tcPr>
          <w:p>
            <w:pPr>
              <w:spacing w:after="20"/>
            </w:pPr>
            <w:r>
              <w:rPr>
                <w:b/>
                <w:color w:val="1C3A36"/>
                <w:sz w:val="16"/>
              </w:rPr>
              <w:t>Assumption</w:t>
            </w:r>
          </w:p>
        </w:tc>
        <w:tc>
          <w:tcPr>
            <w:tcW w:type="dxa" w:w="2016"/>
            <w:shd w:val="clear" w:color="auto" w:fill="EAF0EE"/>
          </w:tcPr>
          <w:p>
            <w:pPr>
              <w:spacing w:after="20"/>
            </w:pPr>
            <w:r>
              <w:rPr>
                <w:b/>
                <w:color w:val="1C3A36"/>
                <w:sz w:val="16"/>
              </w:rPr>
              <w:t>Expert 1</w:t>
            </w:r>
          </w:p>
        </w:tc>
        <w:tc>
          <w:tcPr>
            <w:tcW w:type="dxa" w:w="1944"/>
            <w:shd w:val="clear" w:color="auto" w:fill="EAF0EE"/>
          </w:tcPr>
          <w:p>
            <w:pPr>
              <w:spacing w:after="20"/>
            </w:pPr>
            <w:r>
              <w:rPr>
                <w:b/>
                <w:color w:val="1C3A36"/>
                <w:sz w:val="16"/>
              </w:rPr>
              <w:t>Expert 2</w:t>
            </w:r>
          </w:p>
        </w:tc>
        <w:tc>
          <w:tcPr>
            <w:tcW w:type="dxa" w:w="1872"/>
            <w:shd w:val="clear" w:color="auto" w:fill="EAF0EE"/>
          </w:tcPr>
          <w:p>
            <w:pPr>
              <w:spacing w:after="20"/>
            </w:pPr>
            <w:r>
              <w:rPr>
                <w:b/>
                <w:color w:val="1C3A36"/>
                <w:sz w:val="16"/>
              </w:rPr>
              <w:t>Expert 3</w:t>
            </w:r>
          </w:p>
        </w:tc>
        <w:tc>
          <w:tcPr>
            <w:tcW w:type="dxa" w:w="1944"/>
            <w:shd w:val="clear" w:color="auto" w:fill="EAF0EE"/>
          </w:tcPr>
          <w:p>
            <w:pPr>
              <w:spacing w:after="20"/>
            </w:pPr>
            <w:r>
              <w:rPr>
                <w:b/>
                <w:color w:val="1C3A36"/>
                <w:sz w:val="16"/>
              </w:rPr>
              <w:t>Drives how much of the gap?</w:t>
            </w:r>
          </w:p>
        </w:tc>
      </w:tr>
      <w:tr>
        <w:trPr>
          <w:cantSplit/>
        </w:trPr>
        <w:tc>
          <w:tcPr>
            <w:tcW w:type="dxa" w:w="2304"/>
          </w:tcPr>
          <w:p>
            <w:pPr>
              <w:spacing w:after="20"/>
            </w:pPr>
            <w:r>
              <w:rPr>
                <w:b/>
                <w:color w:val="1C3A36"/>
                <w:sz w:val="16"/>
              </w:rPr>
              <w:t>Mid-cycle EBITDA</w:t>
            </w:r>
          </w:p>
        </w:tc>
        <w:tc>
          <w:tcPr>
            <w:tcW w:type="dxa" w:w="2016"/>
          </w:tcPr>
          <w:p>
            <w:pPr>
              <w:spacing w:after="20"/>
              <w:jc w:val="right"/>
            </w:pPr>
            <w:r>
              <w:rPr>
                <w:color w:val="1C3A36"/>
                <w:sz w:val="16"/>
              </w:rPr>
              <w:t>1,191m</w:t>
            </w:r>
          </w:p>
        </w:tc>
        <w:tc>
          <w:tcPr>
            <w:tcW w:type="dxa" w:w="1944"/>
          </w:tcPr>
          <w:p>
            <w:pPr>
              <w:spacing w:after="20"/>
              <w:jc w:val="right"/>
            </w:pPr>
            <w:r>
              <w:rPr>
                <w:color w:val="1C3A36"/>
                <w:sz w:val="16"/>
              </w:rPr>
              <w:t>Modelled per year</w:t>
            </w:r>
          </w:p>
        </w:tc>
        <w:tc>
          <w:tcPr>
            <w:tcW w:type="dxa" w:w="1872"/>
          </w:tcPr>
          <w:p>
            <w:pPr>
              <w:spacing w:after="20"/>
              <w:jc w:val="right"/>
            </w:pPr>
            <w:r>
              <w:rPr>
                <w:color w:val="1C3A36"/>
                <w:sz w:val="16"/>
              </w:rPr>
              <w:t>Not used</w:t>
            </w:r>
          </w:p>
        </w:tc>
        <w:tc>
          <w:tcPr>
            <w:tcW w:type="dxa" w:w="1944"/>
          </w:tcPr>
          <w:p>
            <w:pPr>
              <w:spacing w:after="20"/>
              <w:jc w:val="right"/>
            </w:pPr>
            <w:r>
              <w:rPr>
                <w:color w:val="1C3A36"/>
                <w:sz w:val="16"/>
              </w:rPr>
              <w:t>Small — the levels are close</w:t>
            </w:r>
          </w:p>
        </w:tc>
      </w:tr>
      <w:tr>
        <w:trPr>
          <w:cantSplit/>
        </w:trPr>
        <w:tc>
          <w:tcPr>
            <w:tcW w:type="dxa" w:w="2304"/>
          </w:tcPr>
          <w:p>
            <w:pPr>
              <w:spacing w:after="20"/>
            </w:pPr>
            <w:r>
              <w:rPr>
                <w:b/>
                <w:color w:val="1C3A36"/>
                <w:sz w:val="16"/>
              </w:rPr>
              <w:t>Terminal treatment</w:t>
            </w:r>
          </w:p>
        </w:tc>
        <w:tc>
          <w:tcPr>
            <w:tcW w:type="dxa" w:w="2016"/>
          </w:tcPr>
          <w:p>
            <w:pPr>
              <w:spacing w:after="20"/>
              <w:jc w:val="right"/>
            </w:pPr>
            <w:r>
              <w:rPr>
                <w:color w:val="1C3A36"/>
                <w:sz w:val="16"/>
              </w:rPr>
              <w:t>Multiple embeds it</w:t>
            </w:r>
          </w:p>
        </w:tc>
        <w:tc>
          <w:tcPr>
            <w:tcW w:type="dxa" w:w="1944"/>
          </w:tcPr>
          <w:p>
            <w:pPr>
              <w:spacing w:after="20"/>
              <w:jc w:val="right"/>
            </w:pPr>
            <w:r>
              <w:rPr>
                <w:color w:val="1C3A36"/>
                <w:sz w:val="16"/>
              </w:rPr>
              <w:t>56.3% of value</w:t>
            </w:r>
          </w:p>
        </w:tc>
        <w:tc>
          <w:tcPr>
            <w:tcW w:type="dxa" w:w="1872"/>
          </w:tcPr>
          <w:p>
            <w:pPr>
              <w:spacing w:after="20"/>
              <w:jc w:val="right"/>
            </w:pPr>
            <w:r>
              <w:rPr>
                <w:color w:val="1C3A36"/>
                <w:sz w:val="16"/>
              </w:rPr>
              <w:t>Replacement cost is the terminal</w:t>
            </w:r>
          </w:p>
        </w:tc>
        <w:tc>
          <w:tcPr>
            <w:tcW w:type="dxa" w:w="1944"/>
          </w:tcPr>
          <w:p>
            <w:pPr>
              <w:spacing w:after="20"/>
              <w:jc w:val="right"/>
            </w:pPr>
            <w:r>
              <w:rPr>
                <w:color w:val="1C3A36"/>
                <w:sz w:val="16"/>
              </w:rPr>
              <w:t>Large — this is the main divergence</w:t>
            </w:r>
          </w:p>
        </w:tc>
      </w:tr>
      <w:tr>
        <w:trPr>
          <w:cantSplit/>
        </w:trPr>
        <w:tc>
          <w:tcPr>
            <w:tcW w:type="dxa" w:w="2304"/>
          </w:tcPr>
          <w:p>
            <w:pPr>
              <w:spacing w:after="20"/>
            </w:pPr>
            <w:r>
              <w:rPr>
                <w:b/>
                <w:color w:val="1C3A36"/>
                <w:sz w:val="16"/>
              </w:rPr>
              <w:t>Cost of capital</w:t>
            </w:r>
          </w:p>
        </w:tc>
        <w:tc>
          <w:tcPr>
            <w:tcW w:type="dxa" w:w="2016"/>
          </w:tcPr>
          <w:p>
            <w:pPr>
              <w:spacing w:after="20"/>
              <w:jc w:val="right"/>
            </w:pPr>
            <w:r>
              <w:rPr>
                <w:color w:val="1C3A36"/>
                <w:sz w:val="16"/>
              </w:rPr>
              <w:t>Implicit in the multiple</w:t>
            </w:r>
          </w:p>
        </w:tc>
        <w:tc>
          <w:tcPr>
            <w:tcW w:type="dxa" w:w="1944"/>
          </w:tcPr>
          <w:p>
            <w:pPr>
              <w:spacing w:after="20"/>
              <w:jc w:val="right"/>
            </w:pPr>
            <w:r>
              <w:rPr>
                <w:color w:val="1C3A36"/>
                <w:sz w:val="16"/>
              </w:rPr>
              <w:t>11.9%</w:t>
            </w:r>
          </w:p>
        </w:tc>
        <w:tc>
          <w:tcPr>
            <w:tcW w:type="dxa" w:w="1872"/>
          </w:tcPr>
          <w:p>
            <w:pPr>
              <w:spacing w:after="20"/>
              <w:jc w:val="right"/>
            </w:pPr>
            <w:r>
              <w:rPr>
                <w:color w:val="1C3A36"/>
                <w:sz w:val="16"/>
              </w:rPr>
              <w:t>Not used</w:t>
            </w:r>
          </w:p>
        </w:tc>
        <w:tc>
          <w:tcPr>
            <w:tcW w:type="dxa" w:w="1944"/>
          </w:tcPr>
          <w:p>
            <w:pPr>
              <w:spacing w:after="20"/>
              <w:jc w:val="right"/>
            </w:pPr>
            <w:r>
              <w:rPr>
                <w:color w:val="1C3A36"/>
                <w:sz w:val="16"/>
              </w:rPr>
              <w:t>Large — Expert 2 alone is exposed to the weak beta</w:t>
            </w:r>
          </w:p>
        </w:tc>
      </w:tr>
      <w:tr>
        <w:trPr>
          <w:cantSplit/>
        </w:trPr>
        <w:tc>
          <w:tcPr>
            <w:tcW w:type="dxa" w:w="2304"/>
          </w:tcPr>
          <w:p>
            <w:pPr>
              <w:spacing w:after="20"/>
            </w:pPr>
            <w:r>
              <w:rPr>
                <w:b/>
                <w:color w:val="1C3A36"/>
                <w:sz w:val="16"/>
              </w:rPr>
              <w:t>Gas pass-through</w:t>
            </w:r>
          </w:p>
        </w:tc>
        <w:tc>
          <w:tcPr>
            <w:tcW w:type="dxa" w:w="2016"/>
          </w:tcPr>
          <w:p>
            <w:pPr>
              <w:spacing w:after="20"/>
              <w:jc w:val="right"/>
            </w:pPr>
            <w:r>
              <w:rPr>
                <w:color w:val="1C3A36"/>
                <w:sz w:val="16"/>
              </w:rPr>
              <w:t>Implicit</w:t>
            </w:r>
          </w:p>
        </w:tc>
        <w:tc>
          <w:tcPr>
            <w:tcW w:type="dxa" w:w="1944"/>
          </w:tcPr>
          <w:p>
            <w:pPr>
              <w:spacing w:after="20"/>
              <w:jc w:val="right"/>
            </w:pPr>
            <w:r>
              <w:rPr>
                <w:color w:val="1C3A36"/>
                <w:sz w:val="16"/>
              </w:rPr>
              <w:t>0.48 explicit</w:t>
            </w:r>
          </w:p>
        </w:tc>
        <w:tc>
          <w:tcPr>
            <w:tcW w:type="dxa" w:w="1872"/>
          </w:tcPr>
          <w:p>
            <w:pPr>
              <w:spacing w:after="20"/>
              <w:jc w:val="right"/>
            </w:pPr>
            <w:r>
              <w:rPr>
                <w:color w:val="1C3A36"/>
                <w:sz w:val="16"/>
              </w:rPr>
              <w:t>Irrelevant</w:t>
            </w:r>
          </w:p>
        </w:tc>
        <w:tc>
          <w:tcPr>
            <w:tcW w:type="dxa" w:w="1944"/>
          </w:tcPr>
          <w:p>
            <w:pPr>
              <w:spacing w:after="20"/>
              <w:jc w:val="right"/>
            </w:pPr>
            <w:r>
              <w:rPr>
                <w:color w:val="1C3A36"/>
                <w:sz w:val="16"/>
              </w:rPr>
              <w:t>Moderate — all three are exposed, only one prices it</w:t>
            </w:r>
          </w:p>
        </w:tc>
      </w:tr>
      <w:tr>
        <w:trPr>
          <w:cantSplit/>
        </w:trPr>
        <w:tc>
          <w:tcPr>
            <w:tcW w:type="dxa" w:w="2304"/>
          </w:tcPr>
          <w:p>
            <w:pPr>
              <w:spacing w:after="20"/>
            </w:pPr>
            <w:r>
              <w:rPr>
                <w:b/>
                <w:color w:val="1C3A36"/>
                <w:sz w:val="16"/>
              </w:rPr>
              <w:t>Value of the legacy gas contracts</w:t>
            </w:r>
          </w:p>
        </w:tc>
        <w:tc>
          <w:tcPr>
            <w:tcW w:type="dxa" w:w="2016"/>
          </w:tcPr>
          <w:p>
            <w:pPr>
              <w:spacing w:after="20"/>
              <w:jc w:val="right"/>
            </w:pPr>
            <w:r>
              <w:rPr>
                <w:color w:val="1C3A36"/>
                <w:sz w:val="16"/>
              </w:rPr>
              <w:t>Partly in the multiple</w:t>
            </w:r>
          </w:p>
        </w:tc>
        <w:tc>
          <w:tcPr>
            <w:tcW w:type="dxa" w:w="1944"/>
          </w:tcPr>
          <w:p>
            <w:pPr>
              <w:spacing w:after="20"/>
              <w:jc w:val="right"/>
            </w:pPr>
            <w:r>
              <w:rPr>
                <w:color w:val="1C3A36"/>
                <w:sz w:val="16"/>
              </w:rPr>
              <w:t>In the cash flows</w:t>
            </w:r>
          </w:p>
        </w:tc>
        <w:tc>
          <w:tcPr>
            <w:tcW w:type="dxa" w:w="1872"/>
          </w:tcPr>
          <w:p>
            <w:pPr>
              <w:spacing w:after="20"/>
              <w:jc w:val="right"/>
            </w:pPr>
            <w:r>
              <w:rPr>
                <w:color w:val="1C3A36"/>
                <w:sz w:val="16"/>
              </w:rPr>
              <w:t>Excluded by construction</w:t>
            </w:r>
          </w:p>
        </w:tc>
        <w:tc>
          <w:tcPr>
            <w:tcW w:type="dxa" w:w="1944"/>
          </w:tcPr>
          <w:p>
            <w:pPr>
              <w:spacing w:after="20"/>
              <w:jc w:val="right"/>
            </w:pPr>
            <w:r>
              <w:rPr>
                <w:color w:val="1C3A36"/>
                <w:sz w:val="16"/>
              </w:rPr>
              <w:t>Explains why Expert 3 is a floor</w:t>
            </w:r>
          </w:p>
        </w:tc>
      </w:tr>
    </w:tbl>
    <w:p>
      <w:pPr>
        <w:spacing w:after="40"/>
      </w:pPr>
    </w:p>
    <w:p>
      <w:pPr>
        <w:spacing w:after="40"/>
        <w:jc w:val="center"/>
      </w:pPr>
      <w:r>
        <w:drawing>
          <wp:inline xmlns:a="http://schemas.openxmlformats.org/drawingml/2006/main" xmlns:pic="http://schemas.openxmlformats.org/drawingml/2006/picture">
            <wp:extent cx="5303520" cy="2937334"/>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5303520" cy="2937334"/>
                    </a:xfrm>
                    <a:prstGeom prst="rect"/>
                  </pic:spPr>
                </pic:pic>
              </a:graphicData>
            </a:graphic>
          </wp:inline>
        </w:drawing>
      </w:r>
    </w:p>
    <w:p>
      <w:pPr>
        <w:spacing w:after="200" w:before="0"/>
      </w:pPr>
      <w:r>
        <w:rPr>
          <w:b w:val="0"/>
          <w:i/>
          <w:color w:val="6E7B77"/>
          <w:sz w:val="17"/>
        </w:rPr>
        <w:t>Figure 8. The three expert valuations and their spread.</w:t>
      </w:r>
    </w:p>
    <w:p>
      <w:r>
        <w:br w:type="page"/>
      </w:r>
    </w:p>
    <w:p>
      <w:pPr>
        <w:spacing w:after="120" w:before="280"/>
      </w:pPr>
      <w:r>
        <w:rPr>
          <w:b/>
          <w:i w:val="0"/>
          <w:color w:val="1C3A36"/>
          <w:sz w:val="30"/>
        </w:rPr>
        <w:t>About</w:t>
      </w:r>
    </w:p>
    <w:p>
      <w:pPr>
        <w:spacing w:after="120" w:before="0"/>
      </w:pPr>
      <w:r>
        <w:rPr>
          <w:b w:val="0"/>
          <w:i w:val="0"/>
          <w:color w:val="1C3A36"/>
          <w:sz w:val="21"/>
        </w:rPr>
        <w:t>Testahil publishes independent valuation studies and calibrated probability ranges for listed securities, together with a public record of every forecast made and how it turned out. Studies are built from primary sources — the company's own issued financial statements and disclosures — and every figure in a study traces to a dated source in the accompanying source document.</w:t>
      </w:r>
    </w:p>
    <w:p>
      <w:pPr>
        <w:spacing w:after="120" w:before="0"/>
      </w:pPr>
      <w:r>
        <w:rPr>
          <w:b w:val="0"/>
          <w:i w:val="0"/>
          <w:color w:val="1C3A36"/>
          <w:sz w:val="21"/>
        </w:rPr>
        <w:t>Two things are published for every company: a fair-value range produced by four independent methods, and a probability distribution for the share price over defined horizons. They answer different questions and are not reconciled with one another. Neither is a rating and neither is a price target, because a single number implies a confidence that the evidence does not support.</w:t>
      </w:r>
    </w:p>
    <w:p>
      <w:pPr>
        <w:spacing w:after="120" w:before="0"/>
      </w:pPr>
      <w:r>
        <w:rPr>
          <w:b w:val="0"/>
          <w:i w:val="0"/>
          <w:color w:val="1C3A36"/>
          <w:sz w:val="21"/>
        </w:rPr>
        <w:t>Every probability range is tested against the security's own price history before it is published, scored against a benchmark that already includes the time value of money, and reported honestly whether it beat that benchmark or not. In this study it did not beat it, and section 3 says so.</w:t>
      </w:r>
    </w:p>
    <w:p>
      <w:pPr>
        <w:spacing w:after="120" w:before="280"/>
      </w:pPr>
      <w:r>
        <w:rPr>
          <w:b/>
          <w:i w:val="0"/>
          <w:color w:val="1C3A36"/>
          <w:sz w:val="30"/>
        </w:rPr>
        <w:t>Disclosure</w:t>
      </w:r>
    </w:p>
    <w:p>
      <w:pPr>
        <w:spacing w:after="120" w:before="0"/>
      </w:pPr>
      <w:r>
        <w:rPr>
          <w:b w:val="0"/>
          <w:i w:val="0"/>
          <w:color w:val="1C3A36"/>
          <w:sz w:val="21"/>
        </w:rPr>
        <w:t>This document is educational analysis. It is not investment advice, an offer, a solicitation, or a recommendation to buy or sell any security. It contains no rating and no price target.</w:t>
      </w:r>
    </w:p>
    <w:p>
      <w:pPr>
        <w:spacing w:after="120" w:before="0"/>
      </w:pPr>
      <w:r>
        <w:rPr>
          <w:b w:val="0"/>
          <w:i w:val="0"/>
          <w:color w:val="1C3A36"/>
          <w:sz w:val="21"/>
        </w:rPr>
        <w:t>The analysis rests on public information believed to be reliable, principally the company's own audited and interim financial statements, management commentary, investor presentations and results-call transcript, together with published sovereign risk data and market prices. No representation is made that it is complete or free of error. Forward-looking figures are estimates and will differ, possibly materially, from what actually happens.</w:t>
      </w:r>
    </w:p>
    <w:p>
      <w:pPr>
        <w:spacing w:after="120" w:before="0"/>
      </w:pPr>
      <w:r>
        <w:rPr>
          <w:b w:val="0"/>
          <w:i w:val="0"/>
          <w:color w:val="1C3A36"/>
          <w:sz w:val="21"/>
        </w:rPr>
        <w:t>Valuation involves judgement. Reasonable analysts using the same public information will reach different conclusions, and this study makes the largest of its own judgements visible and computes the most consequential one two ways rather than one. Readers should form their own view and, where appropriate, take professional advice.</w:t>
      </w:r>
    </w:p>
    <w:p>
      <w:pPr>
        <w:spacing w:after="120" w:before="0"/>
      </w:pPr>
      <w:r>
        <w:rPr>
          <w:b w:val="0"/>
          <w:i w:val="0"/>
          <w:color w:val="6E7B77"/>
          <w:sz w:val="18"/>
        </w:rPr>
        <w:t>Price basis 2026-08-07. Study date 2026-09-04. Currency: figures in US dollars unless marked AED; per-share values converted at 3.6725 dirhams to the dollar.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