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50" w:type="dxa"/>
          <w:bottom w:w="90" w:type="dxa"/>
          <w:right w:w="150" w:type="dxa"/>
        </w:tblCellMar>
      </w:tblPr>
      <w:tblGrid>
        <w:gridCol w:w="14112"/>
      </w:tblGrid>
      <w:tr>
        <w:tc>
          <w:tcPr>
            <w:tcW w:type="dxa" w:w="14112"/>
            <w:shd w:val="clear" w:color="auto" w:fill="1C3A36"/>
          </w:tcPr>
          <w:p>
            <w:r>
              <w:rPr>
                <w:b/>
                <w:color w:val="FFFFFF"/>
                <w:sz w:val="24"/>
              </w:rPr>
              <w:t>Testahil · GB Corp S.A.E. (EGX: GBCO) — Source Register</w:t>
            </w:r>
            <w:r>
              <w:rPr>
                <w:color w:val="9FB0AC"/>
                <w:sz w:val="20"/>
              </w:rPr>
              <w:t xml:space="preserve">   edition 10-09-2026 · 10 September 2026</w:t>
            </w:r>
          </w:p>
        </w:tc>
      </w:tr>
    </w:tbl>
    <w:p>
      <w:pPr>
        <w:spacing w:after="80"/>
      </w:pPr>
    </w:p>
    <w:p>
      <w:pPr>
        <w:spacing w:after="100" w:before="0"/>
      </w:pPr>
      <w:r>
        <w:rPr>
          <w:b w:val="0"/>
          <w:i w:val="0"/>
          <w:color w:val="1C3A36"/>
          <w:sz w:val="20"/>
        </w:rPr>
        <w:t>Where every number came from. This register accompanies the valuation study and the companion model. Each input carries the source it was taken from, the research layer that source belongs to, and the date the source itself bears — not the date it was read.</w:t>
      </w:r>
    </w:p>
    <w:p>
      <w:pPr>
        <w:spacing w:after="80" w:before="200"/>
      </w:pPr>
      <w:r>
        <w:rPr>
          <w:b/>
          <w:i w:val="0"/>
          <w:color w:val="1C3A36"/>
          <w:sz w:val="23"/>
        </w:rPr>
        <w:t>The sourcing position, stated at the top</w:t>
      </w:r>
    </w:p>
    <w:p>
      <w:pPr>
        <w:spacing w:after="100" w:before="0"/>
      </w:pPr>
      <w:r>
        <w:rPr>
          <w:b w:val="0"/>
          <w:i w:val="0"/>
          <w:color w:val="1C3A36"/>
          <w:sz w:val="19"/>
        </w:rPr>
        <w:t>Every historical figure in this study, and in the historical testing behind it, comes from a document GB Corp published itself, downloaded from the company’s own investor-relations portal and committed to this study’s directory. No data vendor, broker or press report is a source for any figure the company reported about itself.</w:t>
      </w:r>
    </w:p>
    <w:p>
      <w:pPr>
        <w:spacing w:after="100" w:before="0"/>
      </w:pPr>
      <w:r>
        <w:rPr>
          <w:b w:val="0"/>
          <w:i w:val="0"/>
          <w:color w:val="1C3A36"/>
          <w:sz w:val="19"/>
        </w:rPr>
        <w:t>That was not always true of this name, and the reason is recorded rather than smoothed over. An earlier attempt to reach the filings ran six routes and concluded the documents were unreachable. Every route was real and every outcome honestly recorded; the host list had been assembled from what the company used to be called, and the company’s current domain was never tried. It answers on the first attempt, without authentication. The lesson is kept because it generalises: a search that guesses a naming convention finds nothing and reports that as a result.</w:t>
      </w:r>
    </w:p>
    <w:p>
      <w:pPr>
        <w:spacing w:after="100" w:before="0"/>
      </w:pPr>
      <w:r>
        <w:rPr>
          <w:b w:val="0"/>
          <w:i w:val="0"/>
          <w:color w:val="1C3A36"/>
          <w:sz w:val="19"/>
        </w:rPr>
        <w:t>Two consequences of what the filings actually contain, both material and both disclosed. First, the audited statements for the four most recent years carry NO text layer at all, and the same audited statements are reproduced inside the annual report for those years, which does — so the annual report is the ROUTE and the audited statement is the DOCUMENT, and the two are recorded separately. Second, the opinion on the very associate that dominates this valuation is QUALIFIED, and it is qualified in BOTH of the most recent reporting periods rather than once.</w:t>
      </w:r>
    </w:p>
    <w:p>
      <w:pPr>
        <w:spacing w:after="100" w:before="0"/>
      </w:pPr>
      <w:r>
        <w:rPr>
          <w:b w:val="0"/>
          <w:i w:val="0"/>
          <w:color w:val="1C3A36"/>
          <w:sz w:val="19"/>
        </w:rPr>
        <w:t>THE QUALIFICATION, IN THE REVIEWERS’ OWN WORDS AND AT THE MOST RECENT DATE. The limited review of the consolidated interim statements to 30 June 2026 reaches a qualified conclusion: the reviewers state they “were not provided with the consolidated financial statements for one of the associate companies (MNT - BV)” and were therefore “unable to verify the accuracy of the Group’s share of profits” — EGP 409.9 mn recorded in the period. The same qualification stood on the 31 December 2025 audited statements, where the auditors record that the group’s share of that associate’s profit rests on management-prepared accounts. It is set out here, and in the study’s own caveats, because the LOWER of the two answers this study publishes stands on the carrying value that same conclusion is qualified at — so the conservative branch is not a safe harbour either, and a reader is entitled to know that before comparing the two.</w:t>
      </w:r>
    </w:p>
    <w:p>
      <w:r>
        <w:br w:type="page"/>
      </w:r>
    </w:p>
    <w:p>
      <w:pPr>
        <w:spacing w:after="120" w:before="240"/>
      </w:pPr>
      <w:r>
        <w:rPr>
          <w:b/>
          <w:i w:val="0"/>
          <w:color w:val="1C3A36"/>
          <w:sz w:val="30"/>
        </w:rPr>
        <w:t>1  Primary documents — what was actually read</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76"/>
        <w:gridCol w:w="5616"/>
        <w:gridCol w:w="6336"/>
        <w:gridCol w:w="1584"/>
      </w:tblGrid>
      <w:tr>
        <w:tc>
          <w:tcPr>
            <w:tcW w:type="dxa" w:w="576"/>
            <w:shd w:val="clear" w:color="auto" w:fill="EAF0EE"/>
          </w:tcPr>
          <w:p>
            <w:pPr>
              <w:spacing w:after="20"/>
            </w:pPr>
            <w:r>
              <w:rPr>
                <w:b/>
                <w:color w:val="1C3A36"/>
                <w:sz w:val="15"/>
              </w:rPr>
              <w:t>#</w:t>
            </w:r>
          </w:p>
        </w:tc>
        <w:tc>
          <w:tcPr>
            <w:tcW w:type="dxa" w:w="5616"/>
            <w:shd w:val="clear" w:color="auto" w:fill="EAF0EE"/>
          </w:tcPr>
          <w:p>
            <w:pPr>
              <w:spacing w:after="20"/>
            </w:pPr>
            <w:r>
              <w:rPr>
                <w:b/>
                <w:color w:val="1C3A36"/>
                <w:sz w:val="15"/>
              </w:rPr>
              <w:t>Document</w:t>
            </w:r>
          </w:p>
        </w:tc>
        <w:tc>
          <w:tcPr>
            <w:tcW w:type="dxa" w:w="6336"/>
            <w:shd w:val="clear" w:color="auto" w:fill="EAF0EE"/>
          </w:tcPr>
          <w:p>
            <w:pPr>
              <w:spacing w:after="20"/>
            </w:pPr>
            <w:r>
              <w:rPr>
                <w:b/>
                <w:color w:val="1C3A36"/>
                <w:sz w:val="15"/>
              </w:rPr>
              <w:t>What it is</w:t>
            </w:r>
          </w:p>
        </w:tc>
        <w:tc>
          <w:tcPr>
            <w:tcW w:type="dxa" w:w="1584"/>
            <w:shd w:val="clear" w:color="auto" w:fill="EAF0EE"/>
          </w:tcPr>
          <w:p>
            <w:pPr>
              <w:spacing w:after="20"/>
            </w:pPr>
            <w:r>
              <w:rPr>
                <w:b/>
                <w:color w:val="1C3A36"/>
                <w:sz w:val="15"/>
              </w:rPr>
              <w:t>Held at</w:t>
            </w:r>
          </w:p>
        </w:tc>
      </w:tr>
      <w:tr>
        <w:tc>
          <w:tcPr>
            <w:tcW w:type="dxa" w:w="576"/>
          </w:tcPr>
          <w:p>
            <w:pPr>
              <w:spacing w:after="20"/>
            </w:pPr>
            <w:r>
              <w:rPr>
                <w:color w:val="1C3A36"/>
                <w:sz w:val="15"/>
              </w:rPr>
              <w:t>1</w:t>
            </w:r>
          </w:p>
        </w:tc>
        <w:tc>
          <w:tcPr>
            <w:tcW w:type="dxa" w:w="5616"/>
          </w:tcPr>
          <w:p>
            <w:pPr>
              <w:spacing w:after="20"/>
            </w:pPr>
            <w:r>
              <w:rPr>
                <w:color w:val="1C3A36"/>
                <w:sz w:val="15"/>
              </w:rPr>
              <w:t>GB_Annual_Report_2013.pdf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2</w:t>
            </w:r>
          </w:p>
        </w:tc>
        <w:tc>
          <w:tcPr>
            <w:tcW w:type="dxa" w:w="5616"/>
          </w:tcPr>
          <w:p>
            <w:pPr>
              <w:spacing w:after="20"/>
            </w:pPr>
            <w:r>
              <w:rPr>
                <w:color w:val="1C3A36"/>
                <w:sz w:val="15"/>
              </w:rPr>
              <w:t>GB_Annual_Report_2014.pdf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3</w:t>
            </w:r>
          </w:p>
        </w:tc>
        <w:tc>
          <w:tcPr>
            <w:tcW w:type="dxa" w:w="5616"/>
          </w:tcPr>
          <w:p>
            <w:pPr>
              <w:spacing w:after="20"/>
            </w:pPr>
            <w:r>
              <w:rPr>
                <w:color w:val="1C3A36"/>
                <w:sz w:val="15"/>
              </w:rPr>
              <w:t>GB_Annual_Report_2015.pdf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4</w:t>
            </w:r>
          </w:p>
        </w:tc>
        <w:tc>
          <w:tcPr>
            <w:tcW w:type="dxa" w:w="5616"/>
          </w:tcPr>
          <w:p>
            <w:pPr>
              <w:spacing w:after="20"/>
            </w:pPr>
            <w:r>
              <w:rPr>
                <w:color w:val="1C3A36"/>
                <w:sz w:val="15"/>
              </w:rPr>
              <w:t>GB_Annual_Report_2016.pdf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5</w:t>
            </w:r>
          </w:p>
        </w:tc>
        <w:tc>
          <w:tcPr>
            <w:tcW w:type="dxa" w:w="5616"/>
          </w:tcPr>
          <w:p>
            <w:pPr>
              <w:spacing w:after="20"/>
            </w:pPr>
            <w:r>
              <w:rPr>
                <w:color w:val="1C3A36"/>
                <w:sz w:val="15"/>
              </w:rPr>
              <w:t>GB_Annual_Report_2017.pdf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6</w:t>
            </w:r>
          </w:p>
        </w:tc>
        <w:tc>
          <w:tcPr>
            <w:tcW w:type="dxa" w:w="5616"/>
          </w:tcPr>
          <w:p>
            <w:pPr>
              <w:spacing w:after="20"/>
            </w:pPr>
            <w:r>
              <w:rPr>
                <w:color w:val="1C3A36"/>
                <w:sz w:val="15"/>
              </w:rPr>
              <w:t>GB_Annual_Report_2018.pdf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7</w:t>
            </w:r>
          </w:p>
        </w:tc>
        <w:tc>
          <w:tcPr>
            <w:tcW w:type="dxa" w:w="5616"/>
          </w:tcPr>
          <w:p>
            <w:pPr>
              <w:spacing w:after="20"/>
            </w:pPr>
            <w:r>
              <w:rPr>
                <w:color w:val="1C3A36"/>
                <w:sz w:val="15"/>
              </w:rPr>
              <w:t>GB_Annual_Report_2019.pdf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8</w:t>
            </w:r>
          </w:p>
        </w:tc>
        <w:tc>
          <w:tcPr>
            <w:tcW w:type="dxa" w:w="5616"/>
          </w:tcPr>
          <w:p>
            <w:pPr>
              <w:spacing w:after="20"/>
            </w:pPr>
            <w:r>
              <w:rPr>
                <w:color w:val="1C3A36"/>
                <w:sz w:val="15"/>
              </w:rPr>
              <w:t>GB_Annual_Report_2020.pdf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9</w:t>
            </w:r>
          </w:p>
        </w:tc>
        <w:tc>
          <w:tcPr>
            <w:tcW w:type="dxa" w:w="5616"/>
          </w:tcPr>
          <w:p>
            <w:pPr>
              <w:spacing w:after="20"/>
            </w:pPr>
            <w:r>
              <w:rPr>
                <w:color w:val="1C3A36"/>
                <w:sz w:val="15"/>
              </w:rPr>
              <w:t>GB_Annual_Report_2021.pdf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10</w:t>
            </w:r>
          </w:p>
        </w:tc>
        <w:tc>
          <w:tcPr>
            <w:tcW w:type="dxa" w:w="5616"/>
          </w:tcPr>
          <w:p>
            <w:pPr>
              <w:spacing w:after="20"/>
            </w:pPr>
            <w:r>
              <w:rPr>
                <w:color w:val="1C3A36"/>
                <w:sz w:val="15"/>
              </w:rPr>
              <w:t>GB_Annual_Report_2022.pdf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11</w:t>
            </w:r>
          </w:p>
        </w:tc>
        <w:tc>
          <w:tcPr>
            <w:tcW w:type="dxa" w:w="5616"/>
          </w:tcPr>
          <w:p>
            <w:pPr>
              <w:spacing w:after="20"/>
            </w:pPr>
            <w:r>
              <w:rPr>
                <w:color w:val="1C3A36"/>
                <w:sz w:val="15"/>
              </w:rPr>
              <w:t>GB_Annual_Report_2023.pdf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12</w:t>
            </w:r>
          </w:p>
        </w:tc>
        <w:tc>
          <w:tcPr>
            <w:tcW w:type="dxa" w:w="5616"/>
          </w:tcPr>
          <w:p>
            <w:pPr>
              <w:spacing w:after="20"/>
            </w:pPr>
            <w:r>
              <w:rPr>
                <w:color w:val="1C3A36"/>
                <w:sz w:val="15"/>
              </w:rPr>
              <w:t>GB_Annual_Report_2024.pdf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13</w:t>
            </w:r>
          </w:p>
        </w:tc>
        <w:tc>
          <w:tcPr>
            <w:tcW w:type="dxa" w:w="5616"/>
          </w:tcPr>
          <w:p>
            <w:pPr>
              <w:spacing w:after="20"/>
            </w:pPr>
            <w:r>
              <w:rPr>
                <w:color w:val="1C3A36"/>
                <w:sz w:val="15"/>
              </w:rPr>
              <w:t>GB_Auto_Consolidated_E_31_December_2020.pdf</w:t>
            </w:r>
          </w:p>
        </w:tc>
        <w:tc>
          <w:tcPr>
            <w:tcW w:type="dxa" w:w="6336"/>
          </w:tcPr>
          <w:p>
            <w:pPr>
              <w:spacing w:after="20"/>
            </w:pPr>
            <w:r>
              <w:rPr>
                <w:color w:val="1C3A36"/>
                <w:sz w:val="15"/>
              </w:rPr>
              <w:t>Audited consolidated financial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14</w:t>
            </w:r>
          </w:p>
        </w:tc>
        <w:tc>
          <w:tcPr>
            <w:tcW w:type="dxa" w:w="5616"/>
          </w:tcPr>
          <w:p>
            <w:pPr>
              <w:spacing w:after="20"/>
            </w:pPr>
            <w:r>
              <w:rPr>
                <w:color w:val="1C3A36"/>
                <w:sz w:val="15"/>
              </w:rPr>
              <w:t>GB_Auto_Consolidated_E_31_December_2021.pdf</w:t>
            </w:r>
          </w:p>
        </w:tc>
        <w:tc>
          <w:tcPr>
            <w:tcW w:type="dxa" w:w="6336"/>
          </w:tcPr>
          <w:p>
            <w:pPr>
              <w:spacing w:after="20"/>
            </w:pPr>
            <w:r>
              <w:rPr>
                <w:color w:val="1C3A36"/>
                <w:sz w:val="15"/>
              </w:rPr>
              <w:t>Audited consolidated financial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15</w:t>
            </w:r>
          </w:p>
        </w:tc>
        <w:tc>
          <w:tcPr>
            <w:tcW w:type="dxa" w:w="5616"/>
          </w:tcPr>
          <w:p>
            <w:pPr>
              <w:spacing w:after="20"/>
            </w:pPr>
            <w:r>
              <w:rPr>
                <w:color w:val="1C3A36"/>
                <w:sz w:val="15"/>
              </w:rPr>
              <w:t>GB_Auto_Consolidated_E_31_December_2022.pdf</w:t>
            </w:r>
          </w:p>
        </w:tc>
        <w:tc>
          <w:tcPr>
            <w:tcW w:type="dxa" w:w="6336"/>
          </w:tcPr>
          <w:p>
            <w:pPr>
              <w:spacing w:after="20"/>
            </w:pPr>
            <w:r>
              <w:rPr>
                <w:color w:val="1C3A36"/>
                <w:sz w:val="15"/>
              </w:rPr>
              <w:t>Audited consolidated financial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16</w:t>
            </w:r>
          </w:p>
        </w:tc>
        <w:tc>
          <w:tcPr>
            <w:tcW w:type="dxa" w:w="5616"/>
          </w:tcPr>
          <w:p>
            <w:pPr>
              <w:spacing w:after="20"/>
            </w:pPr>
            <w:r>
              <w:rPr>
                <w:color w:val="1C3A36"/>
                <w:sz w:val="15"/>
              </w:rPr>
              <w:t>GB_Corp_Annual_Report_2025.pdf</w:t>
            </w:r>
          </w:p>
        </w:tc>
        <w:tc>
          <w:tcPr>
            <w:tcW w:type="dxa" w:w="6336"/>
          </w:tcPr>
          <w:p>
            <w:pPr>
              <w:spacing w:after="20"/>
            </w:pPr>
            <w:r>
              <w:rPr>
                <w:color w:val="1C3A36"/>
                <w:sz w:val="15"/>
              </w:rPr>
              <w:t>Annual report (reproduces that year’s audited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17</w:t>
            </w:r>
          </w:p>
        </w:tc>
        <w:tc>
          <w:tcPr>
            <w:tcW w:type="dxa" w:w="5616"/>
          </w:tcPr>
          <w:p>
            <w:pPr>
              <w:spacing w:after="20"/>
            </w:pPr>
            <w:r>
              <w:rPr>
                <w:color w:val="1C3A36"/>
                <w:sz w:val="15"/>
              </w:rPr>
              <w:t>GB_Corp_Consolidated_E_31_December_2023.pdf</w:t>
            </w:r>
          </w:p>
        </w:tc>
        <w:tc>
          <w:tcPr>
            <w:tcW w:type="dxa" w:w="6336"/>
          </w:tcPr>
          <w:p>
            <w:pPr>
              <w:spacing w:after="20"/>
            </w:pPr>
            <w:r>
              <w:rPr>
                <w:color w:val="1C3A36"/>
                <w:sz w:val="15"/>
              </w:rPr>
              <w:t>Audited consolidated financial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18</w:t>
            </w:r>
          </w:p>
        </w:tc>
        <w:tc>
          <w:tcPr>
            <w:tcW w:type="dxa" w:w="5616"/>
          </w:tcPr>
          <w:p>
            <w:pPr>
              <w:spacing w:after="20"/>
            </w:pPr>
            <w:r>
              <w:rPr>
                <w:color w:val="1C3A36"/>
                <w:sz w:val="15"/>
              </w:rPr>
              <w:t>GB_Corp_Consolidated_E_31_December_2024.pdf</w:t>
            </w:r>
          </w:p>
        </w:tc>
        <w:tc>
          <w:tcPr>
            <w:tcW w:type="dxa" w:w="6336"/>
          </w:tcPr>
          <w:p>
            <w:pPr>
              <w:spacing w:after="20"/>
            </w:pPr>
            <w:r>
              <w:rPr>
                <w:color w:val="1C3A36"/>
                <w:sz w:val="15"/>
              </w:rPr>
              <w:t>Audited consolidated financial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19</w:t>
            </w:r>
          </w:p>
        </w:tc>
        <w:tc>
          <w:tcPr>
            <w:tcW w:type="dxa" w:w="5616"/>
          </w:tcPr>
          <w:p>
            <w:pPr>
              <w:spacing w:after="20"/>
            </w:pPr>
            <w:r>
              <w:rPr>
                <w:color w:val="1C3A36"/>
                <w:sz w:val="15"/>
              </w:rPr>
              <w:t>GB_Corp_Consolidated_E_31_December_2025.pdf</w:t>
            </w:r>
          </w:p>
        </w:tc>
        <w:tc>
          <w:tcPr>
            <w:tcW w:type="dxa" w:w="6336"/>
          </w:tcPr>
          <w:p>
            <w:pPr>
              <w:spacing w:after="20"/>
            </w:pPr>
            <w:r>
              <w:rPr>
                <w:color w:val="1C3A36"/>
                <w:sz w:val="15"/>
              </w:rPr>
              <w:t>Audited consolidated financial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20</w:t>
            </w:r>
          </w:p>
        </w:tc>
        <w:tc>
          <w:tcPr>
            <w:tcW w:type="dxa" w:w="5616"/>
          </w:tcPr>
          <w:p>
            <w:pPr>
              <w:spacing w:after="20"/>
            </w:pPr>
            <w:r>
              <w:rPr>
                <w:color w:val="1C3A36"/>
                <w:sz w:val="15"/>
              </w:rPr>
              <w:t>GB_Corp_Consolidation_English_30_June-2026.pdf</w:t>
            </w:r>
          </w:p>
        </w:tc>
        <w:tc>
          <w:tcPr>
            <w:tcW w:type="dxa" w:w="6336"/>
          </w:tcPr>
          <w:p>
            <w:pPr>
              <w:spacing w:after="20"/>
            </w:pPr>
            <w:r>
              <w:rPr>
                <w:color w:val="1C3A36"/>
                <w:sz w:val="15"/>
              </w:rPr>
              <w:t>Reviewed interim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21</w:t>
            </w:r>
          </w:p>
        </w:tc>
        <w:tc>
          <w:tcPr>
            <w:tcW w:type="dxa" w:w="5616"/>
          </w:tcPr>
          <w:p>
            <w:pPr>
              <w:spacing w:after="20"/>
            </w:pPr>
            <w:r>
              <w:rPr>
                <w:color w:val="1C3A36"/>
                <w:sz w:val="15"/>
              </w:rPr>
              <w:t>GB_Corp_Consolidation_English_31_March-2026.pdf</w:t>
            </w:r>
          </w:p>
        </w:tc>
        <w:tc>
          <w:tcPr>
            <w:tcW w:type="dxa" w:w="6336"/>
          </w:tcPr>
          <w:p>
            <w:pPr>
              <w:spacing w:after="20"/>
            </w:pPr>
            <w:r>
              <w:rPr>
                <w:color w:val="1C3A36"/>
                <w:sz w:val="15"/>
              </w:rPr>
              <w:t>Reviewed interim consolidated statements</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22</w:t>
            </w:r>
          </w:p>
        </w:tc>
        <w:tc>
          <w:tcPr>
            <w:tcW w:type="dxa" w:w="5616"/>
          </w:tcPr>
          <w:p>
            <w:pPr>
              <w:spacing w:after="20"/>
            </w:pPr>
            <w:r>
              <w:rPr>
                <w:color w:val="1C3A36"/>
                <w:sz w:val="15"/>
              </w:rPr>
              <w:t>GB_Corp_ER_1Q26-_E_-_Final.pdf</w:t>
            </w:r>
          </w:p>
        </w:tc>
        <w:tc>
          <w:tcPr>
            <w:tcW w:type="dxa" w:w="6336"/>
          </w:tcPr>
          <w:p>
            <w:pPr>
              <w:spacing w:after="20"/>
            </w:pPr>
            <w:r>
              <w:rPr>
                <w:color w:val="1C3A36"/>
                <w:sz w:val="15"/>
              </w:rPr>
              <w:t>Earnings release</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23</w:t>
            </w:r>
          </w:p>
        </w:tc>
        <w:tc>
          <w:tcPr>
            <w:tcW w:type="dxa" w:w="5616"/>
          </w:tcPr>
          <w:p>
            <w:pPr>
              <w:spacing w:after="20"/>
            </w:pPr>
            <w:r>
              <w:rPr>
                <w:color w:val="1C3A36"/>
                <w:sz w:val="15"/>
              </w:rPr>
              <w:t>GB_Corp_ER_2Q26-_E_-_Final.pdf</w:t>
            </w:r>
          </w:p>
        </w:tc>
        <w:tc>
          <w:tcPr>
            <w:tcW w:type="dxa" w:w="6336"/>
          </w:tcPr>
          <w:p>
            <w:pPr>
              <w:spacing w:after="20"/>
            </w:pPr>
            <w:r>
              <w:rPr>
                <w:color w:val="1C3A36"/>
                <w:sz w:val="15"/>
              </w:rPr>
              <w:t>Earnings release</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24</w:t>
            </w:r>
          </w:p>
        </w:tc>
        <w:tc>
          <w:tcPr>
            <w:tcW w:type="dxa" w:w="5616"/>
          </w:tcPr>
          <w:p>
            <w:pPr>
              <w:spacing w:after="20"/>
            </w:pPr>
            <w:r>
              <w:rPr>
                <w:color w:val="1C3A36"/>
                <w:sz w:val="15"/>
              </w:rPr>
              <w:t>GB_Corp_ER_4Q20_-_E_-_FINAL.pdf</w:t>
            </w:r>
          </w:p>
        </w:tc>
        <w:tc>
          <w:tcPr>
            <w:tcW w:type="dxa" w:w="6336"/>
          </w:tcPr>
          <w:p>
            <w:pPr>
              <w:spacing w:after="20"/>
            </w:pPr>
            <w:r>
              <w:rPr>
                <w:color w:val="1C3A36"/>
                <w:sz w:val="15"/>
              </w:rPr>
              <w:t>Earnings release</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25</w:t>
            </w:r>
          </w:p>
        </w:tc>
        <w:tc>
          <w:tcPr>
            <w:tcW w:type="dxa" w:w="5616"/>
          </w:tcPr>
          <w:p>
            <w:pPr>
              <w:spacing w:after="20"/>
            </w:pPr>
            <w:r>
              <w:rPr>
                <w:color w:val="1C3A36"/>
                <w:sz w:val="15"/>
              </w:rPr>
              <w:t>GB_Corp_ER_4Q21_-_E_-_FINAL.pdf</w:t>
            </w:r>
          </w:p>
        </w:tc>
        <w:tc>
          <w:tcPr>
            <w:tcW w:type="dxa" w:w="6336"/>
          </w:tcPr>
          <w:p>
            <w:pPr>
              <w:spacing w:after="20"/>
            </w:pPr>
            <w:r>
              <w:rPr>
                <w:color w:val="1C3A36"/>
                <w:sz w:val="15"/>
              </w:rPr>
              <w:t>Earnings release</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26</w:t>
            </w:r>
          </w:p>
        </w:tc>
        <w:tc>
          <w:tcPr>
            <w:tcW w:type="dxa" w:w="5616"/>
          </w:tcPr>
          <w:p>
            <w:pPr>
              <w:spacing w:after="20"/>
            </w:pPr>
            <w:r>
              <w:rPr>
                <w:color w:val="1C3A36"/>
                <w:sz w:val="15"/>
              </w:rPr>
              <w:t>GB_Corp_ER_4Q22_-_E_-_FINAL.pdf</w:t>
            </w:r>
          </w:p>
        </w:tc>
        <w:tc>
          <w:tcPr>
            <w:tcW w:type="dxa" w:w="6336"/>
          </w:tcPr>
          <w:p>
            <w:pPr>
              <w:spacing w:after="20"/>
            </w:pPr>
            <w:r>
              <w:rPr>
                <w:color w:val="1C3A36"/>
                <w:sz w:val="15"/>
              </w:rPr>
              <w:t>Earnings release</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27</w:t>
            </w:r>
          </w:p>
        </w:tc>
        <w:tc>
          <w:tcPr>
            <w:tcW w:type="dxa" w:w="5616"/>
          </w:tcPr>
          <w:p>
            <w:pPr>
              <w:spacing w:after="20"/>
            </w:pPr>
            <w:r>
              <w:rPr>
                <w:color w:val="1C3A36"/>
                <w:sz w:val="15"/>
              </w:rPr>
              <w:t>GB_Corp_ER_4Q23_-_ER_-_FINAL.pdf</w:t>
            </w:r>
          </w:p>
        </w:tc>
        <w:tc>
          <w:tcPr>
            <w:tcW w:type="dxa" w:w="6336"/>
          </w:tcPr>
          <w:p>
            <w:pPr>
              <w:spacing w:after="20"/>
            </w:pPr>
            <w:r>
              <w:rPr>
                <w:color w:val="1C3A36"/>
                <w:sz w:val="15"/>
              </w:rPr>
              <w:t>Earnings release</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28</w:t>
            </w:r>
          </w:p>
        </w:tc>
        <w:tc>
          <w:tcPr>
            <w:tcW w:type="dxa" w:w="5616"/>
          </w:tcPr>
          <w:p>
            <w:pPr>
              <w:spacing w:after="20"/>
            </w:pPr>
            <w:r>
              <w:rPr>
                <w:color w:val="1C3A36"/>
                <w:sz w:val="15"/>
              </w:rPr>
              <w:t>GB_Corp_ER_4Q24-_E_-_Final.pdf</w:t>
            </w:r>
          </w:p>
        </w:tc>
        <w:tc>
          <w:tcPr>
            <w:tcW w:type="dxa" w:w="6336"/>
          </w:tcPr>
          <w:p>
            <w:pPr>
              <w:spacing w:after="20"/>
            </w:pPr>
            <w:r>
              <w:rPr>
                <w:color w:val="1C3A36"/>
                <w:sz w:val="15"/>
              </w:rPr>
              <w:t>Earnings release</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29</w:t>
            </w:r>
          </w:p>
        </w:tc>
        <w:tc>
          <w:tcPr>
            <w:tcW w:type="dxa" w:w="5616"/>
          </w:tcPr>
          <w:p>
            <w:pPr>
              <w:spacing w:after="20"/>
            </w:pPr>
            <w:r>
              <w:rPr>
                <w:color w:val="1C3A36"/>
                <w:sz w:val="15"/>
              </w:rPr>
              <w:t>GB_Corp_ER_4Q25-_E_-_Final.pdf</w:t>
            </w:r>
          </w:p>
        </w:tc>
        <w:tc>
          <w:tcPr>
            <w:tcW w:type="dxa" w:w="6336"/>
          </w:tcPr>
          <w:p>
            <w:pPr>
              <w:spacing w:after="20"/>
            </w:pPr>
            <w:r>
              <w:rPr>
                <w:color w:val="1C3A36"/>
                <w:sz w:val="15"/>
              </w:rPr>
              <w:t>Earnings release</w:t>
            </w:r>
          </w:p>
        </w:tc>
        <w:tc>
          <w:tcPr>
            <w:tcW w:type="dxa" w:w="1584"/>
          </w:tcPr>
          <w:p>
            <w:pPr>
              <w:spacing w:after="20"/>
            </w:pPr>
            <w:r>
              <w:rPr>
                <w:color w:val="1C3A36"/>
                <w:sz w:val="15"/>
              </w:rPr>
              <w:t>committed with this study</w:t>
            </w:r>
          </w:p>
        </w:tc>
      </w:tr>
      <w:tr>
        <w:tc>
          <w:tcPr>
            <w:tcW w:type="dxa" w:w="576"/>
          </w:tcPr>
          <w:p>
            <w:pPr>
              <w:spacing w:after="20"/>
            </w:pPr>
            <w:r>
              <w:rPr>
                <w:color w:val="1C3A36"/>
                <w:sz w:val="15"/>
              </w:rPr>
              <w:t>30</w:t>
            </w:r>
          </w:p>
        </w:tc>
        <w:tc>
          <w:tcPr>
            <w:tcW w:type="dxa" w:w="5616"/>
          </w:tcPr>
          <w:p>
            <w:pPr>
              <w:spacing w:after="20"/>
            </w:pPr>
            <w:r>
              <w:rPr>
                <w:color w:val="1C3A36"/>
                <w:sz w:val="15"/>
              </w:rPr>
              <w:t>GB_IRP_1Q26_-_Final.pdf</w:t>
            </w:r>
          </w:p>
        </w:tc>
        <w:tc>
          <w:tcPr>
            <w:tcW w:type="dxa" w:w="6336"/>
          </w:tcPr>
          <w:p>
            <w:pPr>
              <w:spacing w:after="20"/>
            </w:pPr>
            <w:r>
              <w:rPr>
                <w:color w:val="1C3A36"/>
                <w:sz w:val="15"/>
              </w:rPr>
              <w:t>Investor presentation</w:t>
            </w:r>
          </w:p>
        </w:tc>
        <w:tc>
          <w:tcPr>
            <w:tcW w:type="dxa" w:w="1584"/>
          </w:tcPr>
          <w:p>
            <w:pPr>
              <w:spacing w:after="20"/>
            </w:pPr>
            <w:r>
              <w:rPr>
                <w:color w:val="1C3A36"/>
                <w:sz w:val="15"/>
              </w:rPr>
              <w:t>committed with this study</w:t>
            </w:r>
          </w:p>
        </w:tc>
      </w:tr>
    </w:tbl>
    <w:p>
      <w:pPr>
        <w:spacing w:after="40"/>
      </w:pPr>
    </w:p>
    <w:p>
      <w:pPr>
        <w:spacing w:after="100" w:before="0"/>
      </w:pPr>
      <w:r>
        <w:rPr>
          <w:b w:val="0"/>
          <w:i w:val="0"/>
          <w:color w:val="1C3A36"/>
          <w:sz w:val="18"/>
        </w:rPr>
        <w:t>Every file above was downloaded from GB Corp’s own investor-relations portal and is kept with this study, so a reader can re-derive any figure in the study from the same document the study read. The count is what the directory holds rather than a number typed here.</w:t>
      </w:r>
    </w:p>
    <w:p>
      <w:r>
        <w:br w:type="page"/>
      </w:r>
    </w:p>
    <w:p>
      <w:pPr>
        <w:spacing w:after="120" w:before="240"/>
      </w:pPr>
      <w:r>
        <w:rPr>
          <w:b/>
          <w:i w:val="0"/>
          <w:color w:val="1C3A36"/>
          <w:sz w:val="30"/>
        </w:rPr>
        <w:t>2  Input register — every figure that reaches the model</w:t>
      </w:r>
    </w:p>
    <w:p>
      <w:pPr>
        <w:spacing w:after="100" w:before="0"/>
      </w:pPr>
      <w:r>
        <w:rPr>
          <w:b w:val="0"/>
          <w:i w:val="0"/>
          <w:color w:val="1C3A36"/>
          <w:sz w:val="19"/>
        </w:rPr>
        <w:t>Four fields on every input: the value, the source, the date that source carries, and the research layer it belongs to. The layer is DERIVED from which source built the entry rather than typed, so it cannot drift from the source it describes.</w:t>
      </w:r>
    </w:p>
    <w:p>
      <w:pPr>
        <w:spacing w:after="80" w:before="200"/>
      </w:pPr>
      <w:r>
        <w:rPr>
          <w:b/>
          <w:i w:val="0"/>
          <w:color w:val="1C3A36"/>
          <w:sz w:val="23"/>
        </w:rPr>
        <w:t>Research layer — Company</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61"/>
        <w:gridCol w:w="1944"/>
        <w:gridCol w:w="1224"/>
        <w:gridCol w:w="792"/>
        <w:gridCol w:w="6264"/>
        <w:gridCol w:w="1224"/>
        <w:gridCol w:w="2203"/>
      </w:tblGrid>
      <w:tr>
        <w:tc>
          <w:tcPr>
            <w:tcW w:type="dxa" w:w="461"/>
            <w:shd w:val="clear" w:color="auto" w:fill="EAF0EE"/>
          </w:tcPr>
          <w:p>
            <w:pPr>
              <w:spacing w:after="20"/>
            </w:pPr>
            <w:r>
              <w:rPr>
                <w:b/>
                <w:color w:val="1C3A36"/>
                <w:sz w:val="14"/>
              </w:rPr>
              <w:t>#</w:t>
            </w:r>
          </w:p>
        </w:tc>
        <w:tc>
          <w:tcPr>
            <w:tcW w:type="dxa" w:w="1944"/>
            <w:shd w:val="clear" w:color="auto" w:fill="EAF0EE"/>
          </w:tcPr>
          <w:p>
            <w:pPr>
              <w:spacing w:after="20"/>
            </w:pPr>
            <w:r>
              <w:rPr>
                <w:b/>
                <w:color w:val="1C3A36"/>
                <w:sz w:val="14"/>
              </w:rPr>
              <w:t>Input</w:t>
            </w:r>
          </w:p>
        </w:tc>
        <w:tc>
          <w:tcPr>
            <w:tcW w:type="dxa" w:w="1224"/>
            <w:shd w:val="clear" w:color="auto" w:fill="EAF0EE"/>
          </w:tcPr>
          <w:p>
            <w:pPr>
              <w:spacing w:after="20"/>
            </w:pPr>
            <w:r>
              <w:rPr>
                <w:b/>
                <w:color w:val="1C3A36"/>
                <w:sz w:val="14"/>
              </w:rPr>
              <w:t>Value</w:t>
            </w:r>
          </w:p>
        </w:tc>
        <w:tc>
          <w:tcPr>
            <w:tcW w:type="dxa" w:w="792"/>
            <w:shd w:val="clear" w:color="auto" w:fill="EAF0EE"/>
          </w:tcPr>
          <w:p>
            <w:pPr>
              <w:spacing w:after="20"/>
            </w:pPr>
            <w:r>
              <w:rPr>
                <w:b/>
                <w:color w:val="1C3A36"/>
                <w:sz w:val="14"/>
              </w:rPr>
              <w:t>Unit</w:t>
            </w:r>
          </w:p>
        </w:tc>
        <w:tc>
          <w:tcPr>
            <w:tcW w:type="dxa" w:w="6264"/>
            <w:shd w:val="clear" w:color="auto" w:fill="EAF0EE"/>
          </w:tcPr>
          <w:p>
            <w:pPr>
              <w:spacing w:after="20"/>
            </w:pPr>
            <w:r>
              <w:rPr>
                <w:b/>
                <w:color w:val="1C3A36"/>
                <w:sz w:val="14"/>
              </w:rPr>
              <w:t>Source</w:t>
            </w:r>
          </w:p>
        </w:tc>
        <w:tc>
          <w:tcPr>
            <w:tcW w:type="dxa" w:w="1224"/>
            <w:shd w:val="clear" w:color="auto" w:fill="EAF0EE"/>
          </w:tcPr>
          <w:p>
            <w:pPr>
              <w:spacing w:after="20"/>
            </w:pPr>
            <w:r>
              <w:rPr>
                <w:b/>
                <w:color w:val="1C3A36"/>
                <w:sz w:val="14"/>
              </w:rPr>
              <w:t>Source date</w:t>
            </w:r>
          </w:p>
        </w:tc>
        <w:tc>
          <w:tcPr>
            <w:tcW w:type="dxa" w:w="2203"/>
            <w:shd w:val="clear" w:color="auto" w:fill="EAF0EE"/>
          </w:tcPr>
          <w:p>
            <w:pPr>
              <w:spacing w:after="20"/>
            </w:pPr>
            <w:r>
              <w:rPr>
                <w:b/>
                <w:color w:val="1C3A36"/>
                <w:sz w:val="14"/>
              </w:rPr>
              <w:t>Route</w:t>
            </w:r>
          </w:p>
        </w:tc>
      </w:tr>
      <w:tr>
        <w:tc>
          <w:tcPr>
            <w:tcW w:type="dxa" w:w="461"/>
          </w:tcPr>
          <w:p>
            <w:pPr>
              <w:spacing w:after="20"/>
            </w:pPr>
            <w:r>
              <w:rPr>
                <w:color w:val="1C3A36"/>
                <w:sz w:val="14"/>
              </w:rPr>
              <w:t>1</w:t>
            </w:r>
          </w:p>
        </w:tc>
        <w:tc>
          <w:tcPr>
            <w:tcW w:type="dxa" w:w="1944"/>
          </w:tcPr>
          <w:p>
            <w:pPr>
              <w:spacing w:after="20"/>
            </w:pPr>
            <w:r>
              <w:rPr>
                <w:color w:val="1C3A36"/>
                <w:sz w:val="14"/>
              </w:rPr>
              <w:t>capex_fy2025</w:t>
            </w:r>
          </w:p>
        </w:tc>
        <w:tc>
          <w:tcPr>
            <w:tcW w:type="dxa" w:w="1224"/>
          </w:tcPr>
          <w:p>
            <w:pPr>
              <w:spacing w:after="20"/>
            </w:pPr>
            <w:r>
              <w:rPr>
                <w:color w:val="1C3A36"/>
                <w:sz w:val="14"/>
              </w:rPr>
              <w:t>3,664.2</w:t>
            </w:r>
          </w:p>
        </w:tc>
        <w:tc>
          <w:tcPr>
            <w:tcW w:type="dxa" w:w="792"/>
          </w:tcPr>
          <w:p>
            <w:pPr>
              <w:spacing w:after="20"/>
            </w:pPr>
            <w:r>
              <w:rPr>
                <w:color w:val="1C3A36"/>
                <w:sz w:val="14"/>
              </w:rPr>
              <w:t>EGP mn</w:t>
            </w:r>
          </w:p>
        </w:tc>
        <w:tc>
          <w:tcPr>
            <w:tcW w:type="dxa" w:w="6264"/>
          </w:tcPr>
          <w:p>
            <w:pPr>
              <w:spacing w:after="20"/>
            </w:pPr>
            <w:r>
              <w:rPr>
                <w:color w:val="1C3A36"/>
                <w:sz w:val="14"/>
              </w:rPr>
              <w:t>GB Corp / GB Auto audited consolidated statement of income for the year, as reproduced in the company's own annual report for that year — consolidated cash-flow statement, payment for acquisition of property, plant, equipment and projects under construction</w:t>
            </w:r>
          </w:p>
        </w:tc>
        <w:tc>
          <w:tcPr>
            <w:tcW w:type="dxa" w:w="1224"/>
          </w:tcPr>
          <w:p>
            <w:pPr>
              <w:spacing w:after="20"/>
            </w:pPr>
            <w:r>
              <w:rPr>
                <w:color w:val="1C3A36"/>
                <w:sz w:val="14"/>
              </w:rPr>
              <w:t>2026-02-26</w:t>
            </w:r>
          </w:p>
        </w:tc>
        <w:tc>
          <w:tcPr>
            <w:tcW w:type="dxa" w:w="2203"/>
          </w:tcPr>
          <w:p>
            <w:pPr>
              <w:spacing w:after="20"/>
            </w:pPr>
            <w:r>
              <w:rPr>
                <w:color w:val="1C3A36"/>
                <w:sz w:val="14"/>
              </w:rPr>
              <w:t>PDF text layer (pymupdf)</w:t>
            </w:r>
          </w:p>
        </w:tc>
      </w:tr>
      <w:tr>
        <w:tc>
          <w:tcPr>
            <w:tcW w:type="dxa" w:w="461"/>
          </w:tcPr>
          <w:p>
            <w:pPr>
              <w:spacing w:after="20"/>
            </w:pPr>
            <w:r>
              <w:rPr>
                <w:color w:val="1C3A36"/>
                <w:sz w:val="14"/>
              </w:rPr>
              <w:t>2</w:t>
            </w:r>
          </w:p>
        </w:tc>
        <w:tc>
          <w:tcPr>
            <w:tcW w:type="dxa" w:w="1944"/>
          </w:tcPr>
          <w:p>
            <w:pPr>
              <w:spacing w:after="20"/>
            </w:pPr>
            <w:r>
              <w:rPr>
                <w:color w:val="1C3A36"/>
                <w:sz w:val="14"/>
              </w:rPr>
              <w:t>cash_dec2025</w:t>
            </w:r>
          </w:p>
        </w:tc>
        <w:tc>
          <w:tcPr>
            <w:tcW w:type="dxa" w:w="1224"/>
          </w:tcPr>
          <w:p>
            <w:pPr>
              <w:spacing w:after="20"/>
            </w:pPr>
            <w:r>
              <w:rPr>
                <w:color w:val="1C3A36"/>
                <w:sz w:val="14"/>
              </w:rPr>
              <w:t>9,523.6</w:t>
            </w:r>
          </w:p>
        </w:tc>
        <w:tc>
          <w:tcPr>
            <w:tcW w:type="dxa" w:w="792"/>
          </w:tcPr>
          <w:p>
            <w:pPr>
              <w:spacing w:after="20"/>
            </w:pPr>
            <w:r>
              <w:rPr>
                <w:color w:val="1C3A36"/>
                <w:sz w:val="14"/>
              </w:rPr>
              <w:t>EGP mn</w:t>
            </w:r>
          </w:p>
        </w:tc>
        <w:tc>
          <w:tcPr>
            <w:tcW w:type="dxa" w:w="6264"/>
          </w:tcPr>
          <w:p>
            <w:pPr>
              <w:spacing w:after="20"/>
            </w:pPr>
            <w:r>
              <w:rPr>
                <w:color w:val="1C3A36"/>
                <w:sz w:val="14"/>
              </w:rPr>
              <w:t>GB Corp / GB Auto audited consolidated statement of income for the year, as reproduced in the company's own annual report for that year — note 16, cash and cash equivalents</w:t>
            </w:r>
          </w:p>
        </w:tc>
        <w:tc>
          <w:tcPr>
            <w:tcW w:type="dxa" w:w="1224"/>
          </w:tcPr>
          <w:p>
            <w:pPr>
              <w:spacing w:after="20"/>
            </w:pPr>
            <w:r>
              <w:rPr>
                <w:color w:val="1C3A36"/>
                <w:sz w:val="14"/>
              </w:rPr>
              <w:t>2026-02-26</w:t>
            </w:r>
          </w:p>
        </w:tc>
        <w:tc>
          <w:tcPr>
            <w:tcW w:type="dxa" w:w="2203"/>
          </w:tcPr>
          <w:p>
            <w:pPr>
              <w:spacing w:after="20"/>
            </w:pPr>
            <w:r>
              <w:rPr>
                <w:color w:val="1C3A36"/>
                <w:sz w:val="14"/>
              </w:rPr>
              <w:t>PDF text layer (pymupdf)</w:t>
            </w:r>
          </w:p>
        </w:tc>
      </w:tr>
      <w:tr>
        <w:tc>
          <w:tcPr>
            <w:tcW w:type="dxa" w:w="461"/>
          </w:tcPr>
          <w:p>
            <w:pPr>
              <w:spacing w:after="20"/>
            </w:pPr>
            <w:r>
              <w:rPr>
                <w:color w:val="1C3A36"/>
                <w:sz w:val="14"/>
              </w:rPr>
              <w:t>3</w:t>
            </w:r>
          </w:p>
        </w:tc>
        <w:tc>
          <w:tcPr>
            <w:tcW w:type="dxa" w:w="1944"/>
          </w:tcPr>
          <w:p>
            <w:pPr>
              <w:spacing w:after="20"/>
            </w:pPr>
            <w:r>
              <w:rPr>
                <w:color w:val="1C3A36"/>
                <w:sz w:val="14"/>
              </w:rPr>
              <w:t>debt_dec2025</w:t>
            </w:r>
          </w:p>
        </w:tc>
        <w:tc>
          <w:tcPr>
            <w:tcW w:type="dxa" w:w="1224"/>
          </w:tcPr>
          <w:p>
            <w:pPr>
              <w:spacing w:after="20"/>
            </w:pPr>
            <w:r>
              <w:rPr>
                <w:color w:val="1C3A36"/>
                <w:sz w:val="14"/>
              </w:rPr>
              <w:t>38,041.4</w:t>
            </w:r>
          </w:p>
        </w:tc>
        <w:tc>
          <w:tcPr>
            <w:tcW w:type="dxa" w:w="792"/>
          </w:tcPr>
          <w:p>
            <w:pPr>
              <w:spacing w:after="20"/>
            </w:pPr>
            <w:r>
              <w:rPr>
                <w:color w:val="1C3A36"/>
                <w:sz w:val="14"/>
              </w:rPr>
              <w:t>EGP mn</w:t>
            </w:r>
          </w:p>
        </w:tc>
        <w:tc>
          <w:tcPr>
            <w:tcW w:type="dxa" w:w="6264"/>
          </w:tcPr>
          <w:p>
            <w:pPr>
              <w:spacing w:after="20"/>
            </w:pPr>
            <w:r>
              <w:rPr>
                <w:color w:val="1C3A36"/>
                <w:sz w:val="14"/>
              </w:rPr>
              <w:t>GB Corp / GB Auto audited consolidated statement of income for the year, as reproduced in the company's own annual report for that year — notes 26 and 38: loans 10,721,880 + bonds 40,000 + loans, borrowings and overdrafts 27,199,462 + bonds 80,000</w:t>
            </w:r>
          </w:p>
        </w:tc>
        <w:tc>
          <w:tcPr>
            <w:tcW w:type="dxa" w:w="1224"/>
          </w:tcPr>
          <w:p>
            <w:pPr>
              <w:spacing w:after="20"/>
            </w:pPr>
            <w:r>
              <w:rPr>
                <w:color w:val="1C3A36"/>
                <w:sz w:val="14"/>
              </w:rPr>
              <w:t>2026-02-26</w:t>
            </w:r>
          </w:p>
        </w:tc>
        <w:tc>
          <w:tcPr>
            <w:tcW w:type="dxa" w:w="2203"/>
          </w:tcPr>
          <w:p>
            <w:pPr>
              <w:spacing w:after="20"/>
            </w:pPr>
            <w:r>
              <w:rPr>
                <w:color w:val="1C3A36"/>
                <w:sz w:val="14"/>
              </w:rPr>
              <w:t>PDF text layer (pymupdf)</w:t>
            </w:r>
          </w:p>
        </w:tc>
      </w:tr>
      <w:tr>
        <w:tc>
          <w:tcPr>
            <w:tcW w:type="dxa" w:w="461"/>
          </w:tcPr>
          <w:p>
            <w:pPr>
              <w:spacing w:after="20"/>
            </w:pPr>
            <w:r>
              <w:rPr>
                <w:color w:val="1C3A36"/>
                <w:sz w:val="14"/>
              </w:rPr>
              <w:t>4</w:t>
            </w:r>
          </w:p>
        </w:tc>
        <w:tc>
          <w:tcPr>
            <w:tcW w:type="dxa" w:w="1944"/>
          </w:tcPr>
          <w:p>
            <w:pPr>
              <w:spacing w:after="20"/>
            </w:pPr>
            <w:r>
              <w:rPr>
                <w:color w:val="1C3A36"/>
                <w:sz w:val="14"/>
              </w:rPr>
              <w:t>dep_fy2025</w:t>
            </w:r>
          </w:p>
        </w:tc>
        <w:tc>
          <w:tcPr>
            <w:tcW w:type="dxa" w:w="1224"/>
          </w:tcPr>
          <w:p>
            <w:pPr>
              <w:spacing w:after="20"/>
            </w:pPr>
            <w:r>
              <w:rPr>
                <w:color w:val="1C3A36"/>
                <w:sz w:val="14"/>
              </w:rPr>
              <w:t>999.3</w:t>
            </w:r>
          </w:p>
        </w:tc>
        <w:tc>
          <w:tcPr>
            <w:tcW w:type="dxa" w:w="792"/>
          </w:tcPr>
          <w:p>
            <w:pPr>
              <w:spacing w:after="20"/>
            </w:pPr>
            <w:r>
              <w:rPr>
                <w:color w:val="1C3A36"/>
                <w:sz w:val="14"/>
              </w:rPr>
              <w:t>EGP mn</w:t>
            </w:r>
          </w:p>
        </w:tc>
        <w:tc>
          <w:tcPr>
            <w:tcW w:type="dxa" w:w="6264"/>
          </w:tcPr>
          <w:p>
            <w:pPr>
              <w:spacing w:after="20"/>
            </w:pPr>
            <w:r>
              <w:rPr>
                <w:color w:val="1C3A36"/>
                <w:sz w:val="14"/>
              </w:rPr>
              <w:t>GB Corp / GB Auto audited consolidated statement of income for the year, as reproduced in the company's own annual report for that year — consolidated cash-flow statement, depreciation and amortisation for the year</w:t>
            </w:r>
          </w:p>
        </w:tc>
        <w:tc>
          <w:tcPr>
            <w:tcW w:type="dxa" w:w="1224"/>
          </w:tcPr>
          <w:p>
            <w:pPr>
              <w:spacing w:after="20"/>
            </w:pPr>
            <w:r>
              <w:rPr>
                <w:color w:val="1C3A36"/>
                <w:sz w:val="14"/>
              </w:rPr>
              <w:t>2026-02-26</w:t>
            </w:r>
          </w:p>
        </w:tc>
        <w:tc>
          <w:tcPr>
            <w:tcW w:type="dxa" w:w="2203"/>
          </w:tcPr>
          <w:p>
            <w:pPr>
              <w:spacing w:after="20"/>
            </w:pPr>
            <w:r>
              <w:rPr>
                <w:color w:val="1C3A36"/>
                <w:sz w:val="14"/>
              </w:rPr>
              <w:t>PDF text layer (pymupdf)</w:t>
            </w:r>
          </w:p>
        </w:tc>
      </w:tr>
      <w:tr>
        <w:tc>
          <w:tcPr>
            <w:tcW w:type="dxa" w:w="461"/>
          </w:tcPr>
          <w:p>
            <w:pPr>
              <w:spacing w:after="20"/>
            </w:pPr>
            <w:r>
              <w:rPr>
                <w:color w:val="1C3A36"/>
                <w:sz w:val="14"/>
              </w:rPr>
              <w:t>5</w:t>
            </w:r>
          </w:p>
        </w:tc>
        <w:tc>
          <w:tcPr>
            <w:tcW w:type="dxa" w:w="1944"/>
          </w:tcPr>
          <w:p>
            <w:pPr>
              <w:spacing w:after="20"/>
            </w:pPr>
            <w:r>
              <w:rPr>
                <w:color w:val="1C3A36"/>
                <w:sz w:val="14"/>
              </w:rPr>
              <w:t>ebit_fy2025</w:t>
            </w:r>
          </w:p>
        </w:tc>
        <w:tc>
          <w:tcPr>
            <w:tcW w:type="dxa" w:w="1224"/>
          </w:tcPr>
          <w:p>
            <w:pPr>
              <w:spacing w:after="20"/>
            </w:pPr>
            <w:r>
              <w:rPr>
                <w:color w:val="1C3A36"/>
                <w:sz w:val="14"/>
              </w:rPr>
              <w:t>6,631</w:t>
            </w:r>
          </w:p>
        </w:tc>
        <w:tc>
          <w:tcPr>
            <w:tcW w:type="dxa" w:w="792"/>
          </w:tcPr>
          <w:p>
            <w:pPr>
              <w:spacing w:after="20"/>
            </w:pPr>
            <w:r>
              <w:rPr>
                <w:color w:val="1C3A36"/>
                <w:sz w:val="14"/>
              </w:rPr>
              <w:t>EGP mn</w:t>
            </w:r>
          </w:p>
        </w:tc>
        <w:tc>
          <w:tcPr>
            <w:tcW w:type="dxa" w:w="6264"/>
          </w:tcPr>
          <w:p>
            <w:pPr>
              <w:spacing w:after="20"/>
            </w:pPr>
            <w:r>
              <w:rPr>
                <w:color w:val="1C3A36"/>
                <w:sz w:val="14"/>
              </w:rPr>
              <w:t>GB Corp / GB Auto audited consolidated statement of income for the year, as reproduced in the company's own annual report for that year</w:t>
            </w:r>
          </w:p>
        </w:tc>
        <w:tc>
          <w:tcPr>
            <w:tcW w:type="dxa" w:w="1224"/>
          </w:tcPr>
          <w:p>
            <w:pPr>
              <w:spacing w:after="20"/>
            </w:pPr>
            <w:r>
              <w:rPr>
                <w:color w:val="1C3A36"/>
                <w:sz w:val="14"/>
              </w:rPr>
              <w:t>2026-02-26</w:t>
            </w:r>
          </w:p>
        </w:tc>
        <w:tc>
          <w:tcPr>
            <w:tcW w:type="dxa" w:w="2203"/>
          </w:tcPr>
          <w:p>
            <w:pPr>
              <w:spacing w:after="20"/>
            </w:pPr>
            <w:r>
              <w:rPr>
                <w:color w:val="1C3A36"/>
                <w:sz w:val="14"/>
              </w:rPr>
              <w:t>PDF text layer (pymupdf)</w:t>
            </w:r>
          </w:p>
        </w:tc>
      </w:tr>
      <w:tr>
        <w:tc>
          <w:tcPr>
            <w:tcW w:type="dxa" w:w="461"/>
          </w:tcPr>
          <w:p>
            <w:pPr>
              <w:spacing w:after="20"/>
            </w:pPr>
            <w:r>
              <w:rPr>
                <w:color w:val="1C3A36"/>
                <w:sz w:val="14"/>
              </w:rPr>
              <w:t>6</w:t>
            </w:r>
          </w:p>
        </w:tc>
        <w:tc>
          <w:tcPr>
            <w:tcW w:type="dxa" w:w="1944"/>
          </w:tcPr>
          <w:p>
            <w:pPr>
              <w:spacing w:after="20"/>
            </w:pPr>
            <w:r>
              <w:rPr>
                <w:color w:val="1C3A36"/>
                <w:sz w:val="14"/>
              </w:rPr>
              <w:t>gp_fy2025</w:t>
            </w:r>
          </w:p>
        </w:tc>
        <w:tc>
          <w:tcPr>
            <w:tcW w:type="dxa" w:w="1224"/>
          </w:tcPr>
          <w:p>
            <w:pPr>
              <w:spacing w:after="20"/>
            </w:pPr>
            <w:r>
              <w:rPr>
                <w:color w:val="1C3A36"/>
                <w:sz w:val="14"/>
              </w:rPr>
              <w:t>12,431.1</w:t>
            </w:r>
          </w:p>
        </w:tc>
        <w:tc>
          <w:tcPr>
            <w:tcW w:type="dxa" w:w="792"/>
          </w:tcPr>
          <w:p>
            <w:pPr>
              <w:spacing w:after="20"/>
            </w:pPr>
            <w:r>
              <w:rPr>
                <w:color w:val="1C3A36"/>
                <w:sz w:val="14"/>
              </w:rPr>
              <w:t>EGP mn</w:t>
            </w:r>
          </w:p>
        </w:tc>
        <w:tc>
          <w:tcPr>
            <w:tcW w:type="dxa" w:w="6264"/>
          </w:tcPr>
          <w:p>
            <w:pPr>
              <w:spacing w:after="20"/>
            </w:pPr>
            <w:r>
              <w:rPr>
                <w:color w:val="1C3A36"/>
                <w:sz w:val="14"/>
              </w:rPr>
              <w:t>GB Corp / GB Auto audited consolidated statement of income for the year, as reproduced in the company's own annual report for that year</w:t>
            </w:r>
          </w:p>
        </w:tc>
        <w:tc>
          <w:tcPr>
            <w:tcW w:type="dxa" w:w="1224"/>
          </w:tcPr>
          <w:p>
            <w:pPr>
              <w:spacing w:after="20"/>
            </w:pPr>
            <w:r>
              <w:rPr>
                <w:color w:val="1C3A36"/>
                <w:sz w:val="14"/>
              </w:rPr>
              <w:t>2026-02-26</w:t>
            </w:r>
          </w:p>
        </w:tc>
        <w:tc>
          <w:tcPr>
            <w:tcW w:type="dxa" w:w="2203"/>
          </w:tcPr>
          <w:p>
            <w:pPr>
              <w:spacing w:after="20"/>
            </w:pPr>
            <w:r>
              <w:rPr>
                <w:color w:val="1C3A36"/>
                <w:sz w:val="14"/>
              </w:rPr>
              <w:t>PDF text layer (pymupdf)</w:t>
            </w:r>
          </w:p>
        </w:tc>
      </w:tr>
      <w:tr>
        <w:tc>
          <w:tcPr>
            <w:tcW w:type="dxa" w:w="461"/>
          </w:tcPr>
          <w:p>
            <w:pPr>
              <w:spacing w:after="20"/>
            </w:pPr>
            <w:r>
              <w:rPr>
                <w:color w:val="1C3A36"/>
                <w:sz w:val="14"/>
              </w:rPr>
              <w:t>7</w:t>
            </w:r>
          </w:p>
        </w:tc>
        <w:tc>
          <w:tcPr>
            <w:tcW w:type="dxa" w:w="1944"/>
          </w:tcPr>
          <w:p>
            <w:pPr>
              <w:spacing w:after="20"/>
            </w:pPr>
            <w:r>
              <w:rPr>
                <w:color w:val="1C3A36"/>
                <w:sz w:val="14"/>
              </w:rPr>
              <w:t>pat_fy2024</w:t>
            </w:r>
          </w:p>
        </w:tc>
        <w:tc>
          <w:tcPr>
            <w:tcW w:type="dxa" w:w="1224"/>
          </w:tcPr>
          <w:p>
            <w:pPr>
              <w:spacing w:after="20"/>
            </w:pPr>
            <w:r>
              <w:rPr>
                <w:color w:val="1C3A36"/>
                <w:sz w:val="14"/>
              </w:rPr>
              <w:t>2,928.1</w:t>
            </w:r>
          </w:p>
        </w:tc>
        <w:tc>
          <w:tcPr>
            <w:tcW w:type="dxa" w:w="792"/>
          </w:tcPr>
          <w:p>
            <w:pPr>
              <w:spacing w:after="20"/>
            </w:pPr>
            <w:r>
              <w:rPr>
                <w:color w:val="1C3A36"/>
                <w:sz w:val="14"/>
              </w:rPr>
              <w:t>EGP mn</w:t>
            </w:r>
          </w:p>
        </w:tc>
        <w:tc>
          <w:tcPr>
            <w:tcW w:type="dxa" w:w="6264"/>
          </w:tcPr>
          <w:p>
            <w:pPr>
              <w:spacing w:after="20"/>
            </w:pPr>
            <w:r>
              <w:rPr>
                <w:color w:val="1C3A36"/>
                <w:sz w:val="14"/>
              </w:rPr>
              <w:t>GB Corp / GB Auto audited consolidated statement of income for the year, as reproduced in the company's own annual report for that year</w:t>
            </w:r>
          </w:p>
        </w:tc>
        <w:tc>
          <w:tcPr>
            <w:tcW w:type="dxa" w:w="1224"/>
          </w:tcPr>
          <w:p>
            <w:pPr>
              <w:spacing w:after="20"/>
            </w:pPr>
            <w:r>
              <w:rPr>
                <w:color w:val="1C3A36"/>
                <w:sz w:val="14"/>
              </w:rPr>
              <w:t>2025-02-01</w:t>
            </w:r>
          </w:p>
        </w:tc>
        <w:tc>
          <w:tcPr>
            <w:tcW w:type="dxa" w:w="2203"/>
          </w:tcPr>
          <w:p>
            <w:pPr>
              <w:spacing w:after="20"/>
            </w:pPr>
            <w:r>
              <w:rPr>
                <w:color w:val="1C3A36"/>
                <w:sz w:val="14"/>
              </w:rPr>
              <w:t>PDF text layer (pymupdf)</w:t>
            </w:r>
          </w:p>
        </w:tc>
      </w:tr>
      <w:tr>
        <w:tc>
          <w:tcPr>
            <w:tcW w:type="dxa" w:w="461"/>
          </w:tcPr>
          <w:p>
            <w:pPr>
              <w:spacing w:after="20"/>
            </w:pPr>
            <w:r>
              <w:rPr>
                <w:color w:val="1C3A36"/>
                <w:sz w:val="14"/>
              </w:rPr>
              <w:t>8</w:t>
            </w:r>
          </w:p>
        </w:tc>
        <w:tc>
          <w:tcPr>
            <w:tcW w:type="dxa" w:w="1944"/>
          </w:tcPr>
          <w:p>
            <w:pPr>
              <w:spacing w:after="20"/>
            </w:pPr>
            <w:r>
              <w:rPr>
                <w:color w:val="1C3A36"/>
                <w:sz w:val="14"/>
              </w:rPr>
              <w:t>pat_fy2025</w:t>
            </w:r>
          </w:p>
        </w:tc>
        <w:tc>
          <w:tcPr>
            <w:tcW w:type="dxa" w:w="1224"/>
          </w:tcPr>
          <w:p>
            <w:pPr>
              <w:spacing w:after="20"/>
            </w:pPr>
            <w:r>
              <w:rPr>
                <w:color w:val="1C3A36"/>
                <w:sz w:val="14"/>
              </w:rPr>
              <w:t>2,880</w:t>
            </w:r>
          </w:p>
        </w:tc>
        <w:tc>
          <w:tcPr>
            <w:tcW w:type="dxa" w:w="792"/>
          </w:tcPr>
          <w:p>
            <w:pPr>
              <w:spacing w:after="20"/>
            </w:pPr>
            <w:r>
              <w:rPr>
                <w:color w:val="1C3A36"/>
                <w:sz w:val="14"/>
              </w:rPr>
              <w:t>EGP mn</w:t>
            </w:r>
          </w:p>
        </w:tc>
        <w:tc>
          <w:tcPr>
            <w:tcW w:type="dxa" w:w="6264"/>
          </w:tcPr>
          <w:p>
            <w:pPr>
              <w:spacing w:after="20"/>
            </w:pPr>
            <w:r>
              <w:rPr>
                <w:color w:val="1C3A36"/>
                <w:sz w:val="14"/>
              </w:rPr>
              <w:t>GB Corp / GB Auto audited consolidated statement of income for the year, as reproduced in the company's own annual report for that year — attributable to the parent; the FY2025 opinion is QUALIFIED on the MNT-BV associate</w:t>
            </w:r>
          </w:p>
        </w:tc>
        <w:tc>
          <w:tcPr>
            <w:tcW w:type="dxa" w:w="1224"/>
          </w:tcPr>
          <w:p>
            <w:pPr>
              <w:spacing w:after="20"/>
            </w:pPr>
            <w:r>
              <w:rPr>
                <w:color w:val="1C3A36"/>
                <w:sz w:val="14"/>
              </w:rPr>
              <w:t>2026-02-26</w:t>
            </w:r>
          </w:p>
        </w:tc>
        <w:tc>
          <w:tcPr>
            <w:tcW w:type="dxa" w:w="2203"/>
          </w:tcPr>
          <w:p>
            <w:pPr>
              <w:spacing w:after="20"/>
            </w:pPr>
            <w:r>
              <w:rPr>
                <w:color w:val="1C3A36"/>
                <w:sz w:val="14"/>
              </w:rPr>
              <w:t>PDF text layer (pymupdf)</w:t>
            </w:r>
          </w:p>
        </w:tc>
      </w:tr>
    </w:tbl>
    <w:p>
      <w:pPr>
        <w:spacing w:after="40"/>
      </w:pPr>
    </w:p>
    <w:p>
      <w:pPr>
        <w:spacing w:after="80" w:before="200"/>
      </w:pPr>
      <w:r>
        <w:rPr>
          <w:b/>
          <w:i w:val="0"/>
          <w:color w:val="1C3A36"/>
          <w:sz w:val="23"/>
        </w:rPr>
        <w:t>Research layer — Company (investor relations)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61"/>
        <w:gridCol w:w="1944"/>
        <w:gridCol w:w="1224"/>
        <w:gridCol w:w="792"/>
        <w:gridCol w:w="6264"/>
        <w:gridCol w:w="1224"/>
        <w:gridCol w:w="2203"/>
      </w:tblGrid>
      <w:tr>
        <w:tc>
          <w:tcPr>
            <w:tcW w:type="dxa" w:w="461"/>
            <w:shd w:val="clear" w:color="auto" w:fill="EAF0EE"/>
          </w:tcPr>
          <w:p>
            <w:pPr>
              <w:spacing w:after="20"/>
            </w:pPr>
            <w:r>
              <w:rPr>
                <w:b/>
                <w:color w:val="1C3A36"/>
                <w:sz w:val="14"/>
              </w:rPr>
              <w:t>#</w:t>
            </w:r>
          </w:p>
        </w:tc>
        <w:tc>
          <w:tcPr>
            <w:tcW w:type="dxa" w:w="1944"/>
            <w:shd w:val="clear" w:color="auto" w:fill="EAF0EE"/>
          </w:tcPr>
          <w:p>
            <w:pPr>
              <w:spacing w:after="20"/>
            </w:pPr>
            <w:r>
              <w:rPr>
                <w:b/>
                <w:color w:val="1C3A36"/>
                <w:sz w:val="14"/>
              </w:rPr>
              <w:t>Input</w:t>
            </w:r>
          </w:p>
        </w:tc>
        <w:tc>
          <w:tcPr>
            <w:tcW w:type="dxa" w:w="1224"/>
            <w:shd w:val="clear" w:color="auto" w:fill="EAF0EE"/>
          </w:tcPr>
          <w:p>
            <w:pPr>
              <w:spacing w:after="20"/>
            </w:pPr>
            <w:r>
              <w:rPr>
                <w:b/>
                <w:color w:val="1C3A36"/>
                <w:sz w:val="14"/>
              </w:rPr>
              <w:t>Value</w:t>
            </w:r>
          </w:p>
        </w:tc>
        <w:tc>
          <w:tcPr>
            <w:tcW w:type="dxa" w:w="792"/>
            <w:shd w:val="clear" w:color="auto" w:fill="EAF0EE"/>
          </w:tcPr>
          <w:p>
            <w:pPr>
              <w:spacing w:after="20"/>
            </w:pPr>
            <w:r>
              <w:rPr>
                <w:b/>
                <w:color w:val="1C3A36"/>
                <w:sz w:val="14"/>
              </w:rPr>
              <w:t>Unit</w:t>
            </w:r>
          </w:p>
        </w:tc>
        <w:tc>
          <w:tcPr>
            <w:tcW w:type="dxa" w:w="6264"/>
            <w:shd w:val="clear" w:color="auto" w:fill="EAF0EE"/>
          </w:tcPr>
          <w:p>
            <w:pPr>
              <w:spacing w:after="20"/>
            </w:pPr>
            <w:r>
              <w:rPr>
                <w:b/>
                <w:color w:val="1C3A36"/>
                <w:sz w:val="14"/>
              </w:rPr>
              <w:t>Source</w:t>
            </w:r>
          </w:p>
        </w:tc>
        <w:tc>
          <w:tcPr>
            <w:tcW w:type="dxa" w:w="1224"/>
            <w:shd w:val="clear" w:color="auto" w:fill="EAF0EE"/>
          </w:tcPr>
          <w:p>
            <w:pPr>
              <w:spacing w:after="20"/>
            </w:pPr>
            <w:r>
              <w:rPr>
                <w:b/>
                <w:color w:val="1C3A36"/>
                <w:sz w:val="14"/>
              </w:rPr>
              <w:t>Source date</w:t>
            </w:r>
          </w:p>
        </w:tc>
        <w:tc>
          <w:tcPr>
            <w:tcW w:type="dxa" w:w="2203"/>
            <w:shd w:val="clear" w:color="auto" w:fill="EAF0EE"/>
          </w:tcPr>
          <w:p>
            <w:pPr>
              <w:spacing w:after="20"/>
            </w:pPr>
            <w:r>
              <w:rPr>
                <w:b/>
                <w:color w:val="1C3A36"/>
                <w:sz w:val="14"/>
              </w:rPr>
              <w:t>Route</w:t>
            </w:r>
          </w:p>
        </w:tc>
      </w:tr>
      <w:tr>
        <w:tc>
          <w:tcPr>
            <w:tcW w:type="dxa" w:w="461"/>
          </w:tcPr>
          <w:p>
            <w:pPr>
              <w:spacing w:after="20"/>
            </w:pPr>
            <w:r>
              <w:rPr>
                <w:color w:val="1C3A36"/>
                <w:sz w:val="14"/>
              </w:rPr>
              <w:t>1</w:t>
            </w:r>
          </w:p>
        </w:tc>
        <w:tc>
          <w:tcPr>
            <w:tcW w:type="dxa" w:w="1944"/>
          </w:tcPr>
          <w:p>
            <w:pPr>
              <w:spacing w:after="20"/>
            </w:pPr>
            <w:r>
              <w:rPr>
                <w:color w:val="1C3A36"/>
                <w:sz w:val="14"/>
              </w:rPr>
              <w:t>cash_jun2026</w:t>
            </w:r>
          </w:p>
        </w:tc>
        <w:tc>
          <w:tcPr>
            <w:tcW w:type="dxa" w:w="1224"/>
          </w:tcPr>
          <w:p>
            <w:pPr>
              <w:spacing w:after="20"/>
            </w:pPr>
            <w:r>
              <w:rPr>
                <w:color w:val="1C3A36"/>
                <w:sz w:val="14"/>
              </w:rPr>
              <w:t>10,951.5</w:t>
            </w:r>
          </w:p>
        </w:tc>
        <w:tc>
          <w:tcPr>
            <w:tcW w:type="dxa" w:w="792"/>
          </w:tcPr>
          <w:p>
            <w:pPr>
              <w:spacing w:after="20"/>
            </w:pPr>
            <w:r>
              <w:rPr>
                <w:color w:val="1C3A36"/>
                <w:sz w:val="14"/>
              </w:rPr>
              <w:t>EGP mn</w:t>
            </w:r>
          </w:p>
        </w:tc>
        <w:tc>
          <w:tcPr>
            <w:tcW w:type="dxa" w:w="6264"/>
          </w:tcPr>
          <w:p>
            <w:pPr>
              <w:spacing w:after="20"/>
            </w:pPr>
            <w:r>
              <w:rPr>
                <w:color w:val="1C3A36"/>
                <w:sz w:val="14"/>
              </w:rPr>
              <w:t>GB Corp's own 2Q/1H26 earnings release, published on ir.gb-corporation.com and committed under, Table 12 balance sheet by segment</w:t>
            </w:r>
          </w:p>
        </w:tc>
        <w:tc>
          <w:tcPr>
            <w:tcW w:type="dxa" w:w="1224"/>
          </w:tcPr>
          <w:p>
            <w:pPr>
              <w:spacing w:after="20"/>
            </w:pPr>
            <w:r>
              <w:rPr>
                <w:color w:val="1C3A36"/>
                <w:sz w:val="14"/>
              </w:rPr>
              <w:t>2026-08-13</w:t>
            </w:r>
          </w:p>
        </w:tc>
        <w:tc>
          <w:tcPr>
            <w:tcW w:type="dxa" w:w="2203"/>
          </w:tcPr>
          <w:p>
            <w:pPr>
              <w:spacing w:after="20"/>
            </w:pPr>
            <w:r>
              <w:rPr>
                <w:color w:val="1C3A36"/>
                <w:sz w:val="14"/>
              </w:rPr>
              <w:t>PDF text layer (pymupdf)</w:t>
            </w:r>
          </w:p>
        </w:tc>
      </w:tr>
      <w:tr>
        <w:tc>
          <w:tcPr>
            <w:tcW w:type="dxa" w:w="461"/>
          </w:tcPr>
          <w:p>
            <w:pPr>
              <w:spacing w:after="20"/>
            </w:pPr>
            <w:r>
              <w:rPr>
                <w:color w:val="1C3A36"/>
                <w:sz w:val="14"/>
              </w:rPr>
              <w:t>2</w:t>
            </w:r>
          </w:p>
        </w:tc>
        <w:tc>
          <w:tcPr>
            <w:tcW w:type="dxa" w:w="1944"/>
          </w:tcPr>
          <w:p>
            <w:pPr>
              <w:spacing w:after="20"/>
            </w:pPr>
            <w:r>
              <w:rPr>
                <w:color w:val="1C3A36"/>
                <w:sz w:val="14"/>
              </w:rPr>
              <w:t>debt_auto_jun2026</w:t>
            </w:r>
          </w:p>
        </w:tc>
        <w:tc>
          <w:tcPr>
            <w:tcW w:type="dxa" w:w="1224"/>
          </w:tcPr>
          <w:p>
            <w:pPr>
              <w:spacing w:after="20"/>
            </w:pPr>
            <w:r>
              <w:rPr>
                <w:color w:val="1C3A36"/>
                <w:sz w:val="14"/>
              </w:rPr>
              <w:t>22,733.1</w:t>
            </w:r>
          </w:p>
        </w:tc>
        <w:tc>
          <w:tcPr>
            <w:tcW w:type="dxa" w:w="792"/>
          </w:tcPr>
          <w:p>
            <w:pPr>
              <w:spacing w:after="20"/>
            </w:pPr>
            <w:r>
              <w:rPr>
                <w:color w:val="1C3A36"/>
                <w:sz w:val="14"/>
              </w:rPr>
              <w:t>EGP mn</w:t>
            </w:r>
          </w:p>
        </w:tc>
        <w:tc>
          <w:tcPr>
            <w:tcW w:type="dxa" w:w="6264"/>
          </w:tcPr>
          <w:p>
            <w:pPr>
              <w:spacing w:after="20"/>
            </w:pPr>
            <w:r>
              <w:rPr>
                <w:color w:val="1C3A36"/>
                <w:sz w:val="14"/>
              </w:rPr>
              <w:t>GB Corp's own 2Q/1H26 earnings release, published on ir.gb-corporation.com and committed under, Table 12, GB Auto column: 20,943.0 + 1,790.1 — THE BORROWINGS THAT ACTUALLY BEAR THE ASSEMBLER'S INTEREST</w:t>
            </w:r>
          </w:p>
        </w:tc>
        <w:tc>
          <w:tcPr>
            <w:tcW w:type="dxa" w:w="1224"/>
          </w:tcPr>
          <w:p>
            <w:pPr>
              <w:spacing w:after="20"/>
            </w:pPr>
            <w:r>
              <w:rPr>
                <w:color w:val="1C3A36"/>
                <w:sz w:val="14"/>
              </w:rPr>
              <w:t>2026-08-13</w:t>
            </w:r>
          </w:p>
        </w:tc>
        <w:tc>
          <w:tcPr>
            <w:tcW w:type="dxa" w:w="2203"/>
          </w:tcPr>
          <w:p>
            <w:pPr>
              <w:spacing w:after="20"/>
            </w:pPr>
            <w:r>
              <w:rPr>
                <w:color w:val="1C3A36"/>
                <w:sz w:val="14"/>
              </w:rPr>
              <w:t>PDF text layer (pymupdf)</w:t>
            </w:r>
          </w:p>
        </w:tc>
      </w:tr>
      <w:tr>
        <w:tc>
          <w:tcPr>
            <w:tcW w:type="dxa" w:w="461"/>
          </w:tcPr>
          <w:p>
            <w:pPr>
              <w:spacing w:after="20"/>
            </w:pPr>
            <w:r>
              <w:rPr>
                <w:color w:val="1C3A36"/>
                <w:sz w:val="14"/>
              </w:rPr>
              <w:t>3</w:t>
            </w:r>
          </w:p>
        </w:tc>
        <w:tc>
          <w:tcPr>
            <w:tcW w:type="dxa" w:w="1944"/>
          </w:tcPr>
          <w:p>
            <w:pPr>
              <w:spacing w:after="20"/>
            </w:pPr>
            <w:r>
              <w:rPr>
                <w:color w:val="1C3A36"/>
                <w:sz w:val="14"/>
              </w:rPr>
              <w:t>debt_jun2026</w:t>
            </w:r>
          </w:p>
        </w:tc>
        <w:tc>
          <w:tcPr>
            <w:tcW w:type="dxa" w:w="1224"/>
          </w:tcPr>
          <w:p>
            <w:pPr>
              <w:spacing w:after="20"/>
            </w:pPr>
            <w:r>
              <w:rPr>
                <w:color w:val="1C3A36"/>
                <w:sz w:val="14"/>
              </w:rPr>
              <w:t>42,476</w:t>
            </w:r>
          </w:p>
        </w:tc>
        <w:tc>
          <w:tcPr>
            <w:tcW w:type="dxa" w:w="792"/>
          </w:tcPr>
          <w:p>
            <w:pPr>
              <w:spacing w:after="20"/>
            </w:pPr>
            <w:r>
              <w:rPr>
                <w:color w:val="1C3A36"/>
                <w:sz w:val="14"/>
              </w:rPr>
              <w:t>EGP mn</w:t>
            </w:r>
          </w:p>
        </w:tc>
        <w:tc>
          <w:tcPr>
            <w:tcW w:type="dxa" w:w="6264"/>
          </w:tcPr>
          <w:p>
            <w:pPr>
              <w:spacing w:after="20"/>
            </w:pPr>
            <w:r>
              <w:rPr>
                <w:color w:val="1C3A36"/>
                <w:sz w:val="14"/>
              </w:rPr>
              <w:t>GB Corp's own 2Q/1H26 earnings release, published on ir.gb-corporation.com and committed under, Table 12: loans and overdraft 28,703.7 + loans 13,772.3</w:t>
            </w:r>
          </w:p>
        </w:tc>
        <w:tc>
          <w:tcPr>
            <w:tcW w:type="dxa" w:w="1224"/>
          </w:tcPr>
          <w:p>
            <w:pPr>
              <w:spacing w:after="20"/>
            </w:pPr>
            <w:r>
              <w:rPr>
                <w:color w:val="1C3A36"/>
                <w:sz w:val="14"/>
              </w:rPr>
              <w:t>2026-08-13</w:t>
            </w:r>
          </w:p>
        </w:tc>
        <w:tc>
          <w:tcPr>
            <w:tcW w:type="dxa" w:w="2203"/>
          </w:tcPr>
          <w:p>
            <w:pPr>
              <w:spacing w:after="20"/>
            </w:pPr>
            <w:r>
              <w:rPr>
                <w:color w:val="1C3A36"/>
                <w:sz w:val="14"/>
              </w:rPr>
              <w:t>PDF text layer (pymupdf)</w:t>
            </w:r>
          </w:p>
        </w:tc>
      </w:tr>
      <w:tr>
        <w:tc>
          <w:tcPr>
            <w:tcW w:type="dxa" w:w="461"/>
          </w:tcPr>
          <w:p>
            <w:pPr>
              <w:spacing w:after="20"/>
            </w:pPr>
            <w:r>
              <w:rPr>
                <w:color w:val="1C3A36"/>
                <w:sz w:val="14"/>
              </w:rPr>
              <w:t>4</w:t>
            </w:r>
          </w:p>
        </w:tc>
        <w:tc>
          <w:tcPr>
            <w:tcW w:type="dxa" w:w="1944"/>
          </w:tcPr>
          <w:p>
            <w:pPr>
              <w:spacing w:after="20"/>
            </w:pPr>
            <w:r>
              <w:rPr>
                <w:color w:val="1C3A36"/>
                <w:sz w:val="14"/>
              </w:rPr>
              <w:t>eq_jun2026</w:t>
            </w:r>
          </w:p>
        </w:tc>
        <w:tc>
          <w:tcPr>
            <w:tcW w:type="dxa" w:w="1224"/>
          </w:tcPr>
          <w:p>
            <w:pPr>
              <w:spacing w:after="20"/>
            </w:pPr>
            <w:r>
              <w:rPr>
                <w:color w:val="1C3A36"/>
                <w:sz w:val="14"/>
              </w:rPr>
              <w:t>35,127.9</w:t>
            </w:r>
          </w:p>
        </w:tc>
        <w:tc>
          <w:tcPr>
            <w:tcW w:type="dxa" w:w="792"/>
          </w:tcPr>
          <w:p>
            <w:pPr>
              <w:spacing w:after="20"/>
            </w:pPr>
            <w:r>
              <w:rPr>
                <w:color w:val="1C3A36"/>
                <w:sz w:val="14"/>
              </w:rPr>
              <w:t>EGP mn</w:t>
            </w:r>
          </w:p>
        </w:tc>
        <w:tc>
          <w:tcPr>
            <w:tcW w:type="dxa" w:w="6264"/>
          </w:tcPr>
          <w:p>
            <w:pPr>
              <w:spacing w:after="20"/>
            </w:pPr>
            <w:r>
              <w:rPr>
                <w:color w:val="1C3A36"/>
                <w:sz w:val="14"/>
              </w:rPr>
              <w:t>GB Corp's own 2Q/1H26 earnings release, published on ir.gb-corporation.com and committed under, Table 12 total equity</w:t>
            </w:r>
          </w:p>
        </w:tc>
        <w:tc>
          <w:tcPr>
            <w:tcW w:type="dxa" w:w="1224"/>
          </w:tcPr>
          <w:p>
            <w:pPr>
              <w:spacing w:after="20"/>
            </w:pPr>
            <w:r>
              <w:rPr>
                <w:color w:val="1C3A36"/>
                <w:sz w:val="14"/>
              </w:rPr>
              <w:t>2026-08-13</w:t>
            </w:r>
          </w:p>
        </w:tc>
        <w:tc>
          <w:tcPr>
            <w:tcW w:type="dxa" w:w="2203"/>
          </w:tcPr>
          <w:p>
            <w:pPr>
              <w:spacing w:after="20"/>
            </w:pPr>
            <w:r>
              <w:rPr>
                <w:color w:val="1C3A36"/>
                <w:sz w:val="14"/>
              </w:rPr>
              <w:t>PDF text layer (pymupdf)</w:t>
            </w:r>
          </w:p>
        </w:tc>
      </w:tr>
      <w:tr>
        <w:tc>
          <w:tcPr>
            <w:tcW w:type="dxa" w:w="461"/>
          </w:tcPr>
          <w:p>
            <w:pPr>
              <w:spacing w:after="20"/>
            </w:pPr>
            <w:r>
              <w:rPr>
                <w:color w:val="1C3A36"/>
                <w:sz w:val="14"/>
              </w:rPr>
              <w:t>5</w:t>
            </w:r>
          </w:p>
        </w:tc>
        <w:tc>
          <w:tcPr>
            <w:tcW w:type="dxa" w:w="1944"/>
          </w:tcPr>
          <w:p>
            <w:pPr>
              <w:spacing w:after="20"/>
            </w:pPr>
            <w:r>
              <w:rPr>
                <w:color w:val="1C3A36"/>
                <w:sz w:val="14"/>
              </w:rPr>
              <w:t>gp_h1_2026</w:t>
            </w:r>
          </w:p>
        </w:tc>
        <w:tc>
          <w:tcPr>
            <w:tcW w:type="dxa" w:w="1224"/>
          </w:tcPr>
          <w:p>
            <w:pPr>
              <w:spacing w:after="20"/>
            </w:pPr>
            <w:r>
              <w:rPr>
                <w:color w:val="1C3A36"/>
                <w:sz w:val="14"/>
              </w:rPr>
              <w:t>7,421.9</w:t>
            </w:r>
          </w:p>
        </w:tc>
        <w:tc>
          <w:tcPr>
            <w:tcW w:type="dxa" w:w="792"/>
          </w:tcPr>
          <w:p>
            <w:pPr>
              <w:spacing w:after="20"/>
            </w:pPr>
            <w:r>
              <w:rPr>
                <w:color w:val="1C3A36"/>
                <w:sz w:val="14"/>
              </w:rPr>
              <w:t>EGP mn</w:t>
            </w:r>
          </w:p>
        </w:tc>
        <w:tc>
          <w:tcPr>
            <w:tcW w:type="dxa" w:w="6264"/>
          </w:tcPr>
          <w:p>
            <w:pPr>
              <w:spacing w:after="20"/>
            </w:pPr>
            <w:r>
              <w:rPr>
                <w:color w:val="1C3A36"/>
                <w:sz w:val="14"/>
              </w:rPr>
              <w:t>GB Corp's own 2Q/1H26 earnings release, published on ir.gb-corporation.com and committed under</w:t>
            </w:r>
          </w:p>
        </w:tc>
        <w:tc>
          <w:tcPr>
            <w:tcW w:type="dxa" w:w="1224"/>
          </w:tcPr>
          <w:p>
            <w:pPr>
              <w:spacing w:after="20"/>
            </w:pPr>
            <w:r>
              <w:rPr>
                <w:color w:val="1C3A36"/>
                <w:sz w:val="14"/>
              </w:rPr>
              <w:t>2026-08-13</w:t>
            </w:r>
          </w:p>
        </w:tc>
        <w:tc>
          <w:tcPr>
            <w:tcW w:type="dxa" w:w="2203"/>
          </w:tcPr>
          <w:p>
            <w:pPr>
              <w:spacing w:after="20"/>
            </w:pPr>
            <w:r>
              <w:rPr>
                <w:color w:val="1C3A36"/>
                <w:sz w:val="14"/>
              </w:rPr>
              <w:t>PDF text layer (pymupdf)</w:t>
            </w:r>
          </w:p>
        </w:tc>
      </w:tr>
      <w:tr>
        <w:tc>
          <w:tcPr>
            <w:tcW w:type="dxa" w:w="461"/>
          </w:tcPr>
          <w:p>
            <w:pPr>
              <w:spacing w:after="20"/>
            </w:pPr>
            <w:r>
              <w:rPr>
                <w:color w:val="1C3A36"/>
                <w:sz w:val="14"/>
              </w:rPr>
              <w:t>6</w:t>
            </w:r>
          </w:p>
        </w:tc>
        <w:tc>
          <w:tcPr>
            <w:tcW w:type="dxa" w:w="1944"/>
          </w:tcPr>
          <w:p>
            <w:pPr>
              <w:spacing w:after="20"/>
            </w:pPr>
            <w:r>
              <w:rPr>
                <w:color w:val="1C3A36"/>
                <w:sz w:val="14"/>
              </w:rPr>
              <w:t>gross_auto_h1_2026</w:t>
            </w:r>
          </w:p>
        </w:tc>
        <w:tc>
          <w:tcPr>
            <w:tcW w:type="dxa" w:w="1224"/>
          </w:tcPr>
          <w:p>
            <w:pPr>
              <w:spacing w:after="20"/>
            </w:pPr>
            <w:r>
              <w:rPr>
                <w:color w:val="1C3A36"/>
                <w:sz w:val="14"/>
              </w:rPr>
              <w:t>5,722.1</w:t>
            </w:r>
          </w:p>
        </w:tc>
        <w:tc>
          <w:tcPr>
            <w:tcW w:type="dxa" w:w="792"/>
          </w:tcPr>
          <w:p>
            <w:pPr>
              <w:spacing w:after="20"/>
            </w:pPr>
            <w:r>
              <w:rPr>
                <w:color w:val="1C3A36"/>
                <w:sz w:val="14"/>
              </w:rPr>
              <w:t>EGP mn</w:t>
            </w:r>
          </w:p>
        </w:tc>
        <w:tc>
          <w:tcPr>
            <w:tcW w:type="dxa" w:w="6264"/>
          </w:tcPr>
          <w:p>
            <w:pPr>
              <w:spacing w:after="20"/>
            </w:pPr>
            <w:r>
              <w:rPr>
                <w:color w:val="1C3A36"/>
                <w:sz w:val="14"/>
              </w:rPr>
              <w:t>GB Corp's own 2Q/1H26 earnings release, published on ir.gb-corporation.com and committed under, Table 11 income statement BY SEGMENT: GB Auto total revenue 40,021.5, gross profit 5,722.1</w:t>
            </w:r>
          </w:p>
        </w:tc>
        <w:tc>
          <w:tcPr>
            <w:tcW w:type="dxa" w:w="1224"/>
          </w:tcPr>
          <w:p>
            <w:pPr>
              <w:spacing w:after="20"/>
            </w:pPr>
            <w:r>
              <w:rPr>
                <w:color w:val="1C3A36"/>
                <w:sz w:val="14"/>
              </w:rPr>
              <w:t>2026-08-13</w:t>
            </w:r>
          </w:p>
        </w:tc>
        <w:tc>
          <w:tcPr>
            <w:tcW w:type="dxa" w:w="2203"/>
          </w:tcPr>
          <w:p>
            <w:pPr>
              <w:spacing w:after="20"/>
            </w:pPr>
            <w:r>
              <w:rPr>
                <w:color w:val="1C3A36"/>
                <w:sz w:val="14"/>
              </w:rPr>
              <w:t>PDF text layer (pymupdf)</w:t>
            </w:r>
          </w:p>
        </w:tc>
      </w:tr>
      <w:tr>
        <w:tc>
          <w:tcPr>
            <w:tcW w:type="dxa" w:w="461"/>
          </w:tcPr>
          <w:p>
            <w:pPr>
              <w:spacing w:after="20"/>
            </w:pPr>
            <w:r>
              <w:rPr>
                <w:color w:val="1C3A36"/>
                <w:sz w:val="14"/>
              </w:rPr>
              <w:t>7</w:t>
            </w:r>
          </w:p>
        </w:tc>
        <w:tc>
          <w:tcPr>
            <w:tcW w:type="dxa" w:w="1944"/>
          </w:tcPr>
          <w:p>
            <w:pPr>
              <w:spacing w:after="20"/>
            </w:pPr>
            <w:r>
              <w:rPr>
                <w:color w:val="1C3A36"/>
                <w:sz w:val="14"/>
              </w:rPr>
              <w:t>ni_h1_2026</w:t>
            </w:r>
          </w:p>
        </w:tc>
        <w:tc>
          <w:tcPr>
            <w:tcW w:type="dxa" w:w="1224"/>
          </w:tcPr>
          <w:p>
            <w:pPr>
              <w:spacing w:after="20"/>
            </w:pPr>
            <w:r>
              <w:rPr>
                <w:color w:val="1C3A36"/>
                <w:sz w:val="14"/>
              </w:rPr>
              <w:t>1,262</w:t>
            </w:r>
          </w:p>
        </w:tc>
        <w:tc>
          <w:tcPr>
            <w:tcW w:type="dxa" w:w="792"/>
          </w:tcPr>
          <w:p>
            <w:pPr>
              <w:spacing w:after="20"/>
            </w:pPr>
            <w:r>
              <w:rPr>
                <w:color w:val="1C3A36"/>
                <w:sz w:val="14"/>
              </w:rPr>
              <w:t>EGP mn</w:t>
            </w:r>
          </w:p>
        </w:tc>
        <w:tc>
          <w:tcPr>
            <w:tcW w:type="dxa" w:w="6264"/>
          </w:tcPr>
          <w:p>
            <w:pPr>
              <w:spacing w:after="20"/>
            </w:pPr>
            <w:r>
              <w:rPr>
                <w:color w:val="1C3A36"/>
                <w:sz w:val="14"/>
              </w:rPr>
              <w:t>GB Corp's own 2Q/1H26 earnings release, published on ir.gb-corporation.com and committed under</w:t>
            </w:r>
          </w:p>
        </w:tc>
        <w:tc>
          <w:tcPr>
            <w:tcW w:type="dxa" w:w="1224"/>
          </w:tcPr>
          <w:p>
            <w:pPr>
              <w:spacing w:after="20"/>
            </w:pPr>
            <w:r>
              <w:rPr>
                <w:color w:val="1C3A36"/>
                <w:sz w:val="14"/>
              </w:rPr>
              <w:t>2026-08-13</w:t>
            </w:r>
          </w:p>
        </w:tc>
        <w:tc>
          <w:tcPr>
            <w:tcW w:type="dxa" w:w="2203"/>
          </w:tcPr>
          <w:p>
            <w:pPr>
              <w:spacing w:after="20"/>
            </w:pPr>
            <w:r>
              <w:rPr>
                <w:color w:val="1C3A36"/>
                <w:sz w:val="14"/>
              </w:rPr>
              <w:t>PDF text layer (pymupdf)</w:t>
            </w:r>
          </w:p>
        </w:tc>
      </w:tr>
      <w:tr>
        <w:tc>
          <w:tcPr>
            <w:tcW w:type="dxa" w:w="461"/>
          </w:tcPr>
          <w:p>
            <w:pPr>
              <w:spacing w:after="20"/>
            </w:pPr>
            <w:r>
              <w:rPr>
                <w:color w:val="1C3A36"/>
                <w:sz w:val="14"/>
              </w:rPr>
              <w:t>8</w:t>
            </w:r>
          </w:p>
        </w:tc>
        <w:tc>
          <w:tcPr>
            <w:tcW w:type="dxa" w:w="1944"/>
          </w:tcPr>
          <w:p>
            <w:pPr>
              <w:spacing w:after="20"/>
            </w:pPr>
            <w:r>
              <w:rPr>
                <w:color w:val="1C3A36"/>
                <w:sz w:val="14"/>
              </w:rPr>
              <w:t>rev_fy2023</w:t>
            </w:r>
          </w:p>
        </w:tc>
        <w:tc>
          <w:tcPr>
            <w:tcW w:type="dxa" w:w="1224"/>
          </w:tcPr>
          <w:p>
            <w:pPr>
              <w:spacing w:after="20"/>
            </w:pPr>
            <w:r>
              <w:rPr>
                <w:color w:val="1C3A36"/>
                <w:sz w:val="14"/>
              </w:rPr>
              <w:t>28,317.2</w:t>
            </w:r>
          </w:p>
        </w:tc>
        <w:tc>
          <w:tcPr>
            <w:tcW w:type="dxa" w:w="792"/>
          </w:tcPr>
          <w:p>
            <w:pPr>
              <w:spacing w:after="20"/>
            </w:pPr>
            <w:r>
              <w:rPr>
                <w:color w:val="1C3A36"/>
                <w:sz w:val="14"/>
              </w:rPr>
              <w:t>EGP mn</w:t>
            </w:r>
          </w:p>
        </w:tc>
        <w:tc>
          <w:tcPr>
            <w:tcW w:type="dxa" w:w="6264"/>
          </w:tcPr>
          <w:p>
            <w:pPr>
              <w:spacing w:after="20"/>
            </w:pPr>
            <w:r>
              <w:rPr>
                <w:color w:val="1C3A36"/>
                <w:sz w:val="14"/>
              </w:rPr>
              <w:t>GB Corp's own 4Q23 earnings release, published on ir.gb-corporation.com and committed under</w:t>
            </w:r>
          </w:p>
        </w:tc>
        <w:tc>
          <w:tcPr>
            <w:tcW w:type="dxa" w:w="1224"/>
          </w:tcPr>
          <w:p>
            <w:pPr>
              <w:spacing w:after="20"/>
            </w:pPr>
            <w:r>
              <w:rPr>
                <w:color w:val="1C3A36"/>
                <w:sz w:val="14"/>
              </w:rPr>
              <w:t>2024-03-01</w:t>
            </w:r>
          </w:p>
        </w:tc>
        <w:tc>
          <w:tcPr>
            <w:tcW w:type="dxa" w:w="2203"/>
          </w:tcPr>
          <w:p>
            <w:pPr>
              <w:spacing w:after="20"/>
            </w:pPr>
            <w:r>
              <w:rPr>
                <w:color w:val="1C3A36"/>
                <w:sz w:val="14"/>
              </w:rPr>
              <w:t>PDF text layer (pymupdf)</w:t>
            </w:r>
          </w:p>
        </w:tc>
      </w:tr>
      <w:tr>
        <w:tc>
          <w:tcPr>
            <w:tcW w:type="dxa" w:w="461"/>
          </w:tcPr>
          <w:p>
            <w:pPr>
              <w:spacing w:after="20"/>
            </w:pPr>
            <w:r>
              <w:rPr>
                <w:color w:val="1C3A36"/>
                <w:sz w:val="14"/>
              </w:rPr>
              <w:t>9</w:t>
            </w:r>
          </w:p>
        </w:tc>
        <w:tc>
          <w:tcPr>
            <w:tcW w:type="dxa" w:w="1944"/>
          </w:tcPr>
          <w:p>
            <w:pPr>
              <w:spacing w:after="20"/>
            </w:pPr>
            <w:r>
              <w:rPr>
                <w:color w:val="1C3A36"/>
                <w:sz w:val="14"/>
              </w:rPr>
              <w:t>rev_fy2024</w:t>
            </w:r>
          </w:p>
        </w:tc>
        <w:tc>
          <w:tcPr>
            <w:tcW w:type="dxa" w:w="1224"/>
          </w:tcPr>
          <w:p>
            <w:pPr>
              <w:spacing w:after="20"/>
            </w:pPr>
            <w:r>
              <w:rPr>
                <w:color w:val="1C3A36"/>
                <w:sz w:val="14"/>
              </w:rPr>
              <w:t>53,969.5</w:t>
            </w:r>
          </w:p>
        </w:tc>
        <w:tc>
          <w:tcPr>
            <w:tcW w:type="dxa" w:w="792"/>
          </w:tcPr>
          <w:p>
            <w:pPr>
              <w:spacing w:after="20"/>
            </w:pPr>
            <w:r>
              <w:rPr>
                <w:color w:val="1C3A36"/>
                <w:sz w:val="14"/>
              </w:rPr>
              <w:t>EGP mn</w:t>
            </w:r>
          </w:p>
        </w:tc>
        <w:tc>
          <w:tcPr>
            <w:tcW w:type="dxa" w:w="6264"/>
          </w:tcPr>
          <w:p>
            <w:pPr>
              <w:spacing w:after="20"/>
            </w:pPr>
            <w:r>
              <w:rPr>
                <w:color w:val="1C3A36"/>
                <w:sz w:val="14"/>
              </w:rPr>
              <w:t>GB Corp's own 4Q24 earnings release, published on ir.gb-corporation.com and committed under</w:t>
            </w:r>
          </w:p>
        </w:tc>
        <w:tc>
          <w:tcPr>
            <w:tcW w:type="dxa" w:w="1224"/>
          </w:tcPr>
          <w:p>
            <w:pPr>
              <w:spacing w:after="20"/>
            </w:pPr>
            <w:r>
              <w:rPr>
                <w:color w:val="1C3A36"/>
                <w:sz w:val="14"/>
              </w:rPr>
              <w:t>2025-02-01</w:t>
            </w:r>
          </w:p>
        </w:tc>
        <w:tc>
          <w:tcPr>
            <w:tcW w:type="dxa" w:w="2203"/>
          </w:tcPr>
          <w:p>
            <w:pPr>
              <w:spacing w:after="20"/>
            </w:pPr>
            <w:r>
              <w:rPr>
                <w:color w:val="1C3A36"/>
                <w:sz w:val="14"/>
              </w:rPr>
              <w:t>PDF text layer (pymupdf)</w:t>
            </w:r>
          </w:p>
        </w:tc>
      </w:tr>
      <w:tr>
        <w:tc>
          <w:tcPr>
            <w:tcW w:type="dxa" w:w="461"/>
          </w:tcPr>
          <w:p>
            <w:pPr>
              <w:spacing w:after="20"/>
            </w:pPr>
            <w:r>
              <w:rPr>
                <w:color w:val="1C3A36"/>
                <w:sz w:val="14"/>
              </w:rPr>
              <w:t>10</w:t>
            </w:r>
          </w:p>
        </w:tc>
        <w:tc>
          <w:tcPr>
            <w:tcW w:type="dxa" w:w="1944"/>
          </w:tcPr>
          <w:p>
            <w:pPr>
              <w:spacing w:after="20"/>
            </w:pPr>
            <w:r>
              <w:rPr>
                <w:color w:val="1C3A36"/>
                <w:sz w:val="14"/>
              </w:rPr>
              <w:t>rev_fy2025</w:t>
            </w:r>
          </w:p>
        </w:tc>
        <w:tc>
          <w:tcPr>
            <w:tcW w:type="dxa" w:w="1224"/>
          </w:tcPr>
          <w:p>
            <w:pPr>
              <w:spacing w:after="20"/>
            </w:pPr>
            <w:r>
              <w:rPr>
                <w:color w:val="1C3A36"/>
                <w:sz w:val="14"/>
              </w:rPr>
              <w:t>80,229.8</w:t>
            </w:r>
          </w:p>
        </w:tc>
        <w:tc>
          <w:tcPr>
            <w:tcW w:type="dxa" w:w="792"/>
          </w:tcPr>
          <w:p>
            <w:pPr>
              <w:spacing w:after="20"/>
            </w:pPr>
            <w:r>
              <w:rPr>
                <w:color w:val="1C3A36"/>
                <w:sz w:val="14"/>
              </w:rPr>
              <w:t>EGP mn</w:t>
            </w:r>
          </w:p>
        </w:tc>
        <w:tc>
          <w:tcPr>
            <w:tcW w:type="dxa" w:w="6264"/>
          </w:tcPr>
          <w:p>
            <w:pPr>
              <w:spacing w:after="20"/>
            </w:pPr>
            <w:r>
              <w:rPr>
                <w:color w:val="1C3A36"/>
                <w:sz w:val="14"/>
              </w:rPr>
              <w:t>GB Corp's own 4Q25 earnings release, published on ir.gb-corporation.com and committed under; footed against the FY2025 audited consolidated statement of income, operating revenue 80,229,809 (EGP thousand)</w:t>
            </w:r>
          </w:p>
        </w:tc>
        <w:tc>
          <w:tcPr>
            <w:tcW w:type="dxa" w:w="1224"/>
          </w:tcPr>
          <w:p>
            <w:pPr>
              <w:spacing w:after="20"/>
            </w:pPr>
            <w:r>
              <w:rPr>
                <w:color w:val="1C3A36"/>
                <w:sz w:val="14"/>
              </w:rPr>
              <w:t>2026-02-26</w:t>
            </w:r>
          </w:p>
        </w:tc>
        <w:tc>
          <w:tcPr>
            <w:tcW w:type="dxa" w:w="2203"/>
          </w:tcPr>
          <w:p>
            <w:pPr>
              <w:spacing w:after="20"/>
            </w:pPr>
            <w:r>
              <w:rPr>
                <w:color w:val="1C3A36"/>
                <w:sz w:val="14"/>
              </w:rPr>
              <w:t>PDF text layer (pymupdf)</w:t>
            </w:r>
          </w:p>
        </w:tc>
      </w:tr>
      <w:tr>
        <w:tc>
          <w:tcPr>
            <w:tcW w:type="dxa" w:w="461"/>
          </w:tcPr>
          <w:p>
            <w:pPr>
              <w:spacing w:after="20"/>
            </w:pPr>
            <w:r>
              <w:rPr>
                <w:color w:val="1C3A36"/>
                <w:sz w:val="14"/>
              </w:rPr>
              <w:t>11</w:t>
            </w:r>
          </w:p>
        </w:tc>
        <w:tc>
          <w:tcPr>
            <w:tcW w:type="dxa" w:w="1944"/>
          </w:tcPr>
          <w:p>
            <w:pPr>
              <w:spacing w:after="20"/>
            </w:pPr>
            <w:r>
              <w:rPr>
                <w:color w:val="1C3A36"/>
                <w:sz w:val="14"/>
              </w:rPr>
              <w:t>rev_h1_2026</w:t>
            </w:r>
          </w:p>
        </w:tc>
        <w:tc>
          <w:tcPr>
            <w:tcW w:type="dxa" w:w="1224"/>
          </w:tcPr>
          <w:p>
            <w:pPr>
              <w:spacing w:after="20"/>
            </w:pPr>
            <w:r>
              <w:rPr>
                <w:color w:val="1C3A36"/>
                <w:sz w:val="14"/>
              </w:rPr>
              <w:t>48,474.4</w:t>
            </w:r>
          </w:p>
        </w:tc>
        <w:tc>
          <w:tcPr>
            <w:tcW w:type="dxa" w:w="792"/>
          </w:tcPr>
          <w:p>
            <w:pPr>
              <w:spacing w:after="20"/>
            </w:pPr>
            <w:r>
              <w:rPr>
                <w:color w:val="1C3A36"/>
                <w:sz w:val="14"/>
              </w:rPr>
              <w:t>EGP mn</w:t>
            </w:r>
          </w:p>
        </w:tc>
        <w:tc>
          <w:tcPr>
            <w:tcW w:type="dxa" w:w="6264"/>
          </w:tcPr>
          <w:p>
            <w:pPr>
              <w:spacing w:after="20"/>
            </w:pPr>
            <w:r>
              <w:rPr>
                <w:color w:val="1C3A36"/>
                <w:sz w:val="14"/>
              </w:rPr>
              <w:t>GB Corp's own 2Q/1H26 earnings release, published on ir.gb-corporation.com and committed under, 13 August 2026</w:t>
            </w:r>
          </w:p>
        </w:tc>
        <w:tc>
          <w:tcPr>
            <w:tcW w:type="dxa" w:w="1224"/>
          </w:tcPr>
          <w:p>
            <w:pPr>
              <w:spacing w:after="20"/>
            </w:pPr>
            <w:r>
              <w:rPr>
                <w:color w:val="1C3A36"/>
                <w:sz w:val="14"/>
              </w:rPr>
              <w:t>2026-08-13</w:t>
            </w:r>
          </w:p>
        </w:tc>
        <w:tc>
          <w:tcPr>
            <w:tcW w:type="dxa" w:w="2203"/>
          </w:tcPr>
          <w:p>
            <w:pPr>
              <w:spacing w:after="20"/>
            </w:pPr>
            <w:r>
              <w:rPr>
                <w:color w:val="1C3A36"/>
                <w:sz w:val="14"/>
              </w:rPr>
              <w:t>PDF text layer (pymupdf)</w:t>
            </w:r>
          </w:p>
        </w:tc>
      </w:tr>
    </w:tbl>
    <w:p>
      <w:pPr>
        <w:spacing w:after="40"/>
      </w:pPr>
    </w:p>
    <w:p>
      <w:pPr>
        <w:spacing w:after="80" w:before="200"/>
      </w:pPr>
      <w:r>
        <w:rPr>
          <w:b/>
          <w:i w:val="0"/>
          <w:color w:val="1C3A36"/>
          <w:sz w:val="23"/>
        </w:rPr>
        <w:t>The reported history behind the study’s own income statement</w:t>
      </w:r>
    </w:p>
    <w:p>
      <w:pPr>
        <w:spacing w:after="100" w:before="0"/>
      </w:pPr>
      <w:r>
        <w:rPr>
          <w:b w:val="0"/>
          <w:i w:val="0"/>
          <w:color w:val="1C3A36"/>
          <w:sz w:val="19"/>
        </w:rPr>
        <w:t>The three reported years the study prints are taken from a record of this company’s consolidated income statement as it was originally reported, year by year. Every year is asserted to foot against its own arithmetic before it enters anything.</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080"/>
        <w:gridCol w:w="1656"/>
        <w:gridCol w:w="2232"/>
        <w:gridCol w:w="3528"/>
        <w:gridCol w:w="1224"/>
        <w:gridCol w:w="720"/>
        <w:gridCol w:w="3672"/>
      </w:tblGrid>
      <w:tr>
        <w:tc>
          <w:tcPr>
            <w:tcW w:type="dxa" w:w="1080"/>
            <w:shd w:val="clear" w:color="auto" w:fill="EAF0EE"/>
          </w:tcPr>
          <w:p>
            <w:pPr>
              <w:spacing w:after="20"/>
            </w:pPr>
            <w:r>
              <w:rPr>
                <w:b/>
                <w:color w:val="1C3A36"/>
                <w:sz w:val="15"/>
              </w:rPr>
              <w:t>Fiscal year</w:t>
            </w:r>
          </w:p>
        </w:tc>
        <w:tc>
          <w:tcPr>
            <w:tcW w:type="dxa" w:w="1656"/>
            <w:shd w:val="clear" w:color="auto" w:fill="EAF0EE"/>
          </w:tcPr>
          <w:p>
            <w:pPr>
              <w:spacing w:after="20"/>
            </w:pPr>
            <w:r>
              <w:rPr>
                <w:b/>
                <w:color w:val="1C3A36"/>
                <w:sz w:val="15"/>
              </w:rPr>
              <w:t>Revenue (EGP mn)</w:t>
            </w:r>
          </w:p>
        </w:tc>
        <w:tc>
          <w:tcPr>
            <w:tcW w:type="dxa" w:w="2232"/>
            <w:shd w:val="clear" w:color="auto" w:fill="EAF0EE"/>
          </w:tcPr>
          <w:p>
            <w:pPr>
              <w:spacing w:after="20"/>
            </w:pPr>
            <w:r>
              <w:rPr>
                <w:b/>
                <w:color w:val="1C3A36"/>
                <w:sz w:val="15"/>
              </w:rPr>
              <w:t>Profit attributable (EGP mn)</w:t>
            </w:r>
          </w:p>
        </w:tc>
        <w:tc>
          <w:tcPr>
            <w:tcW w:type="dxa" w:w="3528"/>
            <w:shd w:val="clear" w:color="auto" w:fill="EAF0EE"/>
          </w:tcPr>
          <w:p>
            <w:pPr>
              <w:spacing w:after="20"/>
            </w:pPr>
            <w:r>
              <w:rPr>
                <w:b/>
                <w:color w:val="1C3A36"/>
                <w:sz w:val="15"/>
              </w:rPr>
              <w:t>Source document</w:t>
            </w:r>
          </w:p>
        </w:tc>
        <w:tc>
          <w:tcPr>
            <w:tcW w:type="dxa" w:w="1224"/>
            <w:shd w:val="clear" w:color="auto" w:fill="EAF0EE"/>
          </w:tcPr>
          <w:p>
            <w:pPr>
              <w:spacing w:after="20"/>
            </w:pPr>
            <w:r>
              <w:rPr>
                <w:b/>
                <w:color w:val="1C3A36"/>
                <w:sz w:val="15"/>
              </w:rPr>
              <w:t>Source date</w:t>
            </w:r>
          </w:p>
        </w:tc>
        <w:tc>
          <w:tcPr>
            <w:tcW w:type="dxa" w:w="720"/>
            <w:shd w:val="clear" w:color="auto" w:fill="EAF0EE"/>
          </w:tcPr>
          <w:p>
            <w:pPr>
              <w:spacing w:after="20"/>
            </w:pPr>
            <w:r>
              <w:rPr>
                <w:b/>
                <w:color w:val="1C3A36"/>
                <w:sz w:val="15"/>
              </w:rPr>
              <w:t>Foots</w:t>
            </w:r>
          </w:p>
        </w:tc>
        <w:tc>
          <w:tcPr>
            <w:tcW w:type="dxa" w:w="3672"/>
            <w:shd w:val="clear" w:color="auto" w:fill="EAF0EE"/>
          </w:tcPr>
          <w:p>
            <w:pPr>
              <w:spacing w:after="20"/>
            </w:pPr>
            <w:r>
              <w:rPr>
                <w:b/>
                <w:color w:val="1C3A36"/>
                <w:sz w:val="15"/>
              </w:rPr>
              <w:t>Route</w:t>
            </w:r>
          </w:p>
        </w:tc>
      </w:tr>
      <w:tr>
        <w:tc>
          <w:tcPr>
            <w:tcW w:type="dxa" w:w="1080"/>
          </w:tcPr>
          <w:p>
            <w:pPr>
              <w:spacing w:after="20"/>
            </w:pPr>
            <w:r>
              <w:rPr>
                <w:color w:val="1C3A36"/>
                <w:sz w:val="15"/>
              </w:rPr>
              <w:t>FY2023</w:t>
            </w:r>
          </w:p>
        </w:tc>
        <w:tc>
          <w:tcPr>
            <w:tcW w:type="dxa" w:w="1656"/>
          </w:tcPr>
          <w:p>
            <w:pPr>
              <w:spacing w:after="20"/>
            </w:pPr>
            <w:r>
              <w:rPr>
                <w:color w:val="1C3A36"/>
                <w:sz w:val="15"/>
              </w:rPr>
              <w:t>28,317.2</w:t>
            </w:r>
          </w:p>
        </w:tc>
        <w:tc>
          <w:tcPr>
            <w:tcW w:type="dxa" w:w="2232"/>
          </w:tcPr>
          <w:p>
            <w:pPr>
              <w:spacing w:after="20"/>
            </w:pPr>
            <w:r>
              <w:rPr>
                <w:color w:val="1C3A36"/>
                <w:sz w:val="15"/>
              </w:rPr>
              <w:t>1,890.8</w:t>
            </w:r>
          </w:p>
        </w:tc>
        <w:tc>
          <w:tcPr>
            <w:tcW w:type="dxa" w:w="3528"/>
          </w:tcPr>
          <w:p>
            <w:pPr>
              <w:spacing w:after="20"/>
            </w:pPr>
            <w:r>
              <w:rPr>
                <w:color w:val="1C3A36"/>
                <w:sz w:val="15"/>
              </w:rPr>
              <w:t>GB_Corp_ER_4Q23_-_ER_-_FINAL.pdf</w:t>
            </w:r>
          </w:p>
        </w:tc>
        <w:tc>
          <w:tcPr>
            <w:tcW w:type="dxa" w:w="1224"/>
          </w:tcPr>
          <w:p>
            <w:pPr>
              <w:spacing w:after="20"/>
            </w:pPr>
            <w:r>
              <w:rPr>
                <w:color w:val="1C3A36"/>
                <w:sz w:val="15"/>
              </w:rPr>
              <w:t>2024-03-01</w:t>
            </w:r>
          </w:p>
        </w:tc>
        <w:tc>
          <w:tcPr>
            <w:tcW w:type="dxa" w:w="720"/>
          </w:tcPr>
          <w:p>
            <w:pPr>
              <w:spacing w:after="20"/>
            </w:pPr>
            <w:r>
              <w:rPr>
                <w:color w:val="1C3A36"/>
                <w:sz w:val="15"/>
              </w:rPr>
              <w:t>yes</w:t>
            </w:r>
          </w:p>
        </w:tc>
        <w:tc>
          <w:tcPr>
            <w:tcW w:type="dxa" w:w="3672"/>
          </w:tcPr>
          <w:p>
            <w:pPr>
              <w:spacing w:after="20"/>
            </w:pPr>
            <w:r>
              <w:rPr>
                <w:color w:val="1C3A36"/>
                <w:sz w:val="15"/>
              </w:rPr>
              <w:t>PDF text layer (pymupdf) of GB Corp's own 4Q earnings release, the figures AS ORIGINALLY REPORTED at that origin</w:t>
            </w:r>
          </w:p>
        </w:tc>
      </w:tr>
      <w:tr>
        <w:tc>
          <w:tcPr>
            <w:tcW w:type="dxa" w:w="1080"/>
          </w:tcPr>
          <w:p>
            <w:pPr>
              <w:spacing w:after="20"/>
            </w:pPr>
            <w:r>
              <w:rPr>
                <w:color w:val="1C3A36"/>
                <w:sz w:val="15"/>
              </w:rPr>
              <w:t>FY2024</w:t>
            </w:r>
          </w:p>
        </w:tc>
        <w:tc>
          <w:tcPr>
            <w:tcW w:type="dxa" w:w="1656"/>
          </w:tcPr>
          <w:p>
            <w:pPr>
              <w:spacing w:after="20"/>
            </w:pPr>
            <w:r>
              <w:rPr>
                <w:color w:val="1C3A36"/>
                <w:sz w:val="15"/>
              </w:rPr>
              <w:t>53,969.5</w:t>
            </w:r>
          </w:p>
        </w:tc>
        <w:tc>
          <w:tcPr>
            <w:tcW w:type="dxa" w:w="2232"/>
          </w:tcPr>
          <w:p>
            <w:pPr>
              <w:spacing w:after="20"/>
            </w:pPr>
            <w:r>
              <w:rPr>
                <w:color w:val="1C3A36"/>
                <w:sz w:val="15"/>
              </w:rPr>
              <w:t>2,928.1</w:t>
            </w:r>
          </w:p>
        </w:tc>
        <w:tc>
          <w:tcPr>
            <w:tcW w:type="dxa" w:w="3528"/>
          </w:tcPr>
          <w:p>
            <w:pPr>
              <w:spacing w:after="20"/>
            </w:pPr>
            <w:r>
              <w:rPr>
                <w:color w:val="1C3A36"/>
                <w:sz w:val="15"/>
              </w:rPr>
              <w:t>GB_Corp_ER_4Q24-_E_-_Final.pdf</w:t>
            </w:r>
          </w:p>
        </w:tc>
        <w:tc>
          <w:tcPr>
            <w:tcW w:type="dxa" w:w="1224"/>
          </w:tcPr>
          <w:p>
            <w:pPr>
              <w:spacing w:after="20"/>
            </w:pPr>
            <w:r>
              <w:rPr>
                <w:color w:val="1C3A36"/>
                <w:sz w:val="15"/>
              </w:rPr>
              <w:t>2025-02-01</w:t>
            </w:r>
          </w:p>
        </w:tc>
        <w:tc>
          <w:tcPr>
            <w:tcW w:type="dxa" w:w="720"/>
          </w:tcPr>
          <w:p>
            <w:pPr>
              <w:spacing w:after="20"/>
            </w:pPr>
            <w:r>
              <w:rPr>
                <w:color w:val="1C3A36"/>
                <w:sz w:val="15"/>
              </w:rPr>
              <w:t>yes</w:t>
            </w:r>
          </w:p>
        </w:tc>
        <w:tc>
          <w:tcPr>
            <w:tcW w:type="dxa" w:w="3672"/>
          </w:tcPr>
          <w:p>
            <w:pPr>
              <w:spacing w:after="20"/>
            </w:pPr>
            <w:r>
              <w:rPr>
                <w:color w:val="1C3A36"/>
                <w:sz w:val="15"/>
              </w:rPr>
              <w:t>PDF text layer (pymupdf) of GB Corp's own 4Q earnings release, the figures AS ORIGINALLY REPORTED at that origin</w:t>
            </w:r>
          </w:p>
        </w:tc>
      </w:tr>
      <w:tr>
        <w:tc>
          <w:tcPr>
            <w:tcW w:type="dxa" w:w="1080"/>
          </w:tcPr>
          <w:p>
            <w:pPr>
              <w:spacing w:after="20"/>
            </w:pPr>
            <w:r>
              <w:rPr>
                <w:color w:val="1C3A36"/>
                <w:sz w:val="15"/>
              </w:rPr>
              <w:t>FY2025</w:t>
            </w:r>
          </w:p>
        </w:tc>
        <w:tc>
          <w:tcPr>
            <w:tcW w:type="dxa" w:w="1656"/>
          </w:tcPr>
          <w:p>
            <w:pPr>
              <w:spacing w:after="20"/>
            </w:pPr>
            <w:r>
              <w:rPr>
                <w:color w:val="1C3A36"/>
                <w:sz w:val="15"/>
              </w:rPr>
              <w:t>80,229.8</w:t>
            </w:r>
          </w:p>
        </w:tc>
        <w:tc>
          <w:tcPr>
            <w:tcW w:type="dxa" w:w="2232"/>
          </w:tcPr>
          <w:p>
            <w:pPr>
              <w:spacing w:after="20"/>
            </w:pPr>
            <w:r>
              <w:rPr>
                <w:color w:val="1C3A36"/>
                <w:sz w:val="15"/>
              </w:rPr>
              <w:t>2,880.0</w:t>
            </w:r>
          </w:p>
        </w:tc>
        <w:tc>
          <w:tcPr>
            <w:tcW w:type="dxa" w:w="3528"/>
          </w:tcPr>
          <w:p>
            <w:pPr>
              <w:spacing w:after="20"/>
            </w:pPr>
            <w:r>
              <w:rPr>
                <w:color w:val="1C3A36"/>
                <w:sz w:val="15"/>
              </w:rPr>
              <w:t>GB_Corp_ER_4Q25-_E_-_Final.pdf</w:t>
            </w:r>
          </w:p>
        </w:tc>
        <w:tc>
          <w:tcPr>
            <w:tcW w:type="dxa" w:w="1224"/>
          </w:tcPr>
          <w:p>
            <w:pPr>
              <w:spacing w:after="20"/>
            </w:pPr>
            <w:r>
              <w:rPr>
                <w:color w:val="1C3A36"/>
                <w:sz w:val="15"/>
              </w:rPr>
              <w:t>2026-02-26</w:t>
            </w:r>
          </w:p>
        </w:tc>
        <w:tc>
          <w:tcPr>
            <w:tcW w:type="dxa" w:w="720"/>
          </w:tcPr>
          <w:p>
            <w:pPr>
              <w:spacing w:after="20"/>
            </w:pPr>
            <w:r>
              <w:rPr>
                <w:color w:val="1C3A36"/>
                <w:sz w:val="15"/>
              </w:rPr>
              <w:t>yes</w:t>
            </w:r>
          </w:p>
        </w:tc>
        <w:tc>
          <w:tcPr>
            <w:tcW w:type="dxa" w:w="3672"/>
          </w:tcPr>
          <w:p>
            <w:pPr>
              <w:spacing w:after="20"/>
            </w:pPr>
            <w:r>
              <w:rPr>
                <w:color w:val="1C3A36"/>
                <w:sz w:val="15"/>
              </w:rPr>
              <w:t>PDF text layer (pymupdf) of GB Corp's own 4Q earnings release, the figures AS ORIGINALLY REPORTED at that origin</w:t>
            </w:r>
          </w:p>
        </w:tc>
      </w:tr>
    </w:tbl>
    <w:p>
      <w:pPr>
        <w:spacing w:after="40"/>
      </w:pPr>
    </w:p>
    <w:p>
      <w:pPr>
        <w:spacing w:after="100" w:before="0"/>
      </w:pPr>
      <w:r>
        <w:rPr>
          <w:b w:val="0"/>
          <w:i w:val="0"/>
          <w:color w:val="1C3A36"/>
          <w:sz w:val="18"/>
        </w:rPr>
        <w:t>That reported-history record runs from 2012-2025 and every year in it foots; the three printed above are the ones this study’s own statements table carries.</w:t>
      </w:r>
    </w:p>
    <w:p>
      <w:r>
        <w:br w:type="page"/>
      </w:r>
    </w:p>
    <w:p>
      <w:pPr>
        <w:spacing w:after="120" w:before="240"/>
      </w:pPr>
      <w:r>
        <w:rPr>
          <w:b/>
          <w:i w:val="0"/>
          <w:color w:val="1C3A36"/>
          <w:sz w:val="30"/>
        </w:rPr>
        <w:t>3  Judgements — and what would overturn each one</w:t>
      </w:r>
    </w:p>
    <w:p>
      <w:pPr>
        <w:spacing w:after="100" w:before="0"/>
      </w:pPr>
      <w:r>
        <w:rPr>
          <w:b w:val="0"/>
          <w:i w:val="0"/>
          <w:color w:val="1C3A36"/>
          <w:sz w:val="19"/>
        </w:rPr>
        <w:t>A judgement is a fork this study resolved one way and could defensibly have resolved the other. Each row states what was adopted, what the alternative was, what the alternative is worth, and which direction the study took. The last column is what would overturn the choice. Nothing here is an input to the valuation: it is a record OF the valuation.</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00"/>
        <w:gridCol w:w="3096"/>
        <w:gridCol w:w="3096"/>
        <w:gridCol w:w="792"/>
        <w:gridCol w:w="1944"/>
        <w:gridCol w:w="3384"/>
      </w:tblGrid>
      <w:tr>
        <w:tc>
          <w:tcPr>
            <w:tcW w:type="dxa" w:w="1800"/>
            <w:shd w:val="clear" w:color="auto" w:fill="EAF0EE"/>
          </w:tcPr>
          <w:p>
            <w:pPr>
              <w:spacing w:after="20"/>
            </w:pPr>
            <w:r>
              <w:rPr>
                <w:b/>
                <w:color w:val="1C3A36"/>
                <w:sz w:val="14"/>
              </w:rPr>
              <w:t>Judgement</w:t>
            </w:r>
          </w:p>
        </w:tc>
        <w:tc>
          <w:tcPr>
            <w:tcW w:type="dxa" w:w="3096"/>
            <w:shd w:val="clear" w:color="auto" w:fill="EAF0EE"/>
          </w:tcPr>
          <w:p>
            <w:pPr>
              <w:spacing w:after="20"/>
            </w:pPr>
            <w:r>
              <w:rPr>
                <w:b/>
                <w:color w:val="1C3A36"/>
                <w:sz w:val="14"/>
              </w:rPr>
              <w:t>Adopted</w:t>
            </w:r>
          </w:p>
        </w:tc>
        <w:tc>
          <w:tcPr>
            <w:tcW w:type="dxa" w:w="3096"/>
            <w:shd w:val="clear" w:color="auto" w:fill="EAF0EE"/>
          </w:tcPr>
          <w:p>
            <w:pPr>
              <w:spacing w:after="20"/>
            </w:pPr>
            <w:r>
              <w:rPr>
                <w:b/>
                <w:color w:val="1C3A36"/>
                <w:sz w:val="14"/>
              </w:rPr>
              <w:t>The alternative</w:t>
            </w:r>
          </w:p>
        </w:tc>
        <w:tc>
          <w:tcPr>
            <w:tcW w:type="dxa" w:w="792"/>
            <w:shd w:val="clear" w:color="auto" w:fill="EAF0EE"/>
          </w:tcPr>
          <w:p>
            <w:pPr>
              <w:spacing w:after="20"/>
            </w:pPr>
            <w:r>
              <w:rPr>
                <w:b/>
                <w:color w:val="1C3A36"/>
                <w:sz w:val="14"/>
              </w:rPr>
              <w:t>Worth</w:t>
            </w:r>
          </w:p>
        </w:tc>
        <w:tc>
          <w:tcPr>
            <w:tcW w:type="dxa" w:w="1944"/>
            <w:shd w:val="clear" w:color="auto" w:fill="EAF0EE"/>
          </w:tcPr>
          <w:p>
            <w:pPr>
              <w:spacing w:after="20"/>
            </w:pPr>
            <w:r>
              <w:rPr>
                <w:b/>
                <w:color w:val="1C3A36"/>
                <w:sz w:val="14"/>
              </w:rPr>
              <w:t>Direction taken</w:t>
            </w:r>
          </w:p>
        </w:tc>
        <w:tc>
          <w:tcPr>
            <w:tcW w:type="dxa" w:w="3384"/>
            <w:shd w:val="clear" w:color="auto" w:fill="EAF0EE"/>
          </w:tcPr>
          <w:p>
            <w:pPr>
              <w:spacing w:after="20"/>
            </w:pPr>
            <w:r>
              <w:rPr>
                <w:b/>
                <w:color w:val="1C3A36"/>
                <w:sz w:val="14"/>
              </w:rPr>
              <w:t>What would overturn the choice</w:t>
            </w:r>
          </w:p>
        </w:tc>
      </w:tr>
      <w:tr>
        <w:tc>
          <w:tcPr>
            <w:tcW w:type="dxa" w:w="1800"/>
          </w:tcPr>
          <w:p>
            <w:pPr>
              <w:spacing w:after="20"/>
            </w:pPr>
            <w:r>
              <w:rPr>
                <w:color w:val="1C3A36"/>
                <w:sz w:val="14"/>
              </w:rPr>
              <w:t>the capital-expenditure path</w:t>
            </w:r>
          </w:p>
        </w:tc>
        <w:tc>
          <w:tcPr>
            <w:tcW w:type="dxa" w:w="3096"/>
          </w:tcPr>
          <w:p>
            <w:pPr>
              <w:spacing w:after="20"/>
            </w:pPr>
            <w:r>
              <w:rPr>
                <w:color w:val="1C3A36"/>
                <w:sz w:val="14"/>
              </w:rPr>
              <w:t>a ladder falling from 3.82% of Auto revenue in the first forecast year to 1.93% by the last, whose first year is the figure management guided</w:t>
            </w:r>
          </w:p>
        </w:tc>
        <w:tc>
          <w:tcPr>
            <w:tcW w:type="dxa" w:w="3096"/>
          </w:tcPr>
          <w:p>
            <w:pPr>
              <w:spacing w:after="20"/>
            </w:pPr>
            <w:r>
              <w:rPr>
                <w:color w:val="1C3A36"/>
                <w:sz w:val="14"/>
              </w:rPr>
              <w:t>the company goes on spending what it filed: EGP 3,664.2 mn a year, flat in nominal terms, which is a real decline across the window</w:t>
            </w:r>
          </w:p>
        </w:tc>
        <w:tc>
          <w:tcPr>
            <w:tcW w:type="dxa" w:w="792"/>
          </w:tcPr>
          <w:p>
            <w:pPr>
              <w:spacing w:after="20"/>
            </w:pPr>
            <w:r>
              <w:rPr>
                <w:color w:val="1C3A36"/>
                <w:sz w:val="14"/>
              </w:rPr>
              <w:t>23.3%</w:t>
            </w:r>
          </w:p>
        </w:tc>
        <w:tc>
          <w:tcPr>
            <w:tcW w:type="dxa" w:w="1944"/>
          </w:tcPr>
          <w:p>
            <w:pPr>
              <w:spacing w:after="20"/>
            </w:pPr>
            <w:r>
              <w:rPr>
                <w:color w:val="1C3A36"/>
                <w:sz w:val="14"/>
              </w:rPr>
              <w:t>the study took the higher value</w:t>
            </w:r>
          </w:p>
        </w:tc>
        <w:tc>
          <w:tcPr>
            <w:tcW w:type="dxa" w:w="3384"/>
          </w:tcPr>
          <w:p>
            <w:pPr>
              <w:spacing w:after="20"/>
            </w:pPr>
            <w:r>
              <w:rPr>
                <w:color w:val="1C3A36"/>
                <w:sz w:val="14"/>
              </w:rPr>
              <w:t>two further filed years of capital expenditure, or a capital plan the company discloses. Either settles whether the intensity is falling because the build-out is finished or only because revenue is growing faster than the spend.</w:t>
            </w:r>
          </w:p>
        </w:tc>
      </w:tr>
      <w:tr>
        <w:tc>
          <w:tcPr>
            <w:tcW w:type="dxa" w:w="1800"/>
          </w:tcPr>
          <w:p>
            <w:pPr>
              <w:spacing w:after="20"/>
            </w:pPr>
            <w:r>
              <w:rPr>
                <w:color w:val="1C3A36"/>
                <w:sz w:val="14"/>
              </w:rPr>
              <w:t>working-capital intensity</w:t>
            </w:r>
          </w:p>
        </w:tc>
        <w:tc>
          <w:tcPr>
            <w:tcW w:type="dxa" w:w="3096"/>
          </w:tcPr>
          <w:p>
            <w:pPr>
              <w:spacing w:after="20"/>
            </w:pPr>
            <w:r>
              <w:rPr>
                <w:color w:val="1C3A36"/>
                <w:sz w:val="14"/>
              </w:rPr>
              <w:t>gliding from 26.5% of Auto revenue in the first forecast year to 21.5% by the last, as payables re-extend and the pre-build unwinds</w:t>
            </w:r>
          </w:p>
        </w:tc>
        <w:tc>
          <w:tcPr>
            <w:tcW w:type="dxa" w:w="3096"/>
          </w:tcPr>
          <w:p>
            <w:pPr>
              <w:spacing w:after="20"/>
            </w:pPr>
            <w:r>
              <w:rPr>
                <w:color w:val="1C3A36"/>
                <w:sz w:val="14"/>
              </w:rPr>
              <w:t>the first forecast year held flat across the window — no credit taken for the release</w:t>
            </w:r>
          </w:p>
        </w:tc>
        <w:tc>
          <w:tcPr>
            <w:tcW w:type="dxa" w:w="792"/>
          </w:tcPr>
          <w:p>
            <w:pPr>
              <w:spacing w:after="20"/>
            </w:pPr>
            <w:r>
              <w:rPr>
                <w:color w:val="1C3A36"/>
                <w:sz w:val="14"/>
              </w:rPr>
              <w:t>63.8%</w:t>
            </w:r>
          </w:p>
        </w:tc>
        <w:tc>
          <w:tcPr>
            <w:tcW w:type="dxa" w:w="1944"/>
          </w:tcPr>
          <w:p>
            <w:pPr>
              <w:spacing w:after="20"/>
            </w:pPr>
            <w:r>
              <w:rPr>
                <w:color w:val="1C3A36"/>
                <w:sz w:val="14"/>
              </w:rPr>
              <w:t>the study took the higher value</w:t>
            </w:r>
          </w:p>
        </w:tc>
        <w:tc>
          <w:tcPr>
            <w:tcW w:type="dxa" w:w="3384"/>
          </w:tcPr>
          <w:p>
            <w:pPr>
              <w:spacing w:after="20"/>
            </w:pPr>
            <w:r>
              <w:rPr>
                <w:color w:val="1C3A36"/>
                <w:sz w:val="14"/>
              </w:rPr>
              <w:t>two consecutive quarters in which the company discloses its receivable, inventory and payable days. The glide is currently five figures standing in for a cycle the filings would measure directly.</w:t>
            </w:r>
          </w:p>
        </w:tc>
      </w:tr>
      <w:tr>
        <w:tc>
          <w:tcPr>
            <w:tcW w:type="dxa" w:w="1800"/>
          </w:tcPr>
          <w:p>
            <w:pPr>
              <w:spacing w:after="20"/>
            </w:pPr>
            <w:r>
              <w:rPr>
                <w:color w:val="1C3A36"/>
                <w:sz w:val="14"/>
              </w:rPr>
              <w:t>the equity risk premium basis</w:t>
            </w:r>
          </w:p>
        </w:tc>
        <w:tc>
          <w:tcPr>
            <w:tcW w:type="dxa" w:w="3096"/>
          </w:tcPr>
          <w:p>
            <w:pPr>
              <w:spacing w:after="20"/>
            </w:pPr>
            <w:r>
              <w:rPr>
                <w:color w:val="1C3A36"/>
                <w:sz w:val="14"/>
              </w:rPr>
              <w:t>the market (credit-default-swap) basis, giving a first-year weighted cost of capital of 23.12%</w:t>
            </w:r>
          </w:p>
        </w:tc>
        <w:tc>
          <w:tcPr>
            <w:tcW w:type="dxa" w:w="3096"/>
          </w:tcPr>
          <w:p>
            <w:pPr>
              <w:spacing w:after="20"/>
            </w:pPr>
            <w:r>
              <w:rPr>
                <w:color w:val="1C3A36"/>
                <w:sz w:val="14"/>
              </w:rPr>
              <w:t>the credit-rating basis, giving 23.78%</w:t>
            </w:r>
          </w:p>
        </w:tc>
        <w:tc>
          <w:tcPr>
            <w:tcW w:type="dxa" w:w="792"/>
          </w:tcPr>
          <w:p>
            <w:pPr>
              <w:spacing w:after="20"/>
            </w:pPr>
            <w:r>
              <w:rPr>
                <w:color w:val="1C3A36"/>
                <w:sz w:val="14"/>
              </w:rPr>
              <w:t>10.9%</w:t>
            </w:r>
          </w:p>
        </w:tc>
        <w:tc>
          <w:tcPr>
            <w:tcW w:type="dxa" w:w="1944"/>
          </w:tcPr>
          <w:p>
            <w:pPr>
              <w:spacing w:after="20"/>
            </w:pPr>
            <w:r>
              <w:rPr>
                <w:color w:val="1C3A36"/>
                <w:sz w:val="14"/>
              </w:rPr>
              <w:t>the study took the higher value</w:t>
            </w:r>
          </w:p>
        </w:tc>
        <w:tc>
          <w:tcPr>
            <w:tcW w:type="dxa" w:w="3384"/>
          </w:tcPr>
          <w:p>
            <w:pPr>
              <w:spacing w:after="20"/>
            </w:pPr>
            <w:r>
              <w:rPr>
                <w:color w:val="1C3A36"/>
                <w:sz w:val="14"/>
              </w:rPr>
              <w:t>the two published bases converging, or the country-risk file naming one of them as the one to use. Neither is in this study's gift and both are published by the same source.</w:t>
            </w:r>
          </w:p>
        </w:tc>
      </w:tr>
      <w:tr>
        <w:tc>
          <w:tcPr>
            <w:tcW w:type="dxa" w:w="1800"/>
          </w:tcPr>
          <w:p>
            <w:pPr>
              <w:spacing w:after="20"/>
            </w:pPr>
            <w:r>
              <w:rPr>
                <w:color w:val="1C3A36"/>
                <w:sz w:val="14"/>
              </w:rPr>
              <w:t>the equity beta</w:t>
            </w:r>
          </w:p>
        </w:tc>
        <w:tc>
          <w:tcPr>
            <w:tcW w:type="dxa" w:w="3096"/>
          </w:tcPr>
          <w:p>
            <w:pPr>
              <w:spacing w:after="20"/>
            </w:pPr>
            <w:r>
              <w:rPr>
                <w:color w:val="1C3A36"/>
                <w:sz w:val="14"/>
              </w:rPr>
              <w:t>0.8907, the conforming weekly regression against the exchange's published index, committed in this directory</w:t>
            </w:r>
          </w:p>
        </w:tc>
        <w:tc>
          <w:tcPr>
            <w:tcW w:type="dxa" w:w="3096"/>
          </w:tcPr>
          <w:p>
            <w:pPr>
              <w:spacing w:after="20"/>
            </w:pPr>
            <w:r>
              <w:rPr>
                <w:color w:val="1C3A36"/>
                <w:sz w:val="14"/>
              </w:rPr>
              <w:t>1.00, the house default this study carried before the beta was re-derived, after an attempted five-annual-observation regression returned a negative slope with no explanatory power</w:t>
            </w:r>
          </w:p>
        </w:tc>
        <w:tc>
          <w:tcPr>
            <w:tcW w:type="dxa" w:w="792"/>
          </w:tcPr>
          <w:p>
            <w:pPr>
              <w:spacing w:after="20"/>
            </w:pPr>
            <w:r>
              <w:rPr>
                <w:color w:val="1C3A36"/>
                <w:sz w:val="14"/>
              </w:rPr>
              <w:t>3.2%</w:t>
            </w:r>
          </w:p>
        </w:tc>
        <w:tc>
          <w:tcPr>
            <w:tcW w:type="dxa" w:w="1944"/>
          </w:tcPr>
          <w:p>
            <w:pPr>
              <w:spacing w:after="20"/>
            </w:pPr>
            <w:r>
              <w:rPr>
                <w:color w:val="1C3A36"/>
                <w:sz w:val="14"/>
              </w:rPr>
              <w:t>the study took the higher value</w:t>
            </w:r>
          </w:p>
        </w:tc>
        <w:tc>
          <w:tcPr>
            <w:tcW w:type="dxa" w:w="3384"/>
          </w:tcPr>
          <w:p>
            <w:pPr>
              <w:spacing w:after="20"/>
            </w:pPr>
            <w:r>
              <w:rPr>
                <w:color w:val="1C3A36"/>
                <w:sz w:val="14"/>
              </w:rPr>
              <w:t>a longer usable run of weekly returns, or a structural change in the company that resets the regression window and is disclosed as one.</w:t>
            </w:r>
          </w:p>
        </w:tc>
      </w:tr>
      <w:tr>
        <w:tc>
          <w:tcPr>
            <w:tcW w:type="dxa" w:w="1800"/>
          </w:tcPr>
          <w:p>
            <w:pPr>
              <w:spacing w:after="20"/>
            </w:pPr>
            <w:r>
              <w:rPr>
                <w:color w:val="1C3A36"/>
                <w:sz w:val="14"/>
              </w:rPr>
              <w:t>the return anchoring GB Capital's justified price-to-book</w:t>
            </w:r>
          </w:p>
        </w:tc>
        <w:tc>
          <w:tcPr>
            <w:tcW w:type="dxa" w:w="3096"/>
          </w:tcPr>
          <w:p>
            <w:pPr>
              <w:spacing w:after="20"/>
            </w:pPr>
            <w:r>
              <w:rPr>
                <w:color w:val="1C3A36"/>
                <w:sz w:val="14"/>
              </w:rPr>
              <w:t>the 1H2026 REVIEWED return on the segment's operating equity, 10.10%, annualised on the average of the two committed period-end bases</w:t>
            </w:r>
          </w:p>
        </w:tc>
        <w:tc>
          <w:tcPr>
            <w:tcW w:type="dxa" w:w="3096"/>
          </w:tcPr>
          <w:p>
            <w:pPr>
              <w:spacing w:after="20"/>
            </w:pPr>
            <w:r>
              <w:rPr>
                <w:color w:val="1C3A36"/>
                <w:sz w:val="14"/>
              </w:rPr>
              <w:t>the FY2025 full-year return on the same base, 14.71%</w:t>
            </w:r>
          </w:p>
        </w:tc>
        <w:tc>
          <w:tcPr>
            <w:tcW w:type="dxa" w:w="792"/>
          </w:tcPr>
          <w:p>
            <w:pPr>
              <w:spacing w:after="20"/>
            </w:pPr>
            <w:r>
              <w:rPr>
                <w:color w:val="1C3A36"/>
                <w:sz w:val="14"/>
              </w:rPr>
              <w:t>5.5%</w:t>
            </w:r>
          </w:p>
        </w:tc>
        <w:tc>
          <w:tcPr>
            <w:tcW w:type="dxa" w:w="1944"/>
          </w:tcPr>
          <w:p>
            <w:pPr>
              <w:spacing w:after="20"/>
            </w:pPr>
            <w:r>
              <w:rPr>
                <w:color w:val="1C3A36"/>
                <w:sz w:val="14"/>
              </w:rPr>
              <w:t>the study took the lower value</w:t>
            </w:r>
          </w:p>
        </w:tc>
        <w:tc>
          <w:tcPr>
            <w:tcW w:type="dxa" w:w="3384"/>
          </w:tcPr>
          <w:p>
            <w:pPr>
              <w:spacing w:after="20"/>
            </w:pPr>
            <w:r>
              <w:rPr>
                <w:color w:val="1C3A36"/>
                <w:sz w:val="14"/>
              </w:rPr>
              <w:t>a full year at the reviewed period's return on the equity base the segment now carries. The two framings disagree because the base more than doubled inside the period, and a year that spans neither half settles it.</w:t>
            </w:r>
          </w:p>
        </w:tc>
      </w:tr>
      <w:tr>
        <w:tc>
          <w:tcPr>
            <w:tcW w:type="dxa" w:w="1800"/>
          </w:tcPr>
          <w:p>
            <w:pPr>
              <w:spacing w:after="20"/>
            </w:pPr>
            <w:r>
              <w:rPr>
                <w:color w:val="1C3A36"/>
                <w:sz w:val="14"/>
              </w:rPr>
              <w:t>the discount rate inside GB Capital's justified price-to-book</w:t>
            </w:r>
          </w:p>
        </w:tc>
        <w:tc>
          <w:tcPr>
            <w:tcW w:type="dxa" w:w="3096"/>
          </w:tcPr>
          <w:p>
            <w:pPr>
              <w:spacing w:after="20"/>
            </w:pPr>
            <w:r>
              <w:rPr>
                <w:color w:val="1C3A36"/>
                <w:sz w:val="14"/>
              </w:rPr>
              <w:t>the TERMINAL cost of equity from the sanctioned schedule, 17.04%</w:t>
            </w:r>
          </w:p>
        </w:tc>
        <w:tc>
          <w:tcPr>
            <w:tcW w:type="dxa" w:w="3096"/>
          </w:tcPr>
          <w:p>
            <w:pPr>
              <w:spacing w:after="20"/>
            </w:pPr>
            <w:r>
              <w:rPr>
                <w:color w:val="1C3A36"/>
                <w:sz w:val="14"/>
              </w:rPr>
              <w:t>the explicit-window cost of equity, 28.54%</w:t>
            </w:r>
          </w:p>
        </w:tc>
        <w:tc>
          <w:tcPr>
            <w:tcW w:type="dxa" w:w="792"/>
          </w:tcPr>
          <w:p>
            <w:pPr>
              <w:spacing w:after="20"/>
            </w:pPr>
            <w:r>
              <w:rPr>
                <w:color w:val="1C3A36"/>
                <w:sz w:val="14"/>
              </w:rPr>
              <w:t>2.1%</w:t>
            </w:r>
          </w:p>
        </w:tc>
        <w:tc>
          <w:tcPr>
            <w:tcW w:type="dxa" w:w="1944"/>
          </w:tcPr>
          <w:p>
            <w:pPr>
              <w:spacing w:after="20"/>
            </w:pPr>
            <w:r>
              <w:rPr>
                <w:color w:val="1C3A36"/>
                <w:sz w:val="14"/>
              </w:rPr>
              <w:t>the study took the higher value</w:t>
            </w:r>
          </w:p>
        </w:tc>
        <w:tc>
          <w:tcPr>
            <w:tcW w:type="dxa" w:w="3384"/>
          </w:tcPr>
          <w:p>
            <w:pPr>
              <w:spacing w:after="20"/>
            </w:pPr>
            <w:r>
              <w:rPr>
                <w:color w:val="1C3A36"/>
                <w:sz w:val="14"/>
              </w:rPr>
              <w:t>the cost-of-capital glide reaching its terminal, at which point the two rates are the same number and the fork closes on its own.</w:t>
            </w:r>
          </w:p>
        </w:tc>
      </w:tr>
      <w:tr>
        <w:tc>
          <w:tcPr>
            <w:tcW w:type="dxa" w:w="1800"/>
          </w:tcPr>
          <w:p>
            <w:pPr>
              <w:spacing w:after="20"/>
            </w:pPr>
            <w:r>
              <w:rPr>
                <w:color w:val="1C3A36"/>
                <w:sz w:val="14"/>
              </w:rPr>
              <w:t>the Auto gross-margin path</w:t>
            </w:r>
          </w:p>
        </w:tc>
        <w:tc>
          <w:tcPr>
            <w:tcW w:type="dxa" w:w="3096"/>
          </w:tcPr>
          <w:p>
            <w:pPr>
              <w:spacing w:after="20"/>
            </w:pPr>
            <w:r>
              <w:rPr>
                <w:color w:val="1C3A36"/>
                <w:sz w:val="14"/>
              </w:rPr>
              <w:t>a path opening at 13.8% and rising to 14.5%</w:t>
            </w:r>
          </w:p>
        </w:tc>
        <w:tc>
          <w:tcPr>
            <w:tcW w:type="dxa" w:w="3096"/>
          </w:tcPr>
          <w:p>
            <w:pPr>
              <w:spacing w:after="20"/>
            </w:pPr>
            <w:r>
              <w:rPr>
                <w:color w:val="1C3A36"/>
                <w:sz w:val="14"/>
              </w:rPr>
              <w:t>the latest reviewed half held flat across the window at 14.30% — the near-term reviewed actual outranking a forecast path</w:t>
            </w:r>
          </w:p>
        </w:tc>
        <w:tc>
          <w:tcPr>
            <w:tcW w:type="dxa" w:w="792"/>
          </w:tcPr>
          <w:p>
            <w:pPr>
              <w:spacing w:after="20"/>
            </w:pPr>
            <w:r>
              <w:rPr>
                <w:color w:val="1C3A36"/>
                <w:sz w:val="14"/>
              </w:rPr>
              <w:t>3.3%</w:t>
            </w:r>
          </w:p>
        </w:tc>
        <w:tc>
          <w:tcPr>
            <w:tcW w:type="dxa" w:w="1944"/>
          </w:tcPr>
          <w:p>
            <w:pPr>
              <w:spacing w:after="20"/>
            </w:pPr>
            <w:r>
              <w:rPr>
                <w:color w:val="1C3A36"/>
                <w:sz w:val="14"/>
              </w:rPr>
              <w:t>the study took the higher value</w:t>
            </w:r>
          </w:p>
        </w:tc>
        <w:tc>
          <w:tcPr>
            <w:tcW w:type="dxa" w:w="3384"/>
          </w:tcPr>
          <w:p>
            <w:pPr>
              <w:spacing w:after="20"/>
            </w:pPr>
            <w:r>
              <w:rPr>
                <w:color w:val="1C3A36"/>
                <w:sz w:val="14"/>
              </w:rPr>
              <w:t>the second half of the current year filing at a margin outside the range the first half and the prior year's halves together bracket.</w:t>
            </w:r>
          </w:p>
        </w:tc>
      </w:tr>
      <w:tr>
        <w:tc>
          <w:tcPr>
            <w:tcW w:type="dxa" w:w="1800"/>
          </w:tcPr>
          <w:p>
            <w:pPr>
              <w:spacing w:after="20"/>
            </w:pPr>
            <w:r>
              <w:rPr>
                <w:color w:val="1C3A36"/>
                <w:sz w:val="14"/>
              </w:rPr>
              <w:t>the ownership percentage applied to the round</w:t>
            </w:r>
          </w:p>
        </w:tc>
        <w:tc>
          <w:tcPr>
            <w:tcW w:type="dxa" w:w="3096"/>
          </w:tcPr>
          <w:p>
            <w:pPr>
              <w:spacing w:after="20"/>
            </w:pPr>
            <w:r>
              <w:rPr>
                <w:color w:val="1C3A36"/>
                <w:sz w:val="14"/>
              </w:rPr>
              <w:t>41.61%, GB Corp's own press release of 9 June 2026 on the transaction the round price comes from</w:t>
            </w:r>
          </w:p>
        </w:tc>
        <w:tc>
          <w:tcPr>
            <w:tcW w:type="dxa" w:w="3096"/>
          </w:tcPr>
          <w:p>
            <w:pPr>
              <w:spacing w:after="20"/>
            </w:pPr>
            <w:r>
              <w:rPr>
                <w:color w:val="1C3A36"/>
                <w:sz w:val="14"/>
              </w:rPr>
              <w:t>42.93%, the figure note 34 to the reviewed 30-June-2026 statements and the review report both give for the same transaction — most likely a different level of the structure, the Dutch holding vehicle rather than the operating group</w:t>
            </w:r>
          </w:p>
        </w:tc>
        <w:tc>
          <w:tcPr>
            <w:tcW w:type="dxa" w:w="792"/>
          </w:tcPr>
          <w:p>
            <w:pPr>
              <w:spacing w:after="20"/>
            </w:pPr>
            <w:r>
              <w:rPr>
                <w:color w:val="1C3A36"/>
                <w:sz w:val="14"/>
              </w:rPr>
              <w:t>1.4%</w:t>
            </w:r>
          </w:p>
        </w:tc>
        <w:tc>
          <w:tcPr>
            <w:tcW w:type="dxa" w:w="1944"/>
          </w:tcPr>
          <w:p>
            <w:pPr>
              <w:spacing w:after="20"/>
            </w:pPr>
            <w:r>
              <w:rPr>
                <w:color w:val="1C3A36"/>
                <w:sz w:val="14"/>
              </w:rPr>
              <w:t>the study took the lower value</w:t>
            </w:r>
          </w:p>
        </w:tc>
        <w:tc>
          <w:tcPr>
            <w:tcW w:type="dxa" w:w="3384"/>
          </w:tcPr>
          <w:p>
            <w:pPr>
              <w:spacing w:after="20"/>
            </w:pPr>
            <w:r>
              <w:rPr>
                <w:color w:val="1C3A36"/>
                <w:sz w:val="14"/>
              </w:rPr>
              <w:t>one filing stating a single percentage for both the Dutch holding vehicle and the operating group, or a transaction naming which of the two the round valued.</w:t>
            </w:r>
          </w:p>
        </w:tc>
      </w:tr>
    </w:tbl>
    <w:p>
      <w:pPr>
        <w:spacing w:after="40"/>
      </w:pPr>
    </w:p>
    <w:p>
      <w:pPr>
        <w:spacing w:after="80" w:before="200"/>
      </w:pPr>
      <w:r>
        <w:rPr>
          <w:b/>
          <w:i w:val="0"/>
          <w:color w:val="1C3A36"/>
          <w:sz w:val="23"/>
        </w:rPr>
        <w:t>The judgement this study does NOT resolve — and why it is not in the table above</w:t>
      </w:r>
    </w:p>
    <w:p>
      <w:pPr>
        <w:spacing w:after="100" w:before="0"/>
      </w:pPr>
      <w:r>
        <w:rPr>
          <w:b w:val="0"/>
          <w:i w:val="0"/>
          <w:color w:val="1C3A36"/>
          <w:sz w:val="19"/>
        </w:rPr>
        <w:t>One fork dominates every other and the study does not take a side on it: the basis on which GB Corp’s interest in MNT-Halan is carried. Both values below are the company’s own disclosures about one holding, and the filings do not choose between them. A sign test measures WHICH WAY a study resolved its forks, so recording an unresolved one in it would manufacture a count in whichever direction the two happened to sit; it is recorded here in full instead.</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224"/>
        <w:gridCol w:w="1224"/>
        <w:gridCol w:w="3744"/>
        <w:gridCol w:w="5544"/>
      </w:tblGrid>
      <w:tr>
        <w:tc>
          <w:tcPr>
            <w:tcW w:type="dxa" w:w="2232"/>
            <w:shd w:val="clear" w:color="auto" w:fill="EAF0EE"/>
          </w:tcPr>
          <w:p>
            <w:pPr>
              <w:spacing w:after="20"/>
            </w:pPr>
            <w:r>
              <w:rPr>
                <w:b/>
                <w:color w:val="1C3A36"/>
                <w:sz w:val="14"/>
              </w:rPr>
              <w:t>Basis</w:t>
            </w:r>
          </w:p>
        </w:tc>
        <w:tc>
          <w:tcPr>
            <w:tcW w:type="dxa" w:w="1224"/>
            <w:shd w:val="clear" w:color="auto" w:fill="EAF0EE"/>
          </w:tcPr>
          <w:p>
            <w:pPr>
              <w:spacing w:after="20"/>
            </w:pPr>
            <w:r>
              <w:rPr>
                <w:b/>
                <w:color w:val="1C3A36"/>
                <w:sz w:val="14"/>
              </w:rPr>
              <w:t>The mark (EGP mn)</w:t>
            </w:r>
          </w:p>
        </w:tc>
        <w:tc>
          <w:tcPr>
            <w:tcW w:type="dxa" w:w="1224"/>
            <w:shd w:val="clear" w:color="auto" w:fill="EAF0EE"/>
          </w:tcPr>
          <w:p>
            <w:pPr>
              <w:spacing w:after="20"/>
            </w:pPr>
            <w:r>
              <w:rPr>
                <w:b/>
                <w:color w:val="1C3A36"/>
                <w:sz w:val="14"/>
              </w:rPr>
              <w:t>Answer (EGP/share)</w:t>
            </w:r>
          </w:p>
        </w:tc>
        <w:tc>
          <w:tcPr>
            <w:tcW w:type="dxa" w:w="3744"/>
            <w:shd w:val="clear" w:color="auto" w:fill="EAF0EE"/>
          </w:tcPr>
          <w:p>
            <w:pPr>
              <w:spacing w:after="20"/>
            </w:pPr>
            <w:r>
              <w:rPr>
                <w:b/>
                <w:color w:val="1C3A36"/>
                <w:sz w:val="14"/>
              </w:rPr>
              <w:t>What it is</w:t>
            </w:r>
          </w:p>
        </w:tc>
        <w:tc>
          <w:tcPr>
            <w:tcW w:type="dxa" w:w="5544"/>
            <w:shd w:val="clear" w:color="auto" w:fill="EAF0EE"/>
          </w:tcPr>
          <w:p>
            <w:pPr>
              <w:spacing w:after="20"/>
            </w:pPr>
            <w:r>
              <w:rPr>
                <w:b/>
                <w:color w:val="1C3A36"/>
                <w:sz w:val="14"/>
              </w:rPr>
              <w:t>What is said against it</w:t>
            </w:r>
          </w:p>
        </w:tc>
      </w:tr>
      <w:tr>
        <w:tc>
          <w:tcPr>
            <w:tcW w:type="dxa" w:w="2232"/>
          </w:tcPr>
          <w:p>
            <w:pPr>
              <w:spacing w:after="20"/>
            </w:pPr>
            <w:r>
              <w:rPr>
                <w:color w:val="1C3A36"/>
                <w:sz w:val="14"/>
              </w:rPr>
              <w:t>MNT-Halan at the June-2026 round price</w:t>
            </w:r>
          </w:p>
        </w:tc>
        <w:tc>
          <w:tcPr>
            <w:tcW w:type="dxa" w:w="1224"/>
          </w:tcPr>
          <w:p>
            <w:pPr>
              <w:spacing w:after="20"/>
            </w:pPr>
            <w:r>
              <w:rPr>
                <w:color w:val="1C3A36"/>
                <w:sz w:val="14"/>
              </w:rPr>
              <w:t>27,670.7</w:t>
            </w:r>
          </w:p>
        </w:tc>
        <w:tc>
          <w:tcPr>
            <w:tcW w:type="dxa" w:w="1224"/>
          </w:tcPr>
          <w:p>
            <w:pPr>
              <w:spacing w:after="20"/>
            </w:pPr>
            <w:r>
              <w:rPr>
                <w:color w:val="1C3A36"/>
                <w:sz w:val="14"/>
              </w:rPr>
              <w:t>56.7795</w:t>
            </w:r>
          </w:p>
        </w:tc>
        <w:tc>
          <w:tcPr>
            <w:tcW w:type="dxa" w:w="3744"/>
          </w:tcPr>
          <w:p>
            <w:pPr>
              <w:spacing w:after="20"/>
            </w:pPr>
            <w:r>
              <w:rPr>
                <w:color w:val="1C3A36"/>
                <w:sz w:val="14"/>
              </w:rPr>
              <w:t>41.61% of the USD 1.4bn primary round completed with Al Ahly Capital Holding, translated at EGP 47.5</w:t>
            </w:r>
          </w:p>
        </w:tc>
        <w:tc>
          <w:tcPr>
            <w:tcW w:type="dxa" w:w="5544"/>
          </w:tcPr>
          <w:p>
            <w:pPr>
              <w:spacing w:after="20"/>
            </w:pPr>
            <w:r>
              <w:rPr>
                <w:color w:val="1C3A36"/>
                <w:sz w:val="14"/>
              </w:rPr>
              <w:t>a primary round's headline valuation prices NEW money with whatever preferences ride with it, and GB Corp holds an ordinary equity-accounted minority in an unlisted company. It is a mark, not a realisable price.</w:t>
            </w:r>
          </w:p>
        </w:tc>
      </w:tr>
      <w:tr>
        <w:tc>
          <w:tcPr>
            <w:tcW w:type="dxa" w:w="2232"/>
          </w:tcPr>
          <w:p>
            <w:pPr>
              <w:spacing w:after="20"/>
            </w:pPr>
            <w:r>
              <w:rPr>
                <w:color w:val="1C3A36"/>
                <w:sz w:val="14"/>
              </w:rPr>
              <w:t>MNT-Halan at its reviewed carrying value</w:t>
            </w:r>
          </w:p>
        </w:tc>
        <w:tc>
          <w:tcPr>
            <w:tcW w:type="dxa" w:w="1224"/>
          </w:tcPr>
          <w:p>
            <w:pPr>
              <w:spacing w:after="20"/>
            </w:pPr>
            <w:r>
              <w:rPr>
                <w:color w:val="1C3A36"/>
                <w:sz w:val="14"/>
              </w:rPr>
              <w:t>15,733.5</w:t>
            </w:r>
          </w:p>
        </w:tc>
        <w:tc>
          <w:tcPr>
            <w:tcW w:type="dxa" w:w="1224"/>
          </w:tcPr>
          <w:p>
            <w:pPr>
              <w:spacing w:after="20"/>
            </w:pPr>
            <w:r>
              <w:rPr>
                <w:color w:val="1C3A36"/>
                <w:sz w:val="14"/>
              </w:rPr>
              <w:t>45.7826</w:t>
            </w:r>
          </w:p>
        </w:tc>
        <w:tc>
          <w:tcPr>
            <w:tcW w:type="dxa" w:w="3744"/>
          </w:tcPr>
          <w:p>
            <w:pPr>
              <w:spacing w:after="20"/>
            </w:pPr>
            <w:r>
              <w:rPr>
                <w:color w:val="1C3A36"/>
                <w:sz w:val="14"/>
              </w:rPr>
              <w:t>note 34 to the reviewed consolidated interim statements at 30 June 2026, EGP 15,733,523 thousand, footing to that balance sheet's own associates line</w:t>
            </w:r>
          </w:p>
        </w:tc>
        <w:tc>
          <w:tcPr>
            <w:tcW w:type="dxa" w:w="5544"/>
          </w:tcPr>
          <w:p>
            <w:pPr>
              <w:spacing w:after="20"/>
            </w:pPr>
            <w:r>
              <w:rPr>
                <w:color w:val="1C3A36"/>
                <w:sz w:val="14"/>
              </w:rPr>
              <w:t>it is an ACCOUNTING measure — cost plus accumulated share of profit plus the revaluation on deconsolidation — and book is a floor rather than a value. AND IT IS ITSELF QUALIFIED: the review conclusion on these statements is qualified precisely here, the reviewers not having been given the associate's own financial statements and being unable to verify the group's EGP 409.9mn share of profit for the period.</w:t>
            </w:r>
          </w:p>
        </w:tc>
      </w:tr>
    </w:tbl>
    <w:p>
      <w:pPr>
        <w:spacing w:after="40"/>
      </w:pPr>
    </w:p>
    <w:p>
      <w:pPr>
        <w:spacing w:after="100" w:before="0"/>
      </w:pPr>
      <w:r>
        <w:rPr>
          <w:b w:val="0"/>
          <w:i w:val="0"/>
          <w:color w:val="1C3A36"/>
          <w:sz w:val="19"/>
        </w:rPr>
        <w:t>The spread between them is EGP 11,937.1 mn, 19.4% of the higher answer. Averaging the two would be a number neither disclosure supports, and a discount standing in for the uncertainty would be a parameter with nothing observable behind it. The uncertainty is in this line and it is published as this line.</w:t>
      </w:r>
    </w:p>
    <w:p>
      <w:pPr>
        <w:spacing w:after="80" w:before="200"/>
      </w:pPr>
      <w:r>
        <w:rPr>
          <w:b/>
          <w:i w:val="0"/>
          <w:color w:val="1C3A36"/>
          <w:sz w:val="23"/>
        </w:rPr>
        <w:t>Named and deliberately NOT priced</w:t>
      </w:r>
    </w:p>
    <w:p>
      <w:pPr>
        <w:spacing w:after="100" w:before="0"/>
      </w:pPr>
      <w:r>
        <w:rPr>
          <w:b w:val="0"/>
          <w:i w:val="0"/>
          <w:color w:val="1C3A36"/>
          <w:sz w:val="19"/>
        </w:rPr>
        <w:t>Three things bear on the answer and carry no number in it. Each is named with the reason a number was not invented for it, because an absence a reader cannot see is the same as an absence nobody noticed.</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3744"/>
        <w:gridCol w:w="4752"/>
        <w:gridCol w:w="2952"/>
      </w:tblGrid>
      <w:tr>
        <w:tc>
          <w:tcPr>
            <w:tcW w:type="dxa" w:w="2520"/>
            <w:shd w:val="clear" w:color="auto" w:fill="EAF0EE"/>
          </w:tcPr>
          <w:p>
            <w:pPr>
              <w:spacing w:after="20"/>
            </w:pPr>
            <w:r>
              <w:rPr>
                <w:b/>
                <w:color w:val="1C3A36"/>
                <w:sz w:val="14"/>
              </w:rPr>
              <w:t>What</w:t>
            </w:r>
          </w:p>
        </w:tc>
        <w:tc>
          <w:tcPr>
            <w:tcW w:type="dxa" w:w="3744"/>
            <w:shd w:val="clear" w:color="auto" w:fill="EAF0EE"/>
          </w:tcPr>
          <w:p>
            <w:pPr>
              <w:spacing w:after="20"/>
            </w:pPr>
            <w:r>
              <w:rPr>
                <w:b/>
                <w:color w:val="1C3A36"/>
                <w:sz w:val="14"/>
              </w:rPr>
              <w:t>What it is</w:t>
            </w:r>
          </w:p>
        </w:tc>
        <w:tc>
          <w:tcPr>
            <w:tcW w:type="dxa" w:w="4752"/>
            <w:shd w:val="clear" w:color="auto" w:fill="EAF0EE"/>
          </w:tcPr>
          <w:p>
            <w:pPr>
              <w:spacing w:after="20"/>
            </w:pPr>
            <w:r>
              <w:rPr>
                <w:b/>
                <w:color w:val="1C3A36"/>
                <w:sz w:val="14"/>
              </w:rPr>
              <w:t>Why it carries no number</w:t>
            </w:r>
          </w:p>
        </w:tc>
        <w:tc>
          <w:tcPr>
            <w:tcW w:type="dxa" w:w="2952"/>
            <w:shd w:val="clear" w:color="auto" w:fill="EAF0EE"/>
          </w:tcPr>
          <w:p>
            <w:pPr>
              <w:spacing w:after="20"/>
            </w:pPr>
            <w:r>
              <w:rPr>
                <w:b/>
                <w:color w:val="1C3A36"/>
                <w:sz w:val="14"/>
              </w:rPr>
              <w:t>Direction if it were priced</w:t>
            </w:r>
          </w:p>
        </w:tc>
      </w:tr>
      <w:tr>
        <w:tc>
          <w:tcPr>
            <w:tcW w:type="dxa" w:w="2520"/>
          </w:tcPr>
          <w:p>
            <w:pPr>
              <w:spacing w:after="20"/>
            </w:pPr>
            <w:r>
              <w:rPr>
                <w:color w:val="1C3A36"/>
                <w:sz w:val="14"/>
              </w:rPr>
              <w:t>the second closing of the MNT-Halan round</w:t>
            </w:r>
          </w:p>
        </w:tc>
        <w:tc>
          <w:tcPr>
            <w:tcW w:type="dxa" w:w="3744"/>
          </w:tcPr>
          <w:p>
            <w:pPr>
              <w:spacing w:after="20"/>
            </w:pPr>
            <w:r>
              <w:rPr>
                <w:color w:val="1C3A36"/>
                <w:sz w:val="14"/>
              </w:rPr>
              <w:t>public reporting describes the June-2026 close as an initial tranche of an ongoing round, with a second closing open</w:t>
            </w:r>
          </w:p>
        </w:tc>
        <w:tc>
          <w:tcPr>
            <w:tcW w:type="dxa" w:w="4752"/>
          </w:tcPr>
          <w:p>
            <w:pPr>
              <w:spacing w:after="20"/>
            </w:pPr>
            <w:r>
              <w:rPr>
                <w:color w:val="1C3A36"/>
                <w:sz w:val="14"/>
              </w:rPr>
              <w:t>size and terms are undisclosed, so neither framing has a number behind it. this house’s rule on missing inputs: stop rather than invent.</w:t>
            </w:r>
          </w:p>
        </w:tc>
        <w:tc>
          <w:tcPr>
            <w:tcW w:type="dxa" w:w="2952"/>
          </w:tcPr>
          <w:p>
            <w:pPr>
              <w:spacing w:after="20"/>
            </w:pPr>
            <w:r>
              <w:rPr>
                <w:color w:val="1C3A36"/>
                <w:sz w:val="14"/>
              </w:rPr>
              <w:t>unknown — a second close could reprice the round either way</w:t>
            </w:r>
          </w:p>
        </w:tc>
      </w:tr>
      <w:tr>
        <w:tc>
          <w:tcPr>
            <w:tcW w:type="dxa" w:w="2520"/>
          </w:tcPr>
          <w:p>
            <w:pPr>
              <w:spacing w:after="20"/>
            </w:pPr>
            <w:r>
              <w:rPr>
                <w:color w:val="1C3A36"/>
                <w:sz w:val="14"/>
              </w:rPr>
              <w:t>the currency the dollar round is translated at</w:t>
            </w:r>
          </w:p>
        </w:tc>
        <w:tc>
          <w:tcPr>
            <w:tcW w:type="dxa" w:w="3744"/>
          </w:tcPr>
          <w:p>
            <w:pPr>
              <w:spacing w:after="20"/>
            </w:pPr>
            <w:r>
              <w:rPr>
                <w:color w:val="1C3A36"/>
                <w:sz w:val="14"/>
              </w:rPr>
              <w:t>the round is translated at the house macro path's own EGP/USD 47.5, the rate at the strike</w:t>
            </w:r>
          </w:p>
        </w:tc>
        <w:tc>
          <w:tcPr>
            <w:tcW w:type="dxa" w:w="4752"/>
          </w:tcPr>
          <w:p>
            <w:pPr>
              <w:spacing w:after="20"/>
            </w:pPr>
            <w:r>
              <w:rPr>
                <w:color w:val="1C3A36"/>
                <w:sz w:val="14"/>
              </w:rPr>
              <w:t>translating at a later rate is a change of strike date rather than an alternative framing of a judgement, and this record prices framings. It is named here so its absence is visible. It moves the ROUND branch only; the carrying branch is a pound figure off a pound balance sheet and does not move with it at all.</w:t>
            </w:r>
          </w:p>
        </w:tc>
        <w:tc>
          <w:tcPr>
            <w:tcW w:type="dxa" w:w="2952"/>
          </w:tcPr>
          <w:p>
            <w:pPr>
              <w:spacing w:after="20"/>
            </w:pPr>
            <w:r>
              <w:rPr>
                <w:color w:val="1C3A36"/>
                <w:sz w:val="14"/>
              </w:rPr>
              <w:t>UP on the round branch if the pound is weaker at a later date, DOWN if stronger; no effect on the carrying branch</w:t>
            </w:r>
          </w:p>
        </w:tc>
      </w:tr>
      <w:tr>
        <w:tc>
          <w:tcPr>
            <w:tcW w:type="dxa" w:w="2520"/>
          </w:tcPr>
          <w:p>
            <w:pPr>
              <w:spacing w:after="20"/>
            </w:pPr>
            <w:r>
              <w:rPr>
                <w:color w:val="1C3A36"/>
                <w:sz w:val="14"/>
              </w:rPr>
              <w:t>the qualification on the reviewers' conclusion</w:t>
            </w:r>
          </w:p>
        </w:tc>
        <w:tc>
          <w:tcPr>
            <w:tcW w:type="dxa" w:w="3744"/>
          </w:tcPr>
          <w:p>
            <w:pPr>
              <w:spacing w:after="20"/>
            </w:pPr>
            <w:r>
              <w:rPr>
                <w:color w:val="1C3A36"/>
                <w:sz w:val="14"/>
              </w:rPr>
              <w:t>the limited-review conclusion on the 30-June-2026 statements is qualified at the associate line itself, the same qualification having stood on the 31-December-2025 audited statements</w:t>
            </w:r>
          </w:p>
        </w:tc>
        <w:tc>
          <w:tcPr>
            <w:tcW w:type="dxa" w:w="4752"/>
          </w:tcPr>
          <w:p>
            <w:pPr>
              <w:spacing w:after="20"/>
            </w:pPr>
            <w:r>
              <w:rPr>
                <w:color w:val="1C3A36"/>
                <w:sz w:val="14"/>
              </w:rPr>
              <w:t>there is no second number to price it against — a qualification says a figure could not be verified, not what it should have been. It is recorded because it is the reason the lower branch is not a safe harbour, which a reader would otherwise assume of a book figure.</w:t>
            </w:r>
          </w:p>
        </w:tc>
        <w:tc>
          <w:tcPr>
            <w:tcW w:type="dxa" w:w="2952"/>
          </w:tcPr>
          <w:p>
            <w:pPr>
              <w:spacing w:after="20"/>
            </w:pPr>
            <w:r>
              <w:rPr>
                <w:color w:val="1C3A36"/>
                <w:sz w:val="14"/>
              </w:rPr>
              <w:t>unknown, and that is the point of a qualification</w:t>
            </w:r>
          </w:p>
        </w:tc>
      </w:tr>
    </w:tbl>
    <w:p>
      <w:pPr>
        <w:spacing w:after="40"/>
      </w:pPr>
    </w:p>
    <w:p>
      <w:pPr>
        <w:spacing w:after="80" w:before="200"/>
      </w:pPr>
      <w:r>
        <w:rPr>
          <w:b/>
          <w:i w:val="0"/>
          <w:color w:val="1C3A36"/>
          <w:sz w:val="23"/>
        </w:rPr>
        <w:t>Constructions the superseded edition carried, and why they are not judgements</w:t>
      </w:r>
    </w:p>
    <w:p>
      <w:pPr>
        <w:spacing w:after="100" w:before="0"/>
      </w:pPr>
      <w:r>
        <w:rPr>
          <w:b w:val="0"/>
          <w:i w:val="0"/>
          <w:color w:val="1C3A36"/>
          <w:sz w:val="19"/>
        </w:rPr>
        <w:t>Four constructions were removed from this study rather than re-argued. They are listed because a removed construction that goes unrecorded looks like a construction that was never there — and because listing them one-sided would be its own distortion: of the three that can still be priced, counting them would add one upward and two downward.</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3888"/>
        <w:gridCol w:w="5184"/>
        <w:gridCol w:w="2736"/>
      </w:tblGrid>
      <w:tr>
        <w:tc>
          <w:tcPr>
            <w:tcW w:type="dxa" w:w="2160"/>
            <w:shd w:val="clear" w:color="auto" w:fill="EAF0EE"/>
          </w:tcPr>
          <w:p>
            <w:pPr>
              <w:spacing w:after="20"/>
            </w:pPr>
            <w:r>
              <w:rPr>
                <w:b/>
                <w:color w:val="1C3A36"/>
                <w:sz w:val="14"/>
              </w:rPr>
              <w:t>What it was</w:t>
            </w:r>
          </w:p>
        </w:tc>
        <w:tc>
          <w:tcPr>
            <w:tcW w:type="dxa" w:w="3888"/>
            <w:shd w:val="clear" w:color="auto" w:fill="EAF0EE"/>
          </w:tcPr>
          <w:p>
            <w:pPr>
              <w:spacing w:after="20"/>
            </w:pPr>
            <w:r>
              <w:rPr>
                <w:b/>
                <w:color w:val="1C3A36"/>
                <w:sz w:val="14"/>
              </w:rPr>
              <w:t>What the superseded edition did</w:t>
            </w:r>
          </w:p>
        </w:tc>
        <w:tc>
          <w:tcPr>
            <w:tcW w:type="dxa" w:w="5184"/>
            <w:shd w:val="clear" w:color="auto" w:fill="EAF0EE"/>
          </w:tcPr>
          <w:p>
            <w:pPr>
              <w:spacing w:after="20"/>
            </w:pPr>
            <w:r>
              <w:rPr>
                <w:b/>
                <w:color w:val="1C3A36"/>
                <w:sz w:val="14"/>
              </w:rPr>
              <w:t>Why it is not an alternative framing</w:t>
            </w:r>
          </w:p>
        </w:tc>
        <w:tc>
          <w:tcPr>
            <w:tcW w:type="dxa" w:w="2736"/>
            <w:shd w:val="clear" w:color="auto" w:fill="EAF0EE"/>
          </w:tcPr>
          <w:p>
            <w:pPr>
              <w:spacing w:after="20"/>
            </w:pPr>
            <w:r>
              <w:rPr>
                <w:b/>
                <w:color w:val="1C3A36"/>
                <w:sz w:val="14"/>
              </w:rPr>
              <w:t>Direction if counted</w:t>
            </w:r>
          </w:p>
        </w:tc>
      </w:tr>
      <w:tr>
        <w:tc>
          <w:tcPr>
            <w:tcW w:type="dxa" w:w="2160"/>
          </w:tcPr>
          <w:p>
            <w:pPr>
              <w:spacing w:after="20"/>
            </w:pPr>
            <w:r>
              <w:rPr>
                <w:color w:val="1C3A36"/>
                <w:sz w:val="14"/>
              </w:rPr>
              <w:t>the four-lens weighted blend</w:t>
            </w:r>
          </w:p>
        </w:tc>
        <w:tc>
          <w:tcPr>
            <w:tcW w:type="dxa" w:w="3888"/>
          </w:tcPr>
          <w:p>
            <w:pPr>
              <w:spacing w:after="20"/>
            </w:pPr>
            <w:r>
              <w:rPr>
                <w:color w:val="1C3A36"/>
                <w:sz w:val="14"/>
              </w:rPr>
              <w:t>the superseded edition published a central weighting the sum of the parts, the undiscounted sum, a relative multiple and a normalised earnings figure at 40/15/20/25</w:t>
            </w:r>
          </w:p>
        </w:tc>
        <w:tc>
          <w:tcPr>
            <w:tcW w:type="dxa" w:w="5184"/>
          </w:tcPr>
          <w:p>
            <w:pPr>
              <w:spacing w:after="20"/>
            </w:pPr>
            <w:r>
              <w:rPr>
                <w:color w:val="1C3A36"/>
                <w:sz w:val="14"/>
              </w:rPr>
              <w:t>retired the typed blend outright — the weights had never cleared any out-of-sample test and two of the four lenses do not touch the largest asset on the page. That is a retired ARCHITECTURE rather than a defensible alternative framing, and pricing it here would launder it back in as a judgement. It is also not priceable under the current model, because one of the lenses it weighted no longer exists.</w:t>
            </w:r>
          </w:p>
        </w:tc>
        <w:tc>
          <w:tcPr>
            <w:tcW w:type="dxa" w:w="2736"/>
          </w:tcPr>
          <w:p>
            <w:pPr>
              <w:spacing w:after="20"/>
            </w:pPr>
            <w:r>
              <w:rPr>
                <w:color w:val="1C3A36"/>
                <w:sz w:val="14"/>
              </w:rPr>
              <w:t>not computable — the model can no longer express it</w:t>
            </w:r>
          </w:p>
        </w:tc>
      </w:tr>
      <w:tr>
        <w:tc>
          <w:tcPr>
            <w:tcW w:type="dxa" w:w="2160"/>
          </w:tcPr>
          <w:p>
            <w:pPr>
              <w:spacing w:after="20"/>
            </w:pPr>
            <w:r>
              <w:rPr>
                <w:color w:val="1C3A36"/>
                <w:sz w:val="14"/>
              </w:rPr>
              <w:t>the normalised-earnings lens</w:t>
            </w:r>
          </w:p>
        </w:tc>
        <w:tc>
          <w:tcPr>
            <w:tcW w:type="dxa" w:w="3888"/>
          </w:tcPr>
          <w:p>
            <w:pPr>
              <w:spacing w:after="20"/>
            </w:pPr>
            <w:r>
              <w:rPr>
                <w:color w:val="1C3A36"/>
                <w:sz w:val="14"/>
              </w:rPr>
              <w:t>the superseded edition carried a mid-cycle group profit capitalised at a through-cycle multiple, at 25% of the blend</w:t>
            </w:r>
          </w:p>
        </w:tc>
        <w:tc>
          <w:tcPr>
            <w:tcW w:type="dxa" w:w="5184"/>
          </w:tcPr>
          <w:p>
            <w:pPr>
              <w:spacing w:after="20"/>
            </w:pPr>
            <w:r>
              <w:rPr>
                <w:color w:val="1C3A36"/>
                <w:sz w:val="14"/>
              </w:rPr>
              <w:t>the class row for an automotive assembler with a captive lender does not carry it, and normalising earnings that swing on associate marks normalises noise. A lens the class does not permit is not an alternative framing of anything.</w:t>
            </w:r>
          </w:p>
        </w:tc>
        <w:tc>
          <w:tcPr>
            <w:tcW w:type="dxa" w:w="2736"/>
          </w:tcPr>
          <w:p>
            <w:pPr>
              <w:spacing w:after="20"/>
            </w:pPr>
            <w:r>
              <w:rPr>
                <w:color w:val="1C3A36"/>
                <w:sz w:val="14"/>
              </w:rPr>
              <w:t>not computable — the lens is gone</w:t>
            </w:r>
          </w:p>
        </w:tc>
      </w:tr>
      <w:tr>
        <w:tc>
          <w:tcPr>
            <w:tcW w:type="dxa" w:w="2160"/>
          </w:tcPr>
          <w:p>
            <w:pPr>
              <w:spacing w:after="20"/>
            </w:pPr>
            <w:r>
              <w:rPr>
                <w:color w:val="1C3A36"/>
                <w:sz w:val="14"/>
              </w:rPr>
              <w:t>the complexity / conglomerate discount</w:t>
            </w:r>
          </w:p>
        </w:tc>
        <w:tc>
          <w:tcPr>
            <w:tcW w:type="dxa" w:w="3888"/>
          </w:tcPr>
          <w:p>
            <w:pPr>
              <w:spacing w:after="20"/>
            </w:pPr>
            <w:r>
              <w:rPr>
                <w:color w:val="1C3A36"/>
                <w:sz w:val="14"/>
              </w:rPr>
              <w:t>the superseded edition deducted a typed 10% from the sum of the parts and then weighted the discounted and undiscounted sums at 0.40 and 0.15, which applies an effective 4%</w:t>
            </w:r>
          </w:p>
        </w:tc>
        <w:tc>
          <w:tcPr>
            <w:tcW w:type="dxa" w:w="5184"/>
          </w:tcPr>
          <w:p>
            <w:pPr>
              <w:spacing w:after="20"/>
            </w:pPr>
            <w:r>
              <w:rPr>
                <w:color w:val="1C3A36"/>
                <w:sz w:val="14"/>
              </w:rPr>
              <w:t>both figures are free parameters with nothing observable behind them and nothing in GB Corp's filings discloses a basis for either, so the this house’s bar on untested parameters forbids them. The old record priced this fork AND the question of where the discount was applied, which is a second judgement built on the first. What the discount was standing in for is now named instead — the uncertainty is in the associate mark and is published as two branches. Counting a removed free parameter as a judgement the study won would add an UPWARD count for a correction, which is exactly the laundering this list exists to refuse.</w:t>
            </w:r>
          </w:p>
        </w:tc>
        <w:tc>
          <w:tcPr>
            <w:tcW w:type="dxa" w:w="2736"/>
          </w:tcPr>
          <w:p>
            <w:pPr>
              <w:spacing w:after="20"/>
            </w:pPr>
            <w:r>
              <w:rPr>
                <w:color w:val="1C3A36"/>
                <w:sz w:val="14"/>
              </w:rPr>
              <w:t>UP, and material: reinstating the 10% would take both branches down by that 10%</w:t>
            </w:r>
          </w:p>
        </w:tc>
      </w:tr>
      <w:tr>
        <w:tc>
          <w:tcPr>
            <w:tcW w:type="dxa" w:w="2160"/>
          </w:tcPr>
          <w:p>
            <w:pPr>
              <w:spacing w:after="20"/>
            </w:pPr>
            <w:r>
              <w:rPr>
                <w:color w:val="1C3A36"/>
                <w:sz w:val="14"/>
              </w:rPr>
              <w:t>GB Capital carried at 1.0x book</w:t>
            </w:r>
          </w:p>
        </w:tc>
        <w:tc>
          <w:tcPr>
            <w:tcW w:type="dxa" w:w="3888"/>
          </w:tcPr>
          <w:p>
            <w:pPr>
              <w:spacing w:after="20"/>
            </w:pPr>
            <w:r>
              <w:rPr>
                <w:color w:val="1C3A36"/>
                <w:sz w:val="14"/>
              </w:rPr>
              <w:t>the superseded edition carried the lender at an adjusted operating book times a multiple of exactly one</w:t>
            </w:r>
          </w:p>
        </w:tc>
        <w:tc>
          <w:tcPr>
            <w:tcW w:type="dxa" w:w="5184"/>
          </w:tcPr>
          <w:p>
            <w:pPr>
              <w:spacing w:after="20"/>
            </w:pPr>
            <w:r>
              <w:rPr>
                <w:color w:val="1C3A36"/>
                <w:sz w:val="14"/>
              </w:rPr>
              <w:t>is explicit that book value is a disclosed FLOOR and is never weighted into an answer, so a leg carried at 1.0x book is book value wearing a sum-of-the-parts entry's clothes. The base was also the company's own adjusted-ROAE denominator, which is justified by earnings that include associate income the sum of the parts then counts AGAIN at the round price — the cash charged twice, in a lender's costume. A prohibited construction is not an alternative framing.</w:t>
            </w:r>
          </w:p>
        </w:tc>
        <w:tc>
          <w:tcPr>
            <w:tcW w:type="dxa" w:w="2736"/>
          </w:tcPr>
          <w:p>
            <w:pPr>
              <w:spacing w:after="20"/>
            </w:pPr>
            <w:r>
              <w:rPr>
                <w:color w:val="1C3A36"/>
                <w:sz w:val="14"/>
              </w:rPr>
              <w:t>DOWN — correcting it CUT this leg. At 1.0x the committed operating book of EGP 6267.3 mn the leg would be worth EGP 4331.8 mn more, EGP 3.99 a share on both branches, so counting it would add a downward count</w:t>
            </w:r>
          </w:p>
        </w:tc>
      </w:tr>
      <w:tr>
        <w:tc>
          <w:tcPr>
            <w:tcW w:type="dxa" w:w="2160"/>
          </w:tcPr>
          <w:p>
            <w:pPr>
              <w:spacing w:after="20"/>
            </w:pPr>
            <w:r>
              <w:rPr>
                <w:color w:val="1C3A36"/>
                <w:sz w:val="14"/>
              </w:rPr>
              <w:t>the terminal growth rate</w:t>
            </w:r>
          </w:p>
        </w:tc>
        <w:tc>
          <w:tcPr>
            <w:tcW w:type="dxa" w:w="3888"/>
          </w:tcPr>
          <w:p>
            <w:pPr>
              <w:spacing w:after="20"/>
            </w:pPr>
            <w:r>
              <w:rPr>
                <w:color w:val="1C3A36"/>
                <w:sz w:val="14"/>
              </w:rPr>
              <w:t>the superseded edition held a typed nominal 11.5% for ever; the rebuild stores growth as a REAL rate on the house Egyptian path and recomputes it to 7.0% nominal</w:t>
            </w:r>
          </w:p>
        </w:tc>
        <w:tc>
          <w:tcPr>
            <w:tcW w:type="dxa" w:w="5184"/>
          </w:tcPr>
          <w:p>
            <w:pPr>
              <w:spacing w:after="20"/>
            </w:pPr>
            <w:r>
              <w:rPr>
                <w:color w:val="1C3A36"/>
                <w:sz w:val="14"/>
              </w:rPr>
              <w:t>this house's standing method forbids a typed nominal rate outright, because nobody can tell whether 11.5% meant inflation plus four points or minus three, and a terminal growth above the inflation inside the terminal discount rate is a perpetual real expansion nothing discloses. An unfalsifiable input is not a defensible framing. IT IS LISTED HERE WITH ITS DIRECTION BECAUSE THIS LIST MUST NOT BE ONE-SIDED: three of the corrections excluded from the signed list are priceable, and if they were counted they would add one upward and two downward.</w:t>
            </w:r>
          </w:p>
        </w:tc>
        <w:tc>
          <w:tcPr>
            <w:tcW w:type="dxa" w:w="2736"/>
          </w:tcPr>
          <w:p>
            <w:pPr>
              <w:spacing w:after="20"/>
            </w:pPr>
            <w:r>
              <w:rPr>
                <w:color w:val="1C3A36"/>
                <w:sz w:val="14"/>
              </w:rPr>
              <w:t>DOWN, and by more than anything in the signed list — the superseded nominal is worth 195% more on the carrying branch</w:t>
            </w:r>
          </w:p>
        </w:tc>
      </w:tr>
    </w:tbl>
    <w:p>
      <w:pPr>
        <w:spacing w:after="40"/>
      </w:pPr>
    </w:p>
    <w:p>
      <w:pPr>
        <w:spacing w:after="100" w:before="0"/>
      </w:pPr>
      <w:r>
        <w:rPr>
          <w:b w:val="0"/>
          <w:i w:val="0"/>
          <w:color w:val="1C3A36"/>
          <w:sz w:val="19"/>
        </w:rPr>
        <w:t>The direction test. A study that resolves every contested fork the same way has a lean whether or not any single choice is wrong, so the directions are counted rather than asserted: of 4 material judgements the study took the higher-value side on 3 and the lower on 1, a two-sided test of 0.625. That is not flagged at the 5% level. It is measured, not claimed, and a study is FLAGGED by it rather than failed — a company can genuinely deserve a consistent read. THE FORK IT DOES NOT COVER IS THE LARGEST IN THE STUDY: the basis of the associate mark is not resolved at all, so it is deliberately outside a test that measures which way forks were resolved.</w:t>
      </w:r>
    </w:p>
    <w:p>
      <w:pPr>
        <w:spacing w:after="100" w:before="0"/>
      </w:pPr>
      <w:r>
        <w:rPr>
          <w:b w:val="0"/>
          <w:i w:val="0"/>
          <w:color w:val="1C3A36"/>
          <w:sz w:val="19"/>
        </w:rPr>
        <w:t>What would overturn each of these is the same shape in every case and it is stated in the study body beside the fork: for the associate mark, a real secondary transaction in that company’s shares at a materially different price, or a second closing repricing the round; for the working-capital glide, the company’s own quarterly prints, which resolve it directly; for the margin path, the next reviewed half against the one this forecast is anchored on; for the cost-of-capital basis, either premium basis being shown to misprice this sovereign, both being published so a reader can switch; and for the construction of the central, the question does not arise, because this edition publishes no blended central at all: one lens is the answer and the others are printed beside it.</w:t>
      </w:r>
    </w:p>
    <w:p>
      <w:r>
        <w:br w:type="page"/>
      </w:r>
    </w:p>
    <w:p>
      <w:pPr>
        <w:spacing w:after="120" w:before="240"/>
      </w:pPr>
      <w:r>
        <w:rPr>
          <w:b/>
          <w:i w:val="0"/>
          <w:color w:val="1C3A36"/>
          <w:sz w:val="30"/>
        </w:rPr>
        <w:t>4  Negative results — what was searched for and not found</w:t>
      </w:r>
    </w:p>
    <w:p>
      <w:pPr>
        <w:spacing w:after="100" w:before="0"/>
      </w:pPr>
      <w:r>
        <w:rPr>
          <w:b w:val="0"/>
          <w:i w:val="0"/>
          <w:color w:val="1C3A36"/>
          <w:sz w:val="19"/>
        </w:rPr>
        <w:t>Recorded because an absence shaped this model as much as the evidence did. Every row is a search that was actually run, with what it established.</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3240"/>
        <w:gridCol w:w="4248"/>
        <w:gridCol w:w="3672"/>
      </w:tblGrid>
      <w:tr>
        <w:tc>
          <w:tcPr>
            <w:tcW w:type="dxa" w:w="2952"/>
            <w:shd w:val="clear" w:color="auto" w:fill="EAF0EE"/>
          </w:tcPr>
          <w:p>
            <w:pPr>
              <w:spacing w:after="20"/>
            </w:pPr>
            <w:r>
              <w:rPr>
                <w:b/>
                <w:color w:val="1C3A36"/>
                <w:sz w:val="15"/>
              </w:rPr>
              <w:t>What was sought</w:t>
            </w:r>
          </w:p>
        </w:tc>
        <w:tc>
          <w:tcPr>
            <w:tcW w:type="dxa" w:w="3240"/>
            <w:shd w:val="clear" w:color="auto" w:fill="EAF0EE"/>
          </w:tcPr>
          <w:p>
            <w:pPr>
              <w:spacing w:after="20"/>
            </w:pPr>
            <w:r>
              <w:rPr>
                <w:b/>
                <w:color w:val="1C3A36"/>
                <w:sz w:val="15"/>
              </w:rPr>
              <w:t>Why it was needed</w:t>
            </w:r>
          </w:p>
        </w:tc>
        <w:tc>
          <w:tcPr>
            <w:tcW w:type="dxa" w:w="4248"/>
            <w:shd w:val="clear" w:color="auto" w:fill="EAF0EE"/>
          </w:tcPr>
          <w:p>
            <w:pPr>
              <w:spacing w:after="20"/>
            </w:pPr>
            <w:r>
              <w:rPr>
                <w:b/>
                <w:color w:val="1C3A36"/>
                <w:sz w:val="15"/>
              </w:rPr>
              <w:t>What was found</w:t>
            </w:r>
          </w:p>
        </w:tc>
        <w:tc>
          <w:tcPr>
            <w:tcW w:type="dxa" w:w="3672"/>
            <w:shd w:val="clear" w:color="auto" w:fill="EAF0EE"/>
          </w:tcPr>
          <w:p>
            <w:pPr>
              <w:spacing w:after="20"/>
            </w:pPr>
            <w:r>
              <w:rPr>
                <w:b/>
                <w:color w:val="1C3A36"/>
                <w:sz w:val="15"/>
              </w:rPr>
              <w:t>What the study did</w:t>
            </w:r>
          </w:p>
        </w:tc>
      </w:tr>
      <w:tr>
        <w:tc>
          <w:tcPr>
            <w:tcW w:type="dxa" w:w="2952"/>
          </w:tcPr>
          <w:p>
            <w:pPr>
              <w:spacing w:after="20"/>
            </w:pPr>
            <w:r>
              <w:rPr>
                <w:color w:val="1C3A36"/>
                <w:sz w:val="15"/>
              </w:rPr>
              <w:t>A disclosed useful life for the operating asset base</w:t>
            </w:r>
          </w:p>
        </w:tc>
        <w:tc>
          <w:tcPr>
            <w:tcW w:type="dxa" w:w="3240"/>
          </w:tcPr>
          <w:p>
            <w:pPr>
              <w:spacing w:after="20"/>
            </w:pPr>
            <w:r>
              <w:rPr>
                <w:color w:val="1C3A36"/>
                <w:sz w:val="15"/>
              </w:rPr>
              <w:t>The house standard builds a terminal on a disclosed life; a life this desk chooses is not a disclosed life</w:t>
            </w:r>
          </w:p>
        </w:tc>
        <w:tc>
          <w:tcPr>
            <w:tcW w:type="dxa" w:w="4248"/>
          </w:tcPr>
          <w:p>
            <w:pPr>
              <w:spacing w:after="20"/>
            </w:pPr>
            <w:r>
              <w:rPr>
                <w:color w:val="1C3A36"/>
                <w:sz w:val="15"/>
              </w:rPr>
              <w:t>NO USABLE LIFE COULD BE SOURCED. Both admissible routes were run and both failed, for different reasons. The terminal therefore STAYS on this house’s list of unfinished business with this file as its reason, and no life was chosen.</w:t>
            </w:r>
          </w:p>
        </w:tc>
        <w:tc>
          <w:tcPr>
            <w:tcW w:type="dxa" w:w="3672"/>
          </w:tcPr>
          <w:p>
            <w:pPr>
              <w:spacing w:after="20"/>
            </w:pPr>
            <w:r>
              <w:rPr>
                <w:color w:val="1C3A36"/>
                <w:sz w:val="15"/>
              </w:rPr>
              <w:t>No life was chosen. The terminal is carried on the construction the study describes and the refusal is printed in the study body rather than resolved by inventing a figure.</w:t>
            </w:r>
          </w:p>
        </w:tc>
      </w:tr>
      <w:tr>
        <w:tc>
          <w:tcPr>
            <w:tcW w:type="dxa" w:w="2952"/>
          </w:tcPr>
          <w:p>
            <w:pPr>
              <w:spacing w:after="20"/>
            </w:pPr>
            <w:r>
              <w:rPr>
                <w:color w:val="1C3A36"/>
                <w:sz w:val="15"/>
              </w:rPr>
              <w:t>Audited statements for the two earliest years of the intended window</w:t>
            </w:r>
          </w:p>
        </w:tc>
        <w:tc>
          <w:tcPr>
            <w:tcW w:type="dxa" w:w="3240"/>
          </w:tcPr>
          <w:p>
            <w:pPr>
              <w:spacing w:after="20"/>
            </w:pPr>
            <w:r>
              <w:rPr>
                <w:color w:val="1C3A36"/>
                <w:sz w:val="15"/>
              </w:rPr>
              <w:t>The study targets as long a run of sourceable history as the filings support</w:t>
            </w:r>
          </w:p>
        </w:tc>
        <w:tc>
          <w:tcPr>
            <w:tcW w:type="dxa" w:w="4248"/>
          </w:tcPr>
          <w:p>
            <w:pPr>
              <w:spacing w:after="20"/>
            </w:pPr>
            <w:r>
              <w:rPr>
                <w:color w:val="1C3A36"/>
                <w:sz w:val="15"/>
              </w:rPr>
              <w:t>The company’s own filings index does not reach those years, and the annual reports for them lay the statements out in a split form the text layer cannot attach to labels</w:t>
            </w:r>
          </w:p>
        </w:tc>
        <w:tc>
          <w:tcPr>
            <w:tcW w:type="dxa" w:w="3672"/>
          </w:tcPr>
          <w:p>
            <w:pPr>
              <w:spacing w:after="20"/>
            </w:pPr>
            <w:r>
              <w:rPr>
                <w:color w:val="1C3A36"/>
                <w:sz w:val="15"/>
              </w:rPr>
              <w:t>The affected balance-sheet items are recorded as MISSING with that reason, beside the figures they sit among, and never estimated.</w:t>
            </w:r>
          </w:p>
        </w:tc>
      </w:tr>
      <w:tr>
        <w:tc>
          <w:tcPr>
            <w:tcW w:type="dxa" w:w="2952"/>
          </w:tcPr>
          <w:p>
            <w:pPr>
              <w:spacing w:after="20"/>
            </w:pPr>
            <w:r>
              <w:rPr>
                <w:color w:val="1C3A36"/>
                <w:sz w:val="15"/>
              </w:rPr>
              <w:t>A usable beta from the first regression attempted on this name</w:t>
            </w:r>
          </w:p>
        </w:tc>
        <w:tc>
          <w:tcPr>
            <w:tcW w:type="dxa" w:w="3240"/>
          </w:tcPr>
          <w:p>
            <w:pPr>
              <w:spacing w:after="20"/>
            </w:pPr>
            <w:r>
              <w:rPr>
                <w:color w:val="1C3A36"/>
                <w:sz w:val="15"/>
              </w:rPr>
              <w:t>Every study needs the stock’s own beta against the published index of its exchange</w:t>
            </w:r>
          </w:p>
        </w:tc>
        <w:tc>
          <w:tcPr>
            <w:tcW w:type="dxa" w:w="4248"/>
          </w:tcPr>
          <w:p>
            <w:pPr>
              <w:spacing w:after="20"/>
            </w:pPr>
            <w:r>
              <w:rPr>
                <w:color w:val="1C3A36"/>
                <w:sz w:val="15"/>
              </w:rPr>
              <w:t>The first attempt used five annual observations and returned a negative slope with essentially no explanatory power — unusable, and correctly refused</w:t>
            </w:r>
          </w:p>
        </w:tc>
        <w:tc>
          <w:tcPr>
            <w:tcW w:type="dxa" w:w="3672"/>
          </w:tcPr>
          <w:p>
            <w:pPr>
              <w:spacing w:after="20"/>
            </w:pPr>
            <w:r>
              <w:rPr>
                <w:color w:val="1C3A36"/>
                <w:sz w:val="15"/>
              </w:rPr>
              <w:t>The study fell back to the house default at the time. A conforming weekly regression has since been produced and is what this edition adopts; the superseded figure is recorded beside it rather than deleted.</w:t>
            </w:r>
          </w:p>
        </w:tc>
      </w:tr>
      <w:tr>
        <w:tc>
          <w:tcPr>
            <w:tcW w:type="dxa" w:w="2952"/>
          </w:tcPr>
          <w:p>
            <w:pPr>
              <w:spacing w:after="20"/>
            </w:pPr>
            <w:r>
              <w:rPr>
                <w:color w:val="1C3A36"/>
                <w:sz w:val="15"/>
              </w:rPr>
              <w:t>A sourced split of passenger-car revenue between the domestic and regional markets for the reviewed half</w:t>
            </w:r>
          </w:p>
        </w:tc>
        <w:tc>
          <w:tcPr>
            <w:tcW w:type="dxa" w:w="3240"/>
          </w:tcPr>
          <w:p>
            <w:pPr>
              <w:spacing w:after="20"/>
            </w:pPr>
            <w:r>
              <w:rPr>
                <w:color w:val="1C3A36"/>
                <w:sz w:val="15"/>
              </w:rPr>
              <w:t>The regional exposure is named as a risk and a reader is entitled to its size</w:t>
            </w:r>
          </w:p>
        </w:tc>
        <w:tc>
          <w:tcPr>
            <w:tcW w:type="dxa" w:w="4248"/>
          </w:tcPr>
          <w:p>
            <w:pPr>
              <w:spacing w:after="20"/>
            </w:pPr>
            <w:r>
              <w:rPr>
                <w:color w:val="1C3A36"/>
                <w:sz w:val="15"/>
              </w:rPr>
              <w:t>Not disclosed in the documents this study holds for that period</w:t>
            </w:r>
          </w:p>
        </w:tc>
        <w:tc>
          <w:tcPr>
            <w:tcW w:type="dxa" w:w="3672"/>
          </w:tcPr>
          <w:p>
            <w:pPr>
              <w:spacing w:after="20"/>
            </w:pPr>
            <w:r>
              <w:rPr>
                <w:color w:val="1C3A36"/>
                <w:sz w:val="15"/>
              </w:rPr>
              <w:t>The exposure is NAMED and NOT PRICED. No split was estimated.</w:t>
            </w:r>
          </w:p>
        </w:tc>
      </w:tr>
      <w:tr>
        <w:tc>
          <w:tcPr>
            <w:tcW w:type="dxa" w:w="2952"/>
          </w:tcPr>
          <w:p>
            <w:pPr>
              <w:spacing w:after="20"/>
            </w:pPr>
            <w:r>
              <w:rPr>
                <w:color w:val="1C3A36"/>
                <w:sz w:val="15"/>
              </w:rPr>
              <w:t>The company’s own audited statements for the associate that dominates this valuation</w:t>
            </w:r>
          </w:p>
        </w:tc>
        <w:tc>
          <w:tcPr>
            <w:tcW w:type="dxa" w:w="3240"/>
          </w:tcPr>
          <w:p>
            <w:pPr>
              <w:spacing w:after="20"/>
            </w:pPr>
            <w:r>
              <w:rPr>
                <w:color w:val="1C3A36"/>
                <w:sz w:val="15"/>
              </w:rPr>
              <w:t>That associate carries most of the equity value in the primary lens, on either basis</w:t>
            </w:r>
          </w:p>
        </w:tc>
        <w:tc>
          <w:tcPr>
            <w:tcW w:type="dxa" w:w="4248"/>
          </w:tcPr>
          <w:p>
            <w:pPr>
              <w:spacing w:after="20"/>
            </w:pPr>
            <w:r>
              <w:rPr>
                <w:color w:val="1C3A36"/>
                <w:sz w:val="15"/>
              </w:rPr>
              <w:t>NOT AVAILABLE TO THE REVIEWERS EITHER, in both of the most recent periods. The limited review of the 30 June 2026 statements reaches a QUALIFIED conclusion at this line — the reviewers were not provided with that company’s statements and were unable to verify the group’s EGP 409.9 mn share of its profits for the period — and the same qualification stood on the 31 December 2025 audited statements</w:t>
            </w:r>
          </w:p>
        </w:tc>
        <w:tc>
          <w:tcPr>
            <w:tcW w:type="dxa" w:w="3672"/>
          </w:tcPr>
          <w:p>
            <w:pPr>
              <w:spacing w:after="20"/>
            </w:pPr>
            <w:r>
              <w:rPr>
                <w:color w:val="1C3A36"/>
                <w:sz w:val="15"/>
              </w:rPr>
              <w:t>Disclosed in this register, in the study’s caveats and in its disclosure section. It is the reason the LOWER of the two published answers is not treated as a safe harbour, and the strongest available argument for discounting both marks.</w:t>
            </w:r>
          </w:p>
        </w:tc>
      </w:tr>
      <w:tr>
        <w:tc>
          <w:tcPr>
            <w:tcW w:type="dxa" w:w="2952"/>
          </w:tcPr>
          <w:p>
            <w:pPr>
              <w:spacing w:after="20"/>
            </w:pPr>
            <w:r>
              <w:rPr>
                <w:color w:val="1C3A36"/>
                <w:sz w:val="15"/>
              </w:rPr>
              <w:t>One ownership percentage for the MNT-Halan transaction</w:t>
            </w:r>
          </w:p>
        </w:tc>
        <w:tc>
          <w:tcPr>
            <w:tcW w:type="dxa" w:w="3240"/>
          </w:tcPr>
          <w:p>
            <w:pPr>
              <w:spacing w:after="20"/>
            </w:pPr>
            <w:r>
              <w:rPr>
                <w:color w:val="1C3A36"/>
                <w:sz w:val="15"/>
              </w:rPr>
              <w:t>The higher of the two answers applies a percentage to a round price, so the percentage is a direct multiplier on the largest line in the study</w:t>
            </w:r>
          </w:p>
        </w:tc>
        <w:tc>
          <w:tcPr>
            <w:tcW w:type="dxa" w:w="4248"/>
          </w:tcPr>
          <w:p>
            <w:pPr>
              <w:spacing w:after="20"/>
            </w:pPr>
            <w:r>
              <w:rPr>
                <w:color w:val="1C3A36"/>
                <w:sz w:val="15"/>
              </w:rPr>
              <w:t>THERE ARE TWO, AND BOTH ARE THE COMPANY’S OWN. The press release of 9 June 2026 gives 41.61% from 42.58%; note 34 to the reviewed 30 June 2026 statements and the review report both give 42.93% from 44.01% for the same transaction — most likely a different level of the structure, the intermediate holding vehicle rather than the operating group</w:t>
            </w:r>
          </w:p>
        </w:tc>
        <w:tc>
          <w:tcPr>
            <w:tcW w:type="dxa" w:w="3672"/>
          </w:tcPr>
          <w:p>
            <w:pPr>
              <w:spacing w:after="20"/>
            </w:pPr>
            <w:r>
              <w:rPr>
                <w:color w:val="1C3A36"/>
                <w:sz w:val="15"/>
              </w:rPr>
              <w:t>The study adopts the press release’s figure, because it is the one the round it is applied to was announced with, and PRINTS THE OTHER in the body rather than leaving it out. The difference is worth a little over one and a half per cent of the round-price answer and nothing at all on the other.</w:t>
            </w:r>
          </w:p>
        </w:tc>
      </w:tr>
    </w:tbl>
    <w:p>
      <w:pPr>
        <w:spacing w:after="40"/>
      </w:pPr>
    </w:p>
    <w:p>
      <w:r>
        <w:br w:type="page"/>
      </w:r>
    </w:p>
    <w:p>
      <w:pPr>
        <w:spacing w:after="120" w:before="240"/>
      </w:pPr>
      <w:r>
        <w:rPr>
          <w:b/>
          <w:i w:val="0"/>
          <w:color w:val="1C3A36"/>
          <w:sz w:val="30"/>
        </w:rPr>
        <w:t>5  Figures that are DERIVED rather than sourced</w:t>
      </w:r>
    </w:p>
    <w:p>
      <w:pPr>
        <w:spacing w:after="100" w:before="0"/>
      </w:pPr>
      <w:r>
        <w:rPr>
          <w:b w:val="0"/>
          <w:i w:val="0"/>
          <w:color w:val="1C3A36"/>
          <w:sz w:val="19"/>
        </w:rPr>
        <w:t>These appear in no source. They are computed, and the method is given so a reader can reproduce or reject each one.</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0512"/>
      </w:tblGrid>
      <w:tr>
        <w:tc>
          <w:tcPr>
            <w:tcW w:type="dxa" w:w="3456"/>
            <w:shd w:val="clear" w:color="auto" w:fill="EAF0EE"/>
          </w:tcPr>
          <w:p>
            <w:pPr>
              <w:spacing w:after="20"/>
            </w:pPr>
            <w:r>
              <w:rPr>
                <w:b/>
                <w:color w:val="1C3A36"/>
                <w:sz w:val="16"/>
              </w:rPr>
              <w:t>Figure</w:t>
            </w:r>
          </w:p>
        </w:tc>
        <w:tc>
          <w:tcPr>
            <w:tcW w:type="dxa" w:w="10512"/>
            <w:shd w:val="clear" w:color="auto" w:fill="EAF0EE"/>
          </w:tcPr>
          <w:p>
            <w:pPr>
              <w:spacing w:after="20"/>
            </w:pPr>
            <w:r>
              <w:rPr>
                <w:b/>
                <w:color w:val="1C3A36"/>
                <w:sz w:val="16"/>
              </w:rPr>
              <w:t>How it was derived</w:t>
            </w:r>
          </w:p>
        </w:tc>
      </w:tr>
      <w:tr>
        <w:tc>
          <w:tcPr>
            <w:tcW w:type="dxa" w:w="3456"/>
          </w:tcPr>
          <w:p>
            <w:pPr>
              <w:spacing w:after="20"/>
            </w:pPr>
            <w:r>
              <w:rPr>
                <w:color w:val="1C3A36"/>
                <w:sz w:val="16"/>
              </w:rPr>
              <w:t>The equity beta — 0.8907</w:t>
            </w:r>
          </w:p>
        </w:tc>
        <w:tc>
          <w:tcPr>
            <w:tcW w:type="dxa" w:w="10512"/>
          </w:tcPr>
          <w:p>
            <w:pPr>
              <w:spacing w:after="20"/>
            </w:pPr>
            <w:r>
              <w:rPr>
                <w:color w:val="1C3A36"/>
                <w:sz w:val="16"/>
              </w:rPr>
              <w:t>A weekly regression of the shares against the published EGX30 index of the exchange the stock is listed on, over 4.85 years to 2026-07-16, on 251 observations, with an R-squared of 0.243 and a standard error of 0.2041. It clears the minimum sample, explanatory power and precision this house requires before a regression beta may be used at all. A cross-check estimator gives 0.9271. The index series used is the published EGX30, and the copy this study regressed against carries its own as-of date of 2026-07-22.</w:t>
            </w:r>
          </w:p>
        </w:tc>
      </w:tr>
      <w:tr>
        <w:tc>
          <w:tcPr>
            <w:tcW w:type="dxa" w:w="3456"/>
          </w:tcPr>
          <w:p>
            <w:pPr>
              <w:spacing w:after="20"/>
            </w:pPr>
            <w:r>
              <w:rPr>
                <w:color w:val="1C3A36"/>
                <w:sz w:val="16"/>
              </w:rPr>
              <w:t>The normalised risk-free rate — 19.59%</w:t>
            </w:r>
          </w:p>
        </w:tc>
        <w:tc>
          <w:tcPr>
            <w:tcW w:type="dxa" w:w="10512"/>
          </w:tcPr>
          <w:p>
            <w:pPr>
              <w:spacing w:after="20"/>
            </w:pPr>
            <w:r>
              <w:rPr>
                <w:color w:val="1C3A36"/>
                <w:sz w:val="16"/>
              </w:rPr>
              <w:t>The observed local-currency government bond yield of 23.00% less this sovereign’s own default spread of 3.41%. Country risk then enters exactly once, inside the equity risk premium, rather than twice.</w:t>
            </w:r>
          </w:p>
        </w:tc>
      </w:tr>
      <w:tr>
        <w:tc>
          <w:tcPr>
            <w:tcW w:type="dxa" w:w="3456"/>
          </w:tcPr>
          <w:p>
            <w:pPr>
              <w:spacing w:after="20"/>
            </w:pPr>
            <w:r>
              <w:rPr>
                <w:color w:val="1C3A36"/>
                <w:sz w:val="16"/>
              </w:rPr>
              <w:t>Terminal growth — 7.00% nominal</w:t>
            </w:r>
          </w:p>
        </w:tc>
        <w:tc>
          <w:tcPr>
            <w:tcW w:type="dxa" w:w="10512"/>
          </w:tcPr>
          <w:p>
            <w:pPr>
              <w:spacing w:after="20"/>
            </w:pPr>
            <w:r>
              <w:rPr>
                <w:color w:val="1C3A36"/>
                <w:sz w:val="16"/>
              </w:rPr>
              <w:t>STORED as a real rate of 0.0% on the house inflation path for this market and recomputed to its nominal figure against a terminal inflation of 7.00%. A typed nominal rate is unfalsifiable: nobody can tell whether it meant inflation plus a few points or minus several.</w:t>
            </w:r>
          </w:p>
        </w:tc>
      </w:tr>
      <w:tr>
        <w:tc>
          <w:tcPr>
            <w:tcW w:type="dxa" w:w="3456"/>
          </w:tcPr>
          <w:p>
            <w:pPr>
              <w:spacing w:after="20"/>
            </w:pPr>
            <w:r>
              <w:rPr>
                <w:color w:val="1C3A36"/>
                <w:sz w:val="16"/>
              </w:rPr>
              <w:t>The cost-of-capital schedule</w:t>
            </w:r>
          </w:p>
        </w:tc>
        <w:tc>
          <w:tcPr>
            <w:tcW w:type="dxa" w:w="10512"/>
          </w:tcPr>
          <w:p>
            <w:pPr>
              <w:spacing w:after="20"/>
            </w:pPr>
            <w:r>
              <w:rPr>
                <w:color w:val="1C3A36"/>
                <w:sz w:val="16"/>
              </w:rPr>
              <w:t>One forward rate per explicit year, gliding from 23.12% in the first forecast year to a norm-built terminal of 13.45%, with the terminal brought home on the same cumulative factor as the last explicit year — one date, one price of time. The glide fractions are the policy-rate path’s own cumulative progress rather than a second free parameter.</w:t>
            </w:r>
          </w:p>
        </w:tc>
      </w:tr>
      <w:tr>
        <w:tc>
          <w:tcPr>
            <w:tcW w:type="dxa" w:w="3456"/>
          </w:tcPr>
          <w:p>
            <w:pPr>
              <w:spacing w:after="20"/>
            </w:pPr>
            <w:r>
              <w:rPr>
                <w:color w:val="1C3A36"/>
                <w:sz w:val="16"/>
              </w:rPr>
              <w:t>The passenger-car selling price per unit</w:t>
            </w:r>
          </w:p>
        </w:tc>
        <w:tc>
          <w:tcPr>
            <w:tcW w:type="dxa" w:w="10512"/>
          </w:tcPr>
          <w:p>
            <w:pPr>
              <w:spacing w:after="20"/>
            </w:pPr>
            <w:r>
              <w:rPr>
                <w:color w:val="1C3A36"/>
                <w:sz w:val="16"/>
              </w:rPr>
              <w:t>Disclosed revenue for the line divided by the disclosed volume for the same line and year, so it is arithmetic on two published figures rather than an assumption. It reproduces the reported line exactly in every disclosed year.</w:t>
            </w:r>
          </w:p>
        </w:tc>
      </w:tr>
      <w:tr>
        <w:tc>
          <w:tcPr>
            <w:tcW w:type="dxa" w:w="3456"/>
          </w:tcPr>
          <w:p>
            <w:pPr>
              <w:spacing w:after="20"/>
            </w:pPr>
            <w:r>
              <w:rPr>
                <w:color w:val="1C3A36"/>
                <w:sz w:val="16"/>
              </w:rPr>
              <w:t>The far-year forecast ranges</w:t>
            </w:r>
          </w:p>
        </w:tc>
        <w:tc>
          <w:tcPr>
            <w:tcW w:type="dxa" w:w="10512"/>
          </w:tcPr>
          <w:p>
            <w:pPr>
              <w:spacing w:after="20"/>
            </w:pPr>
            <w:r>
              <w:rPr>
                <w:color w:val="1C3A36"/>
                <w:sz w:val="16"/>
              </w:rPr>
              <w:t>The full span of the observed errors this method made at that horizon on this company’s own history, applied by multiplying the point projection. THE ORIENTATION IS ACTUAL OVER FORECAST, so a band above one is a year the method came in low; a band the other way up would move a forecast in the wrong direction and the two are never assumed. The bounds are a span of past readings rather than a percentile, and the observation count is printed beside every band in the study, because a span of a handful of readings is not a percentile and this study does not call it one.</w:t>
            </w:r>
          </w:p>
        </w:tc>
      </w:tr>
    </w:tbl>
    <w:p>
      <w:pPr>
        <w:spacing w:after="40"/>
      </w:pPr>
    </w:p>
    <w:p>
      <w:pPr>
        <w:spacing w:after="120" w:before="240"/>
      </w:pPr>
      <w:r>
        <w:rPr>
          <w:b/>
          <w:i w:val="0"/>
          <w:color w:val="1C3A36"/>
          <w:sz w:val="30"/>
        </w:rPr>
        <w:t>6  Aggregator discrepancies and figures deliberately not used</w:t>
      </w:r>
    </w:p>
    <w:p>
      <w:pPr>
        <w:spacing w:after="100" w:before="0"/>
      </w:pPr>
      <w:r>
        <w:rPr>
          <w:b w:val="0"/>
          <w:i w:val="0"/>
          <w:color w:val="1C3A36"/>
          <w:sz w:val="19"/>
        </w:rPr>
        <w:t>Where a third-party figure was seen and rejected, it is recorded here rather than left to a reader to wonder about.</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5112"/>
        <w:gridCol w:w="6192"/>
      </w:tblGrid>
      <w:tr>
        <w:tc>
          <w:tcPr>
            <w:tcW w:type="dxa" w:w="2664"/>
            <w:shd w:val="clear" w:color="auto" w:fill="EAF0EE"/>
          </w:tcPr>
          <w:p>
            <w:pPr>
              <w:spacing w:after="20"/>
            </w:pPr>
            <w:r>
              <w:rPr>
                <w:b/>
                <w:color w:val="1C3A36"/>
                <w:sz w:val="15"/>
              </w:rPr>
              <w:t>Figure</w:t>
            </w:r>
          </w:p>
        </w:tc>
        <w:tc>
          <w:tcPr>
            <w:tcW w:type="dxa" w:w="5112"/>
            <w:shd w:val="clear" w:color="auto" w:fill="EAF0EE"/>
          </w:tcPr>
          <w:p>
            <w:pPr>
              <w:spacing w:after="20"/>
            </w:pPr>
            <w:r>
              <w:rPr>
                <w:b/>
                <w:color w:val="1C3A36"/>
                <w:sz w:val="15"/>
              </w:rPr>
              <w:t>What a third party carried</w:t>
            </w:r>
          </w:p>
        </w:tc>
        <w:tc>
          <w:tcPr>
            <w:tcW w:type="dxa" w:w="6192"/>
            <w:shd w:val="clear" w:color="auto" w:fill="EAF0EE"/>
          </w:tcPr>
          <w:p>
            <w:pPr>
              <w:spacing w:after="20"/>
            </w:pPr>
            <w:r>
              <w:rPr>
                <w:b/>
                <w:color w:val="1C3A36"/>
                <w:sz w:val="15"/>
              </w:rPr>
              <w:t>What this study uses, and why</w:t>
            </w:r>
          </w:p>
        </w:tc>
      </w:tr>
      <w:tr>
        <w:tc>
          <w:tcPr>
            <w:tcW w:type="dxa" w:w="2664"/>
          </w:tcPr>
          <w:p>
            <w:pPr>
              <w:spacing w:after="20"/>
            </w:pPr>
            <w:r>
              <w:rPr>
                <w:color w:val="1C3A36"/>
                <w:sz w:val="15"/>
              </w:rPr>
              <w:t>The company’s own reported historicals</w:t>
            </w:r>
          </w:p>
        </w:tc>
        <w:tc>
          <w:tcPr>
            <w:tcW w:type="dxa" w:w="5112"/>
          </w:tcPr>
          <w:p>
            <w:pPr>
              <w:spacing w:after="20"/>
            </w:pPr>
            <w:r>
              <w:rPr>
                <w:color w:val="1C3A36"/>
                <w:sz w:val="15"/>
              </w:rPr>
              <w:t>Aggregator restatements of revenue, profit and balance-sheet lines circulate for this name and differ in classification from the filings</w:t>
            </w:r>
          </w:p>
        </w:tc>
        <w:tc>
          <w:tcPr>
            <w:tcW w:type="dxa" w:w="6192"/>
          </w:tcPr>
          <w:p>
            <w:pPr>
              <w:spacing w:after="20"/>
            </w:pPr>
            <w:r>
              <w:rPr>
                <w:color w:val="1C3A36"/>
                <w:sz w:val="15"/>
              </w:rPr>
              <w:t>NONE of them is used. Every reported figure in this study comes from a document the company published itself, which is a requirement rather than a preference. Where an aggregator and a filing disagree, the filing is right by definition of what is being measured.</w:t>
            </w:r>
          </w:p>
        </w:tc>
      </w:tr>
      <w:tr>
        <w:tc>
          <w:tcPr>
            <w:tcW w:type="dxa" w:w="2664"/>
          </w:tcPr>
          <w:p>
            <w:pPr>
              <w:spacing w:after="20"/>
            </w:pPr>
            <w:r>
              <w:rPr>
                <w:color w:val="1C3A36"/>
                <w:sz w:val="15"/>
              </w:rPr>
              <w:t>The equity beta</w:t>
            </w:r>
          </w:p>
        </w:tc>
        <w:tc>
          <w:tcPr>
            <w:tcW w:type="dxa" w:w="5112"/>
          </w:tcPr>
          <w:p>
            <w:pPr>
              <w:spacing w:after="20"/>
            </w:pPr>
            <w:r>
              <w:rPr>
                <w:color w:val="1C3A36"/>
                <w:sz w:val="15"/>
              </w:rPr>
              <w:t>A five-annual-observation estimate returning a negative slope with essentially no explanatory power</w:t>
            </w:r>
          </w:p>
        </w:tc>
        <w:tc>
          <w:tcPr>
            <w:tcW w:type="dxa" w:w="6192"/>
          </w:tcPr>
          <w:p>
            <w:pPr>
              <w:spacing w:after="20"/>
            </w:pPr>
            <w:r>
              <w:rPr>
                <w:color w:val="1C3A36"/>
                <w:sz w:val="15"/>
              </w:rPr>
              <w:t>Refused as unusable. The weekly regression in section 5 is what this edition adopts, and the superseded figure of 1 is recorded beside it rather than deleted.</w:t>
            </w:r>
          </w:p>
        </w:tc>
      </w:tr>
      <w:tr>
        <w:tc>
          <w:tcPr>
            <w:tcW w:type="dxa" w:w="2664"/>
          </w:tcPr>
          <w:p>
            <w:pPr>
              <w:spacing w:after="20"/>
            </w:pPr>
            <w:r>
              <w:rPr>
                <w:color w:val="1C3A36"/>
                <w:sz w:val="15"/>
              </w:rPr>
              <w:t>The associate stake percentage</w:t>
            </w:r>
          </w:p>
        </w:tc>
        <w:tc>
          <w:tcPr>
            <w:tcW w:type="dxa" w:w="5112"/>
          </w:tcPr>
          <w:p>
            <w:pPr>
              <w:spacing w:after="20"/>
            </w:pPr>
            <w:r>
              <w:rPr>
                <w:color w:val="1C3A36"/>
                <w:sz w:val="15"/>
              </w:rPr>
              <w:t>An estimate of roughly a fifth circulated in an early draft of this study, and the pre-transaction figure of 42.58% was carried for a period afterwards</w:t>
            </w:r>
          </w:p>
        </w:tc>
        <w:tc>
          <w:tcPr>
            <w:tcW w:type="dxa" w:w="6192"/>
          </w:tcPr>
          <w:p>
            <w:pPr>
              <w:spacing w:after="20"/>
            </w:pPr>
            <w:r>
              <w:rPr>
                <w:color w:val="1C3A36"/>
                <w:sz w:val="15"/>
              </w:rPr>
              <w:t>Neither is used. The company states the current figure directly in its own release, and that is what the study applies; the superseded figures are printed in the study body so a reader can see what changed.</w:t>
            </w:r>
          </w:p>
        </w:tc>
      </w:tr>
      <w:tr>
        <w:tc>
          <w:tcPr>
            <w:tcW w:type="dxa" w:w="2664"/>
          </w:tcPr>
          <w:p>
            <w:pPr>
              <w:spacing w:after="20"/>
            </w:pPr>
            <w:r>
              <w:rPr>
                <w:color w:val="1C3A36"/>
                <w:sz w:val="15"/>
              </w:rPr>
              <w:t>The exchange rate applied to the associate mark</w:t>
            </w:r>
          </w:p>
        </w:tc>
        <w:tc>
          <w:tcPr>
            <w:tcW w:type="dxa" w:w="5112"/>
          </w:tcPr>
          <w:p>
            <w:pPr>
              <w:spacing w:after="20"/>
            </w:pPr>
            <w:r>
              <w:rPr>
                <w:color w:val="1C3A36"/>
                <w:sz w:val="15"/>
              </w:rPr>
              <w:t>Quoted rates for the period differ by source and by whether they are official or parallel</w:t>
            </w:r>
          </w:p>
        </w:tc>
        <w:tc>
          <w:tcPr>
            <w:tcW w:type="dxa" w:w="6192"/>
          </w:tcPr>
          <w:p>
            <w:pPr>
              <w:spacing w:after="20"/>
            </w:pPr>
            <w:r>
              <w:rPr>
                <w:color w:val="1C3A36"/>
                <w:sz w:val="15"/>
              </w:rPr>
              <w:t>The rate used is stated in the study’s own disclosure section and flagged there as an estimate. It is a material input to one line and it is labelled as such rather than presented as a fact.</w:t>
            </w:r>
          </w:p>
        </w:tc>
      </w:tr>
    </w:tbl>
    <w:p>
      <w:pPr>
        <w:spacing w:after="40"/>
      </w:pPr>
    </w:p>
    <w:p>
      <w:pPr>
        <w:spacing w:after="100" w:before="0"/>
      </w:pPr>
      <w:r>
        <w:rPr>
          <w:b w:val="0"/>
          <w:i w:val="0"/>
          <w:color w:val="1C3A36"/>
          <w:sz w:val="19"/>
        </w:rPr>
      </w:r>
    </w:p>
    <w:p>
      <w:pPr>
        <w:spacing w:after="100" w:before="0"/>
      </w:pPr>
      <w:r>
        <w:rPr>
          <w:b w:val="0"/>
          <w:i/>
          <w:color w:val="6E7B77"/>
          <w:sz w:val="16"/>
        </w:rPr>
        <w:t>Testahil · Independent valuation research · Educational analysis, not investment advice.</w:t>
      </w:r>
    </w:p>
    <w:sectPr w:rsidR="00FC693F" w:rsidRPr="0006063C" w:rsidSect="00034616">
      <w:pgSz w:w="15840" w:h="122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1C3A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