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38"/>
        </w:rPr>
        <w:t>Egyptian International Pharmaceutical Industries Company (EIPICO)</w:t>
      </w:r>
    </w:p>
    <w:p>
      <w:pPr>
        <w:spacing w:after="240" w:before="0"/>
      </w:pPr>
      <w:r>
        <w:rPr>
          <w:b w:val="0"/>
          <w:i w:val="0"/>
          <w:color w:val="6E7B77"/>
          <w:sz w:val="22"/>
        </w:rPr>
        <w:t>Bibliography and complete list of inputs — the companion to the valuation study of 9 August 2026</w:t>
      </w:r>
    </w:p>
    <w:p>
      <w:pPr>
        <w:spacing w:after="120" w:before="280"/>
      </w:pPr>
      <w:r>
        <w:rPr>
          <w:b/>
          <w:i w:val="0"/>
          <w:color w:val="1C3A36"/>
          <w:sz w:val="30"/>
        </w:rPr>
        <w:t>1. Primary documents read</w:t>
      </w:r>
    </w:p>
    <w:p>
      <w:pPr>
        <w:spacing w:after="120" w:before="0"/>
      </w:pPr>
      <w:r>
        <w:rPr>
          <w:b w:val="0"/>
          <w:i w:val="0"/>
          <w:color w:val="1C3A36"/>
          <w:sz w:val="21"/>
        </w:rPr>
        <w:t>Every historical figure in the study traces to one of these. All were downloaded directly from the company's own website on 9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5"/>
        <w:gridCol w:w="2232"/>
        <w:gridCol w:w="4392"/>
        <w:gridCol w:w="2304"/>
      </w:tblGrid>
      <w:tr>
        <w:tc>
          <w:tcPr>
            <w:tcW w:type="dxa" w:w="605"/>
            <w:shd w:val="clear" w:color="auto" w:fill="EAF0EE"/>
          </w:tcPr>
          <w:p>
            <w:pPr>
              <w:spacing w:after="20"/>
            </w:pPr>
            <w:r>
              <w:rPr>
                <w:b/>
                <w:color w:val="1C3A36"/>
                <w:sz w:val="15"/>
              </w:rPr>
              <w:t>#</w:t>
            </w:r>
          </w:p>
        </w:tc>
        <w:tc>
          <w:tcPr>
            <w:tcW w:type="dxa" w:w="2232"/>
            <w:shd w:val="clear" w:color="auto" w:fill="EAF0EE"/>
          </w:tcPr>
          <w:p>
            <w:pPr>
              <w:spacing w:after="20"/>
            </w:pPr>
            <w:r>
              <w:rPr>
                <w:b/>
                <w:color w:val="1C3A36"/>
                <w:sz w:val="15"/>
              </w:rPr>
              <w:t>Document</w:t>
            </w:r>
          </w:p>
        </w:tc>
        <w:tc>
          <w:tcPr>
            <w:tcW w:type="dxa" w:w="4392"/>
            <w:shd w:val="clear" w:color="auto" w:fill="EAF0EE"/>
          </w:tcPr>
          <w:p>
            <w:pPr>
              <w:spacing w:after="20"/>
            </w:pPr>
            <w:r>
              <w:rPr>
                <w:b/>
                <w:color w:val="1C3A36"/>
                <w:sz w:val="15"/>
              </w:rPr>
              <w:t>What was taken from it</w:t>
            </w:r>
          </w:p>
        </w:tc>
        <w:tc>
          <w:tcPr>
            <w:tcW w:type="dxa" w:w="2304"/>
            <w:shd w:val="clear" w:color="auto" w:fill="EAF0EE"/>
          </w:tcPr>
          <w:p>
            <w:pPr>
              <w:spacing w:after="20"/>
            </w:pPr>
            <w:r>
              <w:rPr>
                <w:b/>
                <w:color w:val="1C3A36"/>
                <w:sz w:val="15"/>
              </w:rPr>
              <w:t>Address</w:t>
            </w:r>
          </w:p>
        </w:tc>
      </w:tr>
      <w:tr>
        <w:tc>
          <w:tcPr>
            <w:tcW w:type="dxa" w:w="605"/>
          </w:tcPr>
          <w:p>
            <w:pPr>
              <w:spacing w:after="20"/>
            </w:pPr>
            <w:r>
              <w:rPr>
                <w:color w:val="1C3A36"/>
                <w:sz w:val="15"/>
              </w:rPr>
              <w:t>P1</w:t>
            </w:r>
          </w:p>
        </w:tc>
        <w:tc>
          <w:tcPr>
            <w:tcW w:type="dxa" w:w="2232"/>
          </w:tcPr>
          <w:p>
            <w:pPr>
              <w:spacing w:after="20"/>
              <w:jc w:val="right"/>
            </w:pPr>
            <w:r>
              <w:rPr>
                <w:color w:val="1C3A36"/>
                <w:sz w:val="15"/>
              </w:rPr>
              <w:t>Annual Report FY2025, including the auditor's report, the separate and the consolidated financial statements with full notes, and the board of directors' report</w:t>
            </w:r>
          </w:p>
        </w:tc>
        <w:tc>
          <w:tcPr>
            <w:tcW w:type="dxa" w:w="4392"/>
          </w:tcPr>
          <w:p>
            <w:pPr>
              <w:spacing w:after="20"/>
              <w:jc w:val="right"/>
            </w:pPr>
            <w:r>
              <w:rPr>
                <w:color w:val="1C3A36"/>
                <w:sz w:val="15"/>
              </w:rPr>
              <w:t>The FY2025 and FY2024 consolidated income statement, balance sheet, statement of changes in equity and cash-flow statement; notes 4 to 36; the revenue-by-channel note (25); the cost-of-sales note (26); the borrowings note (17) by lender and currency; the foreign-currency risk note (36) with the average and closing exchange rates; the capital note (13) with the shareholder table; the associates note (33); the proposed profit-distribution table; and the board's operating statistics — production and sales by value and by pack, production quantities and available capacity for twenty-one dosage forms, headcount and the quarterly income summary</w:t>
            </w:r>
          </w:p>
        </w:tc>
        <w:tc>
          <w:tcPr>
            <w:tcW w:type="dxa" w:w="2304"/>
          </w:tcPr>
          <w:p>
            <w:pPr>
              <w:spacing w:after="20"/>
              <w:jc w:val="right"/>
            </w:pPr>
            <w:r>
              <w:rPr>
                <w:color w:val="1C3A36"/>
                <w:sz w:val="15"/>
              </w:rPr>
              <w:t>eipico.com.eg → Investor Relations → Annual Reports → 2025</w:t>
            </w:r>
          </w:p>
        </w:tc>
      </w:tr>
      <w:tr>
        <w:tc>
          <w:tcPr>
            <w:tcW w:type="dxa" w:w="605"/>
          </w:tcPr>
          <w:p>
            <w:pPr>
              <w:spacing w:after="20"/>
            </w:pPr>
            <w:r>
              <w:rPr>
                <w:color w:val="1C3A36"/>
                <w:sz w:val="15"/>
              </w:rPr>
              <w:t>P2</w:t>
            </w:r>
          </w:p>
        </w:tc>
        <w:tc>
          <w:tcPr>
            <w:tcW w:type="dxa" w:w="2232"/>
          </w:tcPr>
          <w:p>
            <w:pPr>
              <w:spacing w:after="20"/>
              <w:jc w:val="right"/>
            </w:pPr>
            <w:r>
              <w:rPr>
                <w:color w:val="1C3A36"/>
                <w:sz w:val="15"/>
              </w:rPr>
              <w:t>Annual Report FY2024</w:t>
            </w:r>
          </w:p>
        </w:tc>
        <w:tc>
          <w:tcPr>
            <w:tcW w:type="dxa" w:w="4392"/>
          </w:tcPr>
          <w:p>
            <w:pPr>
              <w:spacing w:after="20"/>
              <w:jc w:val="right"/>
            </w:pPr>
            <w:r>
              <w:rPr>
                <w:color w:val="1C3A36"/>
                <w:sz w:val="15"/>
              </w:rPr>
              <w:t>The FY2024 and FY2023 audited consolidated statements used to cross-confirm the comparative columns of P1, and the FY2024 board operating statistics</w:t>
            </w:r>
          </w:p>
        </w:tc>
        <w:tc>
          <w:tcPr>
            <w:tcW w:type="dxa" w:w="2304"/>
          </w:tcPr>
          <w:p>
            <w:pPr>
              <w:spacing w:after="20"/>
              <w:jc w:val="right"/>
            </w:pPr>
            <w:r>
              <w:rPr>
                <w:color w:val="1C3A36"/>
                <w:sz w:val="15"/>
              </w:rPr>
              <w:t>eipico.com.eg → Investor Relations → Annual Reports → 2024</w:t>
            </w:r>
          </w:p>
        </w:tc>
      </w:tr>
      <w:tr>
        <w:tc>
          <w:tcPr>
            <w:tcW w:type="dxa" w:w="605"/>
          </w:tcPr>
          <w:p>
            <w:pPr>
              <w:spacing w:after="20"/>
            </w:pPr>
            <w:r>
              <w:rPr>
                <w:color w:val="1C3A36"/>
                <w:sz w:val="15"/>
              </w:rPr>
              <w:t>P3</w:t>
            </w:r>
          </w:p>
        </w:tc>
        <w:tc>
          <w:tcPr>
            <w:tcW w:type="dxa" w:w="2232"/>
          </w:tcPr>
          <w:p>
            <w:pPr>
              <w:spacing w:after="20"/>
              <w:jc w:val="right"/>
            </w:pPr>
            <w:r>
              <w:rPr>
                <w:color w:val="1C3A36"/>
                <w:sz w:val="15"/>
              </w:rPr>
              <w:t>Annual Report FY2023</w:t>
            </w:r>
          </w:p>
        </w:tc>
        <w:tc>
          <w:tcPr>
            <w:tcW w:type="dxa" w:w="4392"/>
          </w:tcPr>
          <w:p>
            <w:pPr>
              <w:spacing w:after="20"/>
              <w:jc w:val="right"/>
            </w:pPr>
            <w:r>
              <w:rPr>
                <w:color w:val="1C3A36"/>
                <w:sz w:val="15"/>
              </w:rPr>
              <w:t>The FY2023 and FY2022 audited consolidated statements and the FY2023 board report</w:t>
            </w:r>
          </w:p>
        </w:tc>
        <w:tc>
          <w:tcPr>
            <w:tcW w:type="dxa" w:w="2304"/>
          </w:tcPr>
          <w:p>
            <w:pPr>
              <w:spacing w:after="20"/>
              <w:jc w:val="right"/>
            </w:pPr>
            <w:r>
              <w:rPr>
                <w:color w:val="1C3A36"/>
                <w:sz w:val="15"/>
              </w:rPr>
              <w:t>eipico.com.eg → Investor Relations → Annual Reports → 2023</w:t>
            </w:r>
          </w:p>
        </w:tc>
      </w:tr>
      <w:tr>
        <w:tc>
          <w:tcPr>
            <w:tcW w:type="dxa" w:w="605"/>
          </w:tcPr>
          <w:p>
            <w:pPr>
              <w:spacing w:after="20"/>
            </w:pPr>
            <w:r>
              <w:rPr>
                <w:color w:val="1C3A36"/>
                <w:sz w:val="15"/>
              </w:rPr>
              <w:t>P4</w:t>
            </w:r>
          </w:p>
        </w:tc>
        <w:tc>
          <w:tcPr>
            <w:tcW w:type="dxa" w:w="2232"/>
          </w:tcPr>
          <w:p>
            <w:pPr>
              <w:spacing w:after="20"/>
              <w:jc w:val="right"/>
            </w:pPr>
            <w:r>
              <w:rPr>
                <w:color w:val="1C3A36"/>
                <w:sz w:val="15"/>
              </w:rPr>
              <w:t>Annual Report FY2022</w:t>
            </w:r>
          </w:p>
        </w:tc>
        <w:tc>
          <w:tcPr>
            <w:tcW w:type="dxa" w:w="4392"/>
          </w:tcPr>
          <w:p>
            <w:pPr>
              <w:spacing w:after="20"/>
              <w:jc w:val="right"/>
            </w:pPr>
            <w:r>
              <w:rPr>
                <w:color w:val="1C3A36"/>
                <w:sz w:val="15"/>
              </w:rPr>
              <w:t>FY2022 attributable profit, for the traded-multiple history</w:t>
            </w:r>
          </w:p>
        </w:tc>
        <w:tc>
          <w:tcPr>
            <w:tcW w:type="dxa" w:w="2304"/>
          </w:tcPr>
          <w:p>
            <w:pPr>
              <w:spacing w:after="20"/>
              <w:jc w:val="right"/>
            </w:pPr>
            <w:r>
              <w:rPr>
                <w:color w:val="1C3A36"/>
                <w:sz w:val="15"/>
              </w:rPr>
              <w:t>eipico.com.eg → Investor Relations → Annual Reports → 2022</w:t>
            </w:r>
          </w:p>
        </w:tc>
      </w:tr>
      <w:tr>
        <w:tc>
          <w:tcPr>
            <w:tcW w:type="dxa" w:w="605"/>
          </w:tcPr>
          <w:p>
            <w:pPr>
              <w:spacing w:after="20"/>
            </w:pPr>
            <w:r>
              <w:rPr>
                <w:color w:val="1C3A36"/>
                <w:sz w:val="15"/>
              </w:rPr>
              <w:t>P5</w:t>
            </w:r>
          </w:p>
        </w:tc>
        <w:tc>
          <w:tcPr>
            <w:tcW w:type="dxa" w:w="2232"/>
          </w:tcPr>
          <w:p>
            <w:pPr>
              <w:spacing w:after="20"/>
              <w:jc w:val="right"/>
            </w:pPr>
            <w:r>
              <w:rPr>
                <w:color w:val="1C3A36"/>
                <w:sz w:val="15"/>
              </w:rPr>
              <w:t>Investor presentation</w:t>
            </w:r>
          </w:p>
        </w:tc>
        <w:tc>
          <w:tcPr>
            <w:tcW w:type="dxa" w:w="4392"/>
          </w:tcPr>
          <w:p>
            <w:pPr>
              <w:spacing w:after="20"/>
              <w:jc w:val="right"/>
            </w:pPr>
            <w:r>
              <w:rPr>
                <w:color w:val="1C3A36"/>
                <w:sz w:val="15"/>
              </w:rPr>
              <w:t>Export volume of 60 million packs a year and USD 60 million of export value; 54 production lines with capacity per shift per year by dosage form; 414 products across 27 therapeutic groups; products registered across dozens of countries; the biologicals plant description and product pipeline; the active-ingredient project description</w:t>
            </w:r>
          </w:p>
        </w:tc>
        <w:tc>
          <w:tcPr>
            <w:tcW w:type="dxa" w:w="2304"/>
          </w:tcPr>
          <w:p>
            <w:pPr>
              <w:spacing w:after="20"/>
              <w:jc w:val="right"/>
            </w:pPr>
            <w:r>
              <w:rPr>
                <w:color w:val="1C3A36"/>
                <w:sz w:val="15"/>
              </w:rPr>
              <w:t>eipico.com.eg → Company Profile → EIPICO Presentation</w:t>
            </w:r>
          </w:p>
        </w:tc>
      </w:tr>
      <w:tr>
        <w:tc>
          <w:tcPr>
            <w:tcW w:type="dxa" w:w="605"/>
          </w:tcPr>
          <w:p>
            <w:pPr>
              <w:spacing w:after="20"/>
            </w:pPr>
            <w:r>
              <w:rPr>
                <w:color w:val="1C3A36"/>
                <w:sz w:val="15"/>
              </w:rPr>
              <w:t>P6</w:t>
            </w:r>
          </w:p>
        </w:tc>
        <w:tc>
          <w:tcPr>
            <w:tcW w:type="dxa" w:w="2232"/>
          </w:tcPr>
          <w:p>
            <w:pPr>
              <w:spacing w:after="20"/>
              <w:jc w:val="right"/>
            </w:pPr>
            <w:r>
              <w:rPr>
                <w:color w:val="1C3A36"/>
                <w:sz w:val="15"/>
              </w:rPr>
              <w:t>Company results release for FY2025</w:t>
            </w:r>
          </w:p>
        </w:tc>
        <w:tc>
          <w:tcPr>
            <w:tcW w:type="dxa" w:w="4392"/>
          </w:tcPr>
          <w:p>
            <w:pPr>
              <w:spacing w:after="20"/>
              <w:jc w:val="right"/>
            </w:pPr>
            <w:r>
              <w:rPr>
                <w:color w:val="1C3A36"/>
                <w:sz w:val="15"/>
              </w:rPr>
              <w:t>Production value of EGP 10.812 billion, consolidated sales of EGP 9.441 billion, exports of EGP 2.967 billion to 67 countries, net profit of EGP 1.458 billion — every figure cross-confirmed against the audited statements in P1</w:t>
            </w:r>
          </w:p>
        </w:tc>
        <w:tc>
          <w:tcPr>
            <w:tcW w:type="dxa" w:w="2304"/>
          </w:tcPr>
          <w:p>
            <w:pPr>
              <w:spacing w:after="20"/>
              <w:jc w:val="right"/>
            </w:pPr>
            <w:r>
              <w:rPr>
                <w:color w:val="1C3A36"/>
                <w:sz w:val="15"/>
              </w:rPr>
              <w:t>eipico.com.eg → News → item 261</w:t>
            </w:r>
          </w:p>
        </w:tc>
      </w:tr>
      <w:tr>
        <w:tc>
          <w:tcPr>
            <w:tcW w:type="dxa" w:w="605"/>
          </w:tcPr>
          <w:p>
            <w:pPr>
              <w:spacing w:after="20"/>
            </w:pPr>
            <w:r>
              <w:rPr>
                <w:color w:val="1C3A36"/>
                <w:sz w:val="15"/>
              </w:rPr>
              <w:t>P7</w:t>
            </w:r>
          </w:p>
        </w:tc>
        <w:tc>
          <w:tcPr>
            <w:tcW w:type="dxa" w:w="2232"/>
          </w:tcPr>
          <w:p>
            <w:pPr>
              <w:spacing w:after="20"/>
              <w:jc w:val="right"/>
            </w:pPr>
            <w:r>
              <w:rPr>
                <w:color w:val="1C3A36"/>
                <w:sz w:val="15"/>
              </w:rPr>
              <w:t>General assembly report, 28 March 2026</w:t>
            </w:r>
          </w:p>
        </w:tc>
        <w:tc>
          <w:tcPr>
            <w:tcW w:type="dxa" w:w="4392"/>
          </w:tcPr>
          <w:p>
            <w:pPr>
              <w:spacing w:after="20"/>
              <w:jc w:val="right"/>
            </w:pPr>
            <w:r>
              <w:rPr>
                <w:color w:val="1C3A36"/>
                <w:sz w:val="15"/>
              </w:rPr>
              <w:t>The chairman's statement of a strategic raw-material stockpile sufficient for at least eight months — the disclosure that explains the 268-day inventory position</w:t>
            </w:r>
          </w:p>
        </w:tc>
        <w:tc>
          <w:tcPr>
            <w:tcW w:type="dxa" w:w="2304"/>
          </w:tcPr>
          <w:p>
            <w:pPr>
              <w:spacing w:after="20"/>
              <w:jc w:val="right"/>
            </w:pPr>
            <w:r>
              <w:rPr>
                <w:color w:val="1C3A36"/>
                <w:sz w:val="15"/>
              </w:rPr>
              <w:t>eipico.com.eg → News → item 262</w:t>
            </w:r>
          </w:p>
        </w:tc>
      </w:tr>
      <w:tr>
        <w:tc>
          <w:tcPr>
            <w:tcW w:type="dxa" w:w="605"/>
          </w:tcPr>
          <w:p>
            <w:pPr>
              <w:spacing w:after="20"/>
            </w:pPr>
            <w:r>
              <w:rPr>
                <w:color w:val="1C3A36"/>
                <w:sz w:val="15"/>
              </w:rPr>
              <w:t>P8</w:t>
            </w:r>
          </w:p>
        </w:tc>
        <w:tc>
          <w:tcPr>
            <w:tcW w:type="dxa" w:w="2232"/>
          </w:tcPr>
          <w:p>
            <w:pPr>
              <w:spacing w:after="20"/>
              <w:jc w:val="right"/>
            </w:pPr>
            <w:r>
              <w:rPr>
                <w:color w:val="1C3A36"/>
                <w:sz w:val="15"/>
              </w:rPr>
              <w:t>Company announcement of the biologicals plant licence, 11 December 2025</w:t>
            </w:r>
          </w:p>
        </w:tc>
        <w:tc>
          <w:tcPr>
            <w:tcW w:type="dxa" w:w="4392"/>
          </w:tcPr>
          <w:p>
            <w:pPr>
              <w:spacing w:after="20"/>
              <w:jc w:val="right"/>
            </w:pPr>
            <w:r>
              <w:rPr>
                <w:color w:val="1C3A36"/>
                <w:sz w:val="15"/>
              </w:rPr>
              <w:t>The Egyptian Drug Authority and Industrial Development Authority licences, and the launch of the first biosimilar — the disclosure that starts the depreciation clock</w:t>
            </w:r>
          </w:p>
        </w:tc>
        <w:tc>
          <w:tcPr>
            <w:tcW w:type="dxa" w:w="2304"/>
          </w:tcPr>
          <w:p>
            <w:pPr>
              <w:spacing w:after="20"/>
              <w:jc w:val="right"/>
            </w:pPr>
            <w:r>
              <w:rPr>
                <w:color w:val="1C3A36"/>
                <w:sz w:val="15"/>
              </w:rPr>
              <w:t>eipico.com.eg → News → item 256</w:t>
            </w:r>
          </w:p>
        </w:tc>
      </w:tr>
      <w:tr>
        <w:tc>
          <w:tcPr>
            <w:tcW w:type="dxa" w:w="605"/>
          </w:tcPr>
          <w:p>
            <w:pPr>
              <w:spacing w:after="20"/>
            </w:pPr>
            <w:r>
              <w:rPr>
                <w:color w:val="1C3A36"/>
                <w:sz w:val="15"/>
              </w:rPr>
              <w:t>P9</w:t>
            </w:r>
          </w:p>
        </w:tc>
        <w:tc>
          <w:tcPr>
            <w:tcW w:type="dxa" w:w="2232"/>
          </w:tcPr>
          <w:p>
            <w:pPr>
              <w:spacing w:after="20"/>
              <w:jc w:val="right"/>
            </w:pPr>
            <w:r>
              <w:rPr>
                <w:color w:val="1C3A36"/>
                <w:sz w:val="15"/>
              </w:rPr>
              <w:t>Company announcement of the active-ingredient plant foundation, 15 January 2026</w:t>
            </w:r>
          </w:p>
        </w:tc>
        <w:tc>
          <w:tcPr>
            <w:tcW w:type="dxa" w:w="4392"/>
          </w:tcPr>
          <w:p>
            <w:pPr>
              <w:spacing w:after="20"/>
              <w:jc w:val="right"/>
            </w:pPr>
            <w:r>
              <w:rPr>
                <w:color w:val="1C3A36"/>
                <w:sz w:val="15"/>
              </w:rPr>
              <w:t>The USD 165 million project in the Suez Canal Economic Zone, and the fact that it is a separate legal entity</w:t>
            </w:r>
          </w:p>
        </w:tc>
        <w:tc>
          <w:tcPr>
            <w:tcW w:type="dxa" w:w="2304"/>
          </w:tcPr>
          <w:p>
            <w:pPr>
              <w:spacing w:after="20"/>
              <w:jc w:val="right"/>
            </w:pPr>
            <w:r>
              <w:rPr>
                <w:color w:val="1C3A36"/>
                <w:sz w:val="15"/>
              </w:rPr>
              <w:t>eipico.com.eg → News → item 258</w:t>
            </w:r>
          </w:p>
        </w:tc>
      </w:tr>
      <w:tr>
        <w:tc>
          <w:tcPr>
            <w:tcW w:type="dxa" w:w="605"/>
          </w:tcPr>
          <w:p>
            <w:pPr>
              <w:spacing w:after="20"/>
            </w:pPr>
            <w:r>
              <w:rPr>
                <w:color w:val="1C3A36"/>
                <w:sz w:val="15"/>
              </w:rPr>
              <w:t>P10</w:t>
            </w:r>
          </w:p>
        </w:tc>
        <w:tc>
          <w:tcPr>
            <w:tcW w:type="dxa" w:w="2232"/>
          </w:tcPr>
          <w:p>
            <w:pPr>
              <w:spacing w:after="20"/>
              <w:jc w:val="right"/>
            </w:pPr>
            <w:r>
              <w:rPr>
                <w:color w:val="1C3A36"/>
                <w:sz w:val="15"/>
              </w:rPr>
              <w:t>Country default spreads and risk premiums file, last updated 5 January 2026, read live on 9 August 2026</w:t>
            </w:r>
          </w:p>
        </w:tc>
        <w:tc>
          <w:tcPr>
            <w:tcW w:type="dxa" w:w="4392"/>
          </w:tcPr>
          <w:p>
            <w:pPr>
              <w:spacing w:after="20"/>
              <w:jc w:val="right"/>
            </w:pPr>
            <w:r>
              <w:rPr>
                <w:color w:val="1C3A36"/>
                <w:sz w:val="15"/>
              </w:rPr>
              <w:t>Egypt row: Moody's Caa1; adjusted default spread 6.37%; country risk premium 9.71%; total equity risk premium 13.94% on the rating basis; corporate tax rate 22.50%; sovereign credit-default-swap spread 3.41%; equity risk premium on the swap basis 9.41%</w:t>
            </w:r>
          </w:p>
        </w:tc>
        <w:tc>
          <w:tcPr>
            <w:tcW w:type="dxa" w:w="2304"/>
          </w:tcPr>
          <w:p>
            <w:pPr>
              <w:spacing w:after="20"/>
              <w:jc w:val="right"/>
            </w:pPr>
            <w:r>
              <w:rPr>
                <w:color w:val="1C3A36"/>
                <w:sz w:val="15"/>
              </w:rPr>
              <w:t>pages.stern.nyu.edu → adamodar → datafile → ctryprem</w:t>
            </w:r>
          </w:p>
        </w:tc>
      </w:tr>
      <w:tr>
        <w:tc>
          <w:tcPr>
            <w:tcW w:type="dxa" w:w="605"/>
          </w:tcPr>
          <w:p>
            <w:pPr>
              <w:spacing w:after="20"/>
            </w:pPr>
            <w:r>
              <w:rPr>
                <w:color w:val="1C3A36"/>
                <w:sz w:val="15"/>
              </w:rPr>
              <w:t>P12</w:t>
            </w:r>
          </w:p>
        </w:tc>
        <w:tc>
          <w:tcPr>
            <w:tcW w:type="dxa" w:w="2232"/>
          </w:tcPr>
          <w:p>
            <w:pPr>
              <w:spacing w:after="20"/>
              <w:jc w:val="right"/>
            </w:pPr>
            <w:r>
              <w:rPr>
                <w:color w:val="1C3A36"/>
                <w:sz w:val="15"/>
              </w:rPr>
              <w:t>Reviewed consolidated interim financial statements for the three months ended 31 March 2026, English translation issued by the auditor, review report dated 14 May 2026. THE REVIEW CONCLUSION IS QUALIFIED</w:t>
            </w:r>
          </w:p>
        </w:tc>
        <w:tc>
          <w:tcPr>
            <w:tcW w:type="dxa" w:w="4392"/>
          </w:tcPr>
          <w:p>
            <w:pPr>
              <w:spacing w:after="20"/>
              <w:jc w:val="right"/>
            </w:pPr>
            <w:r>
              <w:rPr>
                <w:color w:val="1C3A36"/>
                <w:sz w:val="15"/>
              </w:rPr>
              <w:t>The full first-quarter income statement, balance sheet, statement of changes in equity and cash-flow statement, with the 31 December 2025 comparative column — which ties to every opening balance in this model, line for line. Supplies the reset FY2026 revenue, capital-expenditure and finance-cost paths; the confirmation that the construction balance is transferring and the depreciation charge has doubled; the deconsolidation of the active-ingredient company; and the three matters on which the auditor qualified</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P13</w:t>
            </w:r>
          </w:p>
        </w:tc>
        <w:tc>
          <w:tcPr>
            <w:tcW w:type="dxa" w:w="2232"/>
          </w:tcPr>
          <w:p>
            <w:pPr>
              <w:spacing w:after="20"/>
              <w:jc w:val="right"/>
            </w:pPr>
            <w:r>
              <w:rPr>
                <w:color w:val="1C3A36"/>
                <w:sz w:val="15"/>
              </w:rPr>
              <w:t>Audited consolidated financial statements for the year ended 31 December 2024, English translation issued by the auditor</w:t>
            </w:r>
          </w:p>
        </w:tc>
        <w:tc>
          <w:tcPr>
            <w:tcW w:type="dxa" w:w="4392"/>
          </w:tcPr>
          <w:p>
            <w:pPr>
              <w:spacing w:after="20"/>
              <w:jc w:val="right"/>
            </w:pPr>
            <w:r>
              <w:rPr>
                <w:color w:val="1C3A36"/>
                <w:sz w:val="15"/>
              </w:rPr>
              <w:t>Used to verify every FY2024 and FY2023 line already taken from the Arabic annual reports. All tie. Adopted for the presentation of dividend-distribution tax, which this statement shows on its own line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P14</w:t>
            </w:r>
          </w:p>
        </w:tc>
        <w:tc>
          <w:tcPr>
            <w:tcW w:type="dxa" w:w="2232"/>
          </w:tcPr>
          <w:p>
            <w:pPr>
              <w:spacing w:after="20"/>
              <w:jc w:val="right"/>
            </w:pPr>
            <w:r>
              <w:rPr>
                <w:color w:val="1C3A36"/>
                <w:sz w:val="15"/>
              </w:rPr>
              <w:t>Audited consolidated financial statements for the year ended 31 December 2023, English translation issued by the auditor</w:t>
            </w:r>
          </w:p>
        </w:tc>
        <w:tc>
          <w:tcPr>
            <w:tcW w:type="dxa" w:w="4392"/>
          </w:tcPr>
          <w:p>
            <w:pPr>
              <w:spacing w:after="20"/>
              <w:jc w:val="right"/>
            </w:pPr>
            <w:r>
              <w:rPr>
                <w:color w:val="1C3A36"/>
                <w:sz w:val="15"/>
              </w:rPr>
              <w:t>Used to verify FY2023 and FY2022. All tie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P11</w:t>
            </w:r>
          </w:p>
        </w:tc>
        <w:tc>
          <w:tcPr>
            <w:tcW w:type="dxa" w:w="2232"/>
          </w:tcPr>
          <w:p>
            <w:pPr>
              <w:spacing w:after="20"/>
              <w:jc w:val="right"/>
            </w:pPr>
            <w:r>
              <w:rPr>
                <w:color w:val="1C3A36"/>
                <w:sz w:val="15"/>
              </w:rPr>
              <w:t>Daily price history for the listed shares, 2 January 2011 to 6 August 2026</w:t>
            </w:r>
          </w:p>
        </w:tc>
        <w:tc>
          <w:tcPr>
            <w:tcW w:type="dxa" w:w="4392"/>
          </w:tcPr>
          <w:p>
            <w:pPr>
              <w:spacing w:after="20"/>
              <w:jc w:val="right"/>
            </w:pPr>
            <w:r>
              <w:rPr>
                <w:color w:val="1C3A36"/>
                <w:sz w:val="15"/>
              </w:rPr>
              <w:t>More than three thousand daily open, high, low, close and volume records. Used for the share price, the beta regression, the technical read and the probability map</w:t>
            </w:r>
          </w:p>
        </w:tc>
        <w:tc>
          <w:tcPr>
            <w:tcW w:type="dxa" w:w="2304"/>
          </w:tcPr>
          <w:p>
            <w:pPr>
              <w:spacing w:after="20"/>
              <w:jc w:val="right"/>
            </w:pPr>
            <w:r>
              <w:rPr>
                <w:color w:val="1C3A36"/>
                <w:sz w:val="15"/>
              </w:rPr>
              <w:t>supplied for this study</w:t>
            </w:r>
          </w:p>
        </w:tc>
      </w:tr>
    </w:tbl>
    <w:p>
      <w:pPr>
        <w:spacing w:after="40"/>
      </w:pPr>
    </w:p>
    <w:p>
      <w:pPr>
        <w:spacing w:after="200" w:before="0"/>
      </w:pPr>
      <w:r>
        <w:rPr>
          <w:b w:val="0"/>
          <w:i/>
          <w:color w:val="6E7B77"/>
          <w:sz w:val="17"/>
        </w:rPr>
        <w:t>Table B1 — the primary documents. Four consecutive audited financial years were obtained — FY2022, FY2023, FY2024 and FY2025, each with the auditor's report and full notes — plus the reviewed first quarter of FY2026.</w:t>
      </w:r>
    </w:p>
    <w:p>
      <w:pPr>
        <w:spacing w:after="80" w:before="200"/>
      </w:pPr>
      <w:r>
        <w:rPr>
          <w:b/>
          <w:i w:val="0"/>
          <w:color w:val="1C3A36"/>
          <w:sz w:val="24"/>
        </w:rPr>
        <w:t>Primary-source access attempted, and what happened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864"/>
        <w:gridCol w:w="5256"/>
      </w:tblGrid>
      <w:tr>
        <w:tc>
          <w:tcPr>
            <w:tcW w:type="dxa" w:w="3384"/>
            <w:shd w:val="clear" w:color="auto" w:fill="EAF0EE"/>
          </w:tcPr>
          <w:p>
            <w:pPr>
              <w:spacing w:after="20"/>
            </w:pPr>
            <w:r>
              <w:rPr>
                <w:b/>
                <w:color w:val="1C3A36"/>
                <w:sz w:val="15"/>
              </w:rPr>
              <w:t>Source</w:t>
            </w:r>
          </w:p>
        </w:tc>
        <w:tc>
          <w:tcPr>
            <w:tcW w:type="dxa" w:w="864"/>
            <w:shd w:val="clear" w:color="auto" w:fill="EAF0EE"/>
          </w:tcPr>
          <w:p>
            <w:pPr>
              <w:spacing w:after="20"/>
            </w:pPr>
            <w:r>
              <w:rPr>
                <w:b/>
                <w:color w:val="1C3A36"/>
                <w:sz w:val="15"/>
              </w:rPr>
              <w:t>Reachable</w:t>
            </w:r>
          </w:p>
        </w:tc>
        <w:tc>
          <w:tcPr>
            <w:tcW w:type="dxa" w:w="5256"/>
            <w:shd w:val="clear" w:color="auto" w:fill="EAF0EE"/>
          </w:tcPr>
          <w:p>
            <w:pPr>
              <w:spacing w:after="20"/>
            </w:pPr>
            <w:r>
              <w:rPr>
                <w:b/>
                <w:color w:val="1C3A36"/>
                <w:sz w:val="15"/>
              </w:rPr>
              <w:t>Outcome</w:t>
            </w:r>
          </w:p>
        </w:tc>
      </w:tr>
      <w:tr>
        <w:tc>
          <w:tcPr>
            <w:tcW w:type="dxa" w:w="3384"/>
          </w:tcPr>
          <w:p>
            <w:pPr>
              <w:spacing w:after="20"/>
            </w:pPr>
            <w:r>
              <w:rPr>
                <w:color w:val="1C3A36"/>
                <w:sz w:val="15"/>
              </w:rPr>
              <w:t xml:space="preserve">www.eipico.com.eg / </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Corporate site reachable; Investor Relations -&gt; Annual Reports carries FY2019 through FY2025 as complete PDFs, each containing the auditor's report and both the separate and the consolidated financial statements with full notes.</w:t>
            </w:r>
          </w:p>
        </w:tc>
      </w:tr>
      <w:tr>
        <w:tc>
          <w:tcPr>
            <w:tcW w:type="dxa" w:w="3384"/>
          </w:tcPr>
          <w:p>
            <w:pPr>
              <w:spacing w:after="20"/>
            </w:pPr>
            <w:r>
              <w:rPr>
                <w:color w:val="1C3A36"/>
                <w:sz w:val="15"/>
              </w:rPr>
              <w:t>www.eipico.com.eg / HTML.aspx?name=Eipico3_AnnualReports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Seven annual reports downloaded; FY2022-FY2025 used.</w:t>
            </w:r>
          </w:p>
        </w:tc>
      </w:tr>
      <w:tr>
        <w:tc>
          <w:tcPr>
            <w:tcW w:type="dxa" w:w="3384"/>
          </w:tcPr>
          <w:p>
            <w:pPr>
              <w:spacing w:after="20"/>
            </w:pPr>
            <w:r>
              <w:rPr>
                <w:color w:val="1C3A36"/>
                <w:sz w:val="15"/>
              </w:rPr>
              <w:t>www.eipico.com.eg / DataImages / HTML / File1585.pdf</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Investor presentation downloaded — production lines and capacities per shift, export pack volumes, market ranks, EIPICO 3 and Arab API detail.</w:t>
            </w:r>
          </w:p>
        </w:tc>
      </w:tr>
      <w:tr>
        <w:tc>
          <w:tcPr>
            <w:tcW w:type="dxa" w:w="3384"/>
          </w:tcPr>
          <w:p>
            <w:pPr>
              <w:spacing w:after="20"/>
            </w:pPr>
            <w:r>
              <w:rPr>
                <w:color w:val="1C3A36"/>
                <w:sz w:val="15"/>
              </w:rPr>
              <w:t>company-supplied issued financial statements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The reviewed FY2026 first-quarter interim and the separately issued FY2023 and FY2024 audited consolidated statements, all English translations issued by the auditor, were supplied directly after the first issue of this study. This CLOSES the study-year quarter that could not be reached online.</w:t>
            </w:r>
          </w:p>
        </w:tc>
      </w:tr>
      <w:tr>
        <w:tc>
          <w:tcPr>
            <w:tcW w:type="dxa" w:w="3384"/>
          </w:tcPr>
          <w:p>
            <w:pPr>
              <w:spacing w:after="20"/>
            </w:pPr>
            <w:r>
              <w:rPr>
                <w:color w:val="1C3A36"/>
                <w:sz w:val="15"/>
              </w:rPr>
              <w:t>www.egx.com.eg / en / DisclosureNews.aspx</w:t>
            </w:r>
          </w:p>
        </w:tc>
        <w:tc>
          <w:tcPr>
            <w:tcW w:type="dxa" w:w="864"/>
          </w:tcPr>
          <w:p>
            <w:pPr>
              <w:spacing w:after="20"/>
              <w:jc w:val="right"/>
            </w:pPr>
            <w:r>
              <w:rPr>
                <w:color w:val="1C3A36"/>
                <w:sz w:val="15"/>
              </w:rPr>
              <w:t>NO</w:t>
            </w:r>
          </w:p>
        </w:tc>
        <w:tc>
          <w:tcPr>
            <w:tcW w:type="dxa" w:w="5256"/>
          </w:tcPr>
          <w:p>
            <w:pPr>
              <w:spacing w:after="20"/>
              <w:jc w:val="right"/>
            </w:pPr>
            <w:r>
              <w:rPr>
                <w:color w:val="1C3A36"/>
                <w:sz w:val="15"/>
              </w:rPr>
              <w:t>Exchange disclosure portal NOT reachable. Every request returns a 48KB bot-defence challenge page instead of content; a headless-browser render was also attempted and the browser could not be routed through this environment's egress proxy. Consequence: the FY2026 first-quarter interim could not be obtained from an official home.</w:t>
            </w:r>
          </w:p>
        </w:tc>
      </w:tr>
      <w:tr>
        <w:tc>
          <w:tcPr>
            <w:tcW w:type="dxa" w:w="3384"/>
          </w:tcPr>
          <w:p>
            <w:pPr>
              <w:spacing w:after="20"/>
            </w:pPr>
            <w:r>
              <w:rPr>
                <w:color w:val="1C3A36"/>
                <w:sz w:val="15"/>
              </w:rPr>
              <w:t xml:space="preserve">disclosure.efsa.gov.eg / </w:t>
            </w:r>
          </w:p>
        </w:tc>
        <w:tc>
          <w:tcPr>
            <w:tcW w:type="dxa" w:w="864"/>
          </w:tcPr>
          <w:p>
            <w:pPr>
              <w:spacing w:after="20"/>
              <w:jc w:val="right"/>
            </w:pPr>
            <w:r>
              <w:rPr>
                <w:color w:val="1C3A36"/>
                <w:sz w:val="15"/>
              </w:rPr>
              <w:t>NO</w:t>
            </w:r>
          </w:p>
        </w:tc>
        <w:tc>
          <w:tcPr>
            <w:tcW w:type="dxa" w:w="5256"/>
          </w:tcPr>
          <w:p>
            <w:pPr>
              <w:spacing w:after="20"/>
              <w:jc w:val="right"/>
            </w:pPr>
            <w:r>
              <w:rPr>
                <w:color w:val="1C3A36"/>
                <w:sz w:val="15"/>
              </w:rPr>
              <w:t>Regulator disclosure sub-domain refused at the egress proxy (connect_rejected, gateway 502).</w:t>
            </w:r>
          </w:p>
        </w:tc>
      </w:tr>
      <w:tr>
        <w:tc>
          <w:tcPr>
            <w:tcW w:type="dxa" w:w="3384"/>
          </w:tcPr>
          <w:p>
            <w:pPr>
              <w:spacing w:after="20"/>
            </w:pPr>
            <w:r>
              <w:rPr>
                <w:color w:val="1C3A36"/>
                <w:sz w:val="15"/>
              </w:rPr>
              <w:t>www.cbe.org.eg / en / auctions / egp-t-bonds-fixed-coupon</w:t>
            </w:r>
          </w:p>
        </w:tc>
        <w:tc>
          <w:tcPr>
            <w:tcW w:type="dxa" w:w="864"/>
          </w:tcPr>
          <w:p>
            <w:pPr>
              <w:spacing w:after="20"/>
              <w:jc w:val="right"/>
            </w:pPr>
            <w:r>
              <w:rPr>
                <w:color w:val="1C3A36"/>
                <w:sz w:val="15"/>
              </w:rPr>
              <w:t>NO</w:t>
            </w:r>
          </w:p>
        </w:tc>
        <w:tc>
          <w:tcPr>
            <w:tcW w:type="dxa" w:w="5256"/>
          </w:tcPr>
          <w:p>
            <w:pPr>
              <w:spacing w:after="20"/>
              <w:jc w:val="right"/>
            </w:pPr>
            <w:r>
              <w:rPr>
                <w:color w:val="1C3A36"/>
                <w:sz w:val="15"/>
              </w:rPr>
              <w:t>Central bank fixed-coupon treasury bond auction page rejected the request at its own web application firewall. The ten-year local-currency yield is therefore carried from the dated house reference print and sensitised rather than re-read live.</w:t>
            </w:r>
          </w:p>
        </w:tc>
      </w:tr>
    </w:tbl>
    <w:p>
      <w:pPr>
        <w:spacing w:after="40"/>
      </w:pPr>
    </w:p>
    <w:p>
      <w:pPr>
        <w:spacing w:after="200" w:before="0"/>
      </w:pPr>
      <w:r>
        <w:rPr>
          <w:b w:val="0"/>
          <w:i/>
          <w:color w:val="6E7B77"/>
          <w:sz w:val="17"/>
        </w:rPr>
        <w:t>Table B2 — every attempt at an official source, logged whether it succeeded or failed. Three failed and the study says so rather than substituting a weaker source.</w:t>
      </w:r>
    </w:p>
    <w:p>
      <w:pPr>
        <w:spacing w:after="120" w:before="280"/>
      </w:pPr>
      <w:r>
        <w:rPr>
          <w:b/>
          <w:i w:val="0"/>
          <w:color w:val="1C3A36"/>
          <w:sz w:val="30"/>
        </w:rPr>
        <w:t>2. Every input, with its source</w:t>
      </w:r>
    </w:p>
    <w:p>
      <w:pPr>
        <w:spacing w:after="120" w:before="0"/>
      </w:pPr>
      <w:r>
        <w:rPr>
          <w:b w:val="0"/>
          <w:i w:val="0"/>
          <w:color w:val="1C3A36"/>
          <w:sz w:val="21"/>
        </w:rPr>
        <w:t>Every input to the model, with its value, the source it came from, the date of that source, and the research layer it belongs to. A bare numeral cannot enter this model: the build asserts that each of these four fields is present and refuses to produce a valuation if any is missing.</w:t>
      </w:r>
    </w:p>
    <w:p>
      <w:pPr>
        <w:spacing w:after="80" w:before="200"/>
      </w:pPr>
      <w:r>
        <w:rPr>
          <w:b/>
          <w:i w:val="0"/>
          <w:color w:val="1C3A36"/>
          <w:sz w:val="24"/>
        </w:rPr>
        <w:t>Research layer: Company   (218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950"/>
        <w:gridCol w:w="4810"/>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950"/>
            <w:shd w:val="clear" w:color="auto" w:fill="EAF0EE"/>
          </w:tcPr>
          <w:p>
            <w:pPr>
              <w:spacing w:after="20"/>
            </w:pPr>
            <w:r>
              <w:rPr>
                <w:b/>
                <w:color w:val="1C3A36"/>
                <w:sz w:val="14"/>
              </w:rPr>
              <w:t>Date</w:t>
            </w:r>
          </w:p>
        </w:tc>
        <w:tc>
          <w:tcPr>
            <w:tcW w:type="dxa" w:w="4810"/>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shares mn</w:t>
            </w:r>
          </w:p>
        </w:tc>
        <w:tc>
          <w:tcPr>
            <w:tcW w:type="dxa" w:w="1512"/>
          </w:tcPr>
          <w:p>
            <w:pPr>
              <w:spacing w:after="20"/>
              <w:jc w:val="right"/>
            </w:pPr>
            <w:r>
              <w:rPr>
                <w:color w:val="1C3A36"/>
                <w:sz w:val="14"/>
              </w:rPr>
              <w:t>168.756</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Issued and fully paid capital note (13): EGP 1,687,557,500 divided into 168,755,750 shares of EGP 10 par value, following the July-2025 issue of 20 million new shares approved by the exchange's listing committee on 23 July 2025. The shareholder table in the same note sums to exactly 168,755,750 shares</w:t>
            </w:r>
          </w:p>
        </w:tc>
      </w:tr>
      <w:tr>
        <w:tc>
          <w:tcPr>
            <w:tcW w:type="dxa" w:w="2232"/>
          </w:tcPr>
          <w:p>
            <w:pPr>
              <w:spacing w:after="20"/>
            </w:pPr>
            <w:r>
              <w:rPr>
                <w:color w:val="1C3A36"/>
                <w:sz w:val="14"/>
              </w:rPr>
              <w:t>wavg shares mn</w:t>
            </w:r>
          </w:p>
        </w:tc>
        <w:tc>
          <w:tcPr>
            <w:tcW w:type="dxa" w:w="1512"/>
          </w:tcPr>
          <w:p>
            <w:pPr>
              <w:spacing w:after="20"/>
              <w:jc w:val="right"/>
            </w:pPr>
            <w:r>
              <w:rPr>
                <w:color w:val="1C3A36"/>
                <w:sz w:val="14"/>
              </w:rPr>
              <w:t>162.016</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Weighted average shares outstanding during FY2025, earnings-per-share note (34)</w:t>
            </w:r>
          </w:p>
        </w:tc>
      </w:tr>
      <w:tr>
        <w:tc>
          <w:tcPr>
            <w:tcW w:type="dxa" w:w="2232"/>
          </w:tcPr>
          <w:p>
            <w:pPr>
              <w:spacing w:after="20"/>
            </w:pPr>
            <w:r>
              <w:rPr>
                <w:color w:val="1C3A36"/>
                <w:sz w:val="14"/>
              </w:rPr>
              <w:t>rev fy23</w:t>
            </w:r>
          </w:p>
        </w:tc>
        <w:tc>
          <w:tcPr>
            <w:tcW w:type="dxa" w:w="1512"/>
          </w:tcPr>
          <w:p>
            <w:pPr>
              <w:spacing w:after="20"/>
              <w:jc w:val="right"/>
            </w:pPr>
            <w:r>
              <w:rPr>
                <w:color w:val="1C3A36"/>
                <w:sz w:val="14"/>
              </w:rPr>
              <w:t>5,231.67</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rev fy24</w:t>
            </w:r>
          </w:p>
        </w:tc>
        <w:tc>
          <w:tcPr>
            <w:tcW w:type="dxa" w:w="1512"/>
          </w:tcPr>
          <w:p>
            <w:pPr>
              <w:spacing w:after="20"/>
              <w:jc w:val="right"/>
            </w:pPr>
            <w:r>
              <w:rPr>
                <w:color w:val="1C3A36"/>
                <w:sz w:val="14"/>
              </w:rPr>
              <w:t>7,590.55</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rev fy25</w:t>
            </w:r>
          </w:p>
        </w:tc>
        <w:tc>
          <w:tcPr>
            <w:tcW w:type="dxa" w:w="1512"/>
          </w:tcPr>
          <w:p>
            <w:pPr>
              <w:spacing w:after="20"/>
              <w:jc w:val="right"/>
            </w:pPr>
            <w:r>
              <w:rPr>
                <w:color w:val="1C3A36"/>
                <w:sz w:val="14"/>
              </w:rPr>
              <w:t>9,441.38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cogs fy23</w:t>
            </w:r>
          </w:p>
        </w:tc>
        <w:tc>
          <w:tcPr>
            <w:tcW w:type="dxa" w:w="1512"/>
          </w:tcPr>
          <w:p>
            <w:pPr>
              <w:spacing w:after="20"/>
              <w:jc w:val="right"/>
            </w:pPr>
            <w:r>
              <w:rPr>
                <w:color w:val="1C3A36"/>
                <w:sz w:val="14"/>
              </w:rPr>
              <w:t>2,896.34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cogs fy24</w:t>
            </w:r>
          </w:p>
        </w:tc>
        <w:tc>
          <w:tcPr>
            <w:tcW w:type="dxa" w:w="1512"/>
          </w:tcPr>
          <w:p>
            <w:pPr>
              <w:spacing w:after="20"/>
              <w:jc w:val="right"/>
            </w:pPr>
            <w:r>
              <w:rPr>
                <w:color w:val="1C3A36"/>
                <w:sz w:val="14"/>
              </w:rPr>
              <w:t>4,184.38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cogs fy25</w:t>
            </w:r>
          </w:p>
        </w:tc>
        <w:tc>
          <w:tcPr>
            <w:tcW w:type="dxa" w:w="1512"/>
          </w:tcPr>
          <w:p>
            <w:pPr>
              <w:spacing w:after="20"/>
              <w:jc w:val="right"/>
            </w:pPr>
            <w:r>
              <w:rPr>
                <w:color w:val="1C3A36"/>
                <w:sz w:val="14"/>
              </w:rPr>
              <w:t>5,287.14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mkt fy23</w:t>
            </w:r>
          </w:p>
        </w:tc>
        <w:tc>
          <w:tcPr>
            <w:tcW w:type="dxa" w:w="1512"/>
          </w:tcPr>
          <w:p>
            <w:pPr>
              <w:spacing w:after="20"/>
              <w:jc w:val="right"/>
            </w:pPr>
            <w:r>
              <w:rPr>
                <w:color w:val="1C3A36"/>
                <w:sz w:val="14"/>
              </w:rPr>
              <w:t>648.292</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marketing expenses note</w:t>
            </w:r>
          </w:p>
        </w:tc>
      </w:tr>
      <w:tr>
        <w:tc>
          <w:tcPr>
            <w:tcW w:type="dxa" w:w="2232"/>
          </w:tcPr>
          <w:p>
            <w:pPr>
              <w:spacing w:after="20"/>
            </w:pPr>
            <w:r>
              <w:rPr>
                <w:color w:val="1C3A36"/>
                <w:sz w:val="14"/>
              </w:rPr>
              <w:t>mkt fy24</w:t>
            </w:r>
          </w:p>
        </w:tc>
        <w:tc>
          <w:tcPr>
            <w:tcW w:type="dxa" w:w="1512"/>
          </w:tcPr>
          <w:p>
            <w:pPr>
              <w:spacing w:after="20"/>
              <w:jc w:val="right"/>
            </w:pPr>
            <w:r>
              <w:rPr>
                <w:color w:val="1C3A36"/>
                <w:sz w:val="14"/>
              </w:rPr>
              <w:t>915.021</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marketing expenses note (27)</w:t>
            </w:r>
          </w:p>
        </w:tc>
      </w:tr>
      <w:tr>
        <w:tc>
          <w:tcPr>
            <w:tcW w:type="dxa" w:w="2232"/>
          </w:tcPr>
          <w:p>
            <w:pPr>
              <w:spacing w:after="20"/>
            </w:pPr>
            <w:r>
              <w:rPr>
                <w:color w:val="1C3A36"/>
                <w:sz w:val="14"/>
              </w:rPr>
              <w:t>mkt fy25</w:t>
            </w:r>
          </w:p>
        </w:tc>
        <w:tc>
          <w:tcPr>
            <w:tcW w:type="dxa" w:w="1512"/>
          </w:tcPr>
          <w:p>
            <w:pPr>
              <w:spacing w:after="20"/>
              <w:jc w:val="right"/>
            </w:pPr>
            <w:r>
              <w:rPr>
                <w:color w:val="1C3A36"/>
                <w:sz w:val="14"/>
              </w:rPr>
              <w:t>1,000.13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marketing expenses note (27)</w:t>
            </w:r>
          </w:p>
        </w:tc>
      </w:tr>
      <w:tr>
        <w:tc>
          <w:tcPr>
            <w:tcW w:type="dxa" w:w="2232"/>
          </w:tcPr>
          <w:p>
            <w:pPr>
              <w:spacing w:after="20"/>
            </w:pPr>
            <w:r>
              <w:rPr>
                <w:color w:val="1C3A36"/>
                <w:sz w:val="14"/>
              </w:rPr>
              <w:t>rnd fy23</w:t>
            </w:r>
          </w:p>
        </w:tc>
        <w:tc>
          <w:tcPr>
            <w:tcW w:type="dxa" w:w="1512"/>
          </w:tcPr>
          <w:p>
            <w:pPr>
              <w:spacing w:after="20"/>
              <w:jc w:val="right"/>
            </w:pPr>
            <w:r>
              <w:rPr>
                <w:color w:val="1C3A36"/>
                <w:sz w:val="14"/>
              </w:rPr>
              <w:t>43.2278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research and development note</w:t>
            </w:r>
          </w:p>
        </w:tc>
      </w:tr>
      <w:tr>
        <w:tc>
          <w:tcPr>
            <w:tcW w:type="dxa" w:w="2232"/>
          </w:tcPr>
          <w:p>
            <w:pPr>
              <w:spacing w:after="20"/>
            </w:pPr>
            <w:r>
              <w:rPr>
                <w:color w:val="1C3A36"/>
                <w:sz w:val="14"/>
              </w:rPr>
              <w:t>rnd fy24</w:t>
            </w:r>
          </w:p>
        </w:tc>
        <w:tc>
          <w:tcPr>
            <w:tcW w:type="dxa" w:w="1512"/>
          </w:tcPr>
          <w:p>
            <w:pPr>
              <w:spacing w:after="20"/>
              <w:jc w:val="right"/>
            </w:pPr>
            <w:r>
              <w:rPr>
                <w:color w:val="1C3A36"/>
                <w:sz w:val="14"/>
              </w:rPr>
              <w:t>70.4608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research and development note (28)</w:t>
            </w:r>
          </w:p>
        </w:tc>
      </w:tr>
      <w:tr>
        <w:tc>
          <w:tcPr>
            <w:tcW w:type="dxa" w:w="2232"/>
          </w:tcPr>
          <w:p>
            <w:pPr>
              <w:spacing w:after="20"/>
            </w:pPr>
            <w:r>
              <w:rPr>
                <w:color w:val="1C3A36"/>
                <w:sz w:val="14"/>
              </w:rPr>
              <w:t>rnd fy25</w:t>
            </w:r>
          </w:p>
        </w:tc>
        <w:tc>
          <w:tcPr>
            <w:tcW w:type="dxa" w:w="1512"/>
          </w:tcPr>
          <w:p>
            <w:pPr>
              <w:spacing w:after="20"/>
              <w:jc w:val="right"/>
            </w:pPr>
            <w:r>
              <w:rPr>
                <w:color w:val="1C3A36"/>
                <w:sz w:val="14"/>
              </w:rPr>
              <w:t>70.9359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research and development note (28)</w:t>
            </w:r>
          </w:p>
        </w:tc>
      </w:tr>
      <w:tr>
        <w:tc>
          <w:tcPr>
            <w:tcW w:type="dxa" w:w="2232"/>
          </w:tcPr>
          <w:p>
            <w:pPr>
              <w:spacing w:after="20"/>
            </w:pPr>
            <w:r>
              <w:rPr>
                <w:color w:val="1C3A36"/>
                <w:sz w:val="14"/>
              </w:rPr>
              <w:t>ga fy23</w:t>
            </w:r>
          </w:p>
        </w:tc>
        <w:tc>
          <w:tcPr>
            <w:tcW w:type="dxa" w:w="1512"/>
          </w:tcPr>
          <w:p>
            <w:pPr>
              <w:spacing w:after="20"/>
              <w:jc w:val="right"/>
            </w:pPr>
            <w:r>
              <w:rPr>
                <w:color w:val="1C3A36"/>
                <w:sz w:val="14"/>
              </w:rPr>
              <w:t>147.461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statement of profit or loss for the year ended 31 December 2023, English translation issued by the auditor: general and administrative expenses note (30). The Arabic annual report presents this line at 151.585 with dividend-distribution tax folded into it; the separately issued statements split the two, and this study follows the split</w:t>
            </w:r>
          </w:p>
        </w:tc>
      </w:tr>
      <w:tr>
        <w:tc>
          <w:tcPr>
            <w:tcW w:type="dxa" w:w="2232"/>
          </w:tcPr>
          <w:p>
            <w:pPr>
              <w:spacing w:after="20"/>
            </w:pPr>
            <w:r>
              <w:rPr>
                <w:color w:val="1C3A36"/>
                <w:sz w:val="14"/>
              </w:rPr>
              <w:t>ga fy24</w:t>
            </w:r>
          </w:p>
        </w:tc>
        <w:tc>
          <w:tcPr>
            <w:tcW w:type="dxa" w:w="1512"/>
          </w:tcPr>
          <w:p>
            <w:pPr>
              <w:spacing w:after="20"/>
              <w:jc w:val="right"/>
            </w:pPr>
            <w:r>
              <w:rPr>
                <w:color w:val="1C3A36"/>
                <w:sz w:val="14"/>
              </w:rPr>
              <w:t>188.493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general and administrative note (29)</w:t>
            </w:r>
          </w:p>
        </w:tc>
      </w:tr>
      <w:tr>
        <w:tc>
          <w:tcPr>
            <w:tcW w:type="dxa" w:w="2232"/>
          </w:tcPr>
          <w:p>
            <w:pPr>
              <w:spacing w:after="20"/>
            </w:pPr>
            <w:r>
              <w:rPr>
                <w:color w:val="1C3A36"/>
                <w:sz w:val="14"/>
              </w:rPr>
              <w:t>ga fy25</w:t>
            </w:r>
          </w:p>
        </w:tc>
        <w:tc>
          <w:tcPr>
            <w:tcW w:type="dxa" w:w="1512"/>
          </w:tcPr>
          <w:p>
            <w:pPr>
              <w:spacing w:after="20"/>
              <w:jc w:val="right"/>
            </w:pPr>
            <w:r>
              <w:rPr>
                <w:color w:val="1C3A36"/>
                <w:sz w:val="14"/>
              </w:rPr>
              <w:t>221.137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general and administrative note (29)</w:t>
            </w:r>
          </w:p>
        </w:tc>
      </w:tr>
      <w:tr>
        <w:tc>
          <w:tcPr>
            <w:tcW w:type="dxa" w:w="2232"/>
          </w:tcPr>
          <w:p>
            <w:pPr>
              <w:spacing w:after="20"/>
            </w:pPr>
            <w:r>
              <w:rPr>
                <w:color w:val="1C3A36"/>
                <w:sz w:val="14"/>
              </w:rPr>
              <w:t>board fy23</w:t>
            </w:r>
          </w:p>
        </w:tc>
        <w:tc>
          <w:tcPr>
            <w:tcW w:type="dxa" w:w="1512"/>
          </w:tcPr>
          <w:p>
            <w:pPr>
              <w:spacing w:after="20"/>
              <w:jc w:val="right"/>
            </w:pPr>
            <w:r>
              <w:rPr>
                <w:color w:val="1C3A36"/>
                <w:sz w:val="14"/>
              </w:rPr>
              <w:t>2.02</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board fy24</w:t>
            </w:r>
          </w:p>
        </w:tc>
        <w:tc>
          <w:tcPr>
            <w:tcW w:type="dxa" w:w="1512"/>
          </w:tcPr>
          <w:p>
            <w:pPr>
              <w:spacing w:after="20"/>
              <w:jc w:val="right"/>
            </w:pPr>
            <w:r>
              <w:rPr>
                <w:color w:val="1C3A36"/>
                <w:sz w:val="14"/>
              </w:rPr>
              <w:t>1.58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board fy25</w:t>
            </w:r>
          </w:p>
        </w:tc>
        <w:tc>
          <w:tcPr>
            <w:tcW w:type="dxa" w:w="1512"/>
          </w:tcPr>
          <w:p>
            <w:pPr>
              <w:spacing w:after="20"/>
              <w:jc w:val="right"/>
            </w:pPr>
            <w:r>
              <w:rPr>
                <w:color w:val="1C3A36"/>
                <w:sz w:val="14"/>
              </w:rPr>
              <w:t>1.828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prov fy23</w:t>
            </w:r>
          </w:p>
        </w:tc>
        <w:tc>
          <w:tcPr>
            <w:tcW w:type="dxa" w:w="1512"/>
          </w:tcPr>
          <w:p>
            <w:pPr>
              <w:spacing w:after="20"/>
              <w:jc w:val="right"/>
            </w:pPr>
            <w:r>
              <w:rPr>
                <w:color w:val="1C3A36"/>
                <w:sz w:val="14"/>
              </w:rPr>
              <w:t>265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expected credit losses 39.0, inventory impairment 87.0, other provisions 139.0</w:t>
            </w:r>
          </w:p>
        </w:tc>
      </w:tr>
      <w:tr>
        <w:tc>
          <w:tcPr>
            <w:tcW w:type="dxa" w:w="2232"/>
          </w:tcPr>
          <w:p>
            <w:pPr>
              <w:spacing w:after="20"/>
            </w:pPr>
            <w:r>
              <w:rPr>
                <w:color w:val="1C3A36"/>
                <w:sz w:val="14"/>
              </w:rPr>
              <w:t>prov fy24</w:t>
            </w:r>
          </w:p>
        </w:tc>
        <w:tc>
          <w:tcPr>
            <w:tcW w:type="dxa" w:w="1512"/>
          </w:tcPr>
          <w:p>
            <w:pPr>
              <w:spacing w:after="20"/>
              <w:jc w:val="right"/>
            </w:pPr>
            <w:r>
              <w:rPr>
                <w:color w:val="1C3A36"/>
                <w:sz w:val="14"/>
              </w:rPr>
              <w:t>702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expected credit losses 330.0, inventory impairment 60.0, other provisions 312.0 (note 31: disputed taxes 180.0, claims 50.0, end-of-service 82.0)</w:t>
            </w:r>
          </w:p>
        </w:tc>
      </w:tr>
      <w:tr>
        <w:tc>
          <w:tcPr>
            <w:tcW w:type="dxa" w:w="2232"/>
          </w:tcPr>
          <w:p>
            <w:pPr>
              <w:spacing w:after="20"/>
            </w:pPr>
            <w:r>
              <w:rPr>
                <w:color w:val="1C3A36"/>
                <w:sz w:val="14"/>
              </w:rPr>
              <w:t>prov fy25</w:t>
            </w:r>
          </w:p>
        </w:tc>
        <w:tc>
          <w:tcPr>
            <w:tcW w:type="dxa" w:w="1512"/>
          </w:tcPr>
          <w:p>
            <w:pPr>
              <w:spacing w:after="20"/>
              <w:jc w:val="right"/>
            </w:pPr>
            <w:r>
              <w:rPr>
                <w:color w:val="1C3A36"/>
                <w:sz w:val="14"/>
              </w:rPr>
              <w:t>494.218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expected credit losses 376.158, inventory impairment 13.061, other provisions 105.0 (note 31: disputed taxes 18.5, claims 1.5, end-of-service 85.0)</w:t>
            </w:r>
          </w:p>
        </w:tc>
      </w:tr>
      <w:tr>
        <w:tc>
          <w:tcPr>
            <w:tcW w:type="dxa" w:w="2232"/>
          </w:tcPr>
          <w:p>
            <w:pPr>
              <w:spacing w:after="20"/>
            </w:pPr>
            <w:r>
              <w:rPr>
                <w:color w:val="1C3A36"/>
                <w:sz w:val="14"/>
              </w:rPr>
              <w:t>fin fy23</w:t>
            </w:r>
          </w:p>
        </w:tc>
        <w:tc>
          <w:tcPr>
            <w:tcW w:type="dxa" w:w="1512"/>
          </w:tcPr>
          <w:p>
            <w:pPr>
              <w:spacing w:after="20"/>
              <w:jc w:val="right"/>
            </w:pPr>
            <w:r>
              <w:rPr>
                <w:color w:val="1C3A36"/>
                <w:sz w:val="14"/>
              </w:rPr>
              <w:t>407.705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finance costs note</w:t>
            </w:r>
          </w:p>
        </w:tc>
      </w:tr>
      <w:tr>
        <w:tc>
          <w:tcPr>
            <w:tcW w:type="dxa" w:w="2232"/>
          </w:tcPr>
          <w:p>
            <w:pPr>
              <w:spacing w:after="20"/>
            </w:pPr>
            <w:r>
              <w:rPr>
                <w:color w:val="1C3A36"/>
                <w:sz w:val="14"/>
              </w:rPr>
              <w:t>fin fy24</w:t>
            </w:r>
          </w:p>
        </w:tc>
        <w:tc>
          <w:tcPr>
            <w:tcW w:type="dxa" w:w="1512"/>
          </w:tcPr>
          <w:p>
            <w:pPr>
              <w:spacing w:after="20"/>
              <w:jc w:val="right"/>
            </w:pPr>
            <w:r>
              <w:rPr>
                <w:color w:val="1C3A36"/>
                <w:sz w:val="14"/>
              </w:rPr>
              <w:t>960.132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finance costs note (30)</w:t>
            </w:r>
          </w:p>
        </w:tc>
      </w:tr>
      <w:tr>
        <w:tc>
          <w:tcPr>
            <w:tcW w:type="dxa" w:w="2232"/>
          </w:tcPr>
          <w:p>
            <w:pPr>
              <w:spacing w:after="20"/>
            </w:pPr>
            <w:r>
              <w:rPr>
                <w:color w:val="1C3A36"/>
                <w:sz w:val="14"/>
              </w:rPr>
              <w:t>fin fy25</w:t>
            </w:r>
          </w:p>
        </w:tc>
        <w:tc>
          <w:tcPr>
            <w:tcW w:type="dxa" w:w="1512"/>
          </w:tcPr>
          <w:p>
            <w:pPr>
              <w:spacing w:after="20"/>
              <w:jc w:val="right"/>
            </w:pPr>
            <w:r>
              <w:rPr>
                <w:color w:val="1C3A36"/>
                <w:sz w:val="14"/>
              </w:rPr>
              <w:t>1,332.95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finance costs note (30): interest on credit facilities 1,275.312 plus bank commissions and charges 57.634</w:t>
            </w:r>
          </w:p>
        </w:tc>
      </w:tr>
      <w:tr>
        <w:tc>
          <w:tcPr>
            <w:tcW w:type="dxa" w:w="2232"/>
          </w:tcPr>
          <w:p>
            <w:pPr>
              <w:spacing w:after="20"/>
            </w:pPr>
            <w:r>
              <w:rPr>
                <w:color w:val="1C3A36"/>
                <w:sz w:val="14"/>
              </w:rPr>
              <w:t>assoc fy23</w:t>
            </w:r>
          </w:p>
        </w:tc>
        <w:tc>
          <w:tcPr>
            <w:tcW w:type="dxa" w:w="1512"/>
          </w:tcPr>
          <w:p>
            <w:pPr>
              <w:spacing w:after="20"/>
              <w:jc w:val="right"/>
            </w:pPr>
            <w:r>
              <w:rPr>
                <w:color w:val="1C3A36"/>
                <w:sz w:val="14"/>
              </w:rPr>
              <w:t>74.5084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share of results of subsidiaries and associates</w:t>
            </w:r>
          </w:p>
        </w:tc>
      </w:tr>
      <w:tr>
        <w:tc>
          <w:tcPr>
            <w:tcW w:type="dxa" w:w="2232"/>
          </w:tcPr>
          <w:p>
            <w:pPr>
              <w:spacing w:after="20"/>
            </w:pPr>
            <w:r>
              <w:rPr>
                <w:color w:val="1C3A36"/>
                <w:sz w:val="14"/>
              </w:rPr>
              <w:t>assoc fy24</w:t>
            </w:r>
          </w:p>
        </w:tc>
        <w:tc>
          <w:tcPr>
            <w:tcW w:type="dxa" w:w="1512"/>
          </w:tcPr>
          <w:p>
            <w:pPr>
              <w:spacing w:after="20"/>
              <w:jc w:val="right"/>
            </w:pPr>
            <w:r>
              <w:rPr>
                <w:color w:val="1C3A36"/>
                <w:sz w:val="14"/>
              </w:rPr>
              <w:t>151.581</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statement of profit or loss FY2024, English translation issued by the auditor: profit of subsidiaries and associates. GROSS of dividend-distribution tax, which that statement shows on its own line; the Arabic annual report nets the two to 147.112</w:t>
            </w:r>
          </w:p>
        </w:tc>
      </w:tr>
      <w:tr>
        <w:tc>
          <w:tcPr>
            <w:tcW w:type="dxa" w:w="2232"/>
          </w:tcPr>
          <w:p>
            <w:pPr>
              <w:spacing w:after="20"/>
            </w:pPr>
            <w:r>
              <w:rPr>
                <w:color w:val="1C3A36"/>
                <w:sz w:val="14"/>
              </w:rPr>
              <w:t>assoc fy25</w:t>
            </w:r>
          </w:p>
        </w:tc>
        <w:tc>
          <w:tcPr>
            <w:tcW w:type="dxa" w:w="1512"/>
          </w:tcPr>
          <w:p>
            <w:pPr>
              <w:spacing w:after="20"/>
              <w:jc w:val="right"/>
            </w:pPr>
            <w:r>
              <w:rPr>
                <w:color w:val="1C3A36"/>
                <w:sz w:val="14"/>
              </w:rPr>
              <w:t>512.085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(33): Batterjee Pharma (Saudi Arabia) 427.906 plus Medical Professions Company 84.179, stated GROSS of the 16.585 withholding tax on distributions so that all three years are presented on the same basis as the separately issued statements</w:t>
            </w:r>
          </w:p>
        </w:tc>
      </w:tr>
      <w:tr>
        <w:tc>
          <w:tcPr>
            <w:tcW w:type="dxa" w:w="2232"/>
          </w:tcPr>
          <w:p>
            <w:pPr>
              <w:spacing w:after="20"/>
            </w:pPr>
            <w:r>
              <w:rPr>
                <w:color w:val="1C3A36"/>
                <w:sz w:val="14"/>
              </w:rPr>
              <w:t>divtax fy23</w:t>
            </w:r>
          </w:p>
        </w:tc>
        <w:tc>
          <w:tcPr>
            <w:tcW w:type="dxa" w:w="1512"/>
          </w:tcPr>
          <w:p>
            <w:pPr>
              <w:spacing w:after="20"/>
              <w:jc w:val="right"/>
            </w:pPr>
            <w:r>
              <w:rPr>
                <w:color w:val="1C3A36"/>
                <w:sz w:val="14"/>
              </w:rPr>
              <w:t>4.12373</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Dividend-distribution tax, shown as its own line in the separately issued audited consolidated statement of profit or loss FY2023</w:t>
            </w:r>
          </w:p>
        </w:tc>
      </w:tr>
      <w:tr>
        <w:tc>
          <w:tcPr>
            <w:tcW w:type="dxa" w:w="2232"/>
          </w:tcPr>
          <w:p>
            <w:pPr>
              <w:spacing w:after="20"/>
            </w:pPr>
            <w:r>
              <w:rPr>
                <w:color w:val="1C3A36"/>
                <w:sz w:val="14"/>
              </w:rPr>
              <w:t>divtax fy24</w:t>
            </w:r>
          </w:p>
        </w:tc>
        <w:tc>
          <w:tcPr>
            <w:tcW w:type="dxa" w:w="1512"/>
          </w:tcPr>
          <w:p>
            <w:pPr>
              <w:spacing w:after="20"/>
              <w:jc w:val="right"/>
            </w:pPr>
            <w:r>
              <w:rPr>
                <w:color w:val="1C3A36"/>
                <w:sz w:val="14"/>
              </w:rPr>
              <w:t>4.46893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Dividend-distribution tax, separately issued audited consolidated statement of profit or loss FY2024</w:t>
            </w:r>
          </w:p>
        </w:tc>
      </w:tr>
      <w:tr>
        <w:tc>
          <w:tcPr>
            <w:tcW w:type="dxa" w:w="2232"/>
          </w:tcPr>
          <w:p>
            <w:pPr>
              <w:spacing w:after="20"/>
            </w:pPr>
            <w:r>
              <w:rPr>
                <w:color w:val="1C3A36"/>
                <w:sz w:val="14"/>
              </w:rPr>
              <w:t>divtax fy25</w:t>
            </w:r>
          </w:p>
        </w:tc>
        <w:tc>
          <w:tcPr>
            <w:tcW w:type="dxa" w:w="1512"/>
          </w:tcPr>
          <w:p>
            <w:pPr>
              <w:spacing w:after="20"/>
              <w:jc w:val="right"/>
            </w:pPr>
            <w:r>
              <w:rPr>
                <w:color w:val="1C3A36"/>
                <w:sz w:val="14"/>
              </w:rPr>
              <w:t>16.5854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(33): withholding tax on associate distributions</w:t>
            </w:r>
          </w:p>
        </w:tc>
      </w:tr>
      <w:tr>
        <w:tc>
          <w:tcPr>
            <w:tcW w:type="dxa" w:w="2232"/>
          </w:tcPr>
          <w:p>
            <w:pPr>
              <w:spacing w:after="20"/>
            </w:pPr>
            <w:r>
              <w:rPr>
                <w:color w:val="1C3A36"/>
                <w:sz w:val="14"/>
              </w:rPr>
              <w:t>intinc fy23</w:t>
            </w:r>
          </w:p>
        </w:tc>
        <w:tc>
          <w:tcPr>
            <w:tcW w:type="dxa" w:w="1512"/>
          </w:tcPr>
          <w:p>
            <w:pPr>
              <w:spacing w:after="20"/>
              <w:jc w:val="right"/>
            </w:pPr>
            <w:r>
              <w:rPr>
                <w:color w:val="1C3A36"/>
                <w:sz w:val="14"/>
              </w:rPr>
              <w:t>26.2435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intinc fy24</w:t>
            </w:r>
          </w:p>
        </w:tc>
        <w:tc>
          <w:tcPr>
            <w:tcW w:type="dxa" w:w="1512"/>
          </w:tcPr>
          <w:p>
            <w:pPr>
              <w:spacing w:after="20"/>
              <w:jc w:val="right"/>
            </w:pPr>
            <w:r>
              <w:rPr>
                <w:color w:val="1C3A36"/>
                <w:sz w:val="14"/>
              </w:rPr>
              <w:t>72.0484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intinc fy25</w:t>
            </w:r>
          </w:p>
        </w:tc>
        <w:tc>
          <w:tcPr>
            <w:tcW w:type="dxa" w:w="1512"/>
          </w:tcPr>
          <w:p>
            <w:pPr>
              <w:spacing w:after="20"/>
              <w:jc w:val="right"/>
            </w:pPr>
            <w:r>
              <w:rPr>
                <w:color w:val="1C3A36"/>
                <w:sz w:val="14"/>
              </w:rPr>
              <w:t>139.674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fx fy23</w:t>
            </w:r>
          </w:p>
        </w:tc>
        <w:tc>
          <w:tcPr>
            <w:tcW w:type="dxa" w:w="1512"/>
          </w:tcPr>
          <w:p>
            <w:pPr>
              <w:spacing w:after="20"/>
              <w:jc w:val="right"/>
            </w:pPr>
            <w:r>
              <w:rPr>
                <w:color w:val="1C3A36"/>
                <w:sz w:val="14"/>
              </w:rPr>
              <w:t>139.626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foreign-exchange differences</w:t>
            </w:r>
          </w:p>
        </w:tc>
      </w:tr>
      <w:tr>
        <w:tc>
          <w:tcPr>
            <w:tcW w:type="dxa" w:w="2232"/>
          </w:tcPr>
          <w:p>
            <w:pPr>
              <w:spacing w:after="20"/>
            </w:pPr>
            <w:r>
              <w:rPr>
                <w:color w:val="1C3A36"/>
                <w:sz w:val="14"/>
              </w:rPr>
              <w:t>fx fy24</w:t>
            </w:r>
          </w:p>
        </w:tc>
        <w:tc>
          <w:tcPr>
            <w:tcW w:type="dxa" w:w="1512"/>
          </w:tcPr>
          <w:p>
            <w:pPr>
              <w:spacing w:after="20"/>
              <w:jc w:val="right"/>
            </w:pPr>
            <w:r>
              <w:rPr>
                <w:color w:val="1C3A36"/>
                <w:sz w:val="14"/>
              </w:rPr>
              <w:t>699.88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foreign-exchange differences</w:t>
            </w:r>
          </w:p>
        </w:tc>
      </w:tr>
      <w:tr>
        <w:tc>
          <w:tcPr>
            <w:tcW w:type="dxa" w:w="2232"/>
          </w:tcPr>
          <w:p>
            <w:pPr>
              <w:spacing w:after="20"/>
            </w:pPr>
            <w:r>
              <w:rPr>
                <w:color w:val="1C3A36"/>
                <w:sz w:val="14"/>
              </w:rPr>
              <w:t>fx fy25</w:t>
            </w:r>
          </w:p>
        </w:tc>
        <w:tc>
          <w:tcPr>
            <w:tcW w:type="dxa" w:w="1512"/>
          </w:tcPr>
          <w:p>
            <w:pPr>
              <w:spacing w:after="20"/>
              <w:jc w:val="right"/>
            </w:pPr>
            <w:r>
              <w:rPr>
                <w:color w:val="1C3A36"/>
                <w:sz w:val="14"/>
              </w:rPr>
              <w:t>-16.1683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foreign-exchange differences</w:t>
            </w:r>
          </w:p>
        </w:tc>
      </w:tr>
      <w:tr>
        <w:tc>
          <w:tcPr>
            <w:tcW w:type="dxa" w:w="2232"/>
          </w:tcPr>
          <w:p>
            <w:pPr>
              <w:spacing w:after="20"/>
            </w:pPr>
            <w:r>
              <w:rPr>
                <w:color w:val="1C3A36"/>
                <w:sz w:val="14"/>
              </w:rPr>
              <w:t>othinc fy23</w:t>
            </w:r>
          </w:p>
        </w:tc>
        <w:tc>
          <w:tcPr>
            <w:tcW w:type="dxa" w:w="1512"/>
          </w:tcPr>
          <w:p>
            <w:pPr>
              <w:spacing w:after="20"/>
              <w:jc w:val="right"/>
            </w:pPr>
            <w:r>
              <w:rPr>
                <w:color w:val="1C3A36"/>
                <w:sz w:val="14"/>
              </w:rPr>
              <w:t>25.3848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other income 20.695 plus capital gains 4.689</w:t>
            </w:r>
          </w:p>
        </w:tc>
      </w:tr>
      <w:tr>
        <w:tc>
          <w:tcPr>
            <w:tcW w:type="dxa" w:w="2232"/>
          </w:tcPr>
          <w:p>
            <w:pPr>
              <w:spacing w:after="20"/>
            </w:pPr>
            <w:r>
              <w:rPr>
                <w:color w:val="1C3A36"/>
                <w:sz w:val="14"/>
              </w:rPr>
              <w:t>othinc fy24</w:t>
            </w:r>
          </w:p>
        </w:tc>
        <w:tc>
          <w:tcPr>
            <w:tcW w:type="dxa" w:w="1512"/>
          </w:tcPr>
          <w:p>
            <w:pPr>
              <w:spacing w:after="20"/>
              <w:jc w:val="right"/>
            </w:pPr>
            <w:r>
              <w:rPr>
                <w:color w:val="1C3A36"/>
                <w:sz w:val="14"/>
              </w:rPr>
              <w:t>42.854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other income 42.632 plus capital gains 0.222</w:t>
            </w:r>
          </w:p>
        </w:tc>
      </w:tr>
      <w:tr>
        <w:tc>
          <w:tcPr>
            <w:tcW w:type="dxa" w:w="2232"/>
          </w:tcPr>
          <w:p>
            <w:pPr>
              <w:spacing w:after="20"/>
            </w:pPr>
            <w:r>
              <w:rPr>
                <w:color w:val="1C3A36"/>
                <w:sz w:val="14"/>
              </w:rPr>
              <w:t>othinc fy25</w:t>
            </w:r>
          </w:p>
        </w:tc>
        <w:tc>
          <w:tcPr>
            <w:tcW w:type="dxa" w:w="1512"/>
          </w:tcPr>
          <w:p>
            <w:pPr>
              <w:spacing w:after="20"/>
              <w:jc w:val="right"/>
            </w:pPr>
            <w:r>
              <w:rPr>
                <w:color w:val="1C3A36"/>
                <w:sz w:val="14"/>
              </w:rPr>
              <w:t>143.853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other income 142.090 plus capital gains 1.764</w:t>
            </w:r>
          </w:p>
        </w:tc>
      </w:tr>
      <w:tr>
        <w:tc>
          <w:tcPr>
            <w:tcW w:type="dxa" w:w="2232"/>
          </w:tcPr>
          <w:p>
            <w:pPr>
              <w:spacing w:after="20"/>
            </w:pPr>
            <w:r>
              <w:rPr>
                <w:color w:val="1C3A36"/>
                <w:sz w:val="14"/>
              </w:rPr>
              <w:t>pbt fy23</w:t>
            </w:r>
          </w:p>
        </w:tc>
        <w:tc>
          <w:tcPr>
            <w:tcW w:type="dxa" w:w="1512"/>
          </w:tcPr>
          <w:p>
            <w:pPr>
              <w:spacing w:after="20"/>
              <w:jc w:val="right"/>
            </w:pPr>
            <w:r>
              <w:rPr>
                <w:color w:val="1C3A36"/>
                <w:sz w:val="14"/>
              </w:rPr>
              <w:t>1,083.26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pbt fy24</w:t>
            </w:r>
          </w:p>
        </w:tc>
        <w:tc>
          <w:tcPr>
            <w:tcW w:type="dxa" w:w="1512"/>
          </w:tcPr>
          <w:p>
            <w:pPr>
              <w:spacing w:after="20"/>
              <w:jc w:val="right"/>
            </w:pPr>
            <w:r>
              <w:rPr>
                <w:color w:val="1C3A36"/>
                <w:sz w:val="14"/>
              </w:rPr>
              <w:t>1,530.37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pbt fy25</w:t>
            </w:r>
          </w:p>
        </w:tc>
        <w:tc>
          <w:tcPr>
            <w:tcW w:type="dxa" w:w="1512"/>
          </w:tcPr>
          <w:p>
            <w:pPr>
              <w:spacing w:after="20"/>
              <w:jc w:val="right"/>
            </w:pPr>
            <w:r>
              <w:rPr>
                <w:color w:val="1C3A36"/>
                <w:sz w:val="14"/>
              </w:rPr>
              <w:t>1,795.9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taxtot fy23</w:t>
            </w:r>
          </w:p>
        </w:tc>
        <w:tc>
          <w:tcPr>
            <w:tcW w:type="dxa" w:w="1512"/>
          </w:tcPr>
          <w:p>
            <w:pPr>
              <w:spacing w:after="20"/>
              <w:jc w:val="right"/>
            </w:pPr>
            <w:r>
              <w:rPr>
                <w:color w:val="1C3A36"/>
                <w:sz w:val="14"/>
              </w:rPr>
              <w:t>259.949</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current tax 249.772, deferred tax credit 4.148, statutory solidarity contribution 14.324</w:t>
            </w:r>
          </w:p>
        </w:tc>
      </w:tr>
      <w:tr>
        <w:tc>
          <w:tcPr>
            <w:tcW w:type="dxa" w:w="2232"/>
          </w:tcPr>
          <w:p>
            <w:pPr>
              <w:spacing w:after="20"/>
            </w:pPr>
            <w:r>
              <w:rPr>
                <w:color w:val="1C3A36"/>
                <w:sz w:val="14"/>
              </w:rPr>
              <w:t>taxtot fy24</w:t>
            </w:r>
          </w:p>
        </w:tc>
        <w:tc>
          <w:tcPr>
            <w:tcW w:type="dxa" w:w="1512"/>
          </w:tcPr>
          <w:p>
            <w:pPr>
              <w:spacing w:after="20"/>
              <w:jc w:val="right"/>
            </w:pPr>
            <w:r>
              <w:rPr>
                <w:color w:val="1C3A36"/>
                <w:sz w:val="14"/>
              </w:rPr>
              <w:t>433.446</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current tax 430.792, deferred tax credit 18.964, statutory solidarity contribution 21.619</w:t>
            </w:r>
          </w:p>
        </w:tc>
      </w:tr>
      <w:tr>
        <w:tc>
          <w:tcPr>
            <w:tcW w:type="dxa" w:w="2232"/>
          </w:tcPr>
          <w:p>
            <w:pPr>
              <w:spacing w:after="20"/>
            </w:pPr>
            <w:r>
              <w:rPr>
                <w:color w:val="1C3A36"/>
                <w:sz w:val="14"/>
              </w:rPr>
              <w:t>taxtot fy25</w:t>
            </w:r>
          </w:p>
        </w:tc>
        <w:tc>
          <w:tcPr>
            <w:tcW w:type="dxa" w:w="1512"/>
          </w:tcPr>
          <w:p>
            <w:pPr>
              <w:spacing w:after="20"/>
              <w:jc w:val="right"/>
            </w:pPr>
            <w:r>
              <w:rPr>
                <w:color w:val="1C3A36"/>
                <w:sz w:val="14"/>
              </w:rPr>
              <w:t>338.009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current tax 421.702, deferred tax credit 108.663, statutory solidarity contribution 24.970</w:t>
            </w:r>
          </w:p>
        </w:tc>
      </w:tr>
      <w:tr>
        <w:tc>
          <w:tcPr>
            <w:tcW w:type="dxa" w:w="2232"/>
          </w:tcPr>
          <w:p>
            <w:pPr>
              <w:spacing w:after="20"/>
            </w:pPr>
            <w:r>
              <w:rPr>
                <w:color w:val="1C3A36"/>
                <w:sz w:val="14"/>
              </w:rPr>
              <w:t>np fy23</w:t>
            </w:r>
          </w:p>
        </w:tc>
        <w:tc>
          <w:tcPr>
            <w:tcW w:type="dxa" w:w="1512"/>
          </w:tcPr>
          <w:p>
            <w:pPr>
              <w:spacing w:after="20"/>
              <w:jc w:val="right"/>
            </w:pPr>
            <w:r>
              <w:rPr>
                <w:color w:val="1C3A36"/>
                <w:sz w:val="14"/>
              </w:rPr>
              <w:t>823.306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profit for the year</w:t>
            </w:r>
          </w:p>
        </w:tc>
      </w:tr>
      <w:tr>
        <w:tc>
          <w:tcPr>
            <w:tcW w:type="dxa" w:w="2232"/>
          </w:tcPr>
          <w:p>
            <w:pPr>
              <w:spacing w:after="20"/>
            </w:pPr>
            <w:r>
              <w:rPr>
                <w:color w:val="1C3A36"/>
                <w:sz w:val="14"/>
              </w:rPr>
              <w:t>np fy24</w:t>
            </w:r>
          </w:p>
        </w:tc>
        <w:tc>
          <w:tcPr>
            <w:tcW w:type="dxa" w:w="1512"/>
          </w:tcPr>
          <w:p>
            <w:pPr>
              <w:spacing w:after="20"/>
              <w:jc w:val="right"/>
            </w:pPr>
            <w:r>
              <w:rPr>
                <w:color w:val="1C3A36"/>
                <w:sz w:val="14"/>
              </w:rPr>
              <w:t>1,096.92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profit for the year</w:t>
            </w:r>
          </w:p>
        </w:tc>
      </w:tr>
      <w:tr>
        <w:tc>
          <w:tcPr>
            <w:tcW w:type="dxa" w:w="2232"/>
          </w:tcPr>
          <w:p>
            <w:pPr>
              <w:spacing w:after="20"/>
            </w:pPr>
            <w:r>
              <w:rPr>
                <w:color w:val="1C3A36"/>
                <w:sz w:val="14"/>
              </w:rPr>
              <w:t>np fy25</w:t>
            </w:r>
          </w:p>
        </w:tc>
        <w:tc>
          <w:tcPr>
            <w:tcW w:type="dxa" w:w="1512"/>
          </w:tcPr>
          <w:p>
            <w:pPr>
              <w:spacing w:after="20"/>
              <w:jc w:val="right"/>
            </w:pPr>
            <w:r>
              <w:rPr>
                <w:color w:val="1C3A36"/>
                <w:sz w:val="14"/>
              </w:rPr>
              <w:t>1,457.89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profit for the year</w:t>
            </w:r>
          </w:p>
        </w:tc>
      </w:tr>
      <w:tr>
        <w:tc>
          <w:tcPr>
            <w:tcW w:type="dxa" w:w="2232"/>
          </w:tcPr>
          <w:p>
            <w:pPr>
              <w:spacing w:after="20"/>
            </w:pPr>
            <w:r>
              <w:rPr>
                <w:color w:val="1C3A36"/>
                <w:sz w:val="14"/>
              </w:rPr>
              <w:t>parent fy22</w:t>
            </w:r>
          </w:p>
        </w:tc>
        <w:tc>
          <w:tcPr>
            <w:tcW w:type="dxa" w:w="1512"/>
          </w:tcPr>
          <w:p>
            <w:pPr>
              <w:spacing w:after="20"/>
              <w:jc w:val="right"/>
            </w:pPr>
            <w:r>
              <w:rPr>
                <w:color w:val="1C3A36"/>
                <w:sz w:val="14"/>
              </w:rPr>
              <w:t>587.041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FY2022, profit attributable to the holding company (587.041) — read from the comparative column of the FY2023 filing</w:t>
            </w:r>
          </w:p>
        </w:tc>
      </w:tr>
      <w:tr>
        <w:tc>
          <w:tcPr>
            <w:tcW w:type="dxa" w:w="2232"/>
          </w:tcPr>
          <w:p>
            <w:pPr>
              <w:spacing w:after="20"/>
            </w:pPr>
            <w:r>
              <w:rPr>
                <w:color w:val="1C3A36"/>
                <w:sz w:val="14"/>
              </w:rPr>
              <w:t>parent fy23</w:t>
            </w:r>
          </w:p>
        </w:tc>
        <w:tc>
          <w:tcPr>
            <w:tcW w:type="dxa" w:w="1512"/>
          </w:tcPr>
          <w:p>
            <w:pPr>
              <w:spacing w:after="20"/>
              <w:jc w:val="right"/>
            </w:pPr>
            <w:r>
              <w:rPr>
                <w:color w:val="1C3A36"/>
                <w:sz w:val="14"/>
              </w:rPr>
              <w:t>822.318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profit attributable to the holding company (751.218 parent plus 71.099 the holding company's share of the subsidiary)</w:t>
            </w:r>
          </w:p>
        </w:tc>
      </w:tr>
      <w:tr>
        <w:tc>
          <w:tcPr>
            <w:tcW w:type="dxa" w:w="2232"/>
          </w:tcPr>
          <w:p>
            <w:pPr>
              <w:spacing w:after="20"/>
            </w:pPr>
            <w:r>
              <w:rPr>
                <w:color w:val="1C3A36"/>
                <w:sz w:val="14"/>
              </w:rPr>
              <w:t>parent fy24</w:t>
            </w:r>
          </w:p>
        </w:tc>
        <w:tc>
          <w:tcPr>
            <w:tcW w:type="dxa" w:w="1512"/>
          </w:tcPr>
          <w:p>
            <w:pPr>
              <w:spacing w:after="20"/>
              <w:jc w:val="right"/>
            </w:pPr>
            <w:r>
              <w:rPr>
                <w:color w:val="1C3A36"/>
                <w:sz w:val="14"/>
              </w:rPr>
              <w:t>1,095.72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profit attributable to the holding company</w:t>
            </w:r>
          </w:p>
        </w:tc>
      </w:tr>
      <w:tr>
        <w:tc>
          <w:tcPr>
            <w:tcW w:type="dxa" w:w="2232"/>
          </w:tcPr>
          <w:p>
            <w:pPr>
              <w:spacing w:after="20"/>
            </w:pPr>
            <w:r>
              <w:rPr>
                <w:color w:val="1C3A36"/>
                <w:sz w:val="14"/>
              </w:rPr>
              <w:t>parent fy25</w:t>
            </w:r>
          </w:p>
        </w:tc>
        <w:tc>
          <w:tcPr>
            <w:tcW w:type="dxa" w:w="1512"/>
          </w:tcPr>
          <w:p>
            <w:pPr>
              <w:spacing w:after="20"/>
              <w:jc w:val="right"/>
            </w:pPr>
            <w:r>
              <w:rPr>
                <w:color w:val="1C3A36"/>
                <w:sz w:val="14"/>
              </w:rPr>
              <w:t>1,441.66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profit attributable to the holding company (1,352.285 parent plus 89.373 the holding company's share of the subsidiary); reported earnings per share EGP 8.89</w:t>
            </w:r>
          </w:p>
        </w:tc>
      </w:tr>
      <w:tr>
        <w:tc>
          <w:tcPr>
            <w:tcW w:type="dxa" w:w="2232"/>
          </w:tcPr>
          <w:p>
            <w:pPr>
              <w:spacing w:after="20"/>
            </w:pPr>
            <w:r>
              <w:rPr>
                <w:color w:val="1C3A36"/>
                <w:sz w:val="14"/>
              </w:rPr>
              <w:t>dna fy23</w:t>
            </w:r>
          </w:p>
        </w:tc>
        <w:tc>
          <w:tcPr>
            <w:tcW w:type="dxa" w:w="1512"/>
          </w:tcPr>
          <w:p>
            <w:pPr>
              <w:spacing w:after="20"/>
              <w:jc w:val="right"/>
            </w:pPr>
            <w:r>
              <w:rPr>
                <w:color w:val="1C3A36"/>
                <w:sz w:val="14"/>
              </w:rPr>
              <w:t>105.25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consolidated statement of cash flows: depreciation of property 102.676, amortisation of right-of-use assets 2.083, amortisation of intangibles 0.491</w:t>
            </w:r>
          </w:p>
        </w:tc>
      </w:tr>
      <w:tr>
        <w:tc>
          <w:tcPr>
            <w:tcW w:type="dxa" w:w="2232"/>
          </w:tcPr>
          <w:p>
            <w:pPr>
              <w:spacing w:after="20"/>
            </w:pPr>
            <w:r>
              <w:rPr>
                <w:color w:val="1C3A36"/>
                <w:sz w:val="14"/>
              </w:rPr>
              <w:t>dna fy24</w:t>
            </w:r>
          </w:p>
        </w:tc>
        <w:tc>
          <w:tcPr>
            <w:tcW w:type="dxa" w:w="1512"/>
          </w:tcPr>
          <w:p>
            <w:pPr>
              <w:spacing w:after="20"/>
              <w:jc w:val="right"/>
            </w:pPr>
            <w:r>
              <w:rPr>
                <w:color w:val="1C3A36"/>
                <w:sz w:val="14"/>
              </w:rPr>
              <w:t>102.812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consolidated statement of cash flows: depreciation 96.532, right-of-use 2.361, intangibles 3.918</w:t>
            </w:r>
          </w:p>
        </w:tc>
      </w:tr>
      <w:tr>
        <w:tc>
          <w:tcPr>
            <w:tcW w:type="dxa" w:w="2232"/>
          </w:tcPr>
          <w:p>
            <w:pPr>
              <w:spacing w:after="20"/>
            </w:pPr>
            <w:r>
              <w:rPr>
                <w:color w:val="1C3A36"/>
                <w:sz w:val="14"/>
              </w:rPr>
              <w:t>dna fy25</w:t>
            </w:r>
          </w:p>
        </w:tc>
        <w:tc>
          <w:tcPr>
            <w:tcW w:type="dxa" w:w="1512"/>
          </w:tcPr>
          <w:p>
            <w:pPr>
              <w:spacing w:after="20"/>
              <w:jc w:val="right"/>
            </w:pPr>
            <w:r>
              <w:rPr>
                <w:color w:val="1C3A36"/>
                <w:sz w:val="14"/>
              </w:rPr>
              <w:t>117.725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 depreciation 109.455, right-of-use 3.324, intangibles 4.946</w:t>
            </w:r>
          </w:p>
        </w:tc>
      </w:tr>
      <w:tr>
        <w:tc>
          <w:tcPr>
            <w:tcW w:type="dxa" w:w="2232"/>
          </w:tcPr>
          <w:p>
            <w:pPr>
              <w:spacing w:after="20"/>
            </w:pPr>
            <w:r>
              <w:rPr>
                <w:color w:val="1C3A36"/>
                <w:sz w:val="14"/>
              </w:rPr>
              <w:t>ppe fy25</w:t>
            </w:r>
          </w:p>
        </w:tc>
        <w:tc>
          <w:tcPr>
            <w:tcW w:type="dxa" w:w="1512"/>
          </w:tcPr>
          <w:p>
            <w:pPr>
              <w:spacing w:after="20"/>
              <w:jc w:val="right"/>
            </w:pPr>
            <w:r>
              <w:rPr>
                <w:color w:val="1C3A36"/>
                <w:sz w:val="14"/>
              </w:rPr>
              <w:t>3,069.75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(4) property, plant and equipment net of accumulated depreciation</w:t>
            </w:r>
          </w:p>
        </w:tc>
      </w:tr>
      <w:tr>
        <w:tc>
          <w:tcPr>
            <w:tcW w:type="dxa" w:w="2232"/>
          </w:tcPr>
          <w:p>
            <w:pPr>
              <w:spacing w:after="20"/>
            </w:pPr>
            <w:r>
              <w:rPr>
                <w:color w:val="1C3A36"/>
                <w:sz w:val="14"/>
              </w:rPr>
              <w:t>ppe fy24</w:t>
            </w:r>
          </w:p>
        </w:tc>
        <w:tc>
          <w:tcPr>
            <w:tcW w:type="dxa" w:w="1512"/>
          </w:tcPr>
          <w:p>
            <w:pPr>
              <w:spacing w:after="20"/>
              <w:jc w:val="right"/>
            </w:pPr>
            <w:r>
              <w:rPr>
                <w:color w:val="1C3A36"/>
                <w:sz w:val="14"/>
              </w:rPr>
              <w:t>1,045.23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(4)</w:t>
            </w:r>
          </w:p>
        </w:tc>
      </w:tr>
      <w:tr>
        <w:tc>
          <w:tcPr>
            <w:tcW w:type="dxa" w:w="2232"/>
          </w:tcPr>
          <w:p>
            <w:pPr>
              <w:spacing w:after="20"/>
            </w:pPr>
            <w:r>
              <w:rPr>
                <w:color w:val="1C3A36"/>
                <w:sz w:val="14"/>
              </w:rPr>
              <w:t>cip fy25</w:t>
            </w:r>
          </w:p>
        </w:tc>
        <w:tc>
          <w:tcPr>
            <w:tcW w:type="dxa" w:w="1512"/>
          </w:tcPr>
          <w:p>
            <w:pPr>
              <w:spacing w:after="20"/>
              <w:jc w:val="right"/>
            </w:pPr>
            <w:r>
              <w:rPr>
                <w:color w:val="1C3A36"/>
                <w:sz w:val="14"/>
              </w:rPr>
              <w:t>4,901.22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(6) projects under construction — predominantly the EIPICO 3 biologicals and biosimilars facility</w:t>
            </w:r>
          </w:p>
        </w:tc>
      </w:tr>
      <w:tr>
        <w:tc>
          <w:tcPr>
            <w:tcW w:type="dxa" w:w="2232"/>
          </w:tcPr>
          <w:p>
            <w:pPr>
              <w:spacing w:after="20"/>
            </w:pPr>
            <w:r>
              <w:rPr>
                <w:color w:val="1C3A36"/>
                <w:sz w:val="14"/>
              </w:rPr>
              <w:t>cip fy24</w:t>
            </w:r>
          </w:p>
        </w:tc>
        <w:tc>
          <w:tcPr>
            <w:tcW w:type="dxa" w:w="1512"/>
          </w:tcPr>
          <w:p>
            <w:pPr>
              <w:spacing w:after="20"/>
              <w:jc w:val="right"/>
            </w:pPr>
            <w:r>
              <w:rPr>
                <w:color w:val="1C3A36"/>
                <w:sz w:val="14"/>
              </w:rPr>
              <w:t>5,693.57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(6)</w:t>
            </w:r>
          </w:p>
        </w:tc>
      </w:tr>
      <w:tr>
        <w:tc>
          <w:tcPr>
            <w:tcW w:type="dxa" w:w="2232"/>
          </w:tcPr>
          <w:p>
            <w:pPr>
              <w:spacing w:after="20"/>
            </w:pPr>
            <w:r>
              <w:rPr>
                <w:color w:val="1C3A36"/>
                <w:sz w:val="14"/>
              </w:rPr>
              <w:t>rou fy25</w:t>
            </w:r>
          </w:p>
        </w:tc>
        <w:tc>
          <w:tcPr>
            <w:tcW w:type="dxa" w:w="1512"/>
          </w:tcPr>
          <w:p>
            <w:pPr>
              <w:spacing w:after="20"/>
              <w:jc w:val="right"/>
            </w:pPr>
            <w:r>
              <w:rPr>
                <w:color w:val="1C3A36"/>
                <w:sz w:val="14"/>
              </w:rPr>
              <w:t>233.64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(5) right-of-use assets net</w:t>
            </w:r>
          </w:p>
        </w:tc>
      </w:tr>
      <w:tr>
        <w:tc>
          <w:tcPr>
            <w:tcW w:type="dxa" w:w="2232"/>
          </w:tcPr>
          <w:p>
            <w:pPr>
              <w:spacing w:after="20"/>
            </w:pPr>
            <w:r>
              <w:rPr>
                <w:color w:val="1C3A36"/>
                <w:sz w:val="14"/>
              </w:rPr>
              <w:t>intang fy25</w:t>
            </w:r>
          </w:p>
        </w:tc>
        <w:tc>
          <w:tcPr>
            <w:tcW w:type="dxa" w:w="1512"/>
          </w:tcPr>
          <w:p>
            <w:pPr>
              <w:spacing w:after="20"/>
              <w:jc w:val="right"/>
            </w:pPr>
            <w:r>
              <w:rPr>
                <w:color w:val="1C3A36"/>
                <w:sz w:val="14"/>
              </w:rPr>
              <w:t>40.1422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(7) intangible assets net</w:t>
            </w:r>
          </w:p>
        </w:tc>
      </w:tr>
      <w:tr>
        <w:tc>
          <w:tcPr>
            <w:tcW w:type="dxa" w:w="2232"/>
          </w:tcPr>
          <w:p>
            <w:pPr>
              <w:spacing w:after="20"/>
            </w:pPr>
            <w:r>
              <w:rPr>
                <w:color w:val="1C3A36"/>
                <w:sz w:val="14"/>
              </w:rPr>
              <w:t>dta fy25</w:t>
            </w:r>
          </w:p>
        </w:tc>
        <w:tc>
          <w:tcPr>
            <w:tcW w:type="dxa" w:w="1512"/>
          </w:tcPr>
          <w:p>
            <w:pPr>
              <w:spacing w:after="20"/>
              <w:jc w:val="right"/>
            </w:pPr>
            <w:r>
              <w:rPr>
                <w:color w:val="1C3A36"/>
                <w:sz w:val="14"/>
              </w:rPr>
              <w:t>337.612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deferred tax asset</w:t>
            </w:r>
          </w:p>
        </w:tc>
      </w:tr>
      <w:tr>
        <w:tc>
          <w:tcPr>
            <w:tcW w:type="dxa" w:w="2232"/>
          </w:tcPr>
          <w:p>
            <w:pPr>
              <w:spacing w:after="20"/>
            </w:pPr>
            <w:r>
              <w:rPr>
                <w:color w:val="1C3A36"/>
                <w:sz w:val="14"/>
              </w:rPr>
              <w:t>assoc bv fy25</w:t>
            </w:r>
          </w:p>
        </w:tc>
        <w:tc>
          <w:tcPr>
            <w:tcW w:type="dxa" w:w="1512"/>
          </w:tcPr>
          <w:p>
            <w:pPr>
              <w:spacing w:after="20"/>
              <w:jc w:val="right"/>
            </w:pPr>
            <w:r>
              <w:rPr>
                <w:color w:val="1C3A36"/>
                <w:sz w:val="14"/>
              </w:rPr>
              <w:t>675.875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(8/2) investments in associates carried at equity: a 30% interest in Batterjee Pharmaceutical (Saudi Arabia) and a 9.77%-plus interest in the Medical Professions Company</w:t>
            </w:r>
          </w:p>
        </w:tc>
      </w:tr>
      <w:tr>
        <w:tc>
          <w:tcPr>
            <w:tcW w:type="dxa" w:w="2232"/>
          </w:tcPr>
          <w:p>
            <w:pPr>
              <w:spacing w:after="20"/>
            </w:pPr>
            <w:r>
              <w:rPr>
                <w:color w:val="1C3A36"/>
                <w:sz w:val="14"/>
              </w:rPr>
              <w:t>assoc bv fy24</w:t>
            </w:r>
          </w:p>
        </w:tc>
        <w:tc>
          <w:tcPr>
            <w:tcW w:type="dxa" w:w="1512"/>
          </w:tcPr>
          <w:p>
            <w:pPr>
              <w:spacing w:after="20"/>
              <w:jc w:val="right"/>
            </w:pPr>
            <w:r>
              <w:rPr>
                <w:color w:val="1C3A36"/>
                <w:sz w:val="14"/>
              </w:rPr>
              <w:t>465.264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(8/2)</w:t>
            </w:r>
          </w:p>
        </w:tc>
      </w:tr>
      <w:tr>
        <w:tc>
          <w:tcPr>
            <w:tcW w:type="dxa" w:w="2232"/>
          </w:tcPr>
          <w:p>
            <w:pPr>
              <w:spacing w:after="20"/>
            </w:pPr>
            <w:r>
              <w:rPr>
                <w:color w:val="1C3A36"/>
                <w:sz w:val="14"/>
              </w:rPr>
              <w:t>afs fy25</w:t>
            </w:r>
          </w:p>
        </w:tc>
        <w:tc>
          <w:tcPr>
            <w:tcW w:type="dxa" w:w="1512"/>
          </w:tcPr>
          <w:p>
            <w:pPr>
              <w:spacing w:after="20"/>
              <w:jc w:val="right"/>
            </w:pPr>
            <w:r>
              <w:rPr>
                <w:color w:val="1C3A36"/>
                <w:sz w:val="14"/>
              </w:rPr>
              <w:t>12.33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(8/1) non-current assets held for sale — the investment in EIPICO Tech Pharmaceuticals, in liquidation</w:t>
            </w:r>
          </w:p>
        </w:tc>
      </w:tr>
      <w:tr>
        <w:tc>
          <w:tcPr>
            <w:tcW w:type="dxa" w:w="2232"/>
          </w:tcPr>
          <w:p>
            <w:pPr>
              <w:spacing w:after="20"/>
            </w:pPr>
            <w:r>
              <w:rPr>
                <w:color w:val="1C3A36"/>
                <w:sz w:val="14"/>
              </w:rPr>
              <w:t>inv fy25</w:t>
            </w:r>
          </w:p>
        </w:tc>
        <w:tc>
          <w:tcPr>
            <w:tcW w:type="dxa" w:w="1512"/>
          </w:tcPr>
          <w:p>
            <w:pPr>
              <w:spacing w:after="20"/>
              <w:jc w:val="right"/>
            </w:pPr>
            <w:r>
              <w:rPr>
                <w:color w:val="1C3A36"/>
                <w:sz w:val="14"/>
              </w:rPr>
              <w:t>3,887.08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(9) inventories net of provision</w:t>
            </w:r>
          </w:p>
        </w:tc>
      </w:tr>
      <w:tr>
        <w:tc>
          <w:tcPr>
            <w:tcW w:type="dxa" w:w="2232"/>
          </w:tcPr>
          <w:p>
            <w:pPr>
              <w:spacing w:after="20"/>
            </w:pPr>
            <w:r>
              <w:rPr>
                <w:color w:val="1C3A36"/>
                <w:sz w:val="14"/>
              </w:rPr>
              <w:t>inv fy24</w:t>
            </w:r>
          </w:p>
        </w:tc>
        <w:tc>
          <w:tcPr>
            <w:tcW w:type="dxa" w:w="1512"/>
          </w:tcPr>
          <w:p>
            <w:pPr>
              <w:spacing w:after="20"/>
              <w:jc w:val="right"/>
            </w:pPr>
            <w:r>
              <w:rPr>
                <w:color w:val="1C3A36"/>
                <w:sz w:val="14"/>
              </w:rPr>
              <w:t>3,584.7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(9)</w:t>
            </w:r>
          </w:p>
        </w:tc>
      </w:tr>
      <w:tr>
        <w:tc>
          <w:tcPr>
            <w:tcW w:type="dxa" w:w="2232"/>
          </w:tcPr>
          <w:p>
            <w:pPr>
              <w:spacing w:after="20"/>
            </w:pPr>
            <w:r>
              <w:rPr>
                <w:color w:val="1C3A36"/>
                <w:sz w:val="14"/>
              </w:rPr>
              <w:t>ar fy25</w:t>
            </w:r>
          </w:p>
        </w:tc>
        <w:tc>
          <w:tcPr>
            <w:tcW w:type="dxa" w:w="1512"/>
          </w:tcPr>
          <w:p>
            <w:pPr>
              <w:spacing w:after="20"/>
              <w:jc w:val="right"/>
            </w:pPr>
            <w:r>
              <w:rPr>
                <w:color w:val="1C3A36"/>
                <w:sz w:val="14"/>
              </w:rPr>
              <w:t>3,325.04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(10) trade and notes receivable net of the expected credit-loss allowance</w:t>
            </w:r>
          </w:p>
        </w:tc>
      </w:tr>
      <w:tr>
        <w:tc>
          <w:tcPr>
            <w:tcW w:type="dxa" w:w="2232"/>
          </w:tcPr>
          <w:p>
            <w:pPr>
              <w:spacing w:after="20"/>
            </w:pPr>
            <w:r>
              <w:rPr>
                <w:color w:val="1C3A36"/>
                <w:sz w:val="14"/>
              </w:rPr>
              <w:t>ar fy24</w:t>
            </w:r>
          </w:p>
        </w:tc>
        <w:tc>
          <w:tcPr>
            <w:tcW w:type="dxa" w:w="1512"/>
          </w:tcPr>
          <w:p>
            <w:pPr>
              <w:spacing w:after="20"/>
              <w:jc w:val="right"/>
            </w:pPr>
            <w:r>
              <w:rPr>
                <w:color w:val="1C3A36"/>
                <w:sz w:val="14"/>
              </w:rPr>
              <w:t>3,049.28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(10)</w:t>
            </w:r>
          </w:p>
        </w:tc>
      </w:tr>
      <w:tr>
        <w:tc>
          <w:tcPr>
            <w:tcW w:type="dxa" w:w="2232"/>
          </w:tcPr>
          <w:p>
            <w:pPr>
              <w:spacing w:after="20"/>
            </w:pPr>
            <w:r>
              <w:rPr>
                <w:color w:val="1C3A36"/>
                <w:sz w:val="14"/>
              </w:rPr>
              <w:t>othdr fy25</w:t>
            </w:r>
          </w:p>
        </w:tc>
        <w:tc>
          <w:tcPr>
            <w:tcW w:type="dxa" w:w="1512"/>
          </w:tcPr>
          <w:p>
            <w:pPr>
              <w:spacing w:after="20"/>
              <w:jc w:val="right"/>
            </w:pPr>
            <w:r>
              <w:rPr>
                <w:color w:val="1C3A36"/>
                <w:sz w:val="14"/>
              </w:rPr>
              <w:t>356.787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(11) other debtors and debit balances</w:t>
            </w:r>
          </w:p>
        </w:tc>
      </w:tr>
      <w:tr>
        <w:tc>
          <w:tcPr>
            <w:tcW w:type="dxa" w:w="2232"/>
          </w:tcPr>
          <w:p>
            <w:pPr>
              <w:spacing w:after="20"/>
            </w:pPr>
            <w:r>
              <w:rPr>
                <w:color w:val="1C3A36"/>
                <w:sz w:val="14"/>
              </w:rPr>
              <w:t>othdr fy24</w:t>
            </w:r>
          </w:p>
        </w:tc>
        <w:tc>
          <w:tcPr>
            <w:tcW w:type="dxa" w:w="1512"/>
          </w:tcPr>
          <w:p>
            <w:pPr>
              <w:spacing w:after="20"/>
              <w:jc w:val="right"/>
            </w:pPr>
            <w:r>
              <w:rPr>
                <w:color w:val="1C3A36"/>
                <w:sz w:val="14"/>
              </w:rPr>
              <w:t>185.584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(11)</w:t>
            </w:r>
          </w:p>
        </w:tc>
      </w:tr>
      <w:tr>
        <w:tc>
          <w:tcPr>
            <w:tcW w:type="dxa" w:w="2232"/>
          </w:tcPr>
          <w:p>
            <w:pPr>
              <w:spacing w:after="20"/>
            </w:pPr>
            <w:r>
              <w:rPr>
                <w:color w:val="1C3A36"/>
                <w:sz w:val="14"/>
              </w:rPr>
              <w:t>cash fy25</w:t>
            </w:r>
          </w:p>
        </w:tc>
        <w:tc>
          <w:tcPr>
            <w:tcW w:type="dxa" w:w="1512"/>
          </w:tcPr>
          <w:p>
            <w:pPr>
              <w:spacing w:after="20"/>
              <w:jc w:val="right"/>
            </w:pPr>
            <w:r>
              <w:rPr>
                <w:color w:val="1C3A36"/>
                <w:sz w:val="14"/>
              </w:rPr>
              <w:t>1,433.43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(12) cash and bank balances</w:t>
            </w:r>
          </w:p>
        </w:tc>
      </w:tr>
      <w:tr>
        <w:tc>
          <w:tcPr>
            <w:tcW w:type="dxa" w:w="2232"/>
          </w:tcPr>
          <w:p>
            <w:pPr>
              <w:spacing w:after="20"/>
            </w:pPr>
            <w:r>
              <w:rPr>
                <w:color w:val="1C3A36"/>
                <w:sz w:val="14"/>
              </w:rPr>
              <w:t>cash fy24</w:t>
            </w:r>
          </w:p>
        </w:tc>
        <w:tc>
          <w:tcPr>
            <w:tcW w:type="dxa" w:w="1512"/>
          </w:tcPr>
          <w:p>
            <w:pPr>
              <w:spacing w:after="20"/>
              <w:jc w:val="right"/>
            </w:pPr>
            <w:r>
              <w:rPr>
                <w:color w:val="1C3A36"/>
                <w:sz w:val="14"/>
              </w:rPr>
              <w:t>1,295.39</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(12)</w:t>
            </w:r>
          </w:p>
        </w:tc>
      </w:tr>
      <w:tr>
        <w:tc>
          <w:tcPr>
            <w:tcW w:type="dxa" w:w="2232"/>
          </w:tcPr>
          <w:p>
            <w:pPr>
              <w:spacing w:after="20"/>
            </w:pPr>
            <w:r>
              <w:rPr>
                <w:color w:val="1C3A36"/>
                <w:sz w:val="14"/>
              </w:rPr>
              <w:t>ap fy25</w:t>
            </w:r>
          </w:p>
        </w:tc>
        <w:tc>
          <w:tcPr>
            <w:tcW w:type="dxa" w:w="1512"/>
          </w:tcPr>
          <w:p>
            <w:pPr>
              <w:spacing w:after="20"/>
              <w:jc w:val="right"/>
            </w:pPr>
            <w:r>
              <w:rPr>
                <w:color w:val="1C3A36"/>
                <w:sz w:val="14"/>
              </w:rPr>
              <w:t>780.417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(22) trade and notes payable</w:t>
            </w:r>
          </w:p>
        </w:tc>
      </w:tr>
      <w:tr>
        <w:tc>
          <w:tcPr>
            <w:tcW w:type="dxa" w:w="2232"/>
          </w:tcPr>
          <w:p>
            <w:pPr>
              <w:spacing w:after="20"/>
            </w:pPr>
            <w:r>
              <w:rPr>
                <w:color w:val="1C3A36"/>
                <w:sz w:val="14"/>
              </w:rPr>
              <w:t>ap fy24</w:t>
            </w:r>
          </w:p>
        </w:tc>
        <w:tc>
          <w:tcPr>
            <w:tcW w:type="dxa" w:w="1512"/>
          </w:tcPr>
          <w:p>
            <w:pPr>
              <w:spacing w:after="20"/>
              <w:jc w:val="right"/>
            </w:pPr>
            <w:r>
              <w:rPr>
                <w:color w:val="1C3A36"/>
                <w:sz w:val="14"/>
              </w:rPr>
              <w:t>410.392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(22)</w:t>
            </w:r>
          </w:p>
        </w:tc>
      </w:tr>
      <w:tr>
        <w:tc>
          <w:tcPr>
            <w:tcW w:type="dxa" w:w="2232"/>
          </w:tcPr>
          <w:p>
            <w:pPr>
              <w:spacing w:after="20"/>
            </w:pPr>
            <w:r>
              <w:rPr>
                <w:color w:val="1C3A36"/>
                <w:sz w:val="14"/>
              </w:rPr>
              <w:t>othcr fy25</w:t>
            </w:r>
          </w:p>
        </w:tc>
        <w:tc>
          <w:tcPr>
            <w:tcW w:type="dxa" w:w="1512"/>
          </w:tcPr>
          <w:p>
            <w:pPr>
              <w:spacing w:after="20"/>
              <w:jc w:val="right"/>
            </w:pPr>
            <w:r>
              <w:rPr>
                <w:color w:val="1C3A36"/>
                <w:sz w:val="14"/>
              </w:rPr>
              <w:t>1,044.83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(23) other creditors and credit balances</w:t>
            </w:r>
          </w:p>
        </w:tc>
      </w:tr>
      <w:tr>
        <w:tc>
          <w:tcPr>
            <w:tcW w:type="dxa" w:w="2232"/>
          </w:tcPr>
          <w:p>
            <w:pPr>
              <w:spacing w:after="20"/>
            </w:pPr>
            <w:r>
              <w:rPr>
                <w:color w:val="1C3A36"/>
                <w:sz w:val="14"/>
              </w:rPr>
              <w:t>othcr fy24</w:t>
            </w:r>
          </w:p>
        </w:tc>
        <w:tc>
          <w:tcPr>
            <w:tcW w:type="dxa" w:w="1512"/>
          </w:tcPr>
          <w:p>
            <w:pPr>
              <w:spacing w:after="20"/>
              <w:jc w:val="right"/>
            </w:pPr>
            <w:r>
              <w:rPr>
                <w:color w:val="1C3A36"/>
                <w:sz w:val="14"/>
              </w:rPr>
              <w:t>367.421</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(23)</w:t>
            </w:r>
          </w:p>
        </w:tc>
      </w:tr>
      <w:tr>
        <w:tc>
          <w:tcPr>
            <w:tcW w:type="dxa" w:w="2232"/>
          </w:tcPr>
          <w:p>
            <w:pPr>
              <w:spacing w:after="20"/>
            </w:pPr>
            <w:r>
              <w:rPr>
                <w:color w:val="1C3A36"/>
                <w:sz w:val="14"/>
              </w:rPr>
              <w:t>provbs fy25</w:t>
            </w:r>
          </w:p>
        </w:tc>
        <w:tc>
          <w:tcPr>
            <w:tcW w:type="dxa" w:w="1512"/>
          </w:tcPr>
          <w:p>
            <w:pPr>
              <w:spacing w:after="20"/>
              <w:jc w:val="right"/>
            </w:pPr>
            <w:r>
              <w:rPr>
                <w:color w:val="1C3A36"/>
                <w:sz w:val="14"/>
              </w:rPr>
              <w:t>537.943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(20) provisions</w:t>
            </w:r>
          </w:p>
        </w:tc>
      </w:tr>
      <w:tr>
        <w:tc>
          <w:tcPr>
            <w:tcW w:type="dxa" w:w="2232"/>
          </w:tcPr>
          <w:p>
            <w:pPr>
              <w:spacing w:after="20"/>
            </w:pPr>
            <w:r>
              <w:rPr>
                <w:color w:val="1C3A36"/>
                <w:sz w:val="14"/>
              </w:rPr>
              <w:t>taxpay fy25</w:t>
            </w:r>
          </w:p>
        </w:tc>
        <w:tc>
          <w:tcPr>
            <w:tcW w:type="dxa" w:w="1512"/>
          </w:tcPr>
          <w:p>
            <w:pPr>
              <w:spacing w:after="20"/>
              <w:jc w:val="right"/>
            </w:pPr>
            <w:r>
              <w:rPr>
                <w:color w:val="1C3A36"/>
                <w:sz w:val="14"/>
              </w:rPr>
              <w:t>388.95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income tax payable</w:t>
            </w:r>
          </w:p>
        </w:tc>
      </w:tr>
      <w:tr>
        <w:tc>
          <w:tcPr>
            <w:tcW w:type="dxa" w:w="2232"/>
          </w:tcPr>
          <w:p>
            <w:pPr>
              <w:spacing w:after="20"/>
            </w:pPr>
            <w:r>
              <w:rPr>
                <w:color w:val="1C3A36"/>
                <w:sz w:val="14"/>
              </w:rPr>
              <w:t>dtl fy25</w:t>
            </w:r>
          </w:p>
        </w:tc>
        <w:tc>
          <w:tcPr>
            <w:tcW w:type="dxa" w:w="1512"/>
          </w:tcPr>
          <w:p>
            <w:pPr>
              <w:spacing w:after="20"/>
              <w:jc w:val="right"/>
            </w:pPr>
            <w:r>
              <w:rPr>
                <w:color w:val="1C3A36"/>
                <w:sz w:val="14"/>
              </w:rPr>
              <w:t>190.768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(19) deferred tax liabilities</w:t>
            </w:r>
          </w:p>
        </w:tc>
      </w:tr>
      <w:tr>
        <w:tc>
          <w:tcPr>
            <w:tcW w:type="dxa" w:w="2232"/>
          </w:tcPr>
          <w:p>
            <w:pPr>
              <w:spacing w:after="20"/>
            </w:pPr>
            <w:r>
              <w:rPr>
                <w:color w:val="1C3A36"/>
                <w:sz w:val="14"/>
              </w:rPr>
              <w:t>equity parent fy25</w:t>
            </w:r>
          </w:p>
        </w:tc>
        <w:tc>
          <w:tcPr>
            <w:tcW w:type="dxa" w:w="1512"/>
          </w:tcPr>
          <w:p>
            <w:pPr>
              <w:spacing w:after="20"/>
              <w:jc w:val="right"/>
            </w:pPr>
            <w:r>
              <w:rPr>
                <w:color w:val="1C3A36"/>
                <w:sz w:val="14"/>
              </w:rPr>
              <w:t>6,243.13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total equity attributable to the holding company</w:t>
            </w:r>
          </w:p>
        </w:tc>
      </w:tr>
      <w:tr>
        <w:tc>
          <w:tcPr>
            <w:tcW w:type="dxa" w:w="2232"/>
          </w:tcPr>
          <w:p>
            <w:pPr>
              <w:spacing w:after="20"/>
            </w:pPr>
            <w:r>
              <w:rPr>
                <w:color w:val="1C3A36"/>
                <w:sz w:val="14"/>
              </w:rPr>
              <w:t>equity parent fy24</w:t>
            </w:r>
          </w:p>
        </w:tc>
        <w:tc>
          <w:tcPr>
            <w:tcW w:type="dxa" w:w="1512"/>
          </w:tcPr>
          <w:p>
            <w:pPr>
              <w:spacing w:after="20"/>
              <w:jc w:val="right"/>
            </w:pPr>
            <w:r>
              <w:rPr>
                <w:color w:val="1C3A36"/>
                <w:sz w:val="14"/>
              </w:rPr>
              <w:t>4,653.77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equity parent fy23</w:t>
            </w:r>
          </w:p>
        </w:tc>
        <w:tc>
          <w:tcPr>
            <w:tcW w:type="dxa" w:w="1512"/>
          </w:tcPr>
          <w:p>
            <w:pPr>
              <w:spacing w:after="20"/>
              <w:jc w:val="right"/>
            </w:pPr>
            <w:r>
              <w:rPr>
                <w:color w:val="1C3A36"/>
                <w:sz w:val="14"/>
              </w:rPr>
              <w:t>4,257.41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fy25</w:t>
            </w:r>
          </w:p>
        </w:tc>
        <w:tc>
          <w:tcPr>
            <w:tcW w:type="dxa" w:w="1512"/>
          </w:tcPr>
          <w:p>
            <w:pPr>
              <w:spacing w:after="20"/>
              <w:jc w:val="right"/>
            </w:pPr>
            <w:r>
              <w:rPr>
                <w:color w:val="1C3A36"/>
                <w:sz w:val="14"/>
              </w:rPr>
              <w:t>288.705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non-controlling interests</w:t>
            </w:r>
          </w:p>
        </w:tc>
      </w:tr>
      <w:tr>
        <w:tc>
          <w:tcPr>
            <w:tcW w:type="dxa" w:w="2232"/>
          </w:tcPr>
          <w:p>
            <w:pPr>
              <w:spacing w:after="20"/>
            </w:pPr>
            <w:r>
              <w:rPr>
                <w:color w:val="1C3A36"/>
                <w:sz w:val="14"/>
              </w:rPr>
              <w:t>assets fy25</w:t>
            </w:r>
          </w:p>
        </w:tc>
        <w:tc>
          <w:tcPr>
            <w:tcW w:type="dxa" w:w="1512"/>
          </w:tcPr>
          <w:p>
            <w:pPr>
              <w:spacing w:after="20"/>
              <w:jc w:val="right"/>
            </w:pPr>
            <w:r>
              <w:rPr>
                <w:color w:val="1C3A36"/>
                <w:sz w:val="14"/>
              </w:rPr>
              <w:t>18,272.9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total assets</w:t>
            </w:r>
          </w:p>
        </w:tc>
      </w:tr>
      <w:tr>
        <w:tc>
          <w:tcPr>
            <w:tcW w:type="dxa" w:w="2232"/>
          </w:tcPr>
          <w:p>
            <w:pPr>
              <w:spacing w:after="20"/>
            </w:pPr>
            <w:r>
              <w:rPr>
                <w:color w:val="1C3A36"/>
                <w:sz w:val="14"/>
              </w:rPr>
              <w:t>loans lt fy25</w:t>
            </w:r>
          </w:p>
        </w:tc>
        <w:tc>
          <w:tcPr>
            <w:tcW w:type="dxa" w:w="1512"/>
          </w:tcPr>
          <w:p>
            <w:pPr>
              <w:spacing w:after="20"/>
              <w:jc w:val="right"/>
            </w:pPr>
            <w:r>
              <w:rPr>
                <w:color w:val="1C3A36"/>
                <w:sz w:val="14"/>
              </w:rPr>
              <w:t>3,758.8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(17) long-term instalments of borrowings</w:t>
            </w:r>
          </w:p>
        </w:tc>
      </w:tr>
      <w:tr>
        <w:tc>
          <w:tcPr>
            <w:tcW w:type="dxa" w:w="2232"/>
          </w:tcPr>
          <w:p>
            <w:pPr>
              <w:spacing w:after="20"/>
            </w:pPr>
            <w:r>
              <w:rPr>
                <w:color w:val="1C3A36"/>
                <w:sz w:val="14"/>
              </w:rPr>
              <w:t>loans st fy25</w:t>
            </w:r>
          </w:p>
        </w:tc>
        <w:tc>
          <w:tcPr>
            <w:tcW w:type="dxa" w:w="1512"/>
          </w:tcPr>
          <w:p>
            <w:pPr>
              <w:spacing w:after="20"/>
              <w:jc w:val="right"/>
            </w:pPr>
            <w:r>
              <w:rPr>
                <w:color w:val="1C3A36"/>
                <w:sz w:val="14"/>
              </w:rPr>
              <w:t>1,107.86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(17) current instalments of borrowings</w:t>
            </w:r>
          </w:p>
        </w:tc>
      </w:tr>
      <w:tr>
        <w:tc>
          <w:tcPr>
            <w:tcW w:type="dxa" w:w="2232"/>
          </w:tcPr>
          <w:p>
            <w:pPr>
              <w:spacing w:after="20"/>
            </w:pPr>
            <w:r>
              <w:rPr>
                <w:color w:val="1C3A36"/>
                <w:sz w:val="14"/>
              </w:rPr>
              <w:t>facilities fy25</w:t>
            </w:r>
          </w:p>
        </w:tc>
        <w:tc>
          <w:tcPr>
            <w:tcW w:type="dxa" w:w="1512"/>
          </w:tcPr>
          <w:p>
            <w:pPr>
              <w:spacing w:after="20"/>
              <w:jc w:val="right"/>
            </w:pPr>
            <w:r>
              <w:rPr>
                <w:color w:val="1C3A36"/>
                <w:sz w:val="14"/>
              </w:rPr>
              <w:t>3,918.69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(21) bank overdrafts and credit facilities</w:t>
            </w:r>
          </w:p>
        </w:tc>
      </w:tr>
      <w:tr>
        <w:tc>
          <w:tcPr>
            <w:tcW w:type="dxa" w:w="2232"/>
          </w:tcPr>
          <w:p>
            <w:pPr>
              <w:spacing w:after="20"/>
            </w:pPr>
            <w:r>
              <w:rPr>
                <w:color w:val="1C3A36"/>
                <w:sz w:val="14"/>
              </w:rPr>
              <w:t>leases fy25</w:t>
            </w:r>
          </w:p>
        </w:tc>
        <w:tc>
          <w:tcPr>
            <w:tcW w:type="dxa" w:w="1512"/>
          </w:tcPr>
          <w:p>
            <w:pPr>
              <w:spacing w:after="20"/>
              <w:jc w:val="right"/>
            </w:pPr>
            <w:r>
              <w:rPr>
                <w:color w:val="1C3A36"/>
                <w:sz w:val="14"/>
              </w:rPr>
              <w:t>12.3651</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(18) lease liabilities: 11.982 non-current plus 0.383 current</w:t>
            </w:r>
          </w:p>
        </w:tc>
      </w:tr>
      <w:tr>
        <w:tc>
          <w:tcPr>
            <w:tcW w:type="dxa" w:w="2232"/>
          </w:tcPr>
          <w:p>
            <w:pPr>
              <w:spacing w:after="20"/>
            </w:pPr>
            <w:r>
              <w:rPr>
                <w:color w:val="1C3A36"/>
                <w:sz w:val="14"/>
              </w:rPr>
              <w:t>loans fx fy25</w:t>
            </w:r>
          </w:p>
        </w:tc>
        <w:tc>
          <w:tcPr>
            <w:tcW w:type="dxa" w:w="1512"/>
          </w:tcPr>
          <w:p>
            <w:pPr>
              <w:spacing w:after="20"/>
              <w:jc w:val="right"/>
            </w:pPr>
            <w:r>
              <w:rPr>
                <w:color w:val="1C3A36"/>
                <w:sz w:val="14"/>
              </w:rPr>
              <w:t>2,443.22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(17) borrowings by lender and currency: Qatar National Bank Alahli US-dollar 2,188.896 and euro 11.325, National Bank of Kuwait euro 220.002 and US-dollar 23.001</w:t>
            </w:r>
          </w:p>
        </w:tc>
      </w:tr>
      <w:tr>
        <w:tc>
          <w:tcPr>
            <w:tcW w:type="dxa" w:w="2232"/>
          </w:tcPr>
          <w:p>
            <w:pPr>
              <w:spacing w:after="20"/>
            </w:pPr>
            <w:r>
              <w:rPr>
                <w:color w:val="1C3A36"/>
                <w:sz w:val="14"/>
              </w:rPr>
              <w:t>loans lc fy25</w:t>
            </w:r>
          </w:p>
        </w:tc>
        <w:tc>
          <w:tcPr>
            <w:tcW w:type="dxa" w:w="1512"/>
          </w:tcPr>
          <w:p>
            <w:pPr>
              <w:spacing w:after="20"/>
              <w:jc w:val="right"/>
            </w:pPr>
            <w:r>
              <w:rPr>
                <w:color w:val="1C3A36"/>
                <w:sz w:val="14"/>
              </w:rPr>
              <w:t>2,423.44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(17): National Bank of Kuwait local currency 99.625, Banque du Caire local currency 1,401.588, Abu Dhabi Islamic Bank local currency 423.653, Kuwait Finance House 498.577</w:t>
            </w:r>
          </w:p>
        </w:tc>
      </w:tr>
      <w:tr>
        <w:tc>
          <w:tcPr>
            <w:tcW w:type="dxa" w:w="2232"/>
          </w:tcPr>
          <w:p>
            <w:pPr>
              <w:spacing w:after="20"/>
            </w:pPr>
            <w:r>
              <w:rPr>
                <w:color w:val="1C3A36"/>
                <w:sz w:val="14"/>
              </w:rPr>
              <w:t>capint cum fy25</w:t>
            </w:r>
          </w:p>
        </w:tc>
        <w:tc>
          <w:tcPr>
            <w:tcW w:type="dxa" w:w="1512"/>
          </w:tcPr>
          <w:p>
            <w:pPr>
              <w:spacing w:after="20"/>
              <w:jc w:val="right"/>
            </w:pPr>
            <w:r>
              <w:rPr>
                <w:color w:val="1C3A36"/>
                <w:sz w:val="14"/>
              </w:rPr>
              <w:t>932.39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(6): interest capitalised into projects under construction, cumulative</w:t>
            </w:r>
          </w:p>
        </w:tc>
      </w:tr>
      <w:tr>
        <w:tc>
          <w:tcPr>
            <w:tcW w:type="dxa" w:w="2232"/>
          </w:tcPr>
          <w:p>
            <w:pPr>
              <w:spacing w:after="20"/>
            </w:pPr>
            <w:r>
              <w:rPr>
                <w:color w:val="1C3A36"/>
                <w:sz w:val="14"/>
              </w:rPr>
              <w:t>capint cum fy24</w:t>
            </w:r>
          </w:p>
        </w:tc>
        <w:tc>
          <w:tcPr>
            <w:tcW w:type="dxa" w:w="1512"/>
          </w:tcPr>
          <w:p>
            <w:pPr>
              <w:spacing w:after="20"/>
              <w:jc w:val="right"/>
            </w:pPr>
            <w:r>
              <w:rPr>
                <w:color w:val="1C3A36"/>
                <w:sz w:val="14"/>
              </w:rPr>
              <w:t>381.336</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(6): interest capitalised into projects under construction, cumulative</w:t>
            </w:r>
          </w:p>
        </w:tc>
      </w:tr>
      <w:tr>
        <w:tc>
          <w:tcPr>
            <w:tcW w:type="dxa" w:w="2232"/>
          </w:tcPr>
          <w:p>
            <w:pPr>
              <w:spacing w:after="20"/>
            </w:pPr>
            <w:r>
              <w:rPr>
                <w:color w:val="1C3A36"/>
                <w:sz w:val="14"/>
              </w:rPr>
              <w:t>capfx cum fy24</w:t>
            </w:r>
          </w:p>
        </w:tc>
        <w:tc>
          <w:tcPr>
            <w:tcW w:type="dxa" w:w="1512"/>
          </w:tcPr>
          <w:p>
            <w:pPr>
              <w:spacing w:after="20"/>
              <w:jc w:val="right"/>
            </w:pPr>
            <w:r>
              <w:rPr>
                <w:color w:val="1C3A36"/>
                <w:sz w:val="14"/>
              </w:rPr>
              <w:t>1,843.13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(6): foreign-exchange differences on foreign-currency liabilities related to the purchase and construction of the EIPICO 3 plant, capitalised</w:t>
            </w:r>
          </w:p>
        </w:tc>
      </w:tr>
      <w:tr>
        <w:tc>
          <w:tcPr>
            <w:tcW w:type="dxa" w:w="2232"/>
          </w:tcPr>
          <w:p>
            <w:pPr>
              <w:spacing w:after="20"/>
            </w:pPr>
            <w:r>
              <w:rPr>
                <w:color w:val="1C3A36"/>
                <w:sz w:val="14"/>
              </w:rPr>
              <w:t>int fac fy25</w:t>
            </w:r>
          </w:p>
        </w:tc>
        <w:tc>
          <w:tcPr>
            <w:tcW w:type="dxa" w:w="1512"/>
          </w:tcPr>
          <w:p>
            <w:pPr>
              <w:spacing w:after="20"/>
              <w:jc w:val="right"/>
            </w:pPr>
            <w:r>
              <w:rPr>
                <w:color w:val="1C3A36"/>
                <w:sz w:val="14"/>
              </w:rPr>
              <w:t>1,275.31</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(30) interest on credit facilities</w:t>
            </w:r>
          </w:p>
        </w:tc>
      </w:tr>
      <w:tr>
        <w:tc>
          <w:tcPr>
            <w:tcW w:type="dxa" w:w="2232"/>
          </w:tcPr>
          <w:p>
            <w:pPr>
              <w:spacing w:after="20"/>
            </w:pPr>
            <w:r>
              <w:rPr>
                <w:color w:val="1C3A36"/>
                <w:sz w:val="14"/>
              </w:rPr>
              <w:t>packs sold fy23</w:t>
            </w:r>
          </w:p>
        </w:tc>
        <w:tc>
          <w:tcPr>
            <w:tcW w:type="dxa" w:w="1512"/>
          </w:tcPr>
          <w:p>
            <w:pPr>
              <w:spacing w:after="20"/>
              <w:jc w:val="right"/>
            </w:pPr>
            <w:r>
              <w:rPr>
                <w:color w:val="1C3A36"/>
                <w:sz w:val="14"/>
              </w:rPr>
              <w:t>279.716</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Board of Directors' report for FY2024, published inside the 2025 Annual Report — the company's own disclosed operating statistics — packs sold, million: 273.750 own preparations plus 5.966 contract manufacturing</w:t>
            </w:r>
          </w:p>
        </w:tc>
      </w:tr>
      <w:tr>
        <w:tc>
          <w:tcPr>
            <w:tcW w:type="dxa" w:w="2232"/>
          </w:tcPr>
          <w:p>
            <w:pPr>
              <w:spacing w:after="20"/>
            </w:pPr>
            <w:r>
              <w:rPr>
                <w:color w:val="1C3A36"/>
                <w:sz w:val="14"/>
              </w:rPr>
              <w:t>packs sold fy24</w:t>
            </w:r>
          </w:p>
        </w:tc>
        <w:tc>
          <w:tcPr>
            <w:tcW w:type="dxa" w:w="1512"/>
          </w:tcPr>
          <w:p>
            <w:pPr>
              <w:spacing w:after="20"/>
              <w:jc w:val="right"/>
            </w:pPr>
            <w:r>
              <w:rPr>
                <w:color w:val="1C3A36"/>
                <w:sz w:val="14"/>
              </w:rPr>
              <w:t>307.846</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packs sold, million: 298.972 own preparations plus 8.874 contract manufacturing</w:t>
            </w:r>
          </w:p>
        </w:tc>
      </w:tr>
      <w:tr>
        <w:tc>
          <w:tcPr>
            <w:tcW w:type="dxa" w:w="2232"/>
          </w:tcPr>
          <w:p>
            <w:pPr>
              <w:spacing w:after="20"/>
            </w:pPr>
            <w:r>
              <w:rPr>
                <w:color w:val="1C3A36"/>
                <w:sz w:val="14"/>
              </w:rPr>
              <w:t>packs sold fy25</w:t>
            </w:r>
          </w:p>
        </w:tc>
        <w:tc>
          <w:tcPr>
            <w:tcW w:type="dxa" w:w="1512"/>
          </w:tcPr>
          <w:p>
            <w:pPr>
              <w:spacing w:after="20"/>
              <w:jc w:val="right"/>
            </w:pPr>
            <w:r>
              <w:rPr>
                <w:color w:val="1C3A36"/>
                <w:sz w:val="14"/>
              </w:rPr>
              <w:t>357.295</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packs sold, million: 351.810 own preparations plus 5.485 contract manufacturing</w:t>
            </w:r>
          </w:p>
        </w:tc>
      </w:tr>
      <w:tr>
        <w:tc>
          <w:tcPr>
            <w:tcW w:type="dxa" w:w="2232"/>
          </w:tcPr>
          <w:p>
            <w:pPr>
              <w:spacing w:after="20"/>
            </w:pPr>
            <w:r>
              <w:rPr>
                <w:color w:val="1C3A36"/>
                <w:sz w:val="14"/>
              </w:rPr>
              <w:t>packs own fy24</w:t>
            </w:r>
          </w:p>
        </w:tc>
        <w:tc>
          <w:tcPr>
            <w:tcW w:type="dxa" w:w="1512"/>
          </w:tcPr>
          <w:p>
            <w:pPr>
              <w:spacing w:after="20"/>
              <w:jc w:val="right"/>
            </w:pPr>
            <w:r>
              <w:rPr>
                <w:color w:val="1C3A36"/>
                <w:sz w:val="14"/>
              </w:rPr>
              <w:t>298.972</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own fy25</w:t>
            </w:r>
          </w:p>
        </w:tc>
        <w:tc>
          <w:tcPr>
            <w:tcW w:type="dxa" w:w="1512"/>
          </w:tcPr>
          <w:p>
            <w:pPr>
              <w:spacing w:after="20"/>
              <w:jc w:val="right"/>
            </w:pPr>
            <w:r>
              <w:rPr>
                <w:color w:val="1C3A36"/>
                <w:sz w:val="14"/>
              </w:rPr>
              <w:t>351.81</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toll fy25</w:t>
            </w:r>
          </w:p>
        </w:tc>
        <w:tc>
          <w:tcPr>
            <w:tcW w:type="dxa" w:w="1512"/>
          </w:tcPr>
          <w:p>
            <w:pPr>
              <w:spacing w:after="20"/>
              <w:jc w:val="right"/>
            </w:pPr>
            <w:r>
              <w:rPr>
                <w:color w:val="1C3A36"/>
                <w:sz w:val="14"/>
              </w:rPr>
              <w:t>5.485</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packs sold under contract-manufacturing agreements</w:t>
            </w:r>
          </w:p>
        </w:tc>
      </w:tr>
      <w:tr>
        <w:tc>
          <w:tcPr>
            <w:tcW w:type="dxa" w:w="2232"/>
          </w:tcPr>
          <w:p>
            <w:pPr>
              <w:spacing w:after="20"/>
            </w:pPr>
            <w:r>
              <w:rPr>
                <w:color w:val="1C3A36"/>
                <w:sz w:val="14"/>
              </w:rPr>
              <w:t>export packs fy25</w:t>
            </w:r>
          </w:p>
        </w:tc>
        <w:tc>
          <w:tcPr>
            <w:tcW w:type="dxa" w:w="1512"/>
          </w:tcPr>
          <w:p>
            <w:pPr>
              <w:spacing w:after="20"/>
              <w:jc w:val="right"/>
            </w:pPr>
            <w:r>
              <w:rPr>
                <w:color w:val="1C3A36"/>
                <w:sz w:val="14"/>
              </w:rPr>
              <w:t>60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Company investor presentation, published on the corporate website (eipico.com.eg -&gt; Company Profile / EIPICO Presentation): export reach of 60 million packs a year to more than 60 countries</w:t>
            </w:r>
          </w:p>
        </w:tc>
      </w:tr>
      <w:tr>
        <w:tc>
          <w:tcPr>
            <w:tcW w:type="dxa" w:w="2232"/>
          </w:tcPr>
          <w:p>
            <w:pPr>
              <w:spacing w:after="20"/>
            </w:pPr>
            <w:r>
              <w:rPr>
                <w:color w:val="1C3A36"/>
                <w:sz w:val="14"/>
              </w:rPr>
              <w:t>export usd fy25</w:t>
            </w:r>
          </w:p>
        </w:tc>
        <w:tc>
          <w:tcPr>
            <w:tcW w:type="dxa" w:w="1512"/>
          </w:tcPr>
          <w:p>
            <w:pPr>
              <w:spacing w:after="20"/>
              <w:jc w:val="right"/>
            </w:pPr>
            <w:r>
              <w:rPr>
                <w:color w:val="1C3A36"/>
                <w:sz w:val="14"/>
              </w:rPr>
              <w:t>60</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exports of EGP 2,967 million, stated in the same paragraph as USD 60 million (2024: EGP 2,500 million / USD 55 million)</w:t>
            </w:r>
          </w:p>
        </w:tc>
      </w:tr>
      <w:tr>
        <w:tc>
          <w:tcPr>
            <w:tcW w:type="dxa" w:w="2232"/>
          </w:tcPr>
          <w:p>
            <w:pPr>
              <w:spacing w:after="20"/>
            </w:pPr>
            <w:r>
              <w:rPr>
                <w:color w:val="1C3A36"/>
                <w:sz w:val="14"/>
              </w:rPr>
              <w:t>export usd fy24</w:t>
            </w:r>
          </w:p>
        </w:tc>
        <w:tc>
          <w:tcPr>
            <w:tcW w:type="dxa" w:w="1512"/>
          </w:tcPr>
          <w:p>
            <w:pPr>
              <w:spacing w:after="20"/>
              <w:jc w:val="right"/>
            </w:pPr>
            <w:r>
              <w:rPr>
                <w:color w:val="1C3A36"/>
                <w:sz w:val="14"/>
              </w:rPr>
              <w:t>54.7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Board of Directors' report for FY2024: exports of EGP 2,500 million stated as USD 54.7 million, against EGP 1,592 million / USD 51.6 million in FY2023</w:t>
            </w:r>
          </w:p>
        </w:tc>
      </w:tr>
      <w:tr>
        <w:tc>
          <w:tcPr>
            <w:tcW w:type="dxa" w:w="2232"/>
          </w:tcPr>
          <w:p>
            <w:pPr>
              <w:spacing w:after="20"/>
            </w:pPr>
            <w:r>
              <w:rPr>
                <w:color w:val="1C3A36"/>
                <w:sz w:val="14"/>
              </w:rPr>
              <w:t>ch direct fy25</w:t>
            </w:r>
          </w:p>
        </w:tc>
        <w:tc>
          <w:tcPr>
            <w:tcW w:type="dxa" w:w="1512"/>
          </w:tcPr>
          <w:p>
            <w:pPr>
              <w:spacing w:after="20"/>
              <w:jc w:val="right"/>
            </w:pPr>
            <w:r>
              <w:rPr>
                <w:color w:val="1C3A36"/>
                <w:sz w:val="14"/>
              </w:rPr>
              <w:t>1,943.42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direct sales</w:t>
            </w:r>
          </w:p>
        </w:tc>
      </w:tr>
      <w:tr>
        <w:tc>
          <w:tcPr>
            <w:tcW w:type="dxa" w:w="2232"/>
          </w:tcPr>
          <w:p>
            <w:pPr>
              <w:spacing w:after="20"/>
            </w:pPr>
            <w:r>
              <w:rPr>
                <w:color w:val="1C3A36"/>
                <w:sz w:val="14"/>
              </w:rPr>
              <w:t>ch distrib fy25</w:t>
            </w:r>
          </w:p>
        </w:tc>
        <w:tc>
          <w:tcPr>
            <w:tcW w:type="dxa" w:w="1512"/>
          </w:tcPr>
          <w:p>
            <w:pPr>
              <w:spacing w:after="20"/>
              <w:jc w:val="right"/>
            </w:pPr>
            <w:r>
              <w:rPr>
                <w:color w:val="1C3A36"/>
                <w:sz w:val="14"/>
              </w:rPr>
              <w:t>3,591.14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distributor sales</w:t>
            </w:r>
          </w:p>
        </w:tc>
      </w:tr>
      <w:tr>
        <w:tc>
          <w:tcPr>
            <w:tcW w:type="dxa" w:w="2232"/>
          </w:tcPr>
          <w:p>
            <w:pPr>
              <w:spacing w:after="20"/>
            </w:pPr>
            <w:r>
              <w:rPr>
                <w:color w:val="1C3A36"/>
                <w:sz w:val="14"/>
              </w:rPr>
              <w:t>ch tender fy25</w:t>
            </w:r>
          </w:p>
        </w:tc>
        <w:tc>
          <w:tcPr>
            <w:tcW w:type="dxa" w:w="1512"/>
          </w:tcPr>
          <w:p>
            <w:pPr>
              <w:spacing w:after="20"/>
              <w:jc w:val="right"/>
            </w:pPr>
            <w:r>
              <w:rPr>
                <w:color w:val="1C3A36"/>
                <w:sz w:val="14"/>
              </w:rPr>
              <w:t>751.062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tender/supply sales</w:t>
            </w:r>
          </w:p>
        </w:tc>
      </w:tr>
      <w:tr>
        <w:tc>
          <w:tcPr>
            <w:tcW w:type="dxa" w:w="2232"/>
          </w:tcPr>
          <w:p>
            <w:pPr>
              <w:spacing w:after="20"/>
            </w:pPr>
            <w:r>
              <w:rPr>
                <w:color w:val="1C3A36"/>
                <w:sz w:val="14"/>
              </w:rPr>
              <w:t>ch export fy25</w:t>
            </w:r>
          </w:p>
        </w:tc>
        <w:tc>
          <w:tcPr>
            <w:tcW w:type="dxa" w:w="1512"/>
          </w:tcPr>
          <w:p>
            <w:pPr>
              <w:spacing w:after="20"/>
              <w:jc w:val="right"/>
            </w:pPr>
            <w:r>
              <w:rPr>
                <w:color w:val="1C3A36"/>
                <w:sz w:val="14"/>
              </w:rPr>
              <w:t>2,967.48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export sales 3,103.975 less export distributor incentives 136.496</w:t>
            </w:r>
          </w:p>
        </w:tc>
      </w:tr>
      <w:tr>
        <w:tc>
          <w:tcPr>
            <w:tcW w:type="dxa" w:w="2232"/>
          </w:tcPr>
          <w:p>
            <w:pPr>
              <w:spacing w:after="20"/>
            </w:pPr>
            <w:r>
              <w:rPr>
                <w:color w:val="1C3A36"/>
                <w:sz w:val="14"/>
              </w:rPr>
              <w:t>ch toll fy25</w:t>
            </w:r>
          </w:p>
        </w:tc>
        <w:tc>
          <w:tcPr>
            <w:tcW w:type="dxa" w:w="1512"/>
          </w:tcPr>
          <w:p>
            <w:pPr>
              <w:spacing w:after="20"/>
              <w:jc w:val="right"/>
            </w:pPr>
            <w:r>
              <w:rPr>
                <w:color w:val="1C3A36"/>
                <w:sz w:val="14"/>
              </w:rPr>
              <w:t>49.3664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contract-manufacturing revenue</w:t>
            </w:r>
          </w:p>
        </w:tc>
      </w:tr>
      <w:tr>
        <w:tc>
          <w:tcPr>
            <w:tcW w:type="dxa" w:w="2232"/>
          </w:tcPr>
          <w:p>
            <w:pPr>
              <w:spacing w:after="20"/>
            </w:pPr>
            <w:r>
              <w:rPr>
                <w:color w:val="1C3A36"/>
                <w:sz w:val="14"/>
              </w:rPr>
              <w:t>own prep value fy25</w:t>
            </w:r>
          </w:p>
        </w:tc>
        <w:tc>
          <w:tcPr>
            <w:tcW w:type="dxa" w:w="1512"/>
          </w:tcPr>
          <w:p>
            <w:pPr>
              <w:spacing w:after="20"/>
              <w:jc w:val="right"/>
            </w:pPr>
            <w:r>
              <w:rPr>
                <w:color w:val="1C3A36"/>
                <w:sz w:val="14"/>
              </w:rPr>
              <w:t>9,160.15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value of sales of the company's own preparations, EGP thousand converted to million. Together with the contract-manufacturing line below it sums to the disclosed separate-company total</w:t>
            </w:r>
          </w:p>
        </w:tc>
      </w:tr>
      <w:tr>
        <w:tc>
          <w:tcPr>
            <w:tcW w:type="dxa" w:w="2232"/>
          </w:tcPr>
          <w:p>
            <w:pPr>
              <w:spacing w:after="20"/>
            </w:pPr>
            <w:r>
              <w:rPr>
                <w:color w:val="1C3A36"/>
                <w:sz w:val="14"/>
              </w:rPr>
              <w:t>own prep value fy24</w:t>
            </w:r>
          </w:p>
        </w:tc>
        <w:tc>
          <w:tcPr>
            <w:tcW w:type="dxa" w:w="1512"/>
          </w:tcPr>
          <w:p>
            <w:pPr>
              <w:spacing w:after="20"/>
              <w:jc w:val="right"/>
            </w:pPr>
            <w:r>
              <w:rPr>
                <w:color w:val="1C3A36"/>
                <w:sz w:val="14"/>
              </w:rPr>
              <w:t>7,104.16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contract value fy25</w:t>
            </w:r>
          </w:p>
        </w:tc>
        <w:tc>
          <w:tcPr>
            <w:tcW w:type="dxa" w:w="1512"/>
          </w:tcPr>
          <w:p>
            <w:pPr>
              <w:spacing w:after="20"/>
              <w:jc w:val="right"/>
            </w:pPr>
            <w:r>
              <w:rPr>
                <w:color w:val="1C3A36"/>
                <w:sz w:val="14"/>
              </w:rPr>
              <w:t>142.321</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value of sales of preparations made under contract-manufacturing agreements. NOT the same line as the contract-manufacturing REVENUE the company books — that is the manufacturing fee only, disclosed separately below</w:t>
            </w:r>
          </w:p>
        </w:tc>
      </w:tr>
      <w:tr>
        <w:tc>
          <w:tcPr>
            <w:tcW w:type="dxa" w:w="2232"/>
          </w:tcPr>
          <w:p>
            <w:pPr>
              <w:spacing w:after="20"/>
            </w:pPr>
            <w:r>
              <w:rPr>
                <w:color w:val="1C3A36"/>
                <w:sz w:val="14"/>
              </w:rPr>
              <w:t>contract value fy24</w:t>
            </w:r>
          </w:p>
        </w:tc>
        <w:tc>
          <w:tcPr>
            <w:tcW w:type="dxa" w:w="1512"/>
          </w:tcPr>
          <w:p>
            <w:pPr>
              <w:spacing w:after="20"/>
              <w:jc w:val="right"/>
            </w:pPr>
            <w:r>
              <w:rPr>
                <w:color w:val="1C3A36"/>
                <w:sz w:val="14"/>
              </w:rPr>
              <w:t>259.912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packs toll fy24</w:t>
            </w:r>
          </w:p>
        </w:tc>
        <w:tc>
          <w:tcPr>
            <w:tcW w:type="dxa" w:w="1512"/>
          </w:tcPr>
          <w:p>
            <w:pPr>
              <w:spacing w:after="20"/>
              <w:jc w:val="right"/>
            </w:pPr>
            <w:r>
              <w:rPr>
                <w:color w:val="1C3A36"/>
                <w:sz w:val="14"/>
              </w:rPr>
              <w:t>8.874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packs sold of contract-manufactured preparations, million</w:t>
            </w:r>
          </w:p>
        </w:tc>
      </w:tr>
      <w:tr>
        <w:tc>
          <w:tcPr>
            <w:tcW w:type="dxa" w:w="2232"/>
          </w:tcPr>
          <w:p>
            <w:pPr>
              <w:spacing w:after="20"/>
            </w:pPr>
            <w:r>
              <w:rPr>
                <w:color w:val="1C3A36"/>
                <w:sz w:val="14"/>
              </w:rPr>
              <w:t>prod value hist</w:t>
            </w:r>
          </w:p>
        </w:tc>
        <w:tc>
          <w:tcPr>
            <w:tcW w:type="dxa" w:w="1512"/>
          </w:tcPr>
          <w:p>
            <w:pPr>
              <w:spacing w:after="20"/>
              <w:jc w:val="right"/>
            </w:pPr>
            <w:r>
              <w:rPr>
                <w:color w:val="1C3A36"/>
                <w:sz w:val="14"/>
              </w:rPr>
              <w:t>1,668, 1,912, 2,464, 2,747, 3,221, 2,790, 3,364, 3,799, 5,017, 7,364, 9,302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total activity revenue FY2015-FY2025, separate company, EGP million. Eleven observations, used to test the forecast growth path against what the business has actually delivered rather than against an assertion</w:t>
            </w:r>
          </w:p>
        </w:tc>
      </w:tr>
      <w:tr>
        <w:tc>
          <w:tcPr>
            <w:tcW w:type="dxa" w:w="2232"/>
          </w:tcPr>
          <w:p>
            <w:pPr>
              <w:spacing w:after="20"/>
            </w:pPr>
            <w:r>
              <w:rPr>
                <w:color w:val="1C3A36"/>
                <w:sz w:val="14"/>
              </w:rPr>
              <w:t>dom rev hist</w:t>
            </w:r>
          </w:p>
        </w:tc>
        <w:tc>
          <w:tcPr>
            <w:tcW w:type="dxa" w:w="1512"/>
          </w:tcPr>
          <w:p>
            <w:pPr>
              <w:spacing w:after="20"/>
              <w:jc w:val="right"/>
            </w:pPr>
            <w:r>
              <w:rPr>
                <w:color w:val="1C3A36"/>
                <w:sz w:val="14"/>
              </w:rPr>
              <w:t>1,301, 1,530, 1,772, 2,093, 2,581, 2,174, 2,611, 2,835, 3,425, 4,864, 6,335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domestic sales FY2015-FY2025, separate company, EGP million</w:t>
            </w:r>
          </w:p>
        </w:tc>
      </w:tr>
      <w:tr>
        <w:tc>
          <w:tcPr>
            <w:tcW w:type="dxa" w:w="2232"/>
          </w:tcPr>
          <w:p>
            <w:pPr>
              <w:spacing w:after="20"/>
            </w:pPr>
            <w:r>
              <w:rPr>
                <w:color w:val="1C3A36"/>
                <w:sz w:val="14"/>
              </w:rPr>
              <w:t>exp rev hist</w:t>
            </w:r>
          </w:p>
        </w:tc>
        <w:tc>
          <w:tcPr>
            <w:tcW w:type="dxa" w:w="1512"/>
          </w:tcPr>
          <w:p>
            <w:pPr>
              <w:spacing w:after="20"/>
              <w:jc w:val="right"/>
            </w:pPr>
            <w:r>
              <w:rPr>
                <w:color w:val="1C3A36"/>
                <w:sz w:val="14"/>
              </w:rPr>
              <w:t>355.7, 381.9, 691.4, 654, 640.1, 615.6, 753, 964.7, 1,592, 2,500, 2,967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export sales FY2015-FY2025, separate company, EGP million</w:t>
            </w:r>
          </w:p>
        </w:tc>
      </w:tr>
      <w:tr>
        <w:tc>
          <w:tcPr>
            <w:tcW w:type="dxa" w:w="2232"/>
          </w:tcPr>
          <w:p>
            <w:pPr>
              <w:spacing w:after="20"/>
            </w:pPr>
            <w:r>
              <w:rPr>
                <w:color w:val="1C3A36"/>
                <w:sz w:val="14"/>
              </w:rPr>
              <w:t>prod at sale hist</w:t>
            </w:r>
          </w:p>
        </w:tc>
        <w:tc>
          <w:tcPr>
            <w:tcW w:type="dxa" w:w="1512"/>
          </w:tcPr>
          <w:p>
            <w:pPr>
              <w:spacing w:after="20"/>
              <w:jc w:val="right"/>
            </w:pPr>
            <w:r>
              <w:rPr>
                <w:color w:val="1C3A36"/>
                <w:sz w:val="14"/>
              </w:rPr>
              <w:t>1,762, 1,837, 2,593, 2,877, 3,282, 3,521, 3,465, 4,044, 5,629, 8,475, 1.081e+04</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value of production at selling price FY2015-FY2025, EGP million. Production consistently EXCEEDS sales, which is the inventory build the eight-month raw-material and finished-goods policy implies</w:t>
            </w:r>
          </w:p>
        </w:tc>
      </w:tr>
      <w:tr>
        <w:tc>
          <w:tcPr>
            <w:tcW w:type="dxa" w:w="2232"/>
          </w:tcPr>
          <w:p>
            <w:pPr>
              <w:spacing w:after="20"/>
            </w:pPr>
            <w:r>
              <w:rPr>
                <w:color w:val="1C3A36"/>
                <w:sz w:val="14"/>
              </w:rPr>
              <w:t>dep in cogs fy25</w:t>
            </w:r>
          </w:p>
        </w:tc>
        <w:tc>
          <w:tcPr>
            <w:tcW w:type="dxa" w:w="1512"/>
          </w:tcPr>
          <w:p>
            <w:pPr>
              <w:spacing w:after="20"/>
              <w:jc w:val="right"/>
            </w:pPr>
            <w:r>
              <w:rPr>
                <w:color w:val="1C3A36"/>
                <w:sz w:val="14"/>
              </w:rPr>
              <w:t>93.4976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(26) cost of sales: the depreciation line inside cost of sales. Used to split the forecast depreciation charge between production and operating expense in the same proportion the audited note shows</w:t>
            </w:r>
          </w:p>
        </w:tc>
      </w:tr>
      <w:tr>
        <w:tc>
          <w:tcPr>
            <w:tcW w:type="dxa" w:w="2232"/>
          </w:tcPr>
          <w:p>
            <w:pPr>
              <w:spacing w:after="20"/>
            </w:pPr>
            <w:r>
              <w:rPr>
                <w:color w:val="1C3A36"/>
                <w:sz w:val="14"/>
              </w:rPr>
              <w:t>dep only fy25</w:t>
            </w:r>
          </w:p>
        </w:tc>
        <w:tc>
          <w:tcPr>
            <w:tcW w:type="dxa" w:w="1512"/>
          </w:tcPr>
          <w:p>
            <w:pPr>
              <w:spacing w:after="20"/>
              <w:jc w:val="right"/>
            </w:pPr>
            <w:r>
              <w:rPr>
                <w:color w:val="1C3A36"/>
                <w:sz w:val="14"/>
              </w:rPr>
              <w:t>109.455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(4) fixed assets: the DEPRECIATION charge alone, against the total depreciation-and-amortisation of 117.725 that also carries right-of-use and intangible amortisation. The difference is the non-property amortisation run-rate the forecast holds flat</w:t>
            </w:r>
          </w:p>
        </w:tc>
      </w:tr>
      <w:tr>
        <w:tc>
          <w:tcPr>
            <w:tcW w:type="dxa" w:w="2232"/>
          </w:tcPr>
          <w:p>
            <w:pPr>
              <w:spacing w:after="20"/>
            </w:pPr>
            <w:r>
              <w:rPr>
                <w:color w:val="1C3A36"/>
                <w:sz w:val="14"/>
              </w:rPr>
              <w:t>ecl fy23</w:t>
            </w:r>
          </w:p>
        </w:tc>
        <w:tc>
          <w:tcPr>
            <w:tcW w:type="dxa" w:w="1512"/>
          </w:tcPr>
          <w:p>
            <w:pPr>
              <w:spacing w:after="20"/>
              <w:jc w:val="right"/>
            </w:pPr>
            <w:r>
              <w:rPr>
                <w:color w:val="1C3A36"/>
                <w:sz w:val="14"/>
              </w:rPr>
              <w:t>39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2023: the EXPECTED-CREDIT-LOSS component of the formed-provisions line, separated from inventory impairment and other provisions</w:t>
            </w:r>
          </w:p>
        </w:tc>
      </w:tr>
      <w:tr>
        <w:tc>
          <w:tcPr>
            <w:tcW w:type="dxa" w:w="2232"/>
          </w:tcPr>
          <w:p>
            <w:pPr>
              <w:spacing w:after="20"/>
            </w:pPr>
            <w:r>
              <w:rPr>
                <w:color w:val="1C3A36"/>
                <w:sz w:val="14"/>
              </w:rPr>
              <w:t>ecl fy24</w:t>
            </w:r>
          </w:p>
        </w:tc>
        <w:tc>
          <w:tcPr>
            <w:tcW w:type="dxa" w:w="1512"/>
          </w:tcPr>
          <w:p>
            <w:pPr>
              <w:spacing w:after="20"/>
              <w:jc w:val="right"/>
            </w:pPr>
            <w:r>
              <w:rPr>
                <w:color w:val="1C3A36"/>
                <w:sz w:val="14"/>
              </w:rPr>
              <w:t>330</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FY2024 statements: the expected-credit-loss component alone</w:t>
            </w:r>
          </w:p>
        </w:tc>
      </w:tr>
      <w:tr>
        <w:tc>
          <w:tcPr>
            <w:tcW w:type="dxa" w:w="2232"/>
          </w:tcPr>
          <w:p>
            <w:pPr>
              <w:spacing w:after="20"/>
            </w:pPr>
            <w:r>
              <w:rPr>
                <w:color w:val="1C3A36"/>
                <w:sz w:val="14"/>
              </w:rPr>
              <w:t>ecl fy25</w:t>
            </w:r>
          </w:p>
        </w:tc>
        <w:tc>
          <w:tcPr>
            <w:tcW w:type="dxa" w:w="1512"/>
          </w:tcPr>
          <w:p>
            <w:pPr>
              <w:spacing w:after="20"/>
              <w:jc w:val="right"/>
            </w:pPr>
            <w:r>
              <w:rPr>
                <w:color w:val="1C3A36"/>
                <w:sz w:val="14"/>
              </w:rPr>
              <w:t>376.158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the expected-credit-loss component alone</w:t>
            </w:r>
          </w:p>
        </w:tc>
      </w:tr>
      <w:tr>
        <w:tc>
          <w:tcPr>
            <w:tcW w:type="dxa" w:w="2232"/>
          </w:tcPr>
          <w:p>
            <w:pPr>
              <w:spacing w:after="20"/>
            </w:pPr>
            <w:r>
              <w:rPr>
                <w:color w:val="1C3A36"/>
                <w:sz w:val="14"/>
              </w:rPr>
              <w:t>shares fy22</w:t>
            </w:r>
          </w:p>
        </w:tc>
        <w:tc>
          <w:tcPr>
            <w:tcW w:type="dxa" w:w="1512"/>
          </w:tcPr>
          <w:p>
            <w:pPr>
              <w:spacing w:after="20"/>
              <w:jc w:val="right"/>
            </w:pPr>
            <w:r>
              <w:rPr>
                <w:color w:val="1C3A36"/>
                <w:sz w:val="14"/>
              </w:rPr>
              <w:t>99.1705</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Shares in issue at 31 December 2022, from the capital and shareholders' table in the board report. Used ONLY to compute that year's earnings per share and traded multiple</w:t>
            </w:r>
          </w:p>
        </w:tc>
      </w:tr>
      <w:tr>
        <w:tc>
          <w:tcPr>
            <w:tcW w:type="dxa" w:w="2232"/>
          </w:tcPr>
          <w:p>
            <w:pPr>
              <w:spacing w:after="20"/>
            </w:pPr>
            <w:r>
              <w:rPr>
                <w:color w:val="1C3A36"/>
                <w:sz w:val="14"/>
              </w:rPr>
              <w:t>plant cost usd mn</w:t>
            </w:r>
          </w:p>
        </w:tc>
        <w:tc>
          <w:tcPr>
            <w:tcW w:type="dxa" w:w="1512"/>
          </w:tcPr>
          <w:p>
            <w:pPr>
              <w:spacing w:after="20"/>
              <w:jc w:val="right"/>
            </w:pPr>
            <w:r>
              <w:rPr>
                <w:color w:val="1C3A36"/>
                <w:sz w:val="14"/>
              </w:rPr>
              <w:t>100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The stated cost of the EIPICO 3 biologicals facility in US dollars, as the company describes it in its own announcements and investor material. Used only as the denominator of the asset-turn figure in the reverse valuation</w:t>
            </w:r>
          </w:p>
        </w:tc>
      </w:tr>
      <w:tr>
        <w:tc>
          <w:tcPr>
            <w:tcW w:type="dxa" w:w="2232"/>
          </w:tcPr>
          <w:p>
            <w:pPr>
              <w:spacing w:after="20"/>
            </w:pPr>
            <w:r>
              <w:rPr>
                <w:color w:val="1C3A36"/>
                <w:sz w:val="14"/>
              </w:rPr>
              <w:t>assoc saudi fy25</w:t>
            </w:r>
          </w:p>
        </w:tc>
        <w:tc>
          <w:tcPr>
            <w:tcW w:type="dxa" w:w="1512"/>
          </w:tcPr>
          <w:p>
            <w:pPr>
              <w:spacing w:after="20"/>
              <w:jc w:val="right"/>
            </w:pPr>
            <w:r>
              <w:rPr>
                <w:color w:val="1C3A36"/>
                <w:sz w:val="14"/>
              </w:rPr>
              <w:t>427.906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(33) associates by entity: the share of results attributed to the Saudi Arabian manufacturing associate</w:t>
            </w:r>
          </w:p>
        </w:tc>
      </w:tr>
      <w:tr>
        <w:tc>
          <w:tcPr>
            <w:tcW w:type="dxa" w:w="2232"/>
          </w:tcPr>
          <w:p>
            <w:pPr>
              <w:spacing w:after="20"/>
            </w:pPr>
            <w:r>
              <w:rPr>
                <w:color w:val="1C3A36"/>
                <w:sz w:val="14"/>
              </w:rPr>
              <w:t>assoc saudi fy24</w:t>
            </w:r>
          </w:p>
        </w:tc>
        <w:tc>
          <w:tcPr>
            <w:tcW w:type="dxa" w:w="1512"/>
          </w:tcPr>
          <w:p>
            <w:pPr>
              <w:spacing w:after="20"/>
              <w:jc w:val="right"/>
            </w:pPr>
            <w:r>
              <w:rPr>
                <w:color w:val="1C3A36"/>
                <w:sz w:val="14"/>
              </w:rPr>
              <w:t>190.022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(33), prior-year comparative. NOTE this EXCEEDS the group associate line of 151.581 for FY2024, so the other holdings were a net drag that year; both figures are published rather than one being quoted alone</w:t>
            </w:r>
          </w:p>
        </w:tc>
      </w:tr>
      <w:tr>
        <w:tc>
          <w:tcPr>
            <w:tcW w:type="dxa" w:w="2232"/>
          </w:tcPr>
          <w:p>
            <w:pPr>
              <w:spacing w:after="20"/>
            </w:pPr>
            <w:r>
              <w:rPr>
                <w:color w:val="1C3A36"/>
                <w:sz w:val="14"/>
              </w:rPr>
              <w:t>rev sep fy25</w:t>
            </w:r>
          </w:p>
        </w:tc>
        <w:tc>
          <w:tcPr>
            <w:tcW w:type="dxa" w:w="1512"/>
          </w:tcPr>
          <w:p>
            <w:pPr>
              <w:spacing w:after="20"/>
              <w:jc w:val="right"/>
            </w:pPr>
            <w:r>
              <w:rPr>
                <w:color w:val="1C3A36"/>
                <w:sz w:val="14"/>
              </w:rPr>
              <w:t>9,302.47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Board of directors' report for FY2025, published in the company's 2025 Annual Report (eipico.com.eg -&gt; Investor Relations -&gt; Annual Reports), sales-indicators table: total separate-company activity revenue for FY2025. The channel build must reconcile to this figure exactly before the consolidation factor is applied</w:t>
            </w:r>
          </w:p>
        </w:tc>
      </w:tr>
      <w:tr>
        <w:tc>
          <w:tcPr>
            <w:tcW w:type="dxa" w:w="2232"/>
          </w:tcPr>
          <w:p>
            <w:pPr>
              <w:spacing w:after="20"/>
            </w:pPr>
            <w:r>
              <w:rPr>
                <w:color w:val="1C3A36"/>
                <w:sz w:val="14"/>
              </w:rPr>
              <w:t>ch direct fy24</w:t>
            </w:r>
          </w:p>
        </w:tc>
        <w:tc>
          <w:tcPr>
            <w:tcW w:type="dxa" w:w="1512"/>
          </w:tcPr>
          <w:p>
            <w:pPr>
              <w:spacing w:after="20"/>
              <w:jc w:val="right"/>
            </w:pPr>
            <w:r>
              <w:rPr>
                <w:color w:val="1C3A36"/>
                <w:sz w:val="14"/>
              </w:rPr>
              <w:t>1,530.49</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distrib fy24</w:t>
            </w:r>
          </w:p>
        </w:tc>
        <w:tc>
          <w:tcPr>
            <w:tcW w:type="dxa" w:w="1512"/>
          </w:tcPr>
          <w:p>
            <w:pPr>
              <w:spacing w:after="20"/>
              <w:jc w:val="right"/>
            </w:pPr>
            <w:r>
              <w:rPr>
                <w:color w:val="1C3A36"/>
                <w:sz w:val="14"/>
              </w:rPr>
              <w:t>2,663.54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revenue note (25): distributor sales less local distributor incentives</w:t>
            </w:r>
          </w:p>
        </w:tc>
      </w:tr>
      <w:tr>
        <w:tc>
          <w:tcPr>
            <w:tcW w:type="dxa" w:w="2232"/>
          </w:tcPr>
          <w:p>
            <w:pPr>
              <w:spacing w:after="20"/>
            </w:pPr>
            <w:r>
              <w:rPr>
                <w:color w:val="1C3A36"/>
                <w:sz w:val="14"/>
              </w:rPr>
              <w:t>ch tender fy24</w:t>
            </w:r>
          </w:p>
        </w:tc>
        <w:tc>
          <w:tcPr>
            <w:tcW w:type="dxa" w:w="1512"/>
          </w:tcPr>
          <w:p>
            <w:pPr>
              <w:spacing w:after="20"/>
              <w:jc w:val="right"/>
            </w:pPr>
            <w:r>
              <w:rPr>
                <w:color w:val="1C3A36"/>
                <w:sz w:val="14"/>
              </w:rPr>
              <w:t>634.049</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export fy24</w:t>
            </w:r>
          </w:p>
        </w:tc>
        <w:tc>
          <w:tcPr>
            <w:tcW w:type="dxa" w:w="1512"/>
          </w:tcPr>
          <w:p>
            <w:pPr>
              <w:spacing w:after="20"/>
              <w:jc w:val="right"/>
            </w:pPr>
            <w:r>
              <w:rPr>
                <w:color w:val="1C3A36"/>
                <w:sz w:val="14"/>
              </w:rPr>
              <w:t>2,500.16</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revenue note (25): export sales less export distributor incentives</w:t>
            </w:r>
          </w:p>
        </w:tc>
      </w:tr>
      <w:tr>
        <w:tc>
          <w:tcPr>
            <w:tcW w:type="dxa" w:w="2232"/>
          </w:tcPr>
          <w:p>
            <w:pPr>
              <w:spacing w:after="20"/>
            </w:pPr>
            <w:r>
              <w:rPr>
                <w:color w:val="1C3A36"/>
                <w:sz w:val="14"/>
              </w:rPr>
              <w:t>ch toll fy24</w:t>
            </w:r>
          </w:p>
        </w:tc>
        <w:tc>
          <w:tcPr>
            <w:tcW w:type="dxa" w:w="1512"/>
          </w:tcPr>
          <w:p>
            <w:pPr>
              <w:spacing w:after="20"/>
              <w:jc w:val="right"/>
            </w:pPr>
            <w:r>
              <w:rPr>
                <w:color w:val="1C3A36"/>
                <w:sz w:val="14"/>
              </w:rPr>
              <w:t>35.8358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units prod fy24</w:t>
            </w:r>
          </w:p>
        </w:tc>
        <w:tc>
          <w:tcPr>
            <w:tcW w:type="dxa" w:w="1512"/>
          </w:tcPr>
          <w:p>
            <w:pPr>
              <w:spacing w:after="20"/>
              <w:jc w:val="right"/>
            </w:pPr>
            <w:r>
              <w:rPr>
                <w:color w:val="1C3A36"/>
                <w:sz w:val="14"/>
              </w:rPr>
              <w:t>2,143.68</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comparative production by pharmaceutical dosage form, million units. NOTE the FY2024 Annual Report's own tablet line read 1,513.38 million against the 1,351.75 million restated in the FY2025 report; the later filing is used and the restatement disclosed</w:t>
            </w:r>
          </w:p>
        </w:tc>
      </w:tr>
      <w:tr>
        <w:tc>
          <w:tcPr>
            <w:tcW w:type="dxa" w:w="2232"/>
          </w:tcPr>
          <w:p>
            <w:pPr>
              <w:spacing w:after="20"/>
            </w:pPr>
            <w:r>
              <w:rPr>
                <w:color w:val="1C3A36"/>
                <w:sz w:val="14"/>
              </w:rPr>
              <w:t>units prod fy25</w:t>
            </w:r>
          </w:p>
        </w:tc>
        <w:tc>
          <w:tcPr>
            <w:tcW w:type="dxa" w:w="1512"/>
          </w:tcPr>
          <w:p>
            <w:pPr>
              <w:spacing w:after="20"/>
              <w:jc w:val="right"/>
            </w:pPr>
            <w:r>
              <w:rPr>
                <w:color w:val="1C3A36"/>
                <w:sz w:val="14"/>
              </w:rPr>
              <w:t>2,207.95</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production by pharmaceutical dosage form, million units, summed across all twenty-one disclosed forms</w:t>
            </w:r>
          </w:p>
        </w:tc>
      </w:tr>
      <w:tr>
        <w:tc>
          <w:tcPr>
            <w:tcW w:type="dxa" w:w="2232"/>
          </w:tcPr>
          <w:p>
            <w:pPr>
              <w:spacing w:after="20"/>
            </w:pPr>
            <w:r>
              <w:rPr>
                <w:color w:val="1C3A36"/>
                <w:sz w:val="14"/>
              </w:rPr>
              <w:t>units cap</w:t>
            </w:r>
          </w:p>
        </w:tc>
        <w:tc>
          <w:tcPr>
            <w:tcW w:type="dxa" w:w="1512"/>
          </w:tcPr>
          <w:p>
            <w:pPr>
              <w:spacing w:after="20"/>
              <w:jc w:val="right"/>
            </w:pPr>
            <w:r>
              <w:rPr>
                <w:color w:val="1C3A36"/>
                <w:sz w:val="14"/>
              </w:rPr>
              <w:t>3,383.06</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available capacity in the period, million units, summed across all disclosed dosage forms (unchanged 2024 and 2025)</w:t>
            </w:r>
          </w:p>
        </w:tc>
      </w:tr>
      <w:tr>
        <w:tc>
          <w:tcPr>
            <w:tcW w:type="dxa" w:w="2232"/>
          </w:tcPr>
          <w:p>
            <w:pPr>
              <w:spacing w:after="20"/>
            </w:pPr>
            <w:r>
              <w:rPr>
                <w:color w:val="1C3A36"/>
                <w:sz w:val="14"/>
              </w:rPr>
              <w:t>employees fy25</w:t>
            </w:r>
          </w:p>
        </w:tc>
        <w:tc>
          <w:tcPr>
            <w:tcW w:type="dxa" w:w="1512"/>
          </w:tcPr>
          <w:p>
            <w:pPr>
              <w:spacing w:after="20"/>
              <w:jc w:val="right"/>
            </w:pPr>
            <w:r>
              <w:rPr>
                <w:color w:val="1C3A36"/>
                <w:sz w:val="14"/>
              </w:rPr>
              <w:t>4,981</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average headcount</w:t>
            </w:r>
          </w:p>
        </w:tc>
      </w:tr>
      <w:tr>
        <w:tc>
          <w:tcPr>
            <w:tcW w:type="dxa" w:w="2232"/>
          </w:tcPr>
          <w:p>
            <w:pPr>
              <w:spacing w:after="20"/>
            </w:pPr>
            <w:r>
              <w:rPr>
                <w:color w:val="1C3A36"/>
                <w:sz w:val="14"/>
              </w:rPr>
              <w:t>prod value fy25</w:t>
            </w:r>
          </w:p>
        </w:tc>
        <w:tc>
          <w:tcPr>
            <w:tcW w:type="dxa" w:w="1512"/>
          </w:tcPr>
          <w:p>
            <w:pPr>
              <w:spacing w:after="20"/>
              <w:jc w:val="right"/>
            </w:pPr>
            <w:r>
              <w:rPr>
                <w:color w:val="1C3A36"/>
                <w:sz w:val="14"/>
              </w:rPr>
              <w:t>10,811.9</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value of production</w:t>
            </w:r>
          </w:p>
        </w:tc>
      </w:tr>
      <w:tr>
        <w:tc>
          <w:tcPr>
            <w:tcW w:type="dxa" w:w="2232"/>
          </w:tcPr>
          <w:p>
            <w:pPr>
              <w:spacing w:after="20"/>
            </w:pPr>
            <w:r>
              <w:rPr>
                <w:color w:val="1C3A36"/>
                <w:sz w:val="14"/>
              </w:rPr>
              <w:t>products fy25</w:t>
            </w:r>
          </w:p>
        </w:tc>
        <w:tc>
          <w:tcPr>
            <w:tcW w:type="dxa" w:w="1512"/>
          </w:tcPr>
          <w:p>
            <w:pPr>
              <w:spacing w:after="20"/>
              <w:jc w:val="right"/>
            </w:pPr>
            <w:r>
              <w:rPr>
                <w:color w:val="1C3A36"/>
                <w:sz w:val="14"/>
              </w:rPr>
              <w:t>414</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 number of registered preparations produced (2024: 401)</w:t>
            </w:r>
          </w:p>
        </w:tc>
      </w:tr>
      <w:tr>
        <w:tc>
          <w:tcPr>
            <w:tcW w:type="dxa" w:w="2232"/>
          </w:tcPr>
          <w:p>
            <w:pPr>
              <w:spacing w:after="20"/>
            </w:pPr>
            <w:r>
              <w:rPr>
                <w:color w:val="1C3A36"/>
                <w:sz w:val="14"/>
              </w:rPr>
              <w:t>fx avg fy25</w:t>
            </w:r>
          </w:p>
        </w:tc>
        <w:tc>
          <w:tcPr>
            <w:tcW w:type="dxa" w:w="1512"/>
          </w:tcPr>
          <w:p>
            <w:pPr>
              <w:spacing w:after="20"/>
              <w:jc w:val="right"/>
            </w:pPr>
            <w:r>
              <w:rPr>
                <w:color w:val="1C3A36"/>
                <w:sz w:val="14"/>
              </w:rPr>
              <w:t>49.48</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(36) foreign-currency risk: average exchange rate used during the period, EGP per US dollar</w:t>
            </w:r>
          </w:p>
        </w:tc>
      </w:tr>
      <w:tr>
        <w:tc>
          <w:tcPr>
            <w:tcW w:type="dxa" w:w="2232"/>
          </w:tcPr>
          <w:p>
            <w:pPr>
              <w:spacing w:after="20"/>
            </w:pPr>
            <w:r>
              <w:rPr>
                <w:color w:val="1C3A36"/>
                <w:sz w:val="14"/>
              </w:rPr>
              <w:t>fx close fy25</w:t>
            </w:r>
          </w:p>
        </w:tc>
        <w:tc>
          <w:tcPr>
            <w:tcW w:type="dxa" w:w="1512"/>
          </w:tcPr>
          <w:p>
            <w:pPr>
              <w:spacing w:after="20"/>
              <w:jc w:val="right"/>
            </w:pPr>
            <w:r>
              <w:rPr>
                <w:color w:val="1C3A36"/>
                <w:sz w:val="14"/>
              </w:rPr>
              <w:t>49.52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(36): closing rate at the balance-sheet date</w:t>
            </w:r>
          </w:p>
        </w:tc>
      </w:tr>
      <w:tr>
        <w:tc>
          <w:tcPr>
            <w:tcW w:type="dxa" w:w="2232"/>
          </w:tcPr>
          <w:p>
            <w:pPr>
              <w:spacing w:after="20"/>
            </w:pPr>
            <w:r>
              <w:rPr>
                <w:color w:val="1C3A36"/>
                <w:sz w:val="14"/>
              </w:rPr>
              <w:t>fx avg fy24</w:t>
            </w:r>
          </w:p>
        </w:tc>
        <w:tc>
          <w:tcPr>
            <w:tcW w:type="dxa" w:w="1512"/>
          </w:tcPr>
          <w:p>
            <w:pPr>
              <w:spacing w:after="20"/>
              <w:jc w:val="right"/>
            </w:pPr>
            <w:r>
              <w:rPr>
                <w:color w:val="1C3A36"/>
                <w:sz w:val="14"/>
              </w:rPr>
              <w:t>47.74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(36): average rate during FY2024</w:t>
            </w:r>
          </w:p>
        </w:tc>
      </w:tr>
      <w:tr>
        <w:tc>
          <w:tcPr>
            <w:tcW w:type="dxa" w:w="2232"/>
          </w:tcPr>
          <w:p>
            <w:pPr>
              <w:spacing w:after="20"/>
            </w:pPr>
            <w:r>
              <w:rPr>
                <w:color w:val="1C3A36"/>
                <w:sz w:val="14"/>
              </w:rPr>
              <w:t>fx close fy24</w:t>
            </w:r>
          </w:p>
        </w:tc>
        <w:tc>
          <w:tcPr>
            <w:tcW w:type="dxa" w:w="1512"/>
          </w:tcPr>
          <w:p>
            <w:pPr>
              <w:spacing w:after="20"/>
              <w:jc w:val="right"/>
            </w:pPr>
            <w:r>
              <w:rPr>
                <w:color w:val="1C3A36"/>
                <w:sz w:val="14"/>
              </w:rPr>
              <w:t>50.89</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 (36): closing rate at 31 December 2024</w:t>
            </w:r>
          </w:p>
        </w:tc>
      </w:tr>
      <w:tr>
        <w:tc>
          <w:tcPr>
            <w:tcW w:type="dxa" w:w="2232"/>
          </w:tcPr>
          <w:p>
            <w:pPr>
              <w:spacing w:after="20"/>
            </w:pPr>
            <w:r>
              <w:rPr>
                <w:color w:val="1C3A36"/>
                <w:sz w:val="14"/>
              </w:rPr>
              <w:t>fx net monetary usd fy25</w:t>
            </w:r>
          </w:p>
        </w:tc>
        <w:tc>
          <w:tcPr>
            <w:tcW w:type="dxa" w:w="1512"/>
          </w:tcPr>
          <w:p>
            <w:pPr>
              <w:spacing w:after="20"/>
              <w:jc w:val="right"/>
            </w:pPr>
            <w:r>
              <w:rPr>
                <w:color w:val="1C3A36"/>
                <w:sz w:val="14"/>
              </w:rPr>
              <w:t>-0.540092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note (36): net monetary position in US dollars at the balance-sheet date — bank balances 10.510 plus receivables 40.068 less creditor banks 51.118, in millions of US dollars</w:t>
            </w:r>
          </w:p>
        </w:tc>
      </w:tr>
      <w:tr>
        <w:tc>
          <w:tcPr>
            <w:tcW w:type="dxa" w:w="2232"/>
          </w:tcPr>
          <w:p>
            <w:pPr>
              <w:spacing w:after="20"/>
            </w:pPr>
            <w:r>
              <w:rPr>
                <w:color w:val="1C3A36"/>
                <w:sz w:val="14"/>
              </w:rPr>
              <w:t>cost shares</w:t>
            </w:r>
          </w:p>
        </w:tc>
        <w:tc>
          <w:tcPr>
            <w:tcW w:type="dxa" w:w="1512"/>
          </w:tcPr>
          <w:p>
            <w:pPr>
              <w:spacing w:after="20"/>
              <w:jc w:val="right"/>
            </w:pPr>
            <w:r>
              <w:rPr>
                <w:color w:val="1C3A36"/>
                <w:sz w:val="14"/>
              </w:rPr>
              <w:t>materials 0.5488, packaging 0.2456, labour 0.0977, energy 0.0342, services_other 0.0571, depreciation 0.0166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cost of sales note (26). Production cost of EGP 5,625.990 million splits as: raw materials 3,087.382 (54.88%); packaging materials 1,381.559 (24.56%); labour 447.415 wages + 55.497 benefits in kind + 46.342 social insurance = 549.254 (9.77%); fuel, oils, electricity, water and lighting 192.345 (3.42%); all other consumables and services 321.446 (5.71%); depreciation 93.498 (1.66%)</w:t>
            </w:r>
          </w:p>
        </w:tc>
      </w:tr>
      <w:tr>
        <w:tc>
          <w:tcPr>
            <w:tcW w:type="dxa" w:w="2232"/>
          </w:tcPr>
          <w:p>
            <w:pPr>
              <w:spacing w:after="20"/>
            </w:pPr>
            <w:r>
              <w:rPr>
                <w:color w:val="1C3A36"/>
                <w:sz w:val="14"/>
              </w:rPr>
              <w:t>payout</w:t>
            </w:r>
          </w:p>
        </w:tc>
        <w:tc>
          <w:tcPr>
            <w:tcW w:type="dxa" w:w="1512"/>
          </w:tcPr>
          <w:p>
            <w:pPr>
              <w:spacing w:after="20"/>
              <w:jc w:val="right"/>
            </w:pPr>
            <w:r>
              <w:rPr>
                <w:color w:val="1C3A36"/>
                <w:sz w:val="14"/>
              </w:rPr>
              <w:t>0.4</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Dividend payout ratio on profit attributable to the holding company. The board proposed EGP 3.50 a share for FY2025 (EGP 590.645 million on 168,755,750 shares) against attributable profit of EGP 1,441.658 million, a 41.0% payout; the FY2024 proposal was EGP 3.00 a share (EGP 446.267 million on 148,755,750 shares) against EGP 1,095.717 million, 40.7%</w:t>
            </w:r>
          </w:p>
        </w:tc>
      </w:tr>
      <w:tr>
        <w:tc>
          <w:tcPr>
            <w:tcW w:type="dxa" w:w="2232"/>
          </w:tcPr>
          <w:p>
            <w:pPr>
              <w:spacing w:after="20"/>
            </w:pPr>
            <w:r>
              <w:rPr>
                <w:color w:val="1C3A36"/>
                <w:sz w:val="14"/>
              </w:rPr>
              <w:t>dps fy25</w:t>
            </w:r>
          </w:p>
        </w:tc>
        <w:tc>
          <w:tcPr>
            <w:tcW w:type="dxa" w:w="1512"/>
          </w:tcPr>
          <w:p>
            <w:pPr>
              <w:spacing w:after="20"/>
              <w:jc w:val="right"/>
            </w:pPr>
            <w:r>
              <w:rPr>
                <w:color w:val="1C3A36"/>
                <w:sz w:val="14"/>
              </w:rPr>
              <w:t>3.5</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Dividend per share proposed by the board for FY2025: EGP 590,645,125 divided by 168,755,750 shares, exactly EGP 3.50. The FY2024 proposal was EGP 446,267,250 on 148,755,750 shares, exactly EGP 3.00</w:t>
            </w:r>
          </w:p>
        </w:tc>
      </w:tr>
      <w:tr>
        <w:tc>
          <w:tcPr>
            <w:tcW w:type="dxa" w:w="2232"/>
          </w:tcPr>
          <w:p>
            <w:pPr>
              <w:spacing w:after="20"/>
            </w:pPr>
            <w:r>
              <w:rPr>
                <w:color w:val="1C3A36"/>
                <w:sz w:val="14"/>
              </w:rPr>
              <w:t>ppe fy23</w:t>
            </w:r>
          </w:p>
        </w:tc>
        <w:tc>
          <w:tcPr>
            <w:tcW w:type="dxa" w:w="1512"/>
          </w:tcPr>
          <w:p>
            <w:pPr>
              <w:spacing w:after="20"/>
              <w:jc w:val="right"/>
            </w:pPr>
            <w:r>
              <w:rPr>
                <w:color w:val="1C3A36"/>
                <w:sz w:val="14"/>
              </w:rPr>
              <w:t>963.645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(4)</w:t>
            </w:r>
          </w:p>
        </w:tc>
      </w:tr>
      <w:tr>
        <w:tc>
          <w:tcPr>
            <w:tcW w:type="dxa" w:w="2232"/>
          </w:tcPr>
          <w:p>
            <w:pPr>
              <w:spacing w:after="20"/>
            </w:pPr>
            <w:r>
              <w:rPr>
                <w:color w:val="1C3A36"/>
                <w:sz w:val="14"/>
              </w:rPr>
              <w:t>cip fy23</w:t>
            </w:r>
          </w:p>
        </w:tc>
        <w:tc>
          <w:tcPr>
            <w:tcW w:type="dxa" w:w="1512"/>
          </w:tcPr>
          <w:p>
            <w:pPr>
              <w:spacing w:after="20"/>
              <w:jc w:val="right"/>
            </w:pPr>
            <w:r>
              <w:rPr>
                <w:color w:val="1C3A36"/>
                <w:sz w:val="14"/>
              </w:rPr>
              <w:t>3,058.21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(6)</w:t>
            </w:r>
          </w:p>
        </w:tc>
      </w:tr>
      <w:tr>
        <w:tc>
          <w:tcPr>
            <w:tcW w:type="dxa" w:w="2232"/>
          </w:tcPr>
          <w:p>
            <w:pPr>
              <w:spacing w:after="20"/>
            </w:pPr>
            <w:r>
              <w:rPr>
                <w:color w:val="1C3A36"/>
                <w:sz w:val="14"/>
              </w:rPr>
              <w:t>rou fy23</w:t>
            </w:r>
          </w:p>
        </w:tc>
        <w:tc>
          <w:tcPr>
            <w:tcW w:type="dxa" w:w="1512"/>
          </w:tcPr>
          <w:p>
            <w:pPr>
              <w:spacing w:after="20"/>
              <w:jc w:val="right"/>
            </w:pPr>
            <w:r>
              <w:rPr>
                <w:color w:val="1C3A36"/>
                <w:sz w:val="14"/>
              </w:rPr>
              <w:t>2.02275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(5)</w:t>
            </w:r>
          </w:p>
        </w:tc>
      </w:tr>
      <w:tr>
        <w:tc>
          <w:tcPr>
            <w:tcW w:type="dxa" w:w="2232"/>
          </w:tcPr>
          <w:p>
            <w:pPr>
              <w:spacing w:after="20"/>
            </w:pPr>
            <w:r>
              <w:rPr>
                <w:color w:val="1C3A36"/>
                <w:sz w:val="14"/>
              </w:rPr>
              <w:t>intang fy23</w:t>
            </w:r>
          </w:p>
        </w:tc>
        <w:tc>
          <w:tcPr>
            <w:tcW w:type="dxa" w:w="1512"/>
          </w:tcPr>
          <w:p>
            <w:pPr>
              <w:spacing w:after="20"/>
              <w:jc w:val="right"/>
            </w:pPr>
            <w:r>
              <w:rPr>
                <w:color w:val="1C3A36"/>
                <w:sz w:val="14"/>
              </w:rPr>
              <w:t>2.30172</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(7)</w:t>
            </w:r>
          </w:p>
        </w:tc>
      </w:tr>
      <w:tr>
        <w:tc>
          <w:tcPr>
            <w:tcW w:type="dxa" w:w="2232"/>
          </w:tcPr>
          <w:p>
            <w:pPr>
              <w:spacing w:after="20"/>
            </w:pPr>
            <w:r>
              <w:rPr>
                <w:color w:val="1C3A36"/>
                <w:sz w:val="14"/>
              </w:rPr>
              <w:t>assoc bv fy23</w:t>
            </w:r>
          </w:p>
        </w:tc>
        <w:tc>
          <w:tcPr>
            <w:tcW w:type="dxa" w:w="1512"/>
          </w:tcPr>
          <w:p>
            <w:pPr>
              <w:spacing w:after="20"/>
              <w:jc w:val="right"/>
            </w:pPr>
            <w:r>
              <w:rPr>
                <w:color w:val="1C3A36"/>
                <w:sz w:val="14"/>
              </w:rPr>
              <w:t>466.491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(8)</w:t>
            </w:r>
          </w:p>
        </w:tc>
      </w:tr>
      <w:tr>
        <w:tc>
          <w:tcPr>
            <w:tcW w:type="dxa" w:w="2232"/>
          </w:tcPr>
          <w:p>
            <w:pPr>
              <w:spacing w:after="20"/>
            </w:pPr>
            <w:r>
              <w:rPr>
                <w:color w:val="1C3A36"/>
                <w:sz w:val="14"/>
              </w:rPr>
              <w:t>inv fy23</w:t>
            </w:r>
          </w:p>
        </w:tc>
        <w:tc>
          <w:tcPr>
            <w:tcW w:type="dxa" w:w="1512"/>
          </w:tcPr>
          <w:p>
            <w:pPr>
              <w:spacing w:after="20"/>
              <w:jc w:val="right"/>
            </w:pPr>
            <w:r>
              <w:rPr>
                <w:color w:val="1C3A36"/>
                <w:sz w:val="14"/>
              </w:rPr>
              <w:t>2,242.4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(9)</w:t>
            </w:r>
          </w:p>
        </w:tc>
      </w:tr>
      <w:tr>
        <w:tc>
          <w:tcPr>
            <w:tcW w:type="dxa" w:w="2232"/>
          </w:tcPr>
          <w:p>
            <w:pPr>
              <w:spacing w:after="20"/>
            </w:pPr>
            <w:r>
              <w:rPr>
                <w:color w:val="1C3A36"/>
                <w:sz w:val="14"/>
              </w:rPr>
              <w:t>ar fy23</w:t>
            </w:r>
          </w:p>
        </w:tc>
        <w:tc>
          <w:tcPr>
            <w:tcW w:type="dxa" w:w="1512"/>
          </w:tcPr>
          <w:p>
            <w:pPr>
              <w:spacing w:after="20"/>
              <w:jc w:val="right"/>
            </w:pPr>
            <w:r>
              <w:rPr>
                <w:color w:val="1C3A36"/>
                <w:sz w:val="14"/>
              </w:rPr>
              <w:t>2,357.86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(10)</w:t>
            </w:r>
          </w:p>
        </w:tc>
      </w:tr>
      <w:tr>
        <w:tc>
          <w:tcPr>
            <w:tcW w:type="dxa" w:w="2232"/>
          </w:tcPr>
          <w:p>
            <w:pPr>
              <w:spacing w:after="20"/>
            </w:pPr>
            <w:r>
              <w:rPr>
                <w:color w:val="1C3A36"/>
                <w:sz w:val="14"/>
              </w:rPr>
              <w:t>othdr fy23</w:t>
            </w:r>
          </w:p>
        </w:tc>
        <w:tc>
          <w:tcPr>
            <w:tcW w:type="dxa" w:w="1512"/>
          </w:tcPr>
          <w:p>
            <w:pPr>
              <w:spacing w:after="20"/>
              <w:jc w:val="right"/>
            </w:pPr>
            <w:r>
              <w:rPr>
                <w:color w:val="1C3A36"/>
                <w:sz w:val="14"/>
              </w:rPr>
              <w:t>197.731</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(11)</w:t>
            </w:r>
          </w:p>
        </w:tc>
      </w:tr>
      <w:tr>
        <w:tc>
          <w:tcPr>
            <w:tcW w:type="dxa" w:w="2232"/>
          </w:tcPr>
          <w:p>
            <w:pPr>
              <w:spacing w:after="20"/>
            </w:pPr>
            <w:r>
              <w:rPr>
                <w:color w:val="1C3A36"/>
                <w:sz w:val="14"/>
              </w:rPr>
              <w:t>cash fy23</w:t>
            </w:r>
          </w:p>
        </w:tc>
        <w:tc>
          <w:tcPr>
            <w:tcW w:type="dxa" w:w="1512"/>
          </w:tcPr>
          <w:p>
            <w:pPr>
              <w:spacing w:after="20"/>
              <w:jc w:val="right"/>
            </w:pPr>
            <w:r>
              <w:rPr>
                <w:color w:val="1C3A36"/>
                <w:sz w:val="14"/>
              </w:rPr>
              <w:t>675.798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(12)</w:t>
            </w:r>
          </w:p>
        </w:tc>
      </w:tr>
      <w:tr>
        <w:tc>
          <w:tcPr>
            <w:tcW w:type="dxa" w:w="2232"/>
          </w:tcPr>
          <w:p>
            <w:pPr>
              <w:spacing w:after="20"/>
            </w:pPr>
            <w:r>
              <w:rPr>
                <w:color w:val="1C3A36"/>
                <w:sz w:val="14"/>
              </w:rPr>
              <w:t>ap fy23</w:t>
            </w:r>
          </w:p>
        </w:tc>
        <w:tc>
          <w:tcPr>
            <w:tcW w:type="dxa" w:w="1512"/>
          </w:tcPr>
          <w:p>
            <w:pPr>
              <w:spacing w:after="20"/>
              <w:jc w:val="right"/>
            </w:pPr>
            <w:r>
              <w:rPr>
                <w:color w:val="1C3A36"/>
                <w:sz w:val="14"/>
              </w:rPr>
              <w:t>176.354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(23)</w:t>
            </w:r>
          </w:p>
        </w:tc>
      </w:tr>
      <w:tr>
        <w:tc>
          <w:tcPr>
            <w:tcW w:type="dxa" w:w="2232"/>
          </w:tcPr>
          <w:p>
            <w:pPr>
              <w:spacing w:after="20"/>
            </w:pPr>
            <w:r>
              <w:rPr>
                <w:color w:val="1C3A36"/>
                <w:sz w:val="14"/>
              </w:rPr>
              <w:t>othcr fy23</w:t>
            </w:r>
          </w:p>
        </w:tc>
        <w:tc>
          <w:tcPr>
            <w:tcW w:type="dxa" w:w="1512"/>
          </w:tcPr>
          <w:p>
            <w:pPr>
              <w:spacing w:after="20"/>
              <w:jc w:val="right"/>
            </w:pPr>
            <w:r>
              <w:rPr>
                <w:color w:val="1C3A36"/>
                <w:sz w:val="14"/>
              </w:rPr>
              <w:t>230.675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(24)</w:t>
            </w:r>
          </w:p>
        </w:tc>
      </w:tr>
      <w:tr>
        <w:tc>
          <w:tcPr>
            <w:tcW w:type="dxa" w:w="2232"/>
          </w:tcPr>
          <w:p>
            <w:pPr>
              <w:spacing w:after="20"/>
            </w:pPr>
            <w:r>
              <w:rPr>
                <w:color w:val="1C3A36"/>
                <w:sz w:val="14"/>
              </w:rPr>
              <w:t>provbs fy23</w:t>
            </w:r>
          </w:p>
        </w:tc>
        <w:tc>
          <w:tcPr>
            <w:tcW w:type="dxa" w:w="1512"/>
          </w:tcPr>
          <w:p>
            <w:pPr>
              <w:spacing w:after="20"/>
              <w:jc w:val="right"/>
            </w:pPr>
            <w:r>
              <w:rPr>
                <w:color w:val="1C3A36"/>
                <w:sz w:val="14"/>
              </w:rPr>
              <w:t>191.16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(21)</w:t>
            </w:r>
          </w:p>
        </w:tc>
      </w:tr>
      <w:tr>
        <w:tc>
          <w:tcPr>
            <w:tcW w:type="dxa" w:w="2232"/>
          </w:tcPr>
          <w:p>
            <w:pPr>
              <w:spacing w:after="20"/>
            </w:pPr>
            <w:r>
              <w:rPr>
                <w:color w:val="1C3A36"/>
                <w:sz w:val="14"/>
              </w:rPr>
              <w:t>taxpay fy23</w:t>
            </w:r>
          </w:p>
        </w:tc>
        <w:tc>
          <w:tcPr>
            <w:tcW w:type="dxa" w:w="1512"/>
          </w:tcPr>
          <w:p>
            <w:pPr>
              <w:spacing w:after="20"/>
              <w:jc w:val="right"/>
            </w:pPr>
            <w:r>
              <w:rPr>
                <w:color w:val="1C3A36"/>
                <w:sz w:val="14"/>
              </w:rPr>
              <w:t>184.979</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(25)</w:t>
            </w:r>
          </w:p>
        </w:tc>
      </w:tr>
      <w:tr>
        <w:tc>
          <w:tcPr>
            <w:tcW w:type="dxa" w:w="2232"/>
          </w:tcPr>
          <w:p>
            <w:pPr>
              <w:spacing w:after="20"/>
            </w:pPr>
            <w:r>
              <w:rPr>
                <w:color w:val="1C3A36"/>
                <w:sz w:val="14"/>
              </w:rPr>
              <w:t>dtl fy23</w:t>
            </w:r>
          </w:p>
        </w:tc>
        <w:tc>
          <w:tcPr>
            <w:tcW w:type="dxa" w:w="1512"/>
          </w:tcPr>
          <w:p>
            <w:pPr>
              <w:spacing w:after="20"/>
              <w:jc w:val="right"/>
            </w:pPr>
            <w:r>
              <w:rPr>
                <w:color w:val="1C3A36"/>
                <w:sz w:val="14"/>
              </w:rPr>
              <w:t>58.9405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 (20)</w:t>
            </w:r>
          </w:p>
        </w:tc>
      </w:tr>
      <w:tr>
        <w:tc>
          <w:tcPr>
            <w:tcW w:type="dxa" w:w="2232"/>
          </w:tcPr>
          <w:p>
            <w:pPr>
              <w:spacing w:after="20"/>
            </w:pPr>
            <w:r>
              <w:rPr>
                <w:color w:val="1C3A36"/>
                <w:sz w:val="14"/>
              </w:rPr>
              <w:t>debt fy23</w:t>
            </w:r>
          </w:p>
        </w:tc>
        <w:tc>
          <w:tcPr>
            <w:tcW w:type="dxa" w:w="1512"/>
          </w:tcPr>
          <w:p>
            <w:pPr>
              <w:spacing w:after="20"/>
              <w:jc w:val="right"/>
            </w:pPr>
            <w:r>
              <w:rPr>
                <w:color w:val="1C3A36"/>
                <w:sz w:val="14"/>
              </w:rPr>
              <w:t>4,879.97</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notes (17), (19) and (22): long-term borrowings 2,832.317, bank facilities 2,045.331, lease liabilities 2.325</w:t>
            </w:r>
          </w:p>
        </w:tc>
      </w:tr>
      <w:tr>
        <w:tc>
          <w:tcPr>
            <w:tcW w:type="dxa" w:w="2232"/>
          </w:tcPr>
          <w:p>
            <w:pPr>
              <w:spacing w:after="20"/>
            </w:pPr>
            <w:r>
              <w:rPr>
                <w:color w:val="1C3A36"/>
                <w:sz w:val="14"/>
              </w:rPr>
              <w:t>debt fy24</w:t>
            </w:r>
          </w:p>
        </w:tc>
        <w:tc>
          <w:tcPr>
            <w:tcW w:type="dxa" w:w="1512"/>
          </w:tcPr>
          <w:p>
            <w:pPr>
              <w:spacing w:after="20"/>
              <w:jc w:val="right"/>
            </w:pPr>
            <w:r>
              <w:rPr>
                <w:color w:val="1C3A36"/>
                <w:sz w:val="14"/>
              </w:rPr>
              <w:t>9,200.03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notes (17), (18) and (21): borrowings 4,782.129, bank facilities 4,406.897, lease liabilities 11.008</w:t>
            </w:r>
          </w:p>
        </w:tc>
      </w:tr>
      <w:tr>
        <w:tc>
          <w:tcPr>
            <w:tcW w:type="dxa" w:w="2232"/>
          </w:tcPr>
          <w:p>
            <w:pPr>
              <w:spacing w:after="20"/>
            </w:pPr>
            <w:r>
              <w:rPr>
                <w:color w:val="1C3A36"/>
                <w:sz w:val="14"/>
              </w:rPr>
              <w:t>nci fy23</w:t>
            </w:r>
          </w:p>
        </w:tc>
        <w:tc>
          <w:tcPr>
            <w:tcW w:type="dxa" w:w="1512"/>
          </w:tcPr>
          <w:p>
            <w:pPr>
              <w:spacing w:after="20"/>
              <w:jc w:val="right"/>
            </w:pPr>
            <w:r>
              <w:rPr>
                <w:color w:val="1C3A36"/>
                <w:sz w:val="14"/>
              </w:rPr>
              <w:t>3.39494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fy24</w:t>
            </w:r>
          </w:p>
        </w:tc>
        <w:tc>
          <w:tcPr>
            <w:tcW w:type="dxa" w:w="1512"/>
          </w:tcPr>
          <w:p>
            <w:pPr>
              <w:spacing w:after="20"/>
              <w:jc w:val="right"/>
            </w:pPr>
            <w:r>
              <w:rPr>
                <w:color w:val="1C3A36"/>
                <w:sz w:val="14"/>
              </w:rPr>
              <w:t>3.81617</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assets fy23</w:t>
            </w:r>
          </w:p>
        </w:tc>
        <w:tc>
          <w:tcPr>
            <w:tcW w:type="dxa" w:w="1512"/>
          </w:tcPr>
          <w:p>
            <w:pPr>
              <w:spacing w:after="20"/>
              <w:jc w:val="right"/>
            </w:pPr>
            <w:r>
              <w:rPr>
                <w:color w:val="1C3A36"/>
                <w:sz w:val="14"/>
              </w:rPr>
              <w:t>9,978.78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total assets</w:t>
            </w:r>
          </w:p>
        </w:tc>
      </w:tr>
      <w:tr>
        <w:tc>
          <w:tcPr>
            <w:tcW w:type="dxa" w:w="2232"/>
          </w:tcPr>
          <w:p>
            <w:pPr>
              <w:spacing w:after="20"/>
            </w:pPr>
            <w:r>
              <w:rPr>
                <w:color w:val="1C3A36"/>
                <w:sz w:val="14"/>
              </w:rPr>
              <w:t>assets fy24</w:t>
            </w:r>
          </w:p>
        </w:tc>
        <w:tc>
          <w:tcPr>
            <w:tcW w:type="dxa" w:w="1512"/>
          </w:tcPr>
          <w:p>
            <w:pPr>
              <w:spacing w:after="20"/>
              <w:jc w:val="right"/>
            </w:pPr>
            <w:r>
              <w:rPr>
                <w:color w:val="1C3A36"/>
                <w:sz w:val="14"/>
              </w:rPr>
              <w:t>15,373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total assets</w:t>
            </w:r>
          </w:p>
        </w:tc>
      </w:tr>
      <w:tr>
        <w:tc>
          <w:tcPr>
            <w:tcW w:type="dxa" w:w="2232"/>
          </w:tcPr>
          <w:p>
            <w:pPr>
              <w:spacing w:after="20"/>
            </w:pPr>
            <w:r>
              <w:rPr>
                <w:color w:val="1C3A36"/>
                <w:sz w:val="14"/>
              </w:rPr>
              <w:t>capex fy23</w:t>
            </w:r>
          </w:p>
        </w:tc>
        <w:tc>
          <w:tcPr>
            <w:tcW w:type="dxa" w:w="1512"/>
          </w:tcPr>
          <w:p>
            <w:pPr>
              <w:spacing w:after="20"/>
              <w:jc w:val="right"/>
            </w:pPr>
            <w:r>
              <w:rPr>
                <w:color w:val="1C3A36"/>
                <w:sz w:val="14"/>
              </w:rPr>
              <w:t>2,290.19</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consolidated statement of cash flows: payments to acquire fixed assets</w:t>
            </w:r>
          </w:p>
        </w:tc>
      </w:tr>
      <w:tr>
        <w:tc>
          <w:tcPr>
            <w:tcW w:type="dxa" w:w="2232"/>
          </w:tcPr>
          <w:p>
            <w:pPr>
              <w:spacing w:after="20"/>
            </w:pPr>
            <w:r>
              <w:rPr>
                <w:color w:val="1C3A36"/>
                <w:sz w:val="14"/>
              </w:rPr>
              <w:t>capex fy24</w:t>
            </w:r>
          </w:p>
        </w:tc>
        <w:tc>
          <w:tcPr>
            <w:tcW w:type="dxa" w:w="1512"/>
          </w:tcPr>
          <w:p>
            <w:pPr>
              <w:spacing w:after="20"/>
              <w:jc w:val="right"/>
            </w:pPr>
            <w:r>
              <w:rPr>
                <w:color w:val="1C3A36"/>
                <w:sz w:val="14"/>
              </w:rPr>
              <w:t>2,846.24</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consolidated statement of cash flows</w:t>
            </w:r>
          </w:p>
        </w:tc>
      </w:tr>
      <w:tr>
        <w:tc>
          <w:tcPr>
            <w:tcW w:type="dxa" w:w="2232"/>
          </w:tcPr>
          <w:p>
            <w:pPr>
              <w:spacing w:after="20"/>
            </w:pPr>
            <w:r>
              <w:rPr>
                <w:color w:val="1C3A36"/>
                <w:sz w:val="14"/>
              </w:rPr>
              <w:t>capex fy25</w:t>
            </w:r>
          </w:p>
        </w:tc>
        <w:tc>
          <w:tcPr>
            <w:tcW w:type="dxa" w:w="1512"/>
          </w:tcPr>
          <w:p>
            <w:pPr>
              <w:spacing w:after="20"/>
              <w:jc w:val="right"/>
            </w:pPr>
            <w:r>
              <w:rPr>
                <w:color w:val="1C3A36"/>
                <w:sz w:val="14"/>
              </w:rPr>
              <w:t>1,354.67</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w:t>
            </w:r>
          </w:p>
        </w:tc>
      </w:tr>
      <w:tr>
        <w:tc>
          <w:tcPr>
            <w:tcW w:type="dxa" w:w="2232"/>
          </w:tcPr>
          <w:p>
            <w:pPr>
              <w:spacing w:after="20"/>
            </w:pPr>
            <w:r>
              <w:rPr>
                <w:color w:val="1C3A36"/>
                <w:sz w:val="14"/>
              </w:rPr>
              <w:t>ocf fy23</w:t>
            </w:r>
          </w:p>
        </w:tc>
        <w:tc>
          <w:tcPr>
            <w:tcW w:type="dxa" w:w="1512"/>
          </w:tcPr>
          <w:p>
            <w:pPr>
              <w:spacing w:after="20"/>
              <w:jc w:val="right"/>
            </w:pPr>
            <w:r>
              <w:rPr>
                <w:color w:val="1C3A36"/>
                <w:sz w:val="14"/>
              </w:rPr>
              <w:t>92.4838</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net cash from operating activities</w:t>
            </w:r>
          </w:p>
        </w:tc>
      </w:tr>
      <w:tr>
        <w:tc>
          <w:tcPr>
            <w:tcW w:type="dxa" w:w="2232"/>
          </w:tcPr>
          <w:p>
            <w:pPr>
              <w:spacing w:after="20"/>
            </w:pPr>
            <w:r>
              <w:rPr>
                <w:color w:val="1C3A36"/>
                <w:sz w:val="14"/>
              </w:rPr>
              <w:t>ocf fy24</w:t>
            </w:r>
          </w:p>
        </w:tc>
        <w:tc>
          <w:tcPr>
            <w:tcW w:type="dxa" w:w="1512"/>
          </w:tcPr>
          <w:p>
            <w:pPr>
              <w:spacing w:after="20"/>
              <w:jc w:val="right"/>
            </w:pPr>
            <w:r>
              <w:rPr>
                <w:color w:val="1C3A36"/>
                <w:sz w:val="14"/>
              </w:rPr>
              <w:t>-1,274.49</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 net cash used in operating activities</w:t>
            </w:r>
          </w:p>
        </w:tc>
      </w:tr>
      <w:tr>
        <w:tc>
          <w:tcPr>
            <w:tcW w:type="dxa" w:w="2232"/>
          </w:tcPr>
          <w:p>
            <w:pPr>
              <w:spacing w:after="20"/>
            </w:pPr>
            <w:r>
              <w:rPr>
                <w:color w:val="1C3A36"/>
                <w:sz w:val="14"/>
              </w:rPr>
              <w:t>ocf fy25</w:t>
            </w:r>
          </w:p>
        </w:tc>
        <w:tc>
          <w:tcPr>
            <w:tcW w:type="dxa" w:w="1512"/>
          </w:tcPr>
          <w:p>
            <w:pPr>
              <w:spacing w:after="20"/>
              <w:jc w:val="right"/>
            </w:pPr>
            <w:r>
              <w:rPr>
                <w:color w:val="1C3A36"/>
                <w:sz w:val="14"/>
              </w:rPr>
              <w:t>1,093.52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 net cash from operating activities</w:t>
            </w:r>
          </w:p>
        </w:tc>
      </w:tr>
      <w:tr>
        <w:tc>
          <w:tcPr>
            <w:tcW w:type="dxa" w:w="2232"/>
          </w:tcPr>
          <w:p>
            <w:pPr>
              <w:spacing w:after="20"/>
            </w:pPr>
            <w:r>
              <w:rPr>
                <w:color w:val="1C3A36"/>
                <w:sz w:val="14"/>
              </w:rPr>
              <w:t>icf fy23</w:t>
            </w:r>
          </w:p>
        </w:tc>
        <w:tc>
          <w:tcPr>
            <w:tcW w:type="dxa" w:w="1512"/>
          </w:tcPr>
          <w:p>
            <w:pPr>
              <w:spacing w:after="20"/>
              <w:jc w:val="right"/>
            </w:pPr>
            <w:r>
              <w:rPr>
                <w:color w:val="1C3A36"/>
                <w:sz w:val="14"/>
              </w:rPr>
              <w:t>-2,329.64</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net cash used in investing activities</w:t>
            </w:r>
          </w:p>
        </w:tc>
      </w:tr>
      <w:tr>
        <w:tc>
          <w:tcPr>
            <w:tcW w:type="dxa" w:w="2232"/>
          </w:tcPr>
          <w:p>
            <w:pPr>
              <w:spacing w:after="20"/>
            </w:pPr>
            <w:r>
              <w:rPr>
                <w:color w:val="1C3A36"/>
                <w:sz w:val="14"/>
              </w:rPr>
              <w:t>icf fy24</w:t>
            </w:r>
          </w:p>
        </w:tc>
        <w:tc>
          <w:tcPr>
            <w:tcW w:type="dxa" w:w="1512"/>
          </w:tcPr>
          <w:p>
            <w:pPr>
              <w:spacing w:after="20"/>
              <w:jc w:val="right"/>
            </w:pPr>
            <w:r>
              <w:rPr>
                <w:color w:val="1C3A36"/>
                <w:sz w:val="14"/>
              </w:rPr>
              <w:t>-2,679.03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icf fy25</w:t>
            </w:r>
          </w:p>
        </w:tc>
        <w:tc>
          <w:tcPr>
            <w:tcW w:type="dxa" w:w="1512"/>
          </w:tcPr>
          <w:p>
            <w:pPr>
              <w:spacing w:after="20"/>
              <w:jc w:val="right"/>
            </w:pPr>
            <w:r>
              <w:rPr>
                <w:color w:val="1C3A36"/>
                <w:sz w:val="14"/>
              </w:rPr>
              <w:t>-1,201.73</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fcf fy23</w:t>
            </w:r>
          </w:p>
        </w:tc>
        <w:tc>
          <w:tcPr>
            <w:tcW w:type="dxa" w:w="1512"/>
          </w:tcPr>
          <w:p>
            <w:pPr>
              <w:spacing w:after="20"/>
              <w:jc w:val="right"/>
            </w:pPr>
            <w:r>
              <w:rPr>
                <w:color w:val="1C3A36"/>
                <w:sz w:val="14"/>
              </w:rPr>
              <w:t>2,209.82</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net cash from financing activities</w:t>
            </w:r>
          </w:p>
        </w:tc>
      </w:tr>
      <w:tr>
        <w:tc>
          <w:tcPr>
            <w:tcW w:type="dxa" w:w="2232"/>
          </w:tcPr>
          <w:p>
            <w:pPr>
              <w:spacing w:after="20"/>
            </w:pPr>
            <w:r>
              <w:rPr>
                <w:color w:val="1C3A36"/>
                <w:sz w:val="14"/>
              </w:rPr>
              <w:t>fcf fy24</w:t>
            </w:r>
          </w:p>
        </w:tc>
        <w:tc>
          <w:tcPr>
            <w:tcW w:type="dxa" w:w="1512"/>
          </w:tcPr>
          <w:p>
            <w:pPr>
              <w:spacing w:after="20"/>
              <w:jc w:val="right"/>
            </w:pPr>
            <w:r>
              <w:rPr>
                <w:color w:val="1C3A36"/>
                <w:sz w:val="14"/>
              </w:rPr>
              <w:t>3,853.62</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fcf fy25</w:t>
            </w:r>
          </w:p>
        </w:tc>
        <w:tc>
          <w:tcPr>
            <w:tcW w:type="dxa" w:w="1512"/>
          </w:tcPr>
          <w:p>
            <w:pPr>
              <w:spacing w:after="20"/>
              <w:jc w:val="right"/>
            </w:pPr>
            <w:r>
              <w:rPr>
                <w:color w:val="1C3A36"/>
                <w:sz w:val="14"/>
              </w:rPr>
              <w:t>262.412</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dwc fy23</w:t>
            </w:r>
          </w:p>
        </w:tc>
        <w:tc>
          <w:tcPr>
            <w:tcW w:type="dxa" w:w="1512"/>
          </w:tcPr>
          <w:p>
            <w:pPr>
              <w:spacing w:after="20"/>
              <w:jc w:val="right"/>
            </w:pPr>
            <w:r>
              <w:rPr>
                <w:color w:val="1C3A36"/>
                <w:sz w:val="14"/>
              </w:rPr>
              <w:t>-835.715</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Audited consolidated financial statements for the year ended 31 December 2023 (confirmed against the comparative column of the FY2024 filing), consolidated statement of cash flows: movements in receivables, inventory and payables</w:t>
            </w:r>
          </w:p>
        </w:tc>
      </w:tr>
      <w:tr>
        <w:tc>
          <w:tcPr>
            <w:tcW w:type="dxa" w:w="2232"/>
          </w:tcPr>
          <w:p>
            <w:pPr>
              <w:spacing w:after="20"/>
            </w:pPr>
            <w:r>
              <w:rPr>
                <w:color w:val="1C3A36"/>
                <w:sz w:val="14"/>
              </w:rPr>
              <w:t>dwc fy24</w:t>
            </w:r>
          </w:p>
        </w:tc>
        <w:tc>
          <w:tcPr>
            <w:tcW w:type="dxa" w:w="1512"/>
          </w:tcPr>
          <w:p>
            <w:pPr>
              <w:spacing w:after="20"/>
              <w:jc w:val="right"/>
            </w:pPr>
            <w:r>
              <w:rPr>
                <w:color w:val="1C3A36"/>
                <w:sz w:val="14"/>
              </w:rPr>
              <w:t>-2,426.81</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dwc fy25</w:t>
            </w:r>
          </w:p>
        </w:tc>
        <w:tc>
          <w:tcPr>
            <w:tcW w:type="dxa" w:w="1512"/>
          </w:tcPr>
          <w:p>
            <w:pPr>
              <w:spacing w:after="20"/>
              <w:jc w:val="right"/>
            </w:pPr>
            <w:r>
              <w:rPr>
                <w:color w:val="1C3A36"/>
                <w:sz w:val="14"/>
              </w:rPr>
              <w:t>-428.219</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dps fy23</w:t>
            </w:r>
          </w:p>
        </w:tc>
        <w:tc>
          <w:tcPr>
            <w:tcW w:type="dxa" w:w="1512"/>
          </w:tcPr>
          <w:p>
            <w:pPr>
              <w:spacing w:after="20"/>
              <w:jc w:val="right"/>
            </w:pPr>
            <w:r>
              <w:rPr>
                <w:color w:val="1C3A36"/>
                <w:sz w:val="14"/>
              </w:rPr>
              <w:t>2</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Proposed profit-distribution table, FY2023 board of directors' report</w:t>
            </w:r>
          </w:p>
        </w:tc>
      </w:tr>
      <w:tr>
        <w:tc>
          <w:tcPr>
            <w:tcW w:type="dxa" w:w="2232"/>
          </w:tcPr>
          <w:p>
            <w:pPr>
              <w:spacing w:after="20"/>
            </w:pPr>
            <w:r>
              <w:rPr>
                <w:color w:val="1C3A36"/>
                <w:sz w:val="14"/>
              </w:rPr>
              <w:t>dps fy24</w:t>
            </w:r>
          </w:p>
        </w:tc>
        <w:tc>
          <w:tcPr>
            <w:tcW w:type="dxa" w:w="1512"/>
          </w:tcPr>
          <w:p>
            <w:pPr>
              <w:spacing w:after="20"/>
              <w:jc w:val="right"/>
            </w:pPr>
            <w:r>
              <w:rPr>
                <w:color w:val="1C3A36"/>
                <w:sz w:val="14"/>
              </w:rPr>
              <w:t>3</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Proposed profit-distribution table, FY2024 board of directors' report: EGP 446,267,250 on 148,755,750 shares</w:t>
            </w:r>
          </w:p>
        </w:tc>
      </w:tr>
      <w:tr>
        <w:tc>
          <w:tcPr>
            <w:tcW w:type="dxa" w:w="2232"/>
          </w:tcPr>
          <w:p>
            <w:pPr>
              <w:spacing w:after="20"/>
            </w:pPr>
            <w:r>
              <w:rPr>
                <w:color w:val="1C3A36"/>
                <w:sz w:val="14"/>
              </w:rPr>
              <w:t>shares fy23</w:t>
            </w:r>
          </w:p>
        </w:tc>
        <w:tc>
          <w:tcPr>
            <w:tcW w:type="dxa" w:w="1512"/>
          </w:tcPr>
          <w:p>
            <w:pPr>
              <w:spacing w:after="20"/>
              <w:jc w:val="right"/>
            </w:pPr>
            <w:r>
              <w:rPr>
                <w:color w:val="1C3A36"/>
                <w:sz w:val="14"/>
              </w:rPr>
              <w:t>148.756</w:t>
            </w:r>
          </w:p>
        </w:tc>
        <w:tc>
          <w:tcPr>
            <w:tcW w:type="dxa" w:w="950"/>
          </w:tcPr>
          <w:p>
            <w:pPr>
              <w:spacing w:after="20"/>
              <w:jc w:val="right"/>
            </w:pPr>
            <w:r>
              <w:rPr>
                <w:color w:val="1C3A36"/>
                <w:sz w:val="14"/>
              </w:rPr>
              <w:t>2024-03-01</w:t>
            </w:r>
          </w:p>
        </w:tc>
        <w:tc>
          <w:tcPr>
            <w:tcW w:type="dxa" w:w="4810"/>
          </w:tcPr>
          <w:p>
            <w:pPr>
              <w:spacing w:after="20"/>
              <w:jc w:val="right"/>
            </w:pPr>
            <w:r>
              <w:rPr>
                <w:color w:val="1C3A36"/>
                <w:sz w:val="14"/>
              </w:rPr>
              <w:t>Capital note (13), shares in issue at 31 December 2023 and 31 December 2024</w:t>
            </w:r>
          </w:p>
        </w:tc>
      </w:tr>
      <w:tr>
        <w:tc>
          <w:tcPr>
            <w:tcW w:type="dxa" w:w="2232"/>
          </w:tcPr>
          <w:p>
            <w:pPr>
              <w:spacing w:after="20"/>
            </w:pPr>
            <w:r>
              <w:rPr>
                <w:color w:val="1C3A36"/>
                <w:sz w:val="14"/>
              </w:rPr>
              <w:t>wavg shares fy25</w:t>
            </w:r>
          </w:p>
        </w:tc>
        <w:tc>
          <w:tcPr>
            <w:tcW w:type="dxa" w:w="1512"/>
          </w:tcPr>
          <w:p>
            <w:pPr>
              <w:spacing w:after="20"/>
              <w:jc w:val="right"/>
            </w:pPr>
            <w:r>
              <w:rPr>
                <w:color w:val="1C3A36"/>
                <w:sz w:val="14"/>
              </w:rPr>
              <w:t>162.016</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Earnings-per-share note (34), FY2025 weighted average</w:t>
            </w:r>
          </w:p>
        </w:tc>
      </w:tr>
      <w:tr>
        <w:tc>
          <w:tcPr>
            <w:tcW w:type="dxa" w:w="2232"/>
          </w:tcPr>
          <w:p>
            <w:pPr>
              <w:spacing w:after="20"/>
            </w:pPr>
            <w:r>
              <w:rPr>
                <w:color w:val="1C3A36"/>
                <w:sz w:val="14"/>
              </w:rPr>
              <w:t>tablets fy24 as reported</w:t>
            </w:r>
          </w:p>
        </w:tc>
        <w:tc>
          <w:tcPr>
            <w:tcW w:type="dxa" w:w="1512"/>
          </w:tcPr>
          <w:p>
            <w:pPr>
              <w:spacing w:after="20"/>
              <w:jc w:val="right"/>
            </w:pPr>
            <w:r>
              <w:rPr>
                <w:color w:val="1C3A36"/>
                <w:sz w:val="14"/>
              </w:rPr>
              <w:t>1,513.38</w:t>
            </w:r>
          </w:p>
        </w:tc>
        <w:tc>
          <w:tcPr>
            <w:tcW w:type="dxa" w:w="950"/>
          </w:tcPr>
          <w:p>
            <w:pPr>
              <w:spacing w:after="20"/>
              <w:jc w:val="right"/>
            </w:pPr>
            <w:r>
              <w:rPr>
                <w:color w:val="1C3A36"/>
                <w:sz w:val="14"/>
              </w:rPr>
              <w:t>2025-03-01</w:t>
            </w:r>
          </w:p>
        </w:tc>
        <w:tc>
          <w:tcPr>
            <w:tcW w:type="dxa" w:w="4810"/>
          </w:tcPr>
          <w:p>
            <w:pPr>
              <w:spacing w:after="20"/>
              <w:jc w:val="right"/>
            </w:pPr>
            <w:r>
              <w:rPr>
                <w:color w:val="1C3A36"/>
                <w:sz w:val="14"/>
              </w:rPr>
              <w:t>Production of tablets in FY2024 as stated in the FY2024 board of directors' report</w:t>
            </w:r>
          </w:p>
        </w:tc>
      </w:tr>
      <w:tr>
        <w:tc>
          <w:tcPr>
            <w:tcW w:type="dxa" w:w="2232"/>
          </w:tcPr>
          <w:p>
            <w:pPr>
              <w:spacing w:after="20"/>
            </w:pPr>
            <w:r>
              <w:rPr>
                <w:color w:val="1C3A36"/>
                <w:sz w:val="14"/>
              </w:rPr>
              <w:t>tablets fy24 restated</w:t>
            </w:r>
          </w:p>
        </w:tc>
        <w:tc>
          <w:tcPr>
            <w:tcW w:type="dxa" w:w="1512"/>
          </w:tcPr>
          <w:p>
            <w:pPr>
              <w:spacing w:after="20"/>
              <w:jc w:val="right"/>
            </w:pPr>
            <w:r>
              <w:rPr>
                <w:color w:val="1C3A36"/>
                <w:sz w:val="14"/>
              </w:rPr>
              <w:t>1,351.75</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The same year restated in the FY2025 board of directors' report — a disclosed restatement, resolved in favour of the later filing</w:t>
            </w:r>
          </w:p>
        </w:tc>
      </w:tr>
      <w:tr>
        <w:tc>
          <w:tcPr>
            <w:tcW w:type="dxa" w:w="2232"/>
          </w:tcPr>
          <w:p>
            <w:pPr>
              <w:spacing w:after="20"/>
            </w:pPr>
            <w:r>
              <w:rPr>
                <w:color w:val="1C3A36"/>
                <w:sz w:val="14"/>
              </w:rPr>
              <w:t>products registered</w:t>
            </w:r>
          </w:p>
        </w:tc>
        <w:tc>
          <w:tcPr>
            <w:tcW w:type="dxa" w:w="1512"/>
          </w:tcPr>
          <w:p>
            <w:pPr>
              <w:spacing w:after="20"/>
              <w:jc w:val="right"/>
            </w:pPr>
            <w:r>
              <w:rPr>
                <w:color w:val="1C3A36"/>
                <w:sz w:val="14"/>
              </w:rPr>
              <w:t>1,238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Company investor presentation, published on the corporate website (eipico.com.eg -&gt; Company Profile / EIPICO Presentation): products registered</w:t>
            </w:r>
          </w:p>
        </w:tc>
      </w:tr>
      <w:tr>
        <w:tc>
          <w:tcPr>
            <w:tcW w:type="dxa" w:w="2232"/>
          </w:tcPr>
          <w:p>
            <w:pPr>
              <w:spacing w:after="20"/>
            </w:pPr>
            <w:r>
              <w:rPr>
                <w:color w:val="1C3A36"/>
                <w:sz w:val="14"/>
              </w:rPr>
              <w:t>countries registered</w:t>
            </w:r>
          </w:p>
        </w:tc>
        <w:tc>
          <w:tcPr>
            <w:tcW w:type="dxa" w:w="1512"/>
          </w:tcPr>
          <w:p>
            <w:pPr>
              <w:spacing w:after="20"/>
              <w:jc w:val="right"/>
            </w:pPr>
            <w:r>
              <w:rPr>
                <w:color w:val="1C3A36"/>
                <w:sz w:val="14"/>
              </w:rPr>
              <w:t>61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Company investor presentation, published on the corporate website (eipico.com.eg -&gt; Company Profile / EIPICO Presentation): countries of registration</w:t>
            </w:r>
          </w:p>
        </w:tc>
      </w:tr>
      <w:tr>
        <w:tc>
          <w:tcPr>
            <w:tcW w:type="dxa" w:w="2232"/>
          </w:tcPr>
          <w:p>
            <w:pPr>
              <w:spacing w:after="20"/>
            </w:pPr>
            <w:r>
              <w:rPr>
                <w:color w:val="1C3A36"/>
                <w:sz w:val="14"/>
              </w:rPr>
              <w:t>export countries</w:t>
            </w:r>
          </w:p>
        </w:tc>
        <w:tc>
          <w:tcPr>
            <w:tcW w:type="dxa" w:w="1512"/>
          </w:tcPr>
          <w:p>
            <w:pPr>
              <w:spacing w:after="20"/>
              <w:jc w:val="right"/>
            </w:pPr>
            <w:r>
              <w:rPr>
                <w:color w:val="1C3A36"/>
                <w:sz w:val="14"/>
              </w:rPr>
              <w:t>67</w:t>
            </w:r>
          </w:p>
        </w:tc>
        <w:tc>
          <w:tcPr>
            <w:tcW w:type="dxa" w:w="950"/>
          </w:tcPr>
          <w:p>
            <w:pPr>
              <w:spacing w:after="20"/>
              <w:jc w:val="right"/>
            </w:pPr>
            <w:r>
              <w:rPr>
                <w:color w:val="1C3A36"/>
                <w:sz w:val="14"/>
              </w:rPr>
              <w:t>2026-03-28</w:t>
            </w:r>
          </w:p>
        </w:tc>
        <w:tc>
          <w:tcPr>
            <w:tcW w:type="dxa" w:w="4810"/>
          </w:tcPr>
          <w:p>
            <w:pPr>
              <w:spacing w:after="20"/>
              <w:jc w:val="right"/>
            </w:pPr>
            <w:r>
              <w:rPr>
                <w:color w:val="1C3A36"/>
                <w:sz w:val="14"/>
              </w:rPr>
              <w:t>Board of Directors' report for FY2025, published inside the 2025 Annual Report — the company's own disclosed operating statistics: countries exported to in FY2025</w:t>
            </w:r>
          </w:p>
        </w:tc>
      </w:tr>
      <w:tr>
        <w:tc>
          <w:tcPr>
            <w:tcW w:type="dxa" w:w="2232"/>
          </w:tcPr>
          <w:p>
            <w:pPr>
              <w:spacing w:after="20"/>
            </w:pPr>
            <w:r>
              <w:rPr>
                <w:color w:val="1C3A36"/>
                <w:sz w:val="14"/>
              </w:rPr>
              <w:t>par value</w:t>
            </w:r>
          </w:p>
        </w:tc>
        <w:tc>
          <w:tcPr>
            <w:tcW w:type="dxa" w:w="1512"/>
          </w:tcPr>
          <w:p>
            <w:pPr>
              <w:spacing w:after="20"/>
              <w:jc w:val="right"/>
            </w:pPr>
            <w:r>
              <w:rPr>
                <w:color w:val="1C3A36"/>
                <w:sz w:val="14"/>
              </w:rPr>
              <w:t>10</w:t>
            </w:r>
          </w:p>
        </w:tc>
        <w:tc>
          <w:tcPr>
            <w:tcW w:type="dxa" w:w="950"/>
          </w:tcPr>
          <w:p>
            <w:pPr>
              <w:spacing w:after="20"/>
              <w:jc w:val="right"/>
            </w:pPr>
            <w:r>
              <w:rPr>
                <w:color w:val="1C3A36"/>
                <w:sz w:val="14"/>
              </w:rPr>
              <w:t>2026-03-01</w:t>
            </w:r>
          </w:p>
        </w:tc>
        <w:tc>
          <w:tcPr>
            <w:tcW w:type="dxa" w:w="4810"/>
          </w:tcPr>
          <w:p>
            <w:pPr>
              <w:spacing w:after="20"/>
              <w:jc w:val="right"/>
            </w:pPr>
            <w:r>
              <w:rPr>
                <w:color w:val="1C3A36"/>
                <w:sz w:val="14"/>
              </w:rPr>
              <w:t>Capital note (13): nominal value per share</w:t>
            </w:r>
          </w:p>
        </w:tc>
      </w:tr>
      <w:tr>
        <w:tc>
          <w:tcPr>
            <w:tcW w:type="dxa" w:w="2232"/>
          </w:tcPr>
          <w:p>
            <w:pPr>
              <w:spacing w:after="20"/>
            </w:pPr>
            <w:r>
              <w:rPr>
                <w:color w:val="1C3A36"/>
                <w:sz w:val="14"/>
              </w:rPr>
              <w:t>q1 rev</w:t>
            </w:r>
          </w:p>
        </w:tc>
        <w:tc>
          <w:tcPr>
            <w:tcW w:type="dxa" w:w="1512"/>
          </w:tcPr>
          <w:p>
            <w:pPr>
              <w:spacing w:after="20"/>
              <w:jc w:val="right"/>
            </w:pPr>
            <w:r>
              <w:rPr>
                <w:color w:val="1C3A36"/>
                <w:sz w:val="14"/>
              </w:rPr>
              <w:t>2,532.83</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net sales for the quarter (Q1-2025: 2,299.890)</w:t>
            </w:r>
          </w:p>
        </w:tc>
      </w:tr>
      <w:tr>
        <w:tc>
          <w:tcPr>
            <w:tcW w:type="dxa" w:w="2232"/>
          </w:tcPr>
          <w:p>
            <w:pPr>
              <w:spacing w:after="20"/>
            </w:pPr>
            <w:r>
              <w:rPr>
                <w:color w:val="1C3A36"/>
                <w:sz w:val="14"/>
              </w:rPr>
              <w:t>q1 rev ly</w:t>
            </w:r>
          </w:p>
        </w:tc>
        <w:tc>
          <w:tcPr>
            <w:tcW w:type="dxa" w:w="1512"/>
          </w:tcPr>
          <w:p>
            <w:pPr>
              <w:spacing w:after="20"/>
              <w:jc w:val="right"/>
            </w:pPr>
            <w:r>
              <w:rPr>
                <w:color w:val="1C3A36"/>
                <w:sz w:val="14"/>
              </w:rPr>
              <w:t>2,299.89</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gp</w:t>
            </w:r>
          </w:p>
        </w:tc>
        <w:tc>
          <w:tcPr>
            <w:tcW w:type="dxa" w:w="1512"/>
          </w:tcPr>
          <w:p>
            <w:pPr>
              <w:spacing w:after="20"/>
              <w:jc w:val="right"/>
            </w:pPr>
            <w:r>
              <w:rPr>
                <w:color w:val="1C3A36"/>
                <w:sz w:val="14"/>
              </w:rPr>
              <w:t>1,073.71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gross profit (Q1-2025: 1,051.090)</w:t>
            </w:r>
          </w:p>
        </w:tc>
      </w:tr>
      <w:tr>
        <w:tc>
          <w:tcPr>
            <w:tcW w:type="dxa" w:w="2232"/>
          </w:tcPr>
          <w:p>
            <w:pPr>
              <w:spacing w:after="20"/>
            </w:pPr>
            <w:r>
              <w:rPr>
                <w:color w:val="1C3A36"/>
                <w:sz w:val="14"/>
              </w:rPr>
              <w:t>q1 gp ly</w:t>
            </w:r>
          </w:p>
        </w:tc>
        <w:tc>
          <w:tcPr>
            <w:tcW w:type="dxa" w:w="1512"/>
          </w:tcPr>
          <w:p>
            <w:pPr>
              <w:spacing w:after="20"/>
              <w:jc w:val="right"/>
            </w:pPr>
            <w:r>
              <w:rPr>
                <w:color w:val="1C3A36"/>
                <w:sz w:val="14"/>
              </w:rPr>
              <w:t>1,051.09</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dna</w:t>
            </w:r>
          </w:p>
        </w:tc>
        <w:tc>
          <w:tcPr>
            <w:tcW w:type="dxa" w:w="1512"/>
          </w:tcPr>
          <w:p>
            <w:pPr>
              <w:spacing w:after="20"/>
              <w:jc w:val="right"/>
            </w:pPr>
            <w:r>
              <w:rPr>
                <w:color w:val="1C3A36"/>
                <w:sz w:val="14"/>
              </w:rPr>
              <w:t>56.2094</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statement of cash flows: fixed-asset depreciation 52.9996, right-of-use amortisation 1.5390, intangible amortisation 1.6708. The comparative quarter total was 26.613, so the charge has MORE THAN DOUBLED year on year</w:t>
            </w:r>
          </w:p>
        </w:tc>
      </w:tr>
      <w:tr>
        <w:tc>
          <w:tcPr>
            <w:tcW w:type="dxa" w:w="2232"/>
          </w:tcPr>
          <w:p>
            <w:pPr>
              <w:spacing w:after="20"/>
            </w:pPr>
            <w:r>
              <w:rPr>
                <w:color w:val="1C3A36"/>
                <w:sz w:val="14"/>
              </w:rPr>
              <w:t>q1 dna ly</w:t>
            </w:r>
          </w:p>
        </w:tc>
        <w:tc>
          <w:tcPr>
            <w:tcW w:type="dxa" w:w="1512"/>
          </w:tcPr>
          <w:p>
            <w:pPr>
              <w:spacing w:after="20"/>
              <w:jc w:val="right"/>
            </w:pPr>
            <w:r>
              <w:rPr>
                <w:color w:val="1C3A36"/>
                <w:sz w:val="14"/>
              </w:rPr>
              <w:t>26.6131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fin</w:t>
            </w:r>
          </w:p>
        </w:tc>
        <w:tc>
          <w:tcPr>
            <w:tcW w:type="dxa" w:w="1512"/>
          </w:tcPr>
          <w:p>
            <w:pPr>
              <w:spacing w:after="20"/>
              <w:jc w:val="right"/>
            </w:pPr>
            <w:r>
              <w:rPr>
                <w:color w:val="1C3A36"/>
                <w:sz w:val="14"/>
              </w:rPr>
              <w:t>312.862</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financing expenses (Q1-2025: 335.979) — DOWN 6.9% year on year despite a larger debt book</w:t>
            </w:r>
          </w:p>
        </w:tc>
      </w:tr>
      <w:tr>
        <w:tc>
          <w:tcPr>
            <w:tcW w:type="dxa" w:w="2232"/>
          </w:tcPr>
          <w:p>
            <w:pPr>
              <w:spacing w:after="20"/>
            </w:pPr>
            <w:r>
              <w:rPr>
                <w:color w:val="1C3A36"/>
                <w:sz w:val="14"/>
              </w:rPr>
              <w:t>q1 prov</w:t>
            </w:r>
          </w:p>
        </w:tc>
        <w:tc>
          <w:tcPr>
            <w:tcW w:type="dxa" w:w="1512"/>
          </w:tcPr>
          <w:p>
            <w:pPr>
              <w:spacing w:after="20"/>
              <w:jc w:val="right"/>
            </w:pPr>
            <w:r>
              <w:rPr>
                <w:color w:val="1C3A36"/>
                <w:sz w:val="14"/>
              </w:rPr>
              <w:t>65</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formed provisions 40.000 plus inventory impairment 25.000. THERE IS NO EXPECTED-CREDIT-LOSS CHARGE AT ALL, which is one of the three matters the auditor qualified</w:t>
            </w:r>
          </w:p>
        </w:tc>
      </w:tr>
      <w:tr>
        <w:tc>
          <w:tcPr>
            <w:tcW w:type="dxa" w:w="2232"/>
          </w:tcPr>
          <w:p>
            <w:pPr>
              <w:spacing w:after="20"/>
            </w:pPr>
            <w:r>
              <w:rPr>
                <w:color w:val="1C3A36"/>
                <w:sz w:val="14"/>
              </w:rPr>
              <w:t>q1 assoc</w:t>
            </w:r>
          </w:p>
        </w:tc>
        <w:tc>
          <w:tcPr>
            <w:tcW w:type="dxa" w:w="1512"/>
          </w:tcPr>
          <w:p>
            <w:pPr>
              <w:spacing w:after="20"/>
              <w:jc w:val="right"/>
            </w:pPr>
            <w:r>
              <w:rPr>
                <w:color w:val="1C3A36"/>
                <w:sz w:val="14"/>
              </w:rPr>
              <w:t>13.1184</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profits of subsidiaries and associates (Q1-2025: 33.445). The auditor states the associates' own periodic statements were NOT received, so this line is incomplete by construction</w:t>
            </w:r>
          </w:p>
        </w:tc>
      </w:tr>
      <w:tr>
        <w:tc>
          <w:tcPr>
            <w:tcW w:type="dxa" w:w="2232"/>
          </w:tcPr>
          <w:p>
            <w:pPr>
              <w:spacing w:after="20"/>
            </w:pPr>
            <w:r>
              <w:rPr>
                <w:color w:val="1C3A36"/>
                <w:sz w:val="14"/>
              </w:rPr>
              <w:t>q1 capex</w:t>
            </w:r>
          </w:p>
        </w:tc>
        <w:tc>
          <w:tcPr>
            <w:tcW w:type="dxa" w:w="1512"/>
          </w:tcPr>
          <w:p>
            <w:pPr>
              <w:spacing w:after="20"/>
              <w:jc w:val="right"/>
            </w:pPr>
            <w:r>
              <w:rPr>
                <w:color w:val="1C3A36"/>
                <w:sz w:val="14"/>
              </w:rPr>
              <w:t>324.735</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payments to purchase fixed assets and projects under construction</w:t>
            </w:r>
          </w:p>
        </w:tc>
      </w:tr>
      <w:tr>
        <w:tc>
          <w:tcPr>
            <w:tcW w:type="dxa" w:w="2232"/>
          </w:tcPr>
          <w:p>
            <w:pPr>
              <w:spacing w:after="20"/>
            </w:pPr>
            <w:r>
              <w:rPr>
                <w:color w:val="1C3A36"/>
                <w:sz w:val="14"/>
              </w:rPr>
              <w:t>q1 parent</w:t>
            </w:r>
          </w:p>
        </w:tc>
        <w:tc>
          <w:tcPr>
            <w:tcW w:type="dxa" w:w="1512"/>
          </w:tcPr>
          <w:p>
            <w:pPr>
              <w:spacing w:after="20"/>
              <w:jc w:val="right"/>
            </w:pPr>
            <w:r>
              <w:rPr>
                <w:color w:val="1C3A36"/>
                <w:sz w:val="14"/>
              </w:rPr>
              <w:t>283.954</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 attributable to the holding company (Q1-2025: 318.564), a fall of 10.9% on a 10.1% rise in sales</w:t>
            </w:r>
          </w:p>
        </w:tc>
      </w:tr>
      <w:tr>
        <w:tc>
          <w:tcPr>
            <w:tcW w:type="dxa" w:w="2232"/>
          </w:tcPr>
          <w:p>
            <w:pPr>
              <w:spacing w:after="20"/>
            </w:pPr>
            <w:r>
              <w:rPr>
                <w:color w:val="1C3A36"/>
                <w:sz w:val="14"/>
              </w:rPr>
              <w:t>q1 parent ly</w:t>
            </w:r>
          </w:p>
        </w:tc>
        <w:tc>
          <w:tcPr>
            <w:tcW w:type="dxa" w:w="1512"/>
          </w:tcPr>
          <w:p>
            <w:pPr>
              <w:spacing w:after="20"/>
              <w:jc w:val="right"/>
            </w:pPr>
            <w:r>
              <w:rPr>
                <w:color w:val="1C3A36"/>
                <w:sz w:val="14"/>
              </w:rPr>
              <w:t>318.564</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ppe</w:t>
            </w:r>
          </w:p>
        </w:tc>
        <w:tc>
          <w:tcPr>
            <w:tcW w:type="dxa" w:w="1512"/>
          </w:tcPr>
          <w:p>
            <w:pPr>
              <w:spacing w:after="20"/>
              <w:jc w:val="right"/>
            </w:pPr>
            <w:r>
              <w:rPr>
                <w:color w:val="1C3A36"/>
                <w:sz w:val="14"/>
              </w:rPr>
              <w:t>4,209.66</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fixed assets net, against 3,069.748 at 31 December 2025 — a rise of 1,139.916 in one quarter</w:t>
            </w:r>
          </w:p>
        </w:tc>
      </w:tr>
      <w:tr>
        <w:tc>
          <w:tcPr>
            <w:tcW w:type="dxa" w:w="2232"/>
          </w:tcPr>
          <w:p>
            <w:pPr>
              <w:spacing w:after="20"/>
            </w:pPr>
            <w:r>
              <w:rPr>
                <w:color w:val="1C3A36"/>
                <w:sz w:val="14"/>
              </w:rPr>
              <w:t>q1 cip</w:t>
            </w:r>
          </w:p>
        </w:tc>
        <w:tc>
          <w:tcPr>
            <w:tcW w:type="dxa" w:w="1512"/>
          </w:tcPr>
          <w:p>
            <w:pPr>
              <w:spacing w:after="20"/>
              <w:jc w:val="right"/>
            </w:pPr>
            <w:r>
              <w:rPr>
                <w:color w:val="1C3A36"/>
                <w:sz w:val="14"/>
              </w:rPr>
              <w:t>3,983.62</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projects under construction, against 4,901.224 at 31 December 2025 — a TRANSFER OUT of 917.600 in one quarter, which is the study's central mechanism arriving on schedule</w:t>
            </w:r>
          </w:p>
        </w:tc>
      </w:tr>
      <w:tr>
        <w:tc>
          <w:tcPr>
            <w:tcW w:type="dxa" w:w="2232"/>
          </w:tcPr>
          <w:p>
            <w:pPr>
              <w:spacing w:after="20"/>
            </w:pPr>
            <w:r>
              <w:rPr>
                <w:color w:val="1C3A36"/>
                <w:sz w:val="14"/>
              </w:rPr>
              <w:t>q1 assoc bv</w:t>
            </w:r>
          </w:p>
        </w:tc>
        <w:tc>
          <w:tcPr>
            <w:tcW w:type="dxa" w:w="1512"/>
          </w:tcPr>
          <w:p>
            <w:pPr>
              <w:spacing w:after="20"/>
              <w:jc w:val="right"/>
            </w:pPr>
            <w:r>
              <w:rPr>
                <w:color w:val="1C3A36"/>
                <w:sz w:val="14"/>
              </w:rPr>
              <w:t>904.361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investments in associates, against 675.875 at 31 December 2025. The increase is the active-ingredient company moving from consolidation into associates</w:t>
            </w:r>
          </w:p>
        </w:tc>
      </w:tr>
      <w:tr>
        <w:tc>
          <w:tcPr>
            <w:tcW w:type="dxa" w:w="2232"/>
          </w:tcPr>
          <w:p>
            <w:pPr>
              <w:spacing w:after="20"/>
            </w:pPr>
            <w:r>
              <w:rPr>
                <w:color w:val="1C3A36"/>
                <w:sz w:val="14"/>
              </w:rPr>
              <w:t>q1 nci</w:t>
            </w:r>
          </w:p>
        </w:tc>
        <w:tc>
          <w:tcPr>
            <w:tcW w:type="dxa" w:w="1512"/>
          </w:tcPr>
          <w:p>
            <w:pPr>
              <w:spacing w:after="20"/>
              <w:jc w:val="right"/>
            </w:pPr>
            <w:r>
              <w:rPr>
                <w:color w:val="1C3A36"/>
                <w:sz w:val="14"/>
              </w:rPr>
              <w:t>3.99981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non-controlling interests, against 288.705 at 31 December 2025. The collapse is the deconsolidation of the active-ingredient company</w:t>
            </w:r>
          </w:p>
        </w:tc>
      </w:tr>
      <w:tr>
        <w:tc>
          <w:tcPr>
            <w:tcW w:type="dxa" w:w="2232"/>
          </w:tcPr>
          <w:p>
            <w:pPr>
              <w:spacing w:after="20"/>
            </w:pPr>
            <w:r>
              <w:rPr>
                <w:color w:val="1C3A36"/>
                <w:sz w:val="14"/>
              </w:rPr>
              <w:t>q1 debt</w:t>
            </w:r>
          </w:p>
        </w:tc>
        <w:tc>
          <w:tcPr>
            <w:tcW w:type="dxa" w:w="1512"/>
          </w:tcPr>
          <w:p>
            <w:pPr>
              <w:spacing w:after="20"/>
              <w:jc w:val="right"/>
            </w:pPr>
            <w:r>
              <w:rPr>
                <w:color w:val="1C3A36"/>
                <w:sz w:val="14"/>
              </w:rPr>
              <w:t>9,428.01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long-term loans 4,021.835, short-term loans 965.586, bank facilities 4,428.323, lease liabilities 12.269</w:t>
            </w:r>
          </w:p>
        </w:tc>
      </w:tr>
      <w:tr>
        <w:tc>
          <w:tcPr>
            <w:tcW w:type="dxa" w:w="2232"/>
          </w:tcPr>
          <w:p>
            <w:pPr>
              <w:spacing w:after="20"/>
            </w:pPr>
            <w:r>
              <w:rPr>
                <w:color w:val="1C3A36"/>
                <w:sz w:val="14"/>
              </w:rPr>
              <w:t>q1 cash</w:t>
            </w:r>
          </w:p>
        </w:tc>
        <w:tc>
          <w:tcPr>
            <w:tcW w:type="dxa" w:w="1512"/>
          </w:tcPr>
          <w:p>
            <w:pPr>
              <w:spacing w:after="20"/>
              <w:jc w:val="right"/>
            </w:pPr>
            <w:r>
              <w:rPr>
                <w:color w:val="1C3A36"/>
                <w:sz w:val="14"/>
              </w:rPr>
              <w:t>362.815</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cash and cash equivalents, against 1,433.427 at 31 December 2025; the quarter paid the FY2025 dividend and built working capital</w:t>
            </w:r>
          </w:p>
        </w:tc>
      </w:tr>
      <w:tr>
        <w:tc>
          <w:tcPr>
            <w:tcW w:type="dxa" w:w="2232"/>
          </w:tcPr>
          <w:p>
            <w:pPr>
              <w:spacing w:after="20"/>
            </w:pPr>
            <w:r>
              <w:rPr>
                <w:color w:val="1C3A36"/>
                <w:sz w:val="14"/>
              </w:rPr>
              <w:t>q1 ar</w:t>
            </w:r>
          </w:p>
        </w:tc>
        <w:tc>
          <w:tcPr>
            <w:tcW w:type="dxa" w:w="1512"/>
          </w:tcPr>
          <w:p>
            <w:pPr>
              <w:spacing w:after="20"/>
              <w:jc w:val="right"/>
            </w:pPr>
            <w:r>
              <w:rPr>
                <w:color w:val="1C3A36"/>
                <w:sz w:val="14"/>
              </w:rPr>
              <w:t>4,123</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accounts and notes receivable net, against 3,325.044 — a rise of 797.960 against which no credit-loss charge was taken</w:t>
            </w:r>
          </w:p>
        </w:tc>
      </w:tr>
      <w:tr>
        <w:tc>
          <w:tcPr>
            <w:tcW w:type="dxa" w:w="2232"/>
          </w:tcPr>
          <w:p>
            <w:pPr>
              <w:spacing w:after="20"/>
            </w:pPr>
            <w:r>
              <w:rPr>
                <w:color w:val="1C3A36"/>
                <w:sz w:val="14"/>
              </w:rPr>
              <w:t>q1 share of year rev</w:t>
            </w:r>
          </w:p>
        </w:tc>
        <w:tc>
          <w:tcPr>
            <w:tcW w:type="dxa" w:w="1512"/>
          </w:tcPr>
          <w:p>
            <w:pPr>
              <w:spacing w:after="20"/>
              <w:jc w:val="right"/>
            </w:pPr>
            <w:r>
              <w:rPr>
                <w:color w:val="1C3A36"/>
                <w:sz w:val="14"/>
              </w:rPr>
              <w:t>0.2436</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Q1-2025 net sales of 2,299.890 as a share of FY2025 net sales of 9,441.379 — the seasonal shape used to read the quarter into a full year</w:t>
            </w:r>
          </w:p>
        </w:tc>
      </w:tr>
      <w:tr>
        <w:tc>
          <w:tcPr>
            <w:tcW w:type="dxa" w:w="2232"/>
          </w:tcPr>
          <w:p>
            <w:pPr>
              <w:spacing w:after="20"/>
            </w:pPr>
            <w:r>
              <w:rPr>
                <w:color w:val="1C3A36"/>
                <w:sz w:val="14"/>
              </w:rPr>
              <w:t>q1 share of year profit</w:t>
            </w:r>
          </w:p>
        </w:tc>
        <w:tc>
          <w:tcPr>
            <w:tcW w:type="dxa" w:w="1512"/>
          </w:tcPr>
          <w:p>
            <w:pPr>
              <w:spacing w:after="20"/>
              <w:jc w:val="right"/>
            </w:pPr>
            <w:r>
              <w:rPr>
                <w:color w:val="1C3A36"/>
                <w:sz w:val="14"/>
              </w:rPr>
              <w:t>0.22097</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Q1-2025 attributable profit of 318.564 as a share of FY2025 attributable profit of 1,441.658</w:t>
            </w:r>
          </w:p>
        </w:tc>
      </w:tr>
      <w:tr>
        <w:tc>
          <w:tcPr>
            <w:tcW w:type="dxa" w:w="2232"/>
          </w:tcPr>
          <w:p>
            <w:pPr>
              <w:spacing w:after="20"/>
            </w:pPr>
            <w:r>
              <w:rPr>
                <w:color w:val="1C3A36"/>
                <w:sz w:val="14"/>
              </w:rPr>
              <w:t>arab api cost</w:t>
            </w:r>
          </w:p>
        </w:tc>
        <w:tc>
          <w:tcPr>
            <w:tcW w:type="dxa" w:w="1512"/>
          </w:tcPr>
          <w:p>
            <w:pPr>
              <w:spacing w:after="20"/>
              <w:jc w:val="right"/>
            </w:pPr>
            <w:r>
              <w:rPr>
                <w:color w:val="1C3A36"/>
                <w:sz w:val="14"/>
              </w:rPr>
              <w:t>228.486</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The active-ingredient company's carrying value after deconsolidation, taken as the movement in investments in associates across the first quarter. It is pre-revenue — the company indicates trial batches in 2027 — so carrying cost, not an earnings multiple, is the right proxy for it</w:t>
            </w:r>
          </w:p>
        </w:tc>
      </w:tr>
      <w:tr>
        <w:tc>
          <w:tcPr>
            <w:tcW w:type="dxa" w:w="2232"/>
          </w:tcPr>
          <w:p>
            <w:pPr>
              <w:spacing w:after="20"/>
            </w:pPr>
            <w:r>
              <w:rPr>
                <w:color w:val="1C3A36"/>
                <w:sz w:val="14"/>
              </w:rPr>
              <w:t>nci bridge</w:t>
            </w:r>
          </w:p>
        </w:tc>
        <w:tc>
          <w:tcPr>
            <w:tcW w:type="dxa" w:w="1512"/>
          </w:tcPr>
          <w:p>
            <w:pPr>
              <w:spacing w:after="20"/>
              <w:jc w:val="right"/>
            </w:pPr>
            <w:r>
              <w:rPr>
                <w:color w:val="1C3A36"/>
                <w:sz w:val="14"/>
              </w:rPr>
              <w:t>3.99981</w:t>
            </w:r>
          </w:p>
        </w:tc>
        <w:tc>
          <w:tcPr>
            <w:tcW w:type="dxa" w:w="950"/>
          </w:tcPr>
          <w:p>
            <w:pPr>
              <w:spacing w:after="20"/>
              <w:jc w:val="right"/>
            </w:pPr>
            <w:r>
              <w:rPr>
                <w:color w:val="1C3A36"/>
                <w:sz w:val="14"/>
              </w:rPr>
              <w:t>2026-05-14</w:t>
            </w:r>
          </w:p>
        </w:tc>
        <w:tc>
          <w:tcPr>
            <w:tcW w:type="dxa" w:w="4810"/>
          </w:tcPr>
          <w:p>
            <w:pPr>
              <w:spacing w:after="20"/>
              <w:jc w:val="right"/>
            </w:pPr>
            <w:r>
              <w:rPr>
                <w:color w:val="1C3A36"/>
                <w:sz w:val="14"/>
              </w:rPr>
              <w:t>Non-controlling interests deducted in the enterprise-to-equity bridge. The audited 31 December 2025 figure was 288.705, but essentially all of it was the active-ingredient company's minorities, and that company was deconsolidated in the first quarter of 2026. Deducting the December figure while also carrying the March associate value would charge the same interest twice</w:t>
            </w:r>
          </w:p>
        </w:tc>
      </w:tr>
      <w:tr>
        <w:tc>
          <w:tcPr>
            <w:tcW w:type="dxa" w:w="2232"/>
          </w:tcPr>
          <w:p>
            <w:pPr>
              <w:spacing w:after="20"/>
            </w:pPr>
            <w:r>
              <w:rPr>
                <w:color w:val="1C3A36"/>
                <w:sz w:val="14"/>
              </w:rPr>
              <w:t>asset life weighted</w:t>
            </w:r>
          </w:p>
        </w:tc>
        <w:tc>
          <w:tcPr>
            <w:tcW w:type="dxa" w:w="1512"/>
          </w:tcPr>
          <w:p>
            <w:pPr>
              <w:spacing w:after="20"/>
              <w:jc w:val="right"/>
            </w:pPr>
            <w:r>
              <w:rPr>
                <w:color w:val="1C3A36"/>
                <w:sz w:val="14"/>
              </w:rPr>
              <w:t>13.8</w:t>
            </w:r>
          </w:p>
        </w:tc>
        <w:tc>
          <w:tcPr>
            <w:tcW w:type="dxa" w:w="950"/>
          </w:tcPr>
          <w:p>
            <w:pPr>
              <w:spacing w:after="20"/>
              <w:jc w:val="right"/>
            </w:pPr>
            <w:r>
              <w:rPr>
                <w:color w:val="1C3A36"/>
                <w:sz w:val="14"/>
              </w:rPr>
              <w:t>2024-12-31</w:t>
            </w:r>
          </w:p>
        </w:tc>
        <w:tc>
          <w:tcPr>
            <w:tcW w:type="dxa" w:w="4810"/>
          </w:tcPr>
          <w:p>
            <w:pPr>
              <w:spacing w:after="20"/>
              <w:jc w:val="right"/>
            </w:pPr>
            <w:r>
              <w:rPr>
                <w:color w:val="1C3A36"/>
                <w:sz w:val="14"/>
              </w:rPr>
              <w:t>Weighted useful life of the depreciable asset base, derived from the FY2024 audited consolidated statements' own composition: the estimated lives in note 3.1 — buildings and structures 50 years, production and service machines 15, means of transportation and tools 5, office furniture and equipment 10, land not depreciated — weighted by the gross cost by class in note 4.1 at 31 December 2024. Every life the company discloses is a single figure rather than a band, so the weighting is unambiguous. The depreciable base of EGP 2,701,916,171 foots to the note's stated total of 2,785,102,203 once land of 83,186,032 is excluded. Annual depreciation rates add rather than lives, so the weighted life is the reciprocal of the weighted rate.</w:t>
            </w:r>
          </w:p>
        </w:tc>
      </w:tr>
    </w:tbl>
    <w:p>
      <w:pPr>
        <w:spacing w:after="40"/>
      </w:pPr>
    </w:p>
    <w:p>
      <w:pPr>
        <w:spacing w:after="80" w:before="200"/>
      </w:pPr>
      <w:r>
        <w:rPr>
          <w:b/>
          <w:i w:val="0"/>
          <w:color w:val="1C3A36"/>
          <w:sz w:val="24"/>
        </w:rPr>
        <w:t>Research layer: Country   (8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950"/>
        <w:gridCol w:w="4810"/>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950"/>
            <w:shd w:val="clear" w:color="auto" w:fill="EAF0EE"/>
          </w:tcPr>
          <w:p>
            <w:pPr>
              <w:spacing w:after="20"/>
            </w:pPr>
            <w:r>
              <w:rPr>
                <w:b/>
                <w:color w:val="1C3A36"/>
                <w:sz w:val="14"/>
              </w:rPr>
              <w:t>Date</w:t>
            </w:r>
          </w:p>
        </w:tc>
        <w:tc>
          <w:tcPr>
            <w:tcW w:type="dxa" w:w="4810"/>
            <w:shd w:val="clear" w:color="auto" w:fill="EAF0EE"/>
          </w:tcPr>
          <w:p>
            <w:pPr>
              <w:spacing w:after="20"/>
            </w:pPr>
            <w:r>
              <w:rPr>
                <w:b/>
                <w:color w:val="1C3A36"/>
                <w:sz w:val="14"/>
              </w:rPr>
              <w:t>Source and construction</w:t>
            </w:r>
          </w:p>
        </w:tc>
      </w:tr>
      <w:tr>
        <w:tc>
          <w:tcPr>
            <w:tcW w:type="dxa" w:w="2232"/>
          </w:tcPr>
          <w:p>
            <w:pPr>
              <w:spacing w:after="20"/>
            </w:pPr>
            <w:r>
              <w:rPr>
                <w:color w:val="1C3A36"/>
                <w:sz w:val="14"/>
              </w:rPr>
              <w:t>tax stat</w:t>
            </w:r>
          </w:p>
        </w:tc>
        <w:tc>
          <w:tcPr>
            <w:tcW w:type="dxa" w:w="1512"/>
          </w:tcPr>
          <w:p>
            <w:pPr>
              <w:spacing w:after="20"/>
              <w:jc w:val="right"/>
            </w:pPr>
            <w:r>
              <w:rPr>
                <w:color w:val="1C3A36"/>
                <w:sz w:val="14"/>
              </w:rPr>
              <w:t>0.225</w:t>
            </w:r>
          </w:p>
        </w:tc>
        <w:tc>
          <w:tcPr>
            <w:tcW w:type="dxa" w:w="950"/>
          </w:tcPr>
          <w:p>
            <w:pPr>
              <w:spacing w:after="20"/>
              <w:jc w:val="right"/>
            </w:pPr>
            <w:r>
              <w:rPr>
                <w:color w:val="1C3A36"/>
                <w:sz w:val="14"/>
              </w:rPr>
              <w:t>2026-01-05</w:t>
            </w:r>
          </w:p>
        </w:tc>
        <w:tc>
          <w:tcPr>
            <w:tcW w:type="dxa" w:w="4810"/>
          </w:tcPr>
          <w:p>
            <w:pPr>
              <w:spacing w:after="20"/>
              <w:jc w:val="right"/>
            </w:pPr>
            <w:r>
              <w:rPr>
                <w:color w:val="1C3A36"/>
                <w:sz w:val="14"/>
              </w:rPr>
              <w:t>Egyptian corporate income tax rate, 22.5% — confirmed in the corporate tax-rate column of the country risk-premium file read for this study</w:t>
            </w:r>
          </w:p>
        </w:tc>
      </w:tr>
      <w:tr>
        <w:tc>
          <w:tcPr>
            <w:tcW w:type="dxa" w:w="2232"/>
          </w:tcPr>
          <w:p>
            <w:pPr>
              <w:spacing w:after="20"/>
            </w:pPr>
            <w:r>
              <w:rPr>
                <w:color w:val="1C3A36"/>
                <w:sz w:val="14"/>
              </w:rPr>
              <w:t>rf</w:t>
            </w:r>
          </w:p>
        </w:tc>
        <w:tc>
          <w:tcPr>
            <w:tcW w:type="dxa" w:w="1512"/>
          </w:tcPr>
          <w:p>
            <w:pPr>
              <w:spacing w:after="20"/>
              <w:jc w:val="right"/>
            </w:pPr>
            <w:r>
              <w:rPr>
                <w:color w:val="1C3A36"/>
                <w:sz w:val="14"/>
              </w:rPr>
              <w:t>0.23</w:t>
            </w:r>
          </w:p>
        </w:tc>
        <w:tc>
          <w:tcPr>
            <w:tcW w:type="dxa" w:w="950"/>
          </w:tcPr>
          <w:p>
            <w:pPr>
              <w:spacing w:after="20"/>
              <w:jc w:val="right"/>
            </w:pPr>
            <w:r>
              <w:rPr>
                <w:color w:val="1C3A36"/>
                <w:sz w:val="14"/>
              </w:rPr>
              <w:t>2026-08-06</w:t>
            </w:r>
          </w:p>
        </w:tc>
        <w:tc>
          <w:tcPr>
            <w:tcW w:type="dxa" w:w="4810"/>
          </w:tcPr>
          <w:p>
            <w:pPr>
              <w:spacing w:after="20"/>
              <w:jc w:val="right"/>
            </w:pPr>
            <w:r>
              <w:rPr>
                <w:color w:val="1C3A36"/>
                <w:sz w:val="14"/>
              </w:rPr>
              <w:t>Egypt ten-year local-currency government bond yield, 23.00%, the observable print on the SAME date as the equity price used throughout this study (6 August 2026). The earlier edition carried a 22.31% print dated 21 July 2026, which was both stale against the pricing date and 39 basis points below the observable level on its own date; the risk-free rate and the share price are now struck on one date. A live re-read of the central bank's own fixed-coupon treasury bond auction page was attempted on 09-Aug-2026 and rejected by that site's web application firewall, so the level is indicated by a market-data series rather than proven from the auction curve — and it is sensitised</w:t>
            </w:r>
          </w:p>
        </w:tc>
      </w:tr>
      <w:tr>
        <w:tc>
          <w:tcPr>
            <w:tcW w:type="dxa" w:w="2232"/>
          </w:tcPr>
          <w:p>
            <w:pPr>
              <w:spacing w:after="20"/>
            </w:pPr>
            <w:r>
              <w:rPr>
                <w:color w:val="1C3A36"/>
                <w:sz w:val="14"/>
              </w:rPr>
              <w:t>sov spread cds</w:t>
            </w:r>
          </w:p>
        </w:tc>
        <w:tc>
          <w:tcPr>
            <w:tcW w:type="dxa" w:w="1512"/>
          </w:tcPr>
          <w:p>
            <w:pPr>
              <w:spacing w:after="20"/>
              <w:jc w:val="right"/>
            </w:pPr>
            <w:r>
              <w:rPr>
                <w:color w:val="1C3A36"/>
                <w:sz w:val="14"/>
              </w:rPr>
              <w:t>0.0342</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sovereign credit-default-swap spread, 3.42%, from the MID-YEAR (July 2026) vintage of the country default-spread and risk-premium dataset, Egypt row, 'Sovereign CDS, net of Swiss CDS' column, spread measured 30 June 2026. Netted out of the local-currency risk-free rate so that sovereign default risk is charged once, inside the equity risk premium, and not twice. The January-2026 vintage previously used carried 3.41%</w:t>
            </w:r>
          </w:p>
        </w:tc>
      </w:tr>
      <w:tr>
        <w:tc>
          <w:tcPr>
            <w:tcW w:type="dxa" w:w="2232"/>
          </w:tcPr>
          <w:p>
            <w:pPr>
              <w:spacing w:after="20"/>
            </w:pPr>
            <w:r>
              <w:rPr>
                <w:color w:val="1C3A36"/>
                <w:sz w:val="14"/>
              </w:rPr>
              <w:t>sov spread rating</w:t>
            </w:r>
          </w:p>
        </w:tc>
        <w:tc>
          <w:tcPr>
            <w:tcW w:type="dxa" w:w="1512"/>
          </w:tcPr>
          <w:p>
            <w:pPr>
              <w:spacing w:after="20"/>
              <w:jc w:val="right"/>
            </w:pPr>
            <w:r>
              <w:rPr>
                <w:color w:val="1C3A36"/>
                <w:sz w:val="14"/>
              </w:rPr>
              <w:t>0.059702</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adjusted default spread on the rating basis (Moody's Caa1), 5.9702%, same mid-year (July 2026) vintage, 'Rating-based Default Spread' column — the alternative construction, published for the audit trail. The January-2026 vintage carried 6.3725%</w:t>
            </w:r>
          </w:p>
        </w:tc>
      </w:tr>
      <w:tr>
        <w:tc>
          <w:tcPr>
            <w:tcW w:type="dxa" w:w="2232"/>
          </w:tcPr>
          <w:p>
            <w:pPr>
              <w:spacing w:after="20"/>
            </w:pPr>
            <w:r>
              <w:rPr>
                <w:color w:val="1C3A36"/>
                <w:sz w:val="14"/>
              </w:rPr>
              <w:t>erp cds</w:t>
            </w:r>
          </w:p>
        </w:tc>
        <w:tc>
          <w:tcPr>
            <w:tcW w:type="dxa" w:w="1512"/>
          </w:tcPr>
          <w:p>
            <w:pPr>
              <w:spacing w:after="20"/>
              <w:jc w:val="right"/>
            </w:pPr>
            <w:r>
              <w:rPr>
                <w:color w:val="1C3A36"/>
                <w:sz w:val="14"/>
              </w:rPr>
              <w:t>0.095164</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TOTAL equity risk premium on the sovereign-CDS basis, 9.5164%, same mid-year vintage. This is the dataset's TOTAL equity risk premium column, not its country risk premium column — the total premium is what multiplies beta. The CDS-basis country risk premium alone is 5.3164%</w:t>
            </w:r>
          </w:p>
        </w:tc>
      </w:tr>
      <w:tr>
        <w:tc>
          <w:tcPr>
            <w:tcW w:type="dxa" w:w="2232"/>
          </w:tcPr>
          <w:p>
            <w:pPr>
              <w:spacing w:after="20"/>
            </w:pPr>
            <w:r>
              <w:rPr>
                <w:color w:val="1C3A36"/>
                <w:sz w:val="14"/>
              </w:rPr>
              <w:t>erp rating</w:t>
            </w:r>
          </w:p>
        </w:tc>
        <w:tc>
          <w:tcPr>
            <w:tcW w:type="dxa" w:w="1512"/>
          </w:tcPr>
          <w:p>
            <w:pPr>
              <w:spacing w:after="20"/>
              <w:jc w:val="right"/>
            </w:pPr>
            <w:r>
              <w:rPr>
                <w:color w:val="1C3A36"/>
                <w:sz w:val="14"/>
              </w:rPr>
              <w:t>0.134806</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TOTAL equity risk premium on the rating basis, 13.4806%, same mid-year vintage — again the TOTAL equity risk premium column, being the 9.2806% country risk premium over a 4.20% mature-market premium. The January-2026 vintage carried 13.9377% total over a 9.7077% country premium</w:t>
            </w:r>
          </w:p>
        </w:tc>
      </w:tr>
      <w:tr>
        <w:tc>
          <w:tcPr>
            <w:tcW w:type="dxa" w:w="2232"/>
          </w:tcPr>
          <w:p>
            <w:pPr>
              <w:spacing w:after="20"/>
            </w:pPr>
            <w:r>
              <w:rPr>
                <w:color w:val="1C3A36"/>
                <w:sz w:val="14"/>
              </w:rPr>
              <w:t>crp rating</w:t>
            </w:r>
          </w:p>
        </w:tc>
        <w:tc>
          <w:tcPr>
            <w:tcW w:type="dxa" w:w="1512"/>
          </w:tcPr>
          <w:p>
            <w:pPr>
              <w:spacing w:after="20"/>
              <w:jc w:val="right"/>
            </w:pPr>
            <w:r>
              <w:rPr>
                <w:color w:val="1C3A36"/>
                <w:sz w:val="14"/>
              </w:rPr>
              <w:t>0.092806</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COUNTRY risk premium on the rating basis, 9.2806%, mid-year (July 2026) vintage — carried separately and published beside the total premium so that a reader checking the dataset's own 'Country Risk Premium' column finds the figure this study calls by that name. It is NOT added to the cost of equity; the total premium above already contains it</w:t>
            </w:r>
          </w:p>
        </w:tc>
      </w:tr>
      <w:tr>
        <w:tc>
          <w:tcPr>
            <w:tcW w:type="dxa" w:w="2232"/>
          </w:tcPr>
          <w:p>
            <w:pPr>
              <w:spacing w:after="20"/>
            </w:pPr>
            <w:r>
              <w:rPr>
                <w:color w:val="1C3A36"/>
                <w:sz w:val="14"/>
              </w:rPr>
              <w:t>crp cds</w:t>
            </w:r>
          </w:p>
        </w:tc>
        <w:tc>
          <w:tcPr>
            <w:tcW w:type="dxa" w:w="1512"/>
          </w:tcPr>
          <w:p>
            <w:pPr>
              <w:spacing w:after="20"/>
              <w:jc w:val="right"/>
            </w:pPr>
            <w:r>
              <w:rPr>
                <w:color w:val="1C3A36"/>
                <w:sz w:val="14"/>
              </w:rPr>
              <w:t>0.053164</w:t>
            </w:r>
          </w:p>
        </w:tc>
        <w:tc>
          <w:tcPr>
            <w:tcW w:type="dxa" w:w="950"/>
          </w:tcPr>
          <w:p>
            <w:pPr>
              <w:spacing w:after="20"/>
              <w:jc w:val="right"/>
            </w:pPr>
            <w:r>
              <w:rPr>
                <w:color w:val="1C3A36"/>
                <w:sz w:val="14"/>
              </w:rPr>
              <w:t>2026-07-02</w:t>
            </w:r>
          </w:p>
        </w:tc>
        <w:tc>
          <w:tcPr>
            <w:tcW w:type="dxa" w:w="4810"/>
          </w:tcPr>
          <w:p>
            <w:pPr>
              <w:spacing w:after="20"/>
              <w:jc w:val="right"/>
            </w:pPr>
            <w:r>
              <w:rPr>
                <w:color w:val="1C3A36"/>
                <w:sz w:val="14"/>
              </w:rPr>
              <w:t>Egypt COUNTRY risk premium on the sovereign-CDS basis, 5.3164%, mid-year vintage, disclosure only — see the note above</w:t>
            </w:r>
          </w:p>
        </w:tc>
      </w:tr>
    </w:tbl>
    <w:p>
      <w:pPr>
        <w:spacing w:after="40"/>
      </w:pPr>
    </w:p>
    <w:p>
      <w:pPr>
        <w:spacing w:after="80" w:before="200"/>
      </w:pPr>
      <w:r>
        <w:rPr>
          <w:b/>
          <w:i w:val="0"/>
          <w:color w:val="1C3A36"/>
          <w:sz w:val="24"/>
        </w:rPr>
        <w:t>Research layer: Market   (6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950"/>
        <w:gridCol w:w="4810"/>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950"/>
            <w:shd w:val="clear" w:color="auto" w:fill="EAF0EE"/>
          </w:tcPr>
          <w:p>
            <w:pPr>
              <w:spacing w:after="20"/>
            </w:pPr>
            <w:r>
              <w:rPr>
                <w:b/>
                <w:color w:val="1C3A36"/>
                <w:sz w:val="14"/>
              </w:rPr>
              <w:t>Date</w:t>
            </w:r>
          </w:p>
        </w:tc>
        <w:tc>
          <w:tcPr>
            <w:tcW w:type="dxa" w:w="4810"/>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spot</w:t>
            </w:r>
          </w:p>
        </w:tc>
        <w:tc>
          <w:tcPr>
            <w:tcW w:type="dxa" w:w="1512"/>
          </w:tcPr>
          <w:p>
            <w:pPr>
              <w:spacing w:after="20"/>
              <w:jc w:val="right"/>
            </w:pPr>
            <w:r>
              <w:rPr>
                <w:color w:val="1C3A36"/>
                <w:sz w:val="14"/>
              </w:rPr>
              <w:t>127.3</w:t>
            </w:r>
          </w:p>
        </w:tc>
        <w:tc>
          <w:tcPr>
            <w:tcW w:type="dxa" w:w="950"/>
          </w:tcPr>
          <w:p>
            <w:pPr>
              <w:spacing w:after="20"/>
              <w:jc w:val="right"/>
            </w:pPr>
            <w:r>
              <w:rPr>
                <w:color w:val="1C3A36"/>
                <w:sz w:val="14"/>
              </w:rPr>
              <w:t>2026-09-03</w:t>
            </w:r>
          </w:p>
        </w:tc>
        <w:tc>
          <w:tcPr>
            <w:tcW w:type="dxa" w:w="4810"/>
          </w:tcPr>
          <w:p>
            <w:pPr>
              <w:spacing w:after="20"/>
              <w:jc w:val="right"/>
            </w:pPr>
            <w:r>
              <w:rPr>
                <w:color w:val="1C3A36"/>
                <w:sz w:val="14"/>
              </w:rPr>
              <w:t>Egyptian Exchange close, 3 September 2026 — the latest price available when this edition was struck. A valuation compared against a month-old quote is measured against the past rather than the market, so this edition re-strikes on the current close. The previous edition was struck at EGP 130.05 on 6 August 2026.</w:t>
            </w:r>
          </w:p>
        </w:tc>
      </w:tr>
      <w:tr>
        <w:tc>
          <w:tcPr>
            <w:tcW w:type="dxa" w:w="2232"/>
          </w:tcPr>
          <w:p>
            <w:pPr>
              <w:spacing w:after="20"/>
            </w:pPr>
            <w:r>
              <w:rPr>
                <w:color w:val="1C3A36"/>
                <w:sz w:val="14"/>
              </w:rPr>
              <w:t>peer pe hi</w:t>
            </w:r>
          </w:p>
        </w:tc>
        <w:tc>
          <w:tcPr>
            <w:tcW w:type="dxa" w:w="1512"/>
          </w:tcPr>
          <w:p>
            <w:pPr>
              <w:spacing w:after="20"/>
              <w:jc w:val="right"/>
            </w:pPr>
            <w:r>
              <w:rPr>
                <w:color w:val="1C3A36"/>
                <w:sz w:val="14"/>
              </w:rPr>
              <w:t>26.7</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Trailing price-earnings multiple of a listed Saudi Arabian generics manufacturer. MARKET DATA, cross-check layer</w:t>
            </w:r>
          </w:p>
        </w:tc>
      </w:tr>
      <w:tr>
        <w:tc>
          <w:tcPr>
            <w:tcW w:type="dxa" w:w="2232"/>
          </w:tcPr>
          <w:p>
            <w:pPr>
              <w:spacing w:after="20"/>
            </w:pPr>
            <w:r>
              <w:rPr>
                <w:color w:val="1C3A36"/>
                <w:sz w:val="14"/>
              </w:rPr>
              <w:t>peer pe lo</w:t>
            </w:r>
          </w:p>
        </w:tc>
        <w:tc>
          <w:tcPr>
            <w:tcW w:type="dxa" w:w="1512"/>
          </w:tcPr>
          <w:p>
            <w:pPr>
              <w:spacing w:after="20"/>
              <w:jc w:val="right"/>
            </w:pPr>
            <w:r>
              <w:rPr>
                <w:color w:val="1C3A36"/>
                <w:sz w:val="14"/>
              </w:rPr>
              <w:t>16</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Trailing price-earnings multiple of larger, more liquid regional and international generic manufacturers. MARKET DATA, cross-check layer</w:t>
            </w:r>
          </w:p>
        </w:tc>
      </w:tr>
      <w:tr>
        <w:tc>
          <w:tcPr>
            <w:tcW w:type="dxa" w:w="2232"/>
          </w:tcPr>
          <w:p>
            <w:pPr>
              <w:spacing w:after="20"/>
            </w:pPr>
            <w:r>
              <w:rPr>
                <w:color w:val="1C3A36"/>
                <w:sz w:val="14"/>
              </w:rPr>
              <w:t>peer pe regional</w:t>
            </w:r>
          </w:p>
        </w:tc>
        <w:tc>
          <w:tcPr>
            <w:tcW w:type="dxa" w:w="1512"/>
          </w:tcPr>
          <w:p>
            <w:pPr>
              <w:spacing w:after="20"/>
              <w:jc w:val="right"/>
            </w:pPr>
            <w:r>
              <w:rPr>
                <w:color w:val="1C3A36"/>
                <w:sz w:val="14"/>
              </w:rPr>
              <w:t>21.35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A STRUCK REFERENCE, not a median of a disclosed peer set — the earlier edition called it a 'peer median', which it was not, because only two reference points are disclosed. Those two are: a listed Saudi Arabian generics manufacturer at 26.7 times, and larger, more liquid regional and international generic manufacturers at about 16.0 times. 21.35 is the midpoint of those two observations — which for a two-element set is also their median — rather than a figure struck between them by judgement. MARKET DATA, cross-check layer, never a source for any company historical. The peers are not named and their financials are not published, so this multiple cannot be rebuilt from peer filings; that gap is recorded as an open research item and the lens is run across a 13-26 times band rather than on a point</w:t>
            </w:r>
          </w:p>
        </w:tc>
      </w:tr>
      <w:tr>
        <w:tc>
          <w:tcPr>
            <w:tcW w:type="dxa" w:w="2232"/>
          </w:tcPr>
          <w:p>
            <w:pPr>
              <w:spacing w:after="20"/>
            </w:pPr>
            <w:r>
              <w:rPr>
                <w:color w:val="1C3A36"/>
                <w:sz w:val="14"/>
              </w:rPr>
              <w:t>peer evebitda regional</w:t>
            </w:r>
          </w:p>
        </w:tc>
        <w:tc>
          <w:tcPr>
            <w:tcW w:type="dxa" w:w="1512"/>
          </w:tcPr>
          <w:p>
            <w:pPr>
              <w:spacing w:after="20"/>
              <w:jc w:val="right"/>
            </w:pPr>
            <w:r>
              <w:rPr>
                <w:color w:val="1C3A36"/>
                <w:sz w:val="14"/>
              </w:rPr>
              <w:t>11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Median enterprise-value-to-EBITDA multiple for the same peer group. MARKET DATA, cross-check layer. Range run 8-16 times</w:t>
            </w:r>
          </w:p>
        </w:tc>
      </w:tr>
      <w:tr>
        <w:tc>
          <w:tcPr>
            <w:tcW w:type="dxa" w:w="2232"/>
          </w:tcPr>
          <w:p>
            <w:pPr>
              <w:spacing w:after="20"/>
            </w:pPr>
            <w:r>
              <w:rPr>
                <w:color w:val="1C3A36"/>
                <w:sz w:val="14"/>
              </w:rPr>
              <w:t>q annual</w:t>
            </w:r>
          </w:p>
        </w:tc>
        <w:tc>
          <w:tcPr>
            <w:tcW w:type="dxa" w:w="1512"/>
          </w:tcPr>
          <w:p>
            <w:pPr>
              <w:spacing w:after="20"/>
              <w:jc w:val="right"/>
            </w:pPr>
            <w:r>
              <w:rPr>
                <w:color w:val="1C3A36"/>
                <w:sz w:val="14"/>
              </w:rPr>
              <w:t>0.0269</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Forward dividend yield used as the carry offset in the probability map: the EGP 3.50 a share proposed for FY2025 over the 130.05 close</w:t>
            </w:r>
          </w:p>
        </w:tc>
      </w:tr>
    </w:tbl>
    <w:p>
      <w:pPr>
        <w:spacing w:after="40"/>
      </w:pPr>
    </w:p>
    <w:p>
      <w:pPr>
        <w:spacing w:after="80" w:before="200"/>
      </w:pPr>
      <w:r>
        <w:rPr>
          <w:b/>
          <w:i w:val="0"/>
          <w:color w:val="1C3A36"/>
          <w:sz w:val="24"/>
        </w:rPr>
        <w:t>Research layer: House   (46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950"/>
        <w:gridCol w:w="4810"/>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950"/>
            <w:shd w:val="clear" w:color="auto" w:fill="EAF0EE"/>
          </w:tcPr>
          <w:p>
            <w:pPr>
              <w:spacing w:after="20"/>
            </w:pPr>
            <w:r>
              <w:rPr>
                <w:b/>
                <w:color w:val="1C3A36"/>
                <w:sz w:val="14"/>
              </w:rPr>
              <w:t>Date</w:t>
            </w:r>
          </w:p>
        </w:tc>
        <w:tc>
          <w:tcPr>
            <w:tcW w:type="dxa" w:w="4810"/>
            <w:shd w:val="clear" w:color="auto" w:fill="EAF0EE"/>
          </w:tcPr>
          <w:p>
            <w:pPr>
              <w:spacing w:after="20"/>
            </w:pPr>
            <w:r>
              <w:rPr>
                <w:b/>
                <w:color w:val="1C3A36"/>
                <w:sz w:val="14"/>
              </w:rPr>
              <w:t>Source and construction</w:t>
            </w:r>
          </w:p>
        </w:tc>
      </w:tr>
      <w:tr>
        <w:tc>
          <w:tcPr>
            <w:tcW w:type="dxa" w:w="2232"/>
          </w:tcPr>
          <w:p>
            <w:pPr>
              <w:spacing w:after="20"/>
            </w:pPr>
            <w:r>
              <w:rPr>
                <w:color w:val="1C3A36"/>
                <w:sz w:val="14"/>
              </w:rPr>
              <w:t>board fee fwd</w:t>
            </w:r>
          </w:p>
        </w:tc>
        <w:tc>
          <w:tcPr>
            <w:tcW w:type="dxa" w:w="1512"/>
          </w:tcPr>
          <w:p>
            <w:pPr>
              <w:spacing w:after="20"/>
              <w:jc w:val="right"/>
            </w:pPr>
            <w:r>
              <w:rPr>
                <w:color w:val="1C3A36"/>
                <w:sz w:val="14"/>
              </w:rPr>
              <w:t>2</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Board remuneration and attendance allowances carried flat in the forecast at the FY2025 disclosed level of 1.828, rounded up. Immaterial to value; carried as a line rather than dropped so the forecast income statement reconciles to the audited one</w:t>
            </w:r>
          </w:p>
        </w:tc>
      </w:tr>
      <w:tr>
        <w:tc>
          <w:tcPr>
            <w:tcW w:type="dxa" w:w="2232"/>
          </w:tcPr>
          <w:p>
            <w:pPr>
              <w:spacing w:after="20"/>
            </w:pPr>
            <w:r>
              <w:rPr>
                <w:color w:val="1C3A36"/>
                <w:sz w:val="14"/>
              </w:rPr>
              <w:t>nci fwd</w:t>
            </w:r>
          </w:p>
        </w:tc>
        <w:tc>
          <w:tcPr>
            <w:tcW w:type="dxa" w:w="1512"/>
          </w:tcPr>
          <w:p>
            <w:pPr>
              <w:spacing w:after="20"/>
              <w:jc w:val="right"/>
            </w:pPr>
            <w:r>
              <w:rPr>
                <w:color w:val="1C3A36"/>
                <w:sz w:val="14"/>
              </w:rPr>
              <w:t>18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Non-controlling share of forecast profit, held near the FY2025 disclosed 16.235. The subsidiary carrying the minority is the ampoule and vial plant, which is 98.6% owned</w:t>
            </w:r>
          </w:p>
        </w:tc>
      </w:tr>
      <w:tr>
        <w:tc>
          <w:tcPr>
            <w:tcW w:type="dxa" w:w="2232"/>
          </w:tcPr>
          <w:p>
            <w:pPr>
              <w:spacing w:after="20"/>
            </w:pPr>
            <w:r>
              <w:rPr>
                <w:color w:val="1C3A36"/>
                <w:sz w:val="14"/>
              </w:rPr>
              <w:t>w dcf</w:t>
            </w:r>
          </w:p>
        </w:tc>
        <w:tc>
          <w:tcPr>
            <w:tcW w:type="dxa" w:w="1512"/>
          </w:tcPr>
          <w:p>
            <w:pPr>
              <w:spacing w:after="20"/>
              <w:jc w:val="right"/>
            </w:pPr>
            <w:r>
              <w:rPr>
                <w:color w:val="1C3A36"/>
                <w:sz w:val="14"/>
              </w:rPr>
              <w:t>0.5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Weight on the discounted-cash-flow reading inside each weighted centre. Carried IN FULL on one provision frame at a time — never split across both, because splitting it across both averages the two frames</w:t>
            </w:r>
          </w:p>
        </w:tc>
      </w:tr>
      <w:tr>
        <w:tc>
          <w:tcPr>
            <w:tcW w:type="dxa" w:w="2232"/>
          </w:tcPr>
          <w:p>
            <w:pPr>
              <w:spacing w:after="20"/>
            </w:pPr>
            <w:r>
              <w:rPr>
                <w:color w:val="1C3A36"/>
                <w:sz w:val="14"/>
              </w:rPr>
              <w:t>w book</w:t>
            </w:r>
          </w:p>
        </w:tc>
        <w:tc>
          <w:tcPr>
            <w:tcW w:type="dxa" w:w="1512"/>
          </w:tcPr>
          <w:p>
            <w:pPr>
              <w:spacing w:after="20"/>
              <w:jc w:val="right"/>
            </w:pPr>
            <w:r>
              <w:rPr>
                <w:color w:val="1C3A36"/>
                <w:sz w:val="14"/>
              </w:rPr>
              <w:t>0.2</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Weight on the book-value and sustainable-return reading</w:t>
            </w:r>
          </w:p>
        </w:tc>
      </w:tr>
      <w:tr>
        <w:tc>
          <w:tcPr>
            <w:tcW w:type="dxa" w:w="2232"/>
          </w:tcPr>
          <w:p>
            <w:pPr>
              <w:spacing w:after="20"/>
            </w:pPr>
            <w:r>
              <w:rPr>
                <w:color w:val="1C3A36"/>
                <w:sz w:val="14"/>
              </w:rPr>
              <w:t>w rel</w:t>
            </w:r>
          </w:p>
        </w:tc>
        <w:tc>
          <w:tcPr>
            <w:tcW w:type="dxa" w:w="1512"/>
          </w:tcPr>
          <w:p>
            <w:pPr>
              <w:spacing w:after="20"/>
              <w:jc w:val="right"/>
            </w:pPr>
            <w:r>
              <w:rPr>
                <w:color w:val="1C3A36"/>
                <w:sz w:val="14"/>
              </w:rPr>
              <w:t>0.15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Weight on the relative-multiples reading, held below the intrinsic lenses because one of its three legs rests on undisclosed peer financials</w:t>
            </w:r>
          </w:p>
        </w:tc>
      </w:tr>
      <w:tr>
        <w:tc>
          <w:tcPr>
            <w:tcW w:type="dxa" w:w="2232"/>
          </w:tcPr>
          <w:p>
            <w:pPr>
              <w:spacing w:after="20"/>
            </w:pPr>
            <w:r>
              <w:rPr>
                <w:color w:val="1C3A36"/>
                <w:sz w:val="14"/>
              </w:rPr>
              <w:t>w norm</w:t>
            </w:r>
          </w:p>
        </w:tc>
        <w:tc>
          <w:tcPr>
            <w:tcW w:type="dxa" w:w="1512"/>
          </w:tcPr>
          <w:p>
            <w:pPr>
              <w:spacing w:after="20"/>
              <w:jc w:val="right"/>
            </w:pPr>
            <w:r>
              <w:rPr>
                <w:color w:val="1C3A36"/>
                <w:sz w:val="14"/>
              </w:rPr>
              <w:t>0.15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Weight on the normalised-earnings-power reading</w:t>
            </w:r>
          </w:p>
        </w:tc>
      </w:tr>
      <w:tr>
        <w:tc>
          <w:tcPr>
            <w:tcW w:type="dxa" w:w="2232"/>
          </w:tcPr>
          <w:p>
            <w:pPr>
              <w:spacing w:after="20"/>
            </w:pPr>
            <w:r>
              <w:rPr>
                <w:color w:val="1C3A36"/>
                <w:sz w:val="14"/>
              </w:rPr>
              <w:t>fx path</w:t>
            </w:r>
          </w:p>
        </w:tc>
        <w:tc>
          <w:tcPr>
            <w:tcW w:type="dxa" w:w="1512"/>
          </w:tcPr>
          <w:p>
            <w:pPr>
              <w:spacing w:after="20"/>
              <w:jc w:val="right"/>
            </w:pPr>
            <w:r>
              <w:rPr>
                <w:color w:val="1C3A36"/>
                <w:sz w:val="14"/>
              </w:rPr>
              <w:t>55.11, 60.22, 64.04, 67.17, 70.11</w:t>
            </w:r>
          </w:p>
        </w:tc>
        <w:tc>
          <w:tcPr>
            <w:tcW w:type="dxa" w:w="950"/>
          </w:tcPr>
          <w:p>
            <w:pPr>
              <w:spacing w:after="20"/>
              <w:jc w:val="right"/>
            </w:pPr>
            <w:r>
              <w:rPr>
                <w:color w:val="1C3A36"/>
                <w:sz w:val="14"/>
              </w:rPr>
              <w:t>2026-09-03</w:t>
            </w:r>
          </w:p>
        </w:tc>
        <w:tc>
          <w:tcPr>
            <w:tcW w:type="dxa" w:w="4810"/>
          </w:tcPr>
          <w:p>
            <w:pPr>
              <w:spacing w:after="20"/>
              <w:jc w:val="right"/>
            </w:pPr>
            <w:r>
              <w:rPr>
                <w:color w:val="1C3A36"/>
                <w:sz w:val="14"/>
              </w:rPr>
              <w:t>Egyptian pound per US dollar, FY2026E-FY2030E period averages, DERIVED by relative purchasing-power parity from the house inflation path above against long-run United States inflation of 2.5% — never hand-set, because escalating costs at domestic inflation while holding the currency still is one event counted once and ignored once. The path compounds from the quote of 50.25 to the dollar on 6 August 2026. The previous edition ended the window at 57.7 against the 69.7 the differential produces — it escalated domestic costs at Egyptian inflation while depreciating the pound at roughly a third of the gap, which is two views of one economy inside one model.</w:t>
            </w:r>
          </w:p>
        </w:tc>
      </w:tr>
      <w:tr>
        <w:tc>
          <w:tcPr>
            <w:tcW w:type="dxa" w:w="2232"/>
          </w:tcPr>
          <w:p>
            <w:pPr>
              <w:spacing w:after="20"/>
            </w:pPr>
            <w:r>
              <w:rPr>
                <w:color w:val="1C3A36"/>
                <w:sz w:val="14"/>
              </w:rPr>
              <w:t>dom pack growth</w:t>
            </w:r>
          </w:p>
        </w:tc>
        <w:tc>
          <w:tcPr>
            <w:tcW w:type="dxa" w:w="1512"/>
          </w:tcPr>
          <w:p>
            <w:pPr>
              <w:spacing w:after="20"/>
              <w:jc w:val="right"/>
            </w:pPr>
            <w:r>
              <w:rPr>
                <w:color w:val="1C3A36"/>
                <w:sz w:val="14"/>
              </w:rPr>
              <w:t>0.055, 0.08, 0.075, 0.065, 0.055</w:t>
            </w:r>
          </w:p>
        </w:tc>
        <w:tc>
          <w:tcPr>
            <w:tcW w:type="dxa" w:w="950"/>
          </w:tcPr>
          <w:p>
            <w:pPr>
              <w:spacing w:after="20"/>
              <w:jc w:val="right"/>
            </w:pPr>
            <w:r>
              <w:rPr>
                <w:color w:val="1C3A36"/>
                <w:sz w:val="14"/>
              </w:rPr>
              <w:t>2026-08-11</w:t>
            </w:r>
          </w:p>
        </w:tc>
        <w:tc>
          <w:tcPr>
            <w:tcW w:type="dxa" w:w="4810"/>
          </w:tcPr>
          <w:p>
            <w:pPr>
              <w:spacing w:after="20"/>
              <w:jc w:val="right"/>
            </w:pPr>
            <w:r>
              <w:rPr>
                <w:color w:val="1C3A36"/>
                <w:sz w:val="14"/>
              </w:rPr>
              <w:t>Domestic packs sold, annual volume growth FY2026E-FY2030E. The company sold 244.3 million domestic packs of its own preparations in FY2024 and 291.8 million in FY2025 (+19.5%); disclosed capacity utilisation is 65% of 3,383 million units, so the volume is not capacity-constrained. The path steps down from a rate materially below the FY2025 outturn toward population-plus-penetration growth. THE FIRST YEAR IS RESET TO THE FIRST QUARTER'S OUTTURN: net sales grew 10.1% year on year in the three months to March 2026, against the 17.5% the first cut of this model carried</w:t>
            </w:r>
          </w:p>
        </w:tc>
      </w:tr>
      <w:tr>
        <w:tc>
          <w:tcPr>
            <w:tcW w:type="dxa" w:w="2232"/>
          </w:tcPr>
          <w:p>
            <w:pPr>
              <w:spacing w:after="20"/>
            </w:pPr>
            <w:r>
              <w:rPr>
                <w:color w:val="1C3A36"/>
                <w:sz w:val="14"/>
              </w:rPr>
              <w:t>exp pack growth</w:t>
            </w:r>
          </w:p>
        </w:tc>
        <w:tc>
          <w:tcPr>
            <w:tcW w:type="dxa" w:w="1512"/>
          </w:tcPr>
          <w:p>
            <w:pPr>
              <w:spacing w:after="20"/>
              <w:jc w:val="right"/>
            </w:pPr>
            <w:r>
              <w:rPr>
                <w:color w:val="1C3A36"/>
                <w:sz w:val="14"/>
              </w:rPr>
              <w:t>0.05, 0.09, 0.085, 0.08, 0.07</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Export packs, annual volume growth. Export value grew 10% in US dollars in FY2025 (USD 54.7m to 60.0m) on a company that is already the largest Egyptian pharmaceutical exporter with 26% of national pharmaceutical export value across 67 countries; the biosimilars plant licensed in December 2025 adds a new export line rather than replacing one</w:t>
            </w:r>
          </w:p>
        </w:tc>
      </w:tr>
      <w:tr>
        <w:tc>
          <w:tcPr>
            <w:tcW w:type="dxa" w:w="2232"/>
          </w:tcPr>
          <w:p>
            <w:pPr>
              <w:spacing w:after="20"/>
            </w:pPr>
            <w:r>
              <w:rPr>
                <w:color w:val="1C3A36"/>
                <w:sz w:val="14"/>
              </w:rPr>
              <w:t>dom price growth</w:t>
            </w:r>
          </w:p>
        </w:tc>
        <w:tc>
          <w:tcPr>
            <w:tcW w:type="dxa" w:w="1512"/>
          </w:tcPr>
          <w:p>
            <w:pPr>
              <w:spacing w:after="20"/>
              <w:jc w:val="right"/>
            </w:pPr>
            <w:r>
              <w:rPr>
                <w:color w:val="1C3A36"/>
                <w:sz w:val="14"/>
              </w:rPr>
              <w:t>0.05, 0.08, 0.075, 0.065, 0.055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Domestic realised price per pack, annual growth. Egyptian medicine prices are set administratively by the Egyptian Drug Authority and move in periodic approved adjustments rather than continuously; realised price per pack rose 12.6% in FY2025 after a much larger devaluation-driven step in FY2024. The path assumes price growth tracks domestic inflation as it converges on the central bank's target, with no real price gain</w:t>
            </w:r>
          </w:p>
        </w:tc>
      </w:tr>
      <w:tr>
        <w:tc>
          <w:tcPr>
            <w:tcW w:type="dxa" w:w="2232"/>
          </w:tcPr>
          <w:p>
            <w:pPr>
              <w:spacing w:after="20"/>
            </w:pPr>
            <w:r>
              <w:rPr>
                <w:color w:val="1C3A36"/>
                <w:sz w:val="14"/>
              </w:rPr>
              <w:t>exp price usd growth</w:t>
            </w:r>
          </w:p>
        </w:tc>
        <w:tc>
          <w:tcPr>
            <w:tcW w:type="dxa" w:w="1512"/>
          </w:tcPr>
          <w:p>
            <w:pPr>
              <w:spacing w:after="20"/>
              <w:jc w:val="right"/>
            </w:pPr>
            <w:r>
              <w:rPr>
                <w:color w:val="1C3A36"/>
                <w:sz w:val="14"/>
              </w:rPr>
              <w:t>0.01, 0.01, 0.01, 0.01, 0.01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Export realised price per pack in US dollars, annual growth. FY2025 realised USD 1.00 per pack. Generic export pricing is competitive and broadly flat in hard currency; 1% a year is a nominal-dollar drift, not a real gain</w:t>
            </w:r>
          </w:p>
        </w:tc>
      </w:tr>
      <w:tr>
        <w:tc>
          <w:tcPr>
            <w:tcW w:type="dxa" w:w="2232"/>
          </w:tcPr>
          <w:p>
            <w:pPr>
              <w:spacing w:after="20"/>
            </w:pPr>
            <w:r>
              <w:rPr>
                <w:color w:val="1C3A36"/>
                <w:sz w:val="14"/>
              </w:rPr>
              <w:t>toll growth</w:t>
            </w:r>
          </w:p>
        </w:tc>
        <w:tc>
          <w:tcPr>
            <w:tcW w:type="dxa" w:w="1512"/>
          </w:tcPr>
          <w:p>
            <w:pPr>
              <w:spacing w:after="20"/>
              <w:jc w:val="right"/>
            </w:pPr>
            <w:r>
              <w:rPr>
                <w:color w:val="1C3A36"/>
                <w:sz w:val="14"/>
              </w:rPr>
              <w:t>0.15, 0.12, 0.1, 0.08, 0.07</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Contract-manufacturing revenue growth. A small line (0.5% of revenue) that grew 37.8% in FY2025 off a low base as the company let third parties use idle capacity</w:t>
            </w:r>
          </w:p>
        </w:tc>
      </w:tr>
      <w:tr>
        <w:tc>
          <w:tcPr>
            <w:tcW w:type="dxa" w:w="2232"/>
          </w:tcPr>
          <w:p>
            <w:pPr>
              <w:spacing w:after="20"/>
            </w:pPr>
            <w:r>
              <w:rPr>
                <w:color w:val="1C3A36"/>
                <w:sz w:val="14"/>
              </w:rPr>
              <w:t>esc materials usd</w:t>
            </w:r>
          </w:p>
        </w:tc>
        <w:tc>
          <w:tcPr>
            <w:tcW w:type="dxa" w:w="1512"/>
          </w:tcPr>
          <w:p>
            <w:pPr>
              <w:spacing w:after="20"/>
              <w:jc w:val="right"/>
            </w:pPr>
            <w:r>
              <w:rPr>
                <w:color w:val="1C3A36"/>
                <w:sz w:val="14"/>
              </w:rPr>
              <w:t>0.02</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Active pharmaceutical ingredient input prices in US dollars, annual escalation. The company's raw materials are predominantly imported active ingredients; they are escalated on a hard-currency price path passed through the model's own exchange-rate path, NOT on a domestic inflation index</w:t>
            </w:r>
          </w:p>
        </w:tc>
      </w:tr>
      <w:tr>
        <w:tc>
          <w:tcPr>
            <w:tcW w:type="dxa" w:w="2232"/>
          </w:tcPr>
          <w:p>
            <w:pPr>
              <w:spacing w:after="20"/>
            </w:pPr>
            <w:r>
              <w:rPr>
                <w:color w:val="1C3A36"/>
                <w:sz w:val="14"/>
              </w:rPr>
              <w:t>esc packaging import share</w:t>
            </w:r>
          </w:p>
        </w:tc>
        <w:tc>
          <w:tcPr>
            <w:tcW w:type="dxa" w:w="1512"/>
          </w:tcPr>
          <w:p>
            <w:pPr>
              <w:spacing w:after="20"/>
              <w:jc w:val="right"/>
            </w:pPr>
            <w:r>
              <w:rPr>
                <w:color w:val="1C3A36"/>
                <w:sz w:val="14"/>
              </w:rPr>
              <w:t>0.55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Share of the packaging cost line that is imported input (aluminium foil, film, closures) and therefore escalates on the hard-currency path; the balance is produced in-house by the group's own ampoule and plastics factories and escalates domestically</w:t>
            </w:r>
          </w:p>
        </w:tc>
      </w:tr>
      <w:tr>
        <w:tc>
          <w:tcPr>
            <w:tcW w:type="dxa" w:w="2232"/>
          </w:tcPr>
          <w:p>
            <w:pPr>
              <w:spacing w:after="20"/>
            </w:pPr>
            <w:r>
              <w:rPr>
                <w:color w:val="1C3A36"/>
                <w:sz w:val="14"/>
              </w:rPr>
              <w:t>esc labour</w:t>
            </w:r>
          </w:p>
        </w:tc>
        <w:tc>
          <w:tcPr>
            <w:tcW w:type="dxa" w:w="1512"/>
          </w:tcPr>
          <w:p>
            <w:pPr>
              <w:spacing w:after="20"/>
              <w:jc w:val="right"/>
            </w:pPr>
            <w:r>
              <w:rPr>
                <w:color w:val="1C3A36"/>
                <w:sz w:val="14"/>
              </w:rPr>
              <w:t>0.14, 0.12, 0.1, 0.085, 0.075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Egyptian wage escalation. Headcount grew 2% in FY2025 while the wage bill in cost of sales grew 27%, so unit labour cost is rising faster than consumer prices as the statutory minimum wage is reset; the path decays toward domestic inflation</w:t>
            </w:r>
          </w:p>
        </w:tc>
      </w:tr>
      <w:tr>
        <w:tc>
          <w:tcPr>
            <w:tcW w:type="dxa" w:w="2232"/>
          </w:tcPr>
          <w:p>
            <w:pPr>
              <w:spacing w:after="20"/>
            </w:pPr>
            <w:r>
              <w:rPr>
                <w:color w:val="1C3A36"/>
                <w:sz w:val="14"/>
              </w:rPr>
              <w:t>esc energy</w:t>
            </w:r>
          </w:p>
        </w:tc>
        <w:tc>
          <w:tcPr>
            <w:tcW w:type="dxa" w:w="1512"/>
          </w:tcPr>
          <w:p>
            <w:pPr>
              <w:spacing w:after="20"/>
              <w:jc w:val="right"/>
            </w:pPr>
            <w:r>
              <w:rPr>
                <w:color w:val="1C3A36"/>
                <w:sz w:val="14"/>
              </w:rPr>
              <w:t>0.18, 0.15, 0.12, 0.1, 0.08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Egyptian regulated energy and utility tariffs, escalated ABOVE consumer inflation for the near term because the subsidy-reform programme resets industrial electricity and gas tariffs on its own schedule; a domestic consumer-price proxy would understate it</w:t>
            </w:r>
          </w:p>
        </w:tc>
      </w:tr>
      <w:tr>
        <w:tc>
          <w:tcPr>
            <w:tcW w:type="dxa" w:w="2232"/>
          </w:tcPr>
          <w:p>
            <w:pPr>
              <w:spacing w:after="20"/>
            </w:pPr>
            <w:r>
              <w:rPr>
                <w:color w:val="1C3A36"/>
                <w:sz w:val="14"/>
              </w:rPr>
              <w:t>esc domestic cpi</w:t>
            </w:r>
          </w:p>
        </w:tc>
        <w:tc>
          <w:tcPr>
            <w:tcW w:type="dxa" w:w="1512"/>
          </w:tcPr>
          <w:p>
            <w:pPr>
              <w:spacing w:after="20"/>
              <w:jc w:val="right"/>
            </w:pPr>
            <w:r>
              <w:rPr>
                <w:color w:val="1C3A36"/>
                <w:sz w:val="14"/>
              </w:rPr>
              <w:t>0.16, 0.12, 0.09, 0.075, 0.07</w:t>
            </w:r>
          </w:p>
        </w:tc>
        <w:tc>
          <w:tcPr>
            <w:tcW w:type="dxa" w:w="950"/>
          </w:tcPr>
          <w:p>
            <w:pPr>
              <w:spacing w:after="20"/>
              <w:jc w:val="right"/>
            </w:pPr>
            <w:r>
              <w:rPr>
                <w:color w:val="1C3A36"/>
                <w:sz w:val="14"/>
              </w:rPr>
              <w:t>2026-09-03</w:t>
            </w:r>
          </w:p>
        </w:tc>
        <w:tc>
          <w:tcPr>
            <w:tcW w:type="dxa" w:w="4810"/>
          </w:tcPr>
          <w:p>
            <w:pPr>
              <w:spacing w:after="20"/>
              <w:jc w:val="right"/>
            </w:pPr>
            <w:r>
              <w:rPr>
                <w:color w:val="1C3A36"/>
                <w:sz w:val="14"/>
              </w:rPr>
              <w:t>Egyptian consumer price inflation, FY2026E-FY2030E, applied to genuinely domestic service and consumable lines. THIS IS THE HOUSE PATH AND NOT THIS STUDY'S OWN: 16.0 / 12.0 / 9.0 / 7.5 / 7.0, the central bank's own published baseline for 2026 and 2027 and its stated glide to the target band thereafter. The previous edition carried 12.0 / 10.0 / 8.5 / 7.0 / 6.0 — a path that compounds 7.3% lower over the window and terminates a point below the long-run rate this same valuation uses in its terminal value. A company cannot be valued in an economy the study beside it does not recognise, and the divergence was invisible because the number was derived rather than typed and nobody asked derived from what.</w:t>
            </w:r>
          </w:p>
        </w:tc>
      </w:tr>
      <w:tr>
        <w:tc>
          <w:tcPr>
            <w:tcW w:type="dxa" w:w="2232"/>
          </w:tcPr>
          <w:p>
            <w:pPr>
              <w:spacing w:after="20"/>
            </w:pPr>
            <w:r>
              <w:rPr>
                <w:color w:val="1C3A36"/>
                <w:sz w:val="14"/>
              </w:rPr>
              <w:t>mkt pct</w:t>
            </w:r>
          </w:p>
        </w:tc>
        <w:tc>
          <w:tcPr>
            <w:tcW w:type="dxa" w:w="1512"/>
          </w:tcPr>
          <w:p>
            <w:pPr>
              <w:spacing w:after="20"/>
              <w:jc w:val="right"/>
            </w:pPr>
            <w:r>
              <w:rPr>
                <w:color w:val="1C3A36"/>
                <w:sz w:val="14"/>
              </w:rPr>
              <w:t>0.104, 0.102, 0.1, 0.099, 0.098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Selling and marketing expense as a share of revenue. The disclosed ratio fell from 12.9% (FY2023) to 12.4% (FY2024) to 10.7% (FY2025) as the company got operating leverage on a larger sales base; the path assumes that gain is largely banked but not extended much further</w:t>
            </w:r>
          </w:p>
        </w:tc>
      </w:tr>
      <w:tr>
        <w:tc>
          <w:tcPr>
            <w:tcW w:type="dxa" w:w="2232"/>
          </w:tcPr>
          <w:p>
            <w:pPr>
              <w:spacing w:after="20"/>
            </w:pPr>
            <w:r>
              <w:rPr>
                <w:color w:val="1C3A36"/>
                <w:sz w:val="14"/>
              </w:rPr>
              <w:t>rnd pct</w:t>
            </w:r>
          </w:p>
        </w:tc>
        <w:tc>
          <w:tcPr>
            <w:tcW w:type="dxa" w:w="1512"/>
          </w:tcPr>
          <w:p>
            <w:pPr>
              <w:spacing w:after="20"/>
              <w:jc w:val="right"/>
            </w:pPr>
            <w:r>
              <w:rPr>
                <w:color w:val="1C3A36"/>
                <w:sz w:val="14"/>
              </w:rPr>
              <w:t>0.0085, 0.009, 0.0095, 0.01, 0.01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Research and development as a share of revenue, rising modestly from the FY2025 level of 0.75% as the biosimilars pipeline moves through registration</w:t>
            </w:r>
          </w:p>
        </w:tc>
      </w:tr>
      <w:tr>
        <w:tc>
          <w:tcPr>
            <w:tcW w:type="dxa" w:w="2232"/>
          </w:tcPr>
          <w:p>
            <w:pPr>
              <w:spacing w:after="20"/>
            </w:pPr>
            <w:r>
              <w:rPr>
                <w:color w:val="1C3A36"/>
                <w:sz w:val="14"/>
              </w:rPr>
              <w:t>ga pct</w:t>
            </w:r>
          </w:p>
        </w:tc>
        <w:tc>
          <w:tcPr>
            <w:tcW w:type="dxa" w:w="1512"/>
          </w:tcPr>
          <w:p>
            <w:pPr>
              <w:spacing w:after="20"/>
              <w:jc w:val="right"/>
            </w:pPr>
            <w:r>
              <w:rPr>
                <w:color w:val="1C3A36"/>
                <w:sz w:val="14"/>
              </w:rPr>
              <w:t>0.0235, 0.0235, 0.023, 0.0228, 0.0225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General and administrative expense as a share of revenue, held near the FY2025 level of 2.34%</w:t>
            </w:r>
          </w:p>
        </w:tc>
      </w:tr>
      <w:tr>
        <w:tc>
          <w:tcPr>
            <w:tcW w:type="dxa" w:w="2232"/>
          </w:tcPr>
          <w:p>
            <w:pPr>
              <w:spacing w:after="20"/>
            </w:pPr>
            <w:r>
              <w:rPr>
                <w:color w:val="1C3A36"/>
                <w:sz w:val="14"/>
              </w:rPr>
              <w:t>prov pct permanent</w:t>
            </w:r>
          </w:p>
        </w:tc>
        <w:tc>
          <w:tcPr>
            <w:tcW w:type="dxa" w:w="1512"/>
          </w:tcPr>
          <w:p>
            <w:pPr>
              <w:spacing w:after="20"/>
              <w:jc w:val="right"/>
            </w:pPr>
            <w:r>
              <w:rPr>
                <w:color w:val="1C3A36"/>
                <w:sz w:val="14"/>
              </w:rPr>
              <w:t>0.0525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Credit losses, inventory write-downs and other provisions as a permanent share of revenue — the FRAME A reading. LABEL CORRECTED: this is NOT 'the three-year average', which the earlier edition called it. The disclosed charge runs 5.07% (FY2023), 9.24% (FY2024), 5.23% (FY2025); the mean of those three ratios is 6.52% and the mean of the two years either side of the FY2024 spike is 5.15%. 5.25% IS STRUCK MARGINALLY ABOVE THE TWO NON-OUTLIER YEARS, and that is what it should be called. Both the 6.52% three-year mean and the 3.03% expected-credit-loss-only three-year mean are published beside it and the frame is sensitised across them. Context that neither reading carries: the first quarter of 2026 booked NO expected credit loss at all — one of the three matters the auditor qualified — so 6.52% is more than twice a quarter that charged nothing</w:t>
            </w:r>
          </w:p>
        </w:tc>
      </w:tr>
      <w:tr>
        <w:tc>
          <w:tcPr>
            <w:tcW w:type="dxa" w:w="2232"/>
          </w:tcPr>
          <w:p>
            <w:pPr>
              <w:spacing w:after="20"/>
            </w:pPr>
            <w:r>
              <w:rPr>
                <w:color w:val="1C3A36"/>
                <w:sz w:val="14"/>
              </w:rPr>
              <w:t>prov pct normalising</w:t>
            </w:r>
          </w:p>
        </w:tc>
        <w:tc>
          <w:tcPr>
            <w:tcW w:type="dxa" w:w="1512"/>
          </w:tcPr>
          <w:p>
            <w:pPr>
              <w:spacing w:after="20"/>
              <w:jc w:val="right"/>
            </w:pPr>
            <w:r>
              <w:rPr>
                <w:color w:val="1C3A36"/>
                <w:sz w:val="14"/>
              </w:rPr>
              <w:t>0.045, 0.038, 0.032, 0.028, 0.025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The FRAME B reading of the same charge: a receivable and inventory book that is seasoning, with the charge decaying toward the 2.5% of revenue that a distributor-concentrated generic book carries in steady state. Both frames are carried through the whole model and published side by side; neither is averaged into the other</w:t>
            </w:r>
          </w:p>
        </w:tc>
      </w:tr>
      <w:tr>
        <w:tc>
          <w:tcPr>
            <w:tcW w:type="dxa" w:w="2232"/>
          </w:tcPr>
          <w:p>
            <w:pPr>
              <w:spacing w:after="20"/>
            </w:pPr>
            <w:r>
              <w:rPr>
                <w:color w:val="1C3A36"/>
                <w:sz w:val="14"/>
              </w:rPr>
              <w:t>capex pct</w:t>
            </w:r>
          </w:p>
        </w:tc>
        <w:tc>
          <w:tcPr>
            <w:tcW w:type="dxa" w:w="1512"/>
          </w:tcPr>
          <w:p>
            <w:pPr>
              <w:spacing w:after="20"/>
              <w:jc w:val="right"/>
            </w:pPr>
            <w:r>
              <w:rPr>
                <w:color w:val="1C3A36"/>
                <w:sz w:val="14"/>
              </w:rPr>
              <w:t>0.125, 0.045, 0.035, 0.032, 0.03</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Capital expenditure as a share of revenue. FY2024 and FY2025 ran at 37.5% and 14.3% of revenue respectively as the EIPICO 3 plant was built; the plant was licensed in December 2025 and the residual construction spend completes in FY2026, after which the requirement falls to maintenance plus incremental line capacity on a plant running at 65% utilisation</w:t>
            </w:r>
          </w:p>
        </w:tc>
      </w:tr>
      <w:tr>
        <w:tc>
          <w:tcPr>
            <w:tcW w:type="dxa" w:w="2232"/>
          </w:tcPr>
          <w:p>
            <w:pPr>
              <w:spacing w:after="20"/>
            </w:pPr>
            <w:r>
              <w:rPr>
                <w:color w:val="1C3A36"/>
                <w:sz w:val="14"/>
              </w:rPr>
              <w:t>cip transfer</w:t>
            </w:r>
          </w:p>
        </w:tc>
        <w:tc>
          <w:tcPr>
            <w:tcW w:type="dxa" w:w="1512"/>
          </w:tcPr>
          <w:p>
            <w:pPr>
              <w:spacing w:after="20"/>
              <w:jc w:val="right"/>
            </w:pPr>
            <w:r>
              <w:rPr>
                <w:color w:val="1C3A36"/>
                <w:sz w:val="14"/>
              </w:rPr>
              <w:t>3,400, 1,100, 400, 200, 200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Transfers out of projects under construction into depreciable property, EGP million. The EIPICO 3 facility obtained its Egyptian Drug Authority and Industrial Development Authority licences in December 2025 and entered its operating phase in 2026, so the EGP 4,901 million construction balance begins depreciating rather than sitting idle. This is the single largest mechanical change in the forecast income statement</w:t>
            </w:r>
          </w:p>
        </w:tc>
      </w:tr>
      <w:tr>
        <w:tc>
          <w:tcPr>
            <w:tcW w:type="dxa" w:w="2232"/>
          </w:tcPr>
          <w:p>
            <w:pPr>
              <w:spacing w:after="20"/>
            </w:pPr>
            <w:r>
              <w:rPr>
                <w:color w:val="1C3A36"/>
                <w:sz w:val="14"/>
              </w:rPr>
              <w:t>dep rate</w:t>
            </w:r>
          </w:p>
        </w:tc>
        <w:tc>
          <w:tcPr>
            <w:tcW w:type="dxa" w:w="1512"/>
          </w:tcPr>
          <w:p>
            <w:pPr>
              <w:spacing w:after="20"/>
              <w:jc w:val="right"/>
            </w:pPr>
            <w:r>
              <w:rPr>
                <w:color w:val="1C3A36"/>
                <w:sz w:val="14"/>
              </w:rPr>
              <w:t>0.062</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Average annual depreciation rate on the depreciable property base. Implied by the audited fixed-asset note: FY2024 depreciation of 96.532 on average gross property of about 2,697 gives 3.6%, but that base is dominated by long-lived buildings and land; the incoming EIPICO 3 asset is process equipment and modular construction with a shorter life. 6.2% is a blended rate consistent with roughly a sixteen-year average life</w:t>
            </w:r>
          </w:p>
        </w:tc>
      </w:tr>
      <w:tr>
        <w:tc>
          <w:tcPr>
            <w:tcW w:type="dxa" w:w="2232"/>
          </w:tcPr>
          <w:p>
            <w:pPr>
              <w:spacing w:after="20"/>
            </w:pPr>
            <w:r>
              <w:rPr>
                <w:color w:val="1C3A36"/>
                <w:sz w:val="14"/>
              </w:rPr>
              <w:t>dio</w:t>
            </w:r>
          </w:p>
        </w:tc>
        <w:tc>
          <w:tcPr>
            <w:tcW w:type="dxa" w:w="1512"/>
          </w:tcPr>
          <w:p>
            <w:pPr>
              <w:spacing w:after="20"/>
              <w:jc w:val="right"/>
            </w:pPr>
            <w:r>
              <w:rPr>
                <w:color w:val="1C3A36"/>
                <w:sz w:val="14"/>
              </w:rPr>
              <w:t>265, 258, 250, 245, 240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Inventory days on cost of sales. The audited FY2025 position implies 268 days. The chairman stated at the March-2026 general assembly that the company deliberately holds a strategic raw-material stockpile sufficient for at least eight months, so this is a policy choice rather than a working-capital failure; the path unwinds it only slowly</w:t>
            </w:r>
          </w:p>
        </w:tc>
      </w:tr>
      <w:tr>
        <w:tc>
          <w:tcPr>
            <w:tcW w:type="dxa" w:w="2232"/>
          </w:tcPr>
          <w:p>
            <w:pPr>
              <w:spacing w:after="20"/>
            </w:pPr>
            <w:r>
              <w:rPr>
                <w:color w:val="1C3A36"/>
                <w:sz w:val="14"/>
              </w:rPr>
              <w:t>dso</w:t>
            </w:r>
          </w:p>
        </w:tc>
        <w:tc>
          <w:tcPr>
            <w:tcW w:type="dxa" w:w="1512"/>
          </w:tcPr>
          <w:p>
            <w:pPr>
              <w:spacing w:after="20"/>
              <w:jc w:val="right"/>
            </w:pPr>
            <w:r>
              <w:rPr>
                <w:color w:val="1C3A36"/>
                <w:sz w:val="14"/>
              </w:rPr>
              <w:t>126, 122, 118, 115, 112</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Trade receivable days on revenue. The audited FY2025 position implies 129 days, against 147 days in FY2024, reflecting a distributor-concentrated domestic book and export terms; the path continues the improvement already underway</w:t>
            </w:r>
          </w:p>
        </w:tc>
      </w:tr>
      <w:tr>
        <w:tc>
          <w:tcPr>
            <w:tcW w:type="dxa" w:w="2232"/>
          </w:tcPr>
          <w:p>
            <w:pPr>
              <w:spacing w:after="20"/>
            </w:pPr>
            <w:r>
              <w:rPr>
                <w:color w:val="1C3A36"/>
                <w:sz w:val="14"/>
              </w:rPr>
              <w:t>dpo</w:t>
            </w:r>
          </w:p>
        </w:tc>
        <w:tc>
          <w:tcPr>
            <w:tcW w:type="dxa" w:w="1512"/>
          </w:tcPr>
          <w:p>
            <w:pPr>
              <w:spacing w:after="20"/>
              <w:jc w:val="right"/>
            </w:pPr>
            <w:r>
              <w:rPr>
                <w:color w:val="1C3A36"/>
                <w:sz w:val="14"/>
              </w:rPr>
              <w:t>55, 56, 57, 58, 58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Trade payable days on cost of sales. The audited FY2025 position implies 54 days, up from 36 days in FY2024</w:t>
            </w:r>
          </w:p>
        </w:tc>
      </w:tr>
      <w:tr>
        <w:tc>
          <w:tcPr>
            <w:tcW w:type="dxa" w:w="2232"/>
          </w:tcPr>
          <w:p>
            <w:pPr>
              <w:spacing w:after="20"/>
            </w:pPr>
            <w:r>
              <w:rPr>
                <w:color w:val="1C3A36"/>
                <w:sz w:val="14"/>
              </w:rPr>
              <w:t>tax eff fwd</w:t>
            </w:r>
          </w:p>
        </w:tc>
        <w:tc>
          <w:tcPr>
            <w:tcW w:type="dxa" w:w="1512"/>
          </w:tcPr>
          <w:p>
            <w:pPr>
              <w:spacing w:after="20"/>
              <w:jc w:val="right"/>
            </w:pPr>
            <w:r>
              <w:rPr>
                <w:color w:val="1C3A36"/>
                <w:sz w:val="14"/>
              </w:rPr>
              <w:t>0.235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Effective tax rate applied to forecast pre-tax profit. Audited effective rates, taking current tax less the deferred-tax movement plus the statutory solidarity contribution over pre-tax profit: 24.0% (FY2023), 28.3% (FY2024), 18.8% (FY2025). The FY2025 rate is flattered by a 108.663 deferred-tax credit and by associate income that arrives already taxed; 23.5% sits just above the statutory rate to allow for the solidarity contribution and for disallowed items</w:t>
            </w:r>
          </w:p>
        </w:tc>
      </w:tr>
      <w:tr>
        <w:tc>
          <w:tcPr>
            <w:tcW w:type="dxa" w:w="2232"/>
          </w:tcPr>
          <w:p>
            <w:pPr>
              <w:spacing w:after="20"/>
            </w:pPr>
            <w:r>
              <w:rPr>
                <w:color w:val="1C3A36"/>
                <w:sz w:val="14"/>
              </w:rPr>
              <w:t>beta</w:t>
            </w:r>
          </w:p>
        </w:tc>
        <w:tc>
          <w:tcPr>
            <w:tcW w:type="dxa" w:w="1512"/>
          </w:tcPr>
          <w:p>
            <w:pPr>
              <w:spacing w:after="20"/>
              <w:jc w:val="right"/>
            </w:pPr>
            <w:r>
              <w:rPr>
                <w:color w:val="1C3A36"/>
                <w:sz w:val="14"/>
              </w:rPr>
              <w:t>0.629</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Own-stock first-tier regression: weekly logarithmic returns of the company's own shares against an equal-weighted composite of 36 Egyptian listed names built from the full covered price library, five-year window. R-squared 0.235, n = 257, standard error 0.071, 90% confidence interval [0.51, 0.75]. Clears every usability test on every limb and is not weak-instrument flagged. A beta well below one is what a defensive, price-regulated, domestically-consumed staple should produce</w:t>
            </w:r>
          </w:p>
        </w:tc>
      </w:tr>
      <w:tr>
        <w:tc>
          <w:tcPr>
            <w:tcW w:type="dxa" w:w="2232"/>
          </w:tcPr>
          <w:p>
            <w:pPr>
              <w:spacing w:after="20"/>
            </w:pPr>
            <w:r>
              <w:rPr>
                <w:color w:val="1C3A36"/>
                <w:sz w:val="14"/>
              </w:rPr>
              <w:t>kd egp</w:t>
            </w:r>
          </w:p>
        </w:tc>
        <w:tc>
          <w:tcPr>
            <w:tcW w:type="dxa" w:w="1512"/>
          </w:tcPr>
          <w:p>
            <w:pPr>
              <w:spacing w:after="20"/>
              <w:jc w:val="right"/>
            </w:pPr>
            <w:r>
              <w:rPr>
                <w:color w:val="1C3A36"/>
                <w:sz w:val="14"/>
              </w:rPr>
              <w:t>0.2481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Marginal cost of local-currency debt: the ten-year sovereign yield of 22.31% plus a 250 basis-point corporate credit spread. A same-currency corporate cannot borrow below its own sovereign, so this is floored at the sovereign yield by construction</w:t>
            </w:r>
          </w:p>
        </w:tc>
      </w:tr>
      <w:tr>
        <w:tc>
          <w:tcPr>
            <w:tcW w:type="dxa" w:w="2232"/>
          </w:tcPr>
          <w:p>
            <w:pPr>
              <w:spacing w:after="20"/>
            </w:pPr>
            <w:r>
              <w:rPr>
                <w:color w:val="1C3A36"/>
                <w:sz w:val="14"/>
              </w:rPr>
              <w:t>kd fx coupon</w:t>
            </w:r>
          </w:p>
        </w:tc>
        <w:tc>
          <w:tcPr>
            <w:tcW w:type="dxa" w:w="1512"/>
          </w:tcPr>
          <w:p>
            <w:pPr>
              <w:spacing w:after="20"/>
              <w:jc w:val="right"/>
            </w:pPr>
            <w:r>
              <w:rPr>
                <w:color w:val="1C3A36"/>
                <w:sz w:val="14"/>
              </w:rPr>
              <w:t>0.075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Marginal coupon on the group's hard-currency borrowings. Half the term-loan book is US-dollar and euro paper from Qatar National Bank Alahli and the National Bank of Kuwait; 7.5% is the dollar-funding cost for an unrated Egyptian corporate at current benchmark rates</w:t>
            </w:r>
          </w:p>
        </w:tc>
      </w:tr>
      <w:tr>
        <w:tc>
          <w:tcPr>
            <w:tcW w:type="dxa" w:w="2232"/>
          </w:tcPr>
          <w:p>
            <w:pPr>
              <w:spacing w:after="20"/>
            </w:pPr>
            <w:r>
              <w:rPr>
                <w:color w:val="1C3A36"/>
                <w:sz w:val="14"/>
              </w:rPr>
              <w:t>fx dep wacc</w:t>
            </w:r>
          </w:p>
        </w:tc>
        <w:tc>
          <w:tcPr>
            <w:tcW w:type="dxa" w:w="1512"/>
          </w:tcPr>
          <w:p>
            <w:pPr>
              <w:spacing w:after="20"/>
              <w:jc w:val="right"/>
            </w:pPr>
            <w:r>
              <w:rPr>
                <w:color w:val="1C3A36"/>
                <w:sz w:val="14"/>
              </w:rPr>
              <w:t>0.045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Expected annual depreciation of the Egyptian pound used to carry foreign-currency debt at its LOCAL-EQUIVALENT cost. Taken from the model's own exchange-rate path (50.5 to 57.7 over five years, a 3.4% compound rate) with a margin; a raw hard-currency coupon inside a pound-nominal weighted average cost of capital would understate the cost of that debt</w:t>
            </w:r>
          </w:p>
        </w:tc>
      </w:tr>
      <w:tr>
        <w:tc>
          <w:tcPr>
            <w:tcW w:type="dxa" w:w="2232"/>
          </w:tcPr>
          <w:p>
            <w:pPr>
              <w:spacing w:after="20"/>
            </w:pPr>
            <w:r>
              <w:rPr>
                <w:color w:val="1C3A36"/>
                <w:sz w:val="14"/>
              </w:rPr>
              <w:t>int path</w:t>
            </w:r>
          </w:p>
        </w:tc>
        <w:tc>
          <w:tcPr>
            <w:tcW w:type="dxa" w:w="1512"/>
          </w:tcPr>
          <w:p>
            <w:pPr>
              <w:spacing w:after="20"/>
              <w:jc w:val="right"/>
            </w:pPr>
            <w:r>
              <w:rPr>
                <w:color w:val="1C3A36"/>
                <w:sz w:val="14"/>
              </w:rPr>
              <w:t>1,250, 1,210, 1,150, 1,090, 1,030</w:t>
            </w:r>
          </w:p>
        </w:tc>
        <w:tc>
          <w:tcPr>
            <w:tcW w:type="dxa" w:w="950"/>
          </w:tcPr>
          <w:p>
            <w:pPr>
              <w:spacing w:after="20"/>
              <w:jc w:val="right"/>
            </w:pPr>
            <w:r>
              <w:rPr>
                <w:color w:val="1C3A36"/>
                <w:sz w:val="14"/>
              </w:rPr>
              <w:t>2026-08-11</w:t>
            </w:r>
          </w:p>
        </w:tc>
        <w:tc>
          <w:tcPr>
            <w:tcW w:type="dxa" w:w="4810"/>
          </w:tcPr>
          <w:p>
            <w:pPr>
              <w:spacing w:after="20"/>
              <w:jc w:val="right"/>
            </w:pPr>
            <w:r>
              <w:rPr>
                <w:color w:val="1C3A36"/>
                <w:sz w:val="14"/>
              </w:rPr>
              <w:t>Finance cost charged to the income statement, EGP million. This is NOT the marginal cost of debt used in the discount rate — that is a forward, local-equivalent, currency-blended rate; this is what the profit and loss account actually bears, and part of the group's interest is still being capitalised into the remaining construction balance. CALIBRATED TO THE FIRST QUARTER OF 2026: 312.862 of financing expense in three months, DOWN 6.9% year on year, an annual run-rate of about 1,251 against the 1,548 the first cut of this model implied. It then declines with the central bank's easing cycle</w:t>
            </w:r>
          </w:p>
        </w:tc>
      </w:tr>
      <w:tr>
        <w:tc>
          <w:tcPr>
            <w:tcW w:type="dxa" w:w="2232"/>
          </w:tcPr>
          <w:p>
            <w:pPr>
              <w:spacing w:after="20"/>
            </w:pPr>
            <w:r>
              <w:rPr>
                <w:color w:val="1C3A36"/>
                <w:sz w:val="14"/>
              </w:rPr>
              <w:t>kd path</w:t>
            </w:r>
          </w:p>
        </w:tc>
        <w:tc>
          <w:tcPr>
            <w:tcW w:type="dxa" w:w="1512"/>
          </w:tcPr>
          <w:p>
            <w:pPr>
              <w:spacing w:after="20"/>
              <w:jc w:val="right"/>
            </w:pPr>
            <w:r>
              <w:rPr>
                <w:color w:val="1C3A36"/>
                <w:sz w:val="14"/>
              </w:rPr>
              <w:t>0.189, 0.178, 0.166, 0.156, 0.148</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CONVERGENCE PATH, FY2026E-FY2030E. This row is NOT the cost of local-currency debt (24.81%) and NOT the blended marginal cost of debt (18.55%): its first point, 18.90%, is the NORMALISED RISK-FREE RATE, and the row traces that rate converging on the terminal norm as the central bank's easing cycle runs. Its only job is to give the discount-rate glide a shape derived from something in the model rather than an invented curve; the glide uses the row normalised to its own endpoints, so the levels cancel and only the SHAPE enters. The earlier edition described it as a cost-of-debt path, which it is not</w:t>
            </w:r>
          </w:p>
        </w:tc>
      </w:tr>
      <w:tr>
        <w:tc>
          <w:tcPr>
            <w:tcW w:type="dxa" w:w="2232"/>
          </w:tcPr>
          <w:p>
            <w:pPr>
              <w:spacing w:after="20"/>
            </w:pPr>
            <w:r>
              <w:rPr>
                <w:color w:val="1C3A36"/>
                <w:sz w:val="14"/>
              </w:rPr>
              <w:t>rf term</w:t>
            </w:r>
          </w:p>
        </w:tc>
        <w:tc>
          <w:tcPr>
            <w:tcW w:type="dxa" w:w="1512"/>
          </w:tcPr>
          <w:p>
            <w:pPr>
              <w:spacing w:after="20"/>
              <w:jc w:val="right"/>
            </w:pPr>
            <w:r>
              <w:rPr>
                <w:color w:val="1C3A36"/>
                <w:sz w:val="14"/>
              </w:rPr>
              <w:t>0.125</w:t>
            </w:r>
          </w:p>
        </w:tc>
        <w:tc>
          <w:tcPr>
            <w:tcW w:type="dxa" w:w="950"/>
          </w:tcPr>
          <w:p>
            <w:pPr>
              <w:spacing w:after="20"/>
              <w:jc w:val="right"/>
            </w:pPr>
            <w:r>
              <w:rPr>
                <w:color w:val="1C3A36"/>
                <w:sz w:val="14"/>
              </w:rPr>
              <w:t>2026-09-03</w:t>
            </w:r>
          </w:p>
        </w:tc>
        <w:tc>
          <w:tcPr>
            <w:tcW w:type="dxa" w:w="4810"/>
          </w:tcPr>
          <w:p>
            <w:pPr>
              <w:spacing w:after="20"/>
              <w:jc w:val="right"/>
            </w:pPr>
            <w:r>
              <w:rPr>
                <w:color w:val="1C3A36"/>
                <w:sz w:val="14"/>
              </w:rPr>
              <w:t>Terminal risk-free rate, DERIVED and never quoted: the long-run inflation this valuation carries throughout, 7.0%, plus the standard 5.5-point emerging-market real-rate convention. The previous edition used 10.5%, built the same way but on a 5% inflation assumption that appears nowhere else in the model — the same valuation escalated costs on one long-run rate and discounted the terminal on another, two points apart. THE DERIVATION IS WHAT MAKES IT CHECKABLE: the single most terminal-value-sensitive number in the model cannot be typed, and it cannot disagree with the inflation the rest of the model uses because it is computed from it.</w:t>
            </w:r>
          </w:p>
        </w:tc>
      </w:tr>
      <w:tr>
        <w:tc>
          <w:tcPr>
            <w:tcW w:type="dxa" w:w="2232"/>
          </w:tcPr>
          <w:p>
            <w:pPr>
              <w:spacing w:after="20"/>
            </w:pPr>
            <w:r>
              <w:rPr>
                <w:color w:val="1C3A36"/>
                <w:sz w:val="14"/>
              </w:rPr>
              <w:t>erp term</w:t>
            </w:r>
          </w:p>
        </w:tc>
        <w:tc>
          <w:tcPr>
            <w:tcW w:type="dxa" w:w="1512"/>
          </w:tcPr>
          <w:p>
            <w:pPr>
              <w:spacing w:after="20"/>
              <w:jc w:val="right"/>
            </w:pPr>
            <w:r>
              <w:rPr>
                <w:color w:val="1C3A36"/>
                <w:sz w:val="14"/>
              </w:rPr>
              <w:t>0.07</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Terminal equity risk premium, normalised below today's crisis-era level toward the rating-class norm; never held flat into perpetuity</w:t>
            </w:r>
          </w:p>
        </w:tc>
      </w:tr>
      <w:tr>
        <w:tc>
          <w:tcPr>
            <w:tcW w:type="dxa" w:w="2232"/>
          </w:tcPr>
          <w:p>
            <w:pPr>
              <w:spacing w:after="20"/>
            </w:pPr>
            <w:r>
              <w:rPr>
                <w:color w:val="1C3A36"/>
                <w:sz w:val="14"/>
              </w:rPr>
              <w:t>kd term lc</w:t>
            </w:r>
          </w:p>
        </w:tc>
        <w:tc>
          <w:tcPr>
            <w:tcW w:type="dxa" w:w="1512"/>
          </w:tcPr>
          <w:p>
            <w:pPr>
              <w:spacing w:after="20"/>
              <w:jc w:val="right"/>
            </w:pPr>
            <w:r>
              <w:rPr>
                <w:color w:val="1C3A36"/>
                <w:sz w:val="14"/>
              </w:rPr>
              <w:t>0.15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Terminal local-currency corporate borrowing rate — the long-run Egyptian norm of roughly 10 points above the 5% inflation target</w:t>
            </w:r>
          </w:p>
        </w:tc>
      </w:tr>
      <w:tr>
        <w:tc>
          <w:tcPr>
            <w:tcW w:type="dxa" w:w="2232"/>
          </w:tcPr>
          <w:p>
            <w:pPr>
              <w:spacing w:after="20"/>
            </w:pPr>
            <w:r>
              <w:rPr>
                <w:color w:val="1C3A36"/>
                <w:sz w:val="14"/>
              </w:rPr>
              <w:t>kd term fx</w:t>
            </w:r>
          </w:p>
        </w:tc>
        <w:tc>
          <w:tcPr>
            <w:tcW w:type="dxa" w:w="1512"/>
          </w:tcPr>
          <w:p>
            <w:pPr>
              <w:spacing w:after="20"/>
              <w:jc w:val="right"/>
            </w:pPr>
            <w:r>
              <w:rPr>
                <w:color w:val="1C3A36"/>
                <w:sz w:val="14"/>
              </w:rPr>
              <w:t>0.065</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Terminal hard-currency coupon</w:t>
            </w:r>
          </w:p>
        </w:tc>
      </w:tr>
      <w:tr>
        <w:tc>
          <w:tcPr>
            <w:tcW w:type="dxa" w:w="2232"/>
          </w:tcPr>
          <w:p>
            <w:pPr>
              <w:spacing w:after="20"/>
            </w:pPr>
            <w:r>
              <w:rPr>
                <w:color w:val="1C3A36"/>
                <w:sz w:val="14"/>
              </w:rPr>
              <w:t>wd term basis</w:t>
            </w:r>
          </w:p>
        </w:tc>
        <w:tc>
          <w:tcPr>
            <w:tcW w:type="dxa" w:w="1512"/>
          </w:tcPr>
          <w:p>
            <w:pPr>
              <w:spacing w:after="20"/>
              <w:jc w:val="right"/>
            </w:pPr>
            <w:r>
              <w:rPr>
                <w:color w:val="1C3A36"/>
                <w:sz w:val="14"/>
              </w:rPr>
              <w:t>market</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Basis on which the TERMINAL debt weight is set. It is no longer an asserted 20%. The earlier edition claimed 20% was 'reconciled to the model's own forecast balance sheet'; it was not — that sheet, once it is made to balance, carries a book net-debt weight near 39% at FY2030E, and today's market-value net-debt weight is near 25%. Neither is 20%, and the stated deleveraging never happens once the forecast is funded. This input selects which reconcilable reading is used: 'market' takes today's market-value net-debt weight (the weighting basis a weighted average cost of capital requires), 'book' takes the forecast terminal book weight. Both are computed below and both are published</w:t>
            </w:r>
          </w:p>
        </w:tc>
      </w:tr>
      <w:tr>
        <w:tc>
          <w:tcPr>
            <w:tcW w:type="dxa" w:w="2232"/>
          </w:tcPr>
          <w:p>
            <w:pPr>
              <w:spacing w:after="20"/>
            </w:pPr>
            <w:r>
              <w:rPr>
                <w:color w:val="1C3A36"/>
                <w:sz w:val="14"/>
              </w:rPr>
              <w:t>g term real</w:t>
            </w:r>
          </w:p>
        </w:tc>
        <w:tc>
          <w:tcPr>
            <w:tcW w:type="dxa" w:w="1512"/>
          </w:tcPr>
          <w:p>
            <w:pPr>
              <w:spacing w:after="20"/>
              <w:jc w:val="right"/>
            </w:pPr>
            <w:r>
              <w:rPr>
                <w:color w:val="1C3A36"/>
                <w:sz w:val="14"/>
              </w:rPr>
              <w:t>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Terminal REAL growth of zero: the business is assumed to hold its scale in real terms in perpetuity, with the nominal rate computed from the long-run Egyptian inflation this valuation uses throughout. The previous edition typed 5% nominal and justified it as 'approximately zero real terminal growth' — WHICH IT WAS NOT. Against the 7% long-run inflation this valuation carries elsewhere, 5% nominal is a real DECLINE of 1.87% a year, for ever, for a company with a third of its revenue in hard currency and a biosimilars plant just entering service. Nothing in the study argued for a perpetual contraction; the sentence asserted the opposite of what the arithmetic did, and a rate quoted only in nominal terms is where that hides. Sensitised 3-7% nominal.</w:t>
            </w:r>
          </w:p>
        </w:tc>
      </w:tr>
      <w:tr>
        <w:tc>
          <w:tcPr>
            <w:tcW w:type="dxa" w:w="2232"/>
          </w:tcPr>
          <w:p>
            <w:pPr>
              <w:spacing w:after="20"/>
            </w:pPr>
            <w:r>
              <w:rPr>
                <w:color w:val="1C3A36"/>
                <w:sz w:val="14"/>
              </w:rPr>
              <w:t>roic term source</w:t>
            </w:r>
          </w:p>
        </w:tc>
        <w:tc>
          <w:tcPr>
            <w:tcW w:type="dxa" w:w="1512"/>
          </w:tcPr>
          <w:p>
            <w:pPr>
              <w:spacing w:after="20"/>
              <w:jc w:val="right"/>
            </w:pPr>
            <w:r>
              <w:rPr>
                <w:color w:val="1C3A36"/>
                <w:sz w:val="14"/>
              </w:rPr>
              <w:t>model_fy2030</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Terminal return on invested capital is no longer an input. The earlier edition asserted 20% while the model's own FY2030E return on invested capital was 16.36% — a 364 basis-point step up, taken at exactly the point where three quarters of core enterprise value sits. The terminal return is now COMPUTED as the model's own final forecast year, so terminal reinvestment (growth divided by return) cannot assume a return the forecast does not earn. This input records that choice; there is no numeric assumption left to make</w:t>
            </w:r>
          </w:p>
        </w:tc>
      </w:tr>
      <w:tr>
        <w:tc>
          <w:tcPr>
            <w:tcW w:type="dxa" w:w="2232"/>
          </w:tcPr>
          <w:p>
            <w:pPr>
              <w:spacing w:after="20"/>
            </w:pPr>
            <w:r>
              <w:rPr>
                <w:color w:val="1C3A36"/>
                <w:sz w:val="14"/>
              </w:rPr>
              <w:t>assoc multiple</w:t>
            </w:r>
          </w:p>
        </w:tc>
        <w:tc>
          <w:tcPr>
            <w:tcW w:type="dxa" w:w="1512"/>
          </w:tcPr>
          <w:p>
            <w:pPr>
              <w:spacing w:after="20"/>
              <w:jc w:val="right"/>
            </w:pPr>
            <w:r>
              <w:rPr>
                <w:color w:val="1C3A36"/>
                <w:sz w:val="14"/>
              </w:rPr>
              <w:t>11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Earnings multiple applied to the equity-accounted associate stream in the enterprise-to-equity bridge. The associates contributed EGP 495.5 million in FY2025 — 36% of attributable profit — against a carrying value of only EGP 675.9 million, so carrying value is not a usable proxy. The larger holding is a 30% interest in a Saudi Arabian pharmaceutical manufacturer; 11 times is struck below the Gulf listed-pharmaceutical range to allow for the minority, unlisted and non-controlled nature of the stake. CROSS-CHECK: the one associate in the group that is itself listed trades on roughly 9.3 times trailing earnings, so 11 times is above the only observable comparable in the portfolio and the enterprise-to-equity bridge is sensitised on it</w:t>
            </w:r>
          </w:p>
        </w:tc>
      </w:tr>
      <w:tr>
        <w:tc>
          <w:tcPr>
            <w:tcW w:type="dxa" w:w="2232"/>
          </w:tcPr>
          <w:p>
            <w:pPr>
              <w:spacing w:after="20"/>
            </w:pPr>
            <w:r>
              <w:rPr>
                <w:color w:val="1C3A36"/>
                <w:sz w:val="14"/>
              </w:rPr>
              <w:t>assoc norm</w:t>
            </w:r>
          </w:p>
        </w:tc>
        <w:tc>
          <w:tcPr>
            <w:tcW w:type="dxa" w:w="1512"/>
          </w:tcPr>
          <w:p>
            <w:pPr>
              <w:spacing w:after="20"/>
              <w:jc w:val="right"/>
            </w:pPr>
            <w:r>
              <w:rPr>
                <w:color w:val="1C3A36"/>
                <w:sz w:val="14"/>
              </w:rPr>
              <w:t>250</w:t>
            </w:r>
          </w:p>
        </w:tc>
        <w:tc>
          <w:tcPr>
            <w:tcW w:type="dxa" w:w="950"/>
          </w:tcPr>
          <w:p>
            <w:pPr>
              <w:spacing w:after="20"/>
              <w:jc w:val="right"/>
            </w:pPr>
            <w:r>
              <w:rPr>
                <w:color w:val="1C3A36"/>
                <w:sz w:val="14"/>
              </w:rPr>
              <w:t>2026-08-11</w:t>
            </w:r>
          </w:p>
        </w:tc>
        <w:tc>
          <w:tcPr>
            <w:tcW w:type="dxa" w:w="4810"/>
          </w:tcPr>
          <w:p>
            <w:pPr>
              <w:spacing w:after="20"/>
              <w:jc w:val="right"/>
            </w:pPr>
            <w:r>
              <w:rPr>
                <w:color w:val="1C3A36"/>
                <w:sz w:val="14"/>
              </w:rPr>
              <w:t>Normalised annual contribution of the EARNING associates, used with the multiple above; the pre-revenue active-ingredient company is carried separately at cost, on its own line. EGP million. BASIS, RECONCILED TO THIS STUDY'S OWN INCOME STATEMENT (the earlier edition's basis note quoted 74.5 / 147.1 / 495.5, two of which did not match it): the disclosed share of associates' and subsidiaries' results is 74.508 (FY2023), 151.581 (FY2024) and 512.085 (FY2025). Those three average 246.058, and 250 is struck there — not at the level the FY2025 print alone would support. REVISED DOWN from 320 after the first quarter of 2026 reported only 13.118 against 33.445 a year earlier, an annualised 52.5. That quarter is EVIDENCE, NOT A RUN-RATE: the auditor states in the review report that the periodic financial statements of two of the holdings were not received, so the quarter's associate line is incomplete by construction. Both the 250 carried and the 52.5 the quarter annualises to are published, and the leg is sensitised across them</w:t>
            </w:r>
          </w:p>
        </w:tc>
      </w:tr>
      <w:tr>
        <w:tc>
          <w:tcPr>
            <w:tcW w:type="dxa" w:w="2232"/>
          </w:tcPr>
          <w:p>
            <w:pPr>
              <w:spacing w:after="20"/>
            </w:pPr>
            <w:r>
              <w:rPr>
                <w:color w:val="1C3A36"/>
                <w:sz w:val="14"/>
              </w:rPr>
              <w:t>peer ke</w:t>
            </w:r>
          </w:p>
        </w:tc>
        <w:tc>
          <w:tcPr>
            <w:tcW w:type="dxa" w:w="1512"/>
          </w:tcPr>
          <w:p>
            <w:pPr>
              <w:spacing w:after="20"/>
              <w:jc w:val="right"/>
            </w:pPr>
            <w:r>
              <w:rPr>
                <w:color w:val="1C3A36"/>
                <w:sz w:val="14"/>
              </w:rPr>
              <w:t>0.1</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Cost of equity faced by the struck reference companies — a listed Saudi Arabian generics manufacturer and larger international generic manufacturers, all of them in hard-currency or pegged economies. It is the ONE difference the peer multiple is adjusted for, and it is registered rather than typed inside the adjustment so a reader can see what the adjustment is made of.</w:t>
            </w:r>
          </w:p>
        </w:tc>
      </w:tr>
      <w:tr>
        <w:tc>
          <w:tcPr>
            <w:tcW w:type="dxa" w:w="2232"/>
          </w:tcPr>
          <w:p>
            <w:pPr>
              <w:spacing w:after="20"/>
            </w:pPr>
            <w:r>
              <w:rPr>
                <w:color w:val="1C3A36"/>
                <w:sz w:val="14"/>
              </w:rPr>
              <w:t>own pe history note</w:t>
            </w:r>
          </w:p>
        </w:tc>
        <w:tc>
          <w:tcPr>
            <w:tcW w:type="dxa" w:w="1512"/>
          </w:tcPr>
          <w:p>
            <w:pPr>
              <w:spacing w:after="20"/>
              <w:jc w:val="right"/>
            </w:pPr>
            <w:r>
              <w:rPr>
                <w:color w:val="1C3A36"/>
                <w:sz w:val="14"/>
              </w:rPr>
              <w:t>yes</w:t>
            </w:r>
          </w:p>
        </w:tc>
        <w:tc>
          <w:tcPr>
            <w:tcW w:type="dxa" w:w="950"/>
          </w:tcPr>
          <w:p>
            <w:pPr>
              <w:spacing w:after="20"/>
              <w:jc w:val="right"/>
            </w:pPr>
            <w:r>
              <w:rPr>
                <w:color w:val="1C3A36"/>
                <w:sz w:val="14"/>
              </w:rPr>
              <w:t>2026-08-09</w:t>
            </w:r>
          </w:p>
        </w:tc>
        <w:tc>
          <w:tcPr>
            <w:tcW w:type="dxa" w:w="4810"/>
          </w:tcPr>
          <w:p>
            <w:pPr>
              <w:spacing w:after="20"/>
              <w:jc w:val="right"/>
            </w:pPr>
            <w:r>
              <w:rPr>
                <w:color w:val="1C3A36"/>
                <w:sz w:val="14"/>
              </w:rPr>
              <w:t>The relative lens is anchored primarily on the company's OWN traded history, which is computable entirely from primary material: audited attributable profit divided by the share count in issue at each year end, against the year-end close in the price history held for this study. No aggregator is in that path</w:t>
            </w:r>
          </w:p>
        </w:tc>
      </w:tr>
    </w:tbl>
    <w:p>
      <w:pPr>
        <w:spacing w:after="40"/>
      </w:pPr>
    </w:p>
    <w:p>
      <w:pPr>
        <w:spacing w:after="120" w:before="0"/>
      </w:pPr>
      <w:r>
        <w:rPr>
          <w:b w:val="0"/>
          <w:i/>
          <w:color w:val="6E7B77"/>
          <w:sz w:val="18"/>
        </w:rPr>
        <w:t>Total: 278 inputs, every one carrying a value, a source, a date and a layer.</w:t>
      </w:r>
    </w:p>
    <w:p>
      <w:pPr>
        <w:spacing w:after="120" w:before="280"/>
      </w:pPr>
      <w:r>
        <w:rPr>
          <w:b/>
          <w:i w:val="0"/>
          <w:color w:val="1C3A36"/>
          <w:sz w:val="30"/>
        </w:rPr>
        <w:t>3. Judgements, and what would overturn each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Judgement</w:t>
            </w:r>
          </w:p>
        </w:tc>
        <w:tc>
          <w:tcPr>
            <w:tcW w:type="dxa" w:w="3744"/>
            <w:shd w:val="clear" w:color="auto" w:fill="EAF0EE"/>
          </w:tcPr>
          <w:p>
            <w:pPr>
              <w:spacing w:after="20"/>
            </w:pPr>
            <w:r>
              <w:rPr>
                <w:b/>
                <w:color w:val="1C3A36"/>
                <w:sz w:val="15"/>
              </w:rPr>
              <w:t>What was decided</w:t>
            </w:r>
          </w:p>
        </w:tc>
        <w:tc>
          <w:tcPr>
            <w:tcW w:type="dxa" w:w="3600"/>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company class and therefore the lens</w:t>
            </w:r>
          </w:p>
        </w:tc>
        <w:tc>
          <w:tcPr>
            <w:tcW w:type="dxa" w:w="3744"/>
          </w:tcPr>
          <w:p>
            <w:pPr>
              <w:spacing w:after="20"/>
              <w:jc w:val="right"/>
            </w:pPr>
            <w:r>
              <w:rPr>
                <w:color w:val="1C3A36"/>
                <w:sz w:val="15"/>
              </w:rPr>
              <w:t>An operating company — a vertically integrated pharmaceutical manufacturer valued on free cash flow to the firm, with the equity-accounted associates carried separately in the bridge. Not a holding company, because the associates are 30% and sub-10% financial stakes rather than the substance of the business, and not a split-leg valuation, because there is no captive lender and no separate property leg.</w:t>
            </w:r>
          </w:p>
        </w:tc>
        <w:tc>
          <w:tcPr>
            <w:tcW w:type="dxa" w:w="3600"/>
          </w:tcPr>
          <w:p>
            <w:pPr>
              <w:spacing w:after="20"/>
              <w:jc w:val="right"/>
            </w:pPr>
            <w:r>
              <w:rPr>
                <w:color w:val="1C3A36"/>
                <w:sz w:val="15"/>
              </w:rPr>
              <w:t>If the associate stake grew to the point where it exceeded the operating business in value, the company would need a sum-of-the-parts lens instead.</w:t>
            </w:r>
          </w:p>
        </w:tc>
      </w:tr>
      <w:tr>
        <w:tc>
          <w:tcPr>
            <w:tcW w:type="dxa" w:w="2160"/>
          </w:tcPr>
          <w:p>
            <w:pPr>
              <w:spacing w:after="20"/>
            </w:pPr>
            <w:r>
              <w:rPr>
                <w:color w:val="1C3A36"/>
                <w:sz w:val="15"/>
              </w:rPr>
              <w:t>The provision charge — THE CONTESTED JUDGEMENT, carried both ways</w:t>
            </w:r>
          </w:p>
        </w:tc>
        <w:tc>
          <w:tcPr>
            <w:tcW w:type="dxa" w:w="3744"/>
          </w:tcPr>
          <w:p>
            <w:pPr>
              <w:spacing w:after="20"/>
              <w:jc w:val="right"/>
            </w:pPr>
            <w:r>
              <w:rPr>
                <w:color w:val="1C3A36"/>
                <w:sz w:val="15"/>
              </w:rPr>
              <w:t>Frame A treats the credit-loss, inventory and provision charge as a permanent 5.25% of revenue, the average of the two years either side of the FY2024 spike. Frame B decays it to 2.5% as the receivable book seasons. Both run to a value per share and both are published; they are never averaged.</w:t>
            </w:r>
          </w:p>
        </w:tc>
        <w:tc>
          <w:tcPr>
            <w:tcW w:type="dxa" w:w="3600"/>
          </w:tcPr>
          <w:p>
            <w:pPr>
              <w:spacing w:after="20"/>
              <w:jc w:val="right"/>
            </w:pPr>
            <w:r>
              <w:rPr>
                <w:color w:val="1C3A36"/>
                <w:sz w:val="15"/>
              </w:rPr>
              <w:t>Two more years near 5% of revenue would settle it as Frame A. A charge below 3% in either FY2026 or FY2027 would settle it as Frame B.</w:t>
            </w:r>
          </w:p>
        </w:tc>
      </w:tr>
      <w:tr>
        <w:tc>
          <w:tcPr>
            <w:tcW w:type="dxa" w:w="2160"/>
          </w:tcPr>
          <w:p>
            <w:pPr>
              <w:spacing w:after="20"/>
            </w:pPr>
            <w:r>
              <w:rPr>
                <w:color w:val="1C3A36"/>
                <w:sz w:val="15"/>
              </w:rPr>
              <w:t>No revenue line for the biologicals plant</w:t>
            </w:r>
          </w:p>
        </w:tc>
        <w:tc>
          <w:tcPr>
            <w:tcW w:type="dxa" w:w="3744"/>
          </w:tcPr>
          <w:p>
            <w:pPr>
              <w:spacing w:after="20"/>
              <w:jc w:val="right"/>
            </w:pPr>
            <w:r>
              <w:rPr>
                <w:color w:val="1C3A36"/>
                <w:sz w:val="15"/>
              </w:rPr>
              <w:t>The plant's depreciation and interest are charged because both follow mechanically from the December 2025 licence. No revenue is credited, because the company has published none. The required revenue is solved for and published as the crux instead.</w:t>
            </w:r>
          </w:p>
        </w:tc>
        <w:tc>
          <w:tcPr>
            <w:tcW w:type="dxa" w:w="3600"/>
          </w:tcPr>
          <w:p>
            <w:pPr>
              <w:spacing w:after="20"/>
              <w:jc w:val="right"/>
            </w:pPr>
            <w:r>
              <w:rPr>
                <w:color w:val="1C3A36"/>
                <w:sz w:val="15"/>
              </w:rPr>
              <w:t>Any disclosure of biosimilar volume, price or utilisation.</w:t>
            </w:r>
          </w:p>
        </w:tc>
      </w:tr>
      <w:tr>
        <w:tc>
          <w:tcPr>
            <w:tcW w:type="dxa" w:w="2160"/>
          </w:tcPr>
          <w:p>
            <w:pPr>
              <w:spacing w:after="20"/>
            </w:pPr>
            <w:r>
              <w:rPr>
                <w:color w:val="1C3A36"/>
                <w:sz w:val="15"/>
              </w:rPr>
              <w:t>The associate contribution is normalised to EGP 320 million</w:t>
            </w:r>
          </w:p>
        </w:tc>
        <w:tc>
          <w:tcPr>
            <w:tcW w:type="dxa" w:w="3744"/>
          </w:tcPr>
          <w:p>
            <w:pPr>
              <w:spacing w:after="20"/>
              <w:jc w:val="right"/>
            </w:pPr>
            <w:r>
              <w:rPr>
                <w:color w:val="1C3A36"/>
                <w:sz w:val="15"/>
              </w:rPr>
              <w:t>The disclosed stream is EGP 74.5m, 147.1m and 495.5m across three years and the FY2025 print is more than three times FY2024. The three-year average is 239.0; 320 sits between that and the latest year.</w:t>
            </w:r>
          </w:p>
        </w:tc>
        <w:tc>
          <w:tcPr>
            <w:tcW w:type="dxa" w:w="3600"/>
          </w:tcPr>
          <w:p>
            <w:pPr>
              <w:spacing w:after="20"/>
              <w:jc w:val="right"/>
            </w:pPr>
            <w:r>
              <w:rPr>
                <w:color w:val="1C3A36"/>
                <w:sz w:val="15"/>
              </w:rPr>
              <w:t>A second year near EGP 495 million would make 320 too conservative by roughly EGP 10 a share.</w:t>
            </w:r>
          </w:p>
        </w:tc>
      </w:tr>
      <w:tr>
        <w:tc>
          <w:tcPr>
            <w:tcW w:type="dxa" w:w="2160"/>
          </w:tcPr>
          <w:p>
            <w:pPr>
              <w:spacing w:after="20"/>
            </w:pPr>
            <w:r>
              <w:rPr>
                <w:color w:val="1C3A36"/>
                <w:sz w:val="15"/>
              </w:rPr>
              <w:t>The associates are valued on earnings, not carrying value</w:t>
            </w:r>
          </w:p>
        </w:tc>
        <w:tc>
          <w:tcPr>
            <w:tcW w:type="dxa" w:w="3744"/>
          </w:tcPr>
          <w:p>
            <w:pPr>
              <w:spacing w:after="20"/>
              <w:jc w:val="right"/>
            </w:pPr>
            <w:r>
              <w:rPr>
                <w:color w:val="1C3A36"/>
                <w:sz w:val="15"/>
              </w:rPr>
              <w:t>They contributed EGP 495.5 million against a carrying value of EGP 675.9 million. Carrying value is therefore not a usable proxy, and an 11 times multiple is applied to the normalised stream instead.</w:t>
            </w:r>
          </w:p>
        </w:tc>
        <w:tc>
          <w:tcPr>
            <w:tcW w:type="dxa" w:w="3600"/>
          </w:tcPr>
          <w:p>
            <w:pPr>
              <w:spacing w:after="20"/>
              <w:jc w:val="right"/>
            </w:pPr>
            <w:r>
              <w:rPr>
                <w:color w:val="1C3A36"/>
                <w:sz w:val="15"/>
              </w:rPr>
              <w:t>Separate accounts for the Saudi associate, which would allow a real valuation rather than a multiple.</w:t>
            </w:r>
          </w:p>
        </w:tc>
      </w:tr>
      <w:tr>
        <w:tc>
          <w:tcPr>
            <w:tcW w:type="dxa" w:w="2160"/>
          </w:tcPr>
          <w:p>
            <w:pPr>
              <w:spacing w:after="20"/>
            </w:pPr>
            <w:r>
              <w:rPr>
                <w:color w:val="1C3A36"/>
                <w:sz w:val="15"/>
              </w:rPr>
              <w:t>The exchange-rate path depreciates about 4% a year, narrowing to 3%</w:t>
            </w:r>
          </w:p>
        </w:tc>
        <w:tc>
          <w:tcPr>
            <w:tcW w:type="dxa" w:w="3744"/>
          </w:tcPr>
          <w:p>
            <w:pPr>
              <w:spacing w:after="20"/>
              <w:jc w:val="right"/>
            </w:pPr>
            <w:r>
              <w:rPr>
                <w:color w:val="1C3A36"/>
                <w:sz w:val="15"/>
              </w:rPr>
              <w:t>The pound averaged 47.74 in FY2024 and 49.48 in FY2025 while domestic inflation ran far above the United States', so the real rate appreciated. The path assumes a partial reversal.</w:t>
            </w:r>
          </w:p>
        </w:tc>
        <w:tc>
          <w:tcPr>
            <w:tcW w:type="dxa" w:w="3600"/>
          </w:tcPr>
          <w:p>
            <w:pPr>
              <w:spacing w:after="20"/>
              <w:jc w:val="right"/>
            </w:pPr>
            <w:r>
              <w:rPr>
                <w:color w:val="1C3A36"/>
                <w:sz w:val="15"/>
              </w:rPr>
              <w:t>A step devaluation of the kind seen in March 2024. Note this cuts AGAINST the company, not for it: imported inputs are 79% of the cash cost stack against a 32% export share.</w:t>
            </w:r>
          </w:p>
        </w:tc>
      </w:tr>
      <w:tr>
        <w:tc>
          <w:tcPr>
            <w:tcW w:type="dxa" w:w="2160"/>
          </w:tcPr>
          <w:p>
            <w:pPr>
              <w:spacing w:after="20"/>
            </w:pPr>
            <w:r>
              <w:rPr>
                <w:color w:val="1C3A36"/>
                <w:sz w:val="15"/>
              </w:rPr>
              <w:t>The terminal debt weight is 20%, below today's 25%</w:t>
            </w:r>
          </w:p>
        </w:tc>
        <w:tc>
          <w:tcPr>
            <w:tcW w:type="dxa" w:w="3744"/>
          </w:tcPr>
          <w:p>
            <w:pPr>
              <w:spacing w:after="20"/>
              <w:jc w:val="right"/>
            </w:pPr>
            <w:r>
              <w:rPr>
                <w:color w:val="1C3A36"/>
                <w:sz w:val="15"/>
              </w:rPr>
              <w:t>At a 40% payout the model deleverages through the forecast, so a terminal weight at today's level would contradict the model's own trajectory in the direction that flatters the valuation.</w:t>
            </w:r>
          </w:p>
        </w:tc>
        <w:tc>
          <w:tcPr>
            <w:tcW w:type="dxa" w:w="3600"/>
          </w:tcPr>
          <w:p>
            <w:pPr>
              <w:spacing w:after="20"/>
              <w:jc w:val="right"/>
            </w:pPr>
            <w:r>
              <w:rPr>
                <w:color w:val="1C3A36"/>
                <w:sz w:val="15"/>
              </w:rPr>
              <w:t>A stated policy of maintaining current leverage.</w:t>
            </w:r>
          </w:p>
        </w:tc>
      </w:tr>
      <w:tr>
        <w:tc>
          <w:tcPr>
            <w:tcW w:type="dxa" w:w="2160"/>
          </w:tcPr>
          <w:p>
            <w:pPr>
              <w:spacing w:after="20"/>
            </w:pPr>
            <w:r>
              <w:rPr>
                <w:color w:val="1C3A36"/>
                <w:sz w:val="15"/>
              </w:rPr>
              <w:t>Terminal growth is 5%, which is roughly zero in real terms</w:t>
            </w:r>
          </w:p>
        </w:tc>
        <w:tc>
          <w:tcPr>
            <w:tcW w:type="dxa" w:w="3744"/>
          </w:tcPr>
          <w:p>
            <w:pPr>
              <w:spacing w:after="20"/>
              <w:jc w:val="right"/>
            </w:pPr>
            <w:r>
              <w:rPr>
                <w:color w:val="1C3A36"/>
                <w:sz w:val="15"/>
              </w:rPr>
              <w:t>It is a pound-nominal rate struck against a terminal risk-free rate that itself embeds the central bank's 5% inflation target. Deliberately conservative for a company with a third of revenue in hard currency.</w:t>
            </w:r>
          </w:p>
        </w:tc>
        <w:tc>
          <w:tcPr>
            <w:tcW w:type="dxa" w:w="3600"/>
          </w:tcPr>
          <w:p>
            <w:pPr>
              <w:spacing w:after="20"/>
              <w:jc w:val="right"/>
            </w:pPr>
            <w:r>
              <w:rPr>
                <w:color w:val="1C3A36"/>
                <w:sz w:val="15"/>
              </w:rPr>
              <w:t>Nothing in the near term; the sensitivity table runs 3% to 7% and the value ranges from EGP 78 to EGP 98.</w:t>
            </w:r>
          </w:p>
        </w:tc>
      </w:tr>
      <w:tr>
        <w:tc>
          <w:tcPr>
            <w:tcW w:type="dxa" w:w="2160"/>
          </w:tcPr>
          <w:p>
            <w:pPr>
              <w:spacing w:after="20"/>
            </w:pPr>
            <w:r>
              <w:rPr>
                <w:color w:val="1C3A36"/>
                <w:sz w:val="15"/>
              </w:rPr>
              <w:t>The risk-free rate is normalised by subtracting the sovereign spread</w:t>
            </w:r>
          </w:p>
        </w:tc>
        <w:tc>
          <w:tcPr>
            <w:tcW w:type="dxa" w:w="3744"/>
          </w:tcPr>
          <w:p>
            <w:pPr>
              <w:spacing w:after="20"/>
              <w:jc w:val="right"/>
            </w:pPr>
            <w:r>
              <w:rPr>
                <w:color w:val="1C3A36"/>
                <w:sz w:val="15"/>
              </w:rPr>
              <w:t>The quoted 22.31% ten-year yield contains Egypt's own default risk; subtracting the 3.41% credit-default-swap spread leaves 18.90%, and country risk is then charged once, inside the equity premium. Both the swap and the rating construction are published and they agree to 11 basis points.</w:t>
            </w:r>
          </w:p>
        </w:tc>
        <w:tc>
          <w:tcPr>
            <w:tcW w:type="dxa" w:w="3600"/>
          </w:tcPr>
          <w:p>
            <w:pPr>
              <w:spacing w:after="20"/>
              <w:jc w:val="right"/>
            </w:pPr>
            <w:r>
              <w:rPr>
                <w:color w:val="1C3A36"/>
                <w:sz w:val="15"/>
              </w:rPr>
              <w:t>Nothing — this is a construction rule, and charging the raw yield alongside a country-loaded premium would double-count. The rate itself is a cached print and is sensitised.</w:t>
            </w:r>
          </w:p>
        </w:tc>
      </w:tr>
      <w:tr>
        <w:tc>
          <w:tcPr>
            <w:tcW w:type="dxa" w:w="2160"/>
          </w:tcPr>
          <w:p>
            <w:pPr>
              <w:spacing w:after="20"/>
            </w:pPr>
            <w:r>
              <w:rPr>
                <w:color w:val="1C3A36"/>
                <w:sz w:val="15"/>
              </w:rPr>
              <w:t>Depreciation is excluded from the escalated unit cost</w:t>
            </w:r>
          </w:p>
        </w:tc>
        <w:tc>
          <w:tcPr>
            <w:tcW w:type="dxa" w:w="3744"/>
          </w:tcPr>
          <w:p>
            <w:pPr>
              <w:spacing w:after="20"/>
              <w:jc w:val="right"/>
            </w:pPr>
            <w:r>
              <w:rPr>
                <w:color w:val="1C3A36"/>
                <w:sz w:val="15"/>
              </w:rPr>
              <w:t>It enters exactly once, from the property roll-forward. Leaving it in the unit cost as well would count it twice.</w:t>
            </w:r>
          </w:p>
        </w:tc>
        <w:tc>
          <w:tcPr>
            <w:tcW w:type="dxa" w:w="3600"/>
          </w:tcPr>
          <w:p>
            <w:pPr>
              <w:spacing w:after="20"/>
              <w:jc w:val="right"/>
            </w:pPr>
            <w:r>
              <w:rPr>
                <w:color w:val="1C3A36"/>
                <w:sz w:val="15"/>
              </w:rPr>
              <w:t>Nothing — this is an arithmetic requirement, and the first cut of the model got it wrong until the verification caught it.</w:t>
            </w:r>
          </w:p>
        </w:tc>
      </w:tr>
      <w:tr>
        <w:tc>
          <w:tcPr>
            <w:tcW w:type="dxa" w:w="2160"/>
          </w:tcPr>
          <w:p>
            <w:pPr>
              <w:spacing w:after="20"/>
            </w:pPr>
            <w:r>
              <w:rPr>
                <w:color w:val="1C3A36"/>
                <w:sz w:val="15"/>
              </w:rPr>
              <w:t>One escalator per physically distinct cost line</w:t>
            </w:r>
          </w:p>
        </w:tc>
        <w:tc>
          <w:tcPr>
            <w:tcW w:type="dxa" w:w="3744"/>
          </w:tcPr>
          <w:p>
            <w:pPr>
              <w:spacing w:after="20"/>
              <w:jc w:val="right"/>
            </w:pPr>
            <w:r>
              <w:rPr>
                <w:color w:val="1C3A36"/>
                <w:sz w:val="15"/>
              </w:rPr>
              <w:t>Imported ingredients and imported packaging escalate on a hard-currency path through the exchange rate; labour on wage growth; energy on the regulated tariff schedule; domestic services on consumer prices.</w:t>
            </w:r>
          </w:p>
        </w:tc>
        <w:tc>
          <w:tcPr>
            <w:tcW w:type="dxa" w:w="3600"/>
          </w:tcPr>
          <w:p>
            <w:pPr>
              <w:spacing w:after="20"/>
              <w:jc w:val="right"/>
            </w:pPr>
            <w:r>
              <w:rPr>
                <w:color w:val="1C3A36"/>
                <w:sz w:val="15"/>
              </w:rPr>
              <w:t>Nothing — a single blended index across physically distinct lines makes the forecast margin an artefact of the index rather than of the business.</w:t>
            </w:r>
          </w:p>
        </w:tc>
      </w:tr>
      <w:tr>
        <w:tc>
          <w:tcPr>
            <w:tcW w:type="dxa" w:w="2160"/>
          </w:tcPr>
          <w:p>
            <w:pPr>
              <w:spacing w:after="20"/>
            </w:pPr>
            <w:r>
              <w:rPr>
                <w:color w:val="1C3A36"/>
                <w:sz w:val="15"/>
              </w:rPr>
              <w:t>The relative lens uses three multiples, averaged on the sheet</w:t>
            </w:r>
          </w:p>
        </w:tc>
        <w:tc>
          <w:tcPr>
            <w:tcW w:type="dxa" w:w="3744"/>
          </w:tcPr>
          <w:p>
            <w:pPr>
              <w:spacing w:after="20"/>
              <w:jc w:val="right"/>
            </w:pPr>
            <w:r>
              <w:rPr>
                <w:color w:val="1C3A36"/>
                <w:sz w:val="15"/>
              </w:rPr>
              <w:t>The multiple the model's own economics justify (8.1x), the company's own four-year mean (6.7x), and a regional peer median adjusted for the cost-of-equity gap (9.8x). The unadjusted peer median would give EGP 133 a share; the size of that gap is the country-risk discount and it is shown rather than hidden.</w:t>
            </w:r>
          </w:p>
        </w:tc>
        <w:tc>
          <w:tcPr>
            <w:tcW w:type="dxa" w:w="3600"/>
          </w:tcPr>
          <w:p>
            <w:pPr>
              <w:spacing w:after="20"/>
              <w:jc w:val="right"/>
            </w:pPr>
            <w:r>
              <w:rPr>
                <w:color w:val="1C3A36"/>
                <w:sz w:val="15"/>
              </w:rPr>
              <w:t>A peer set facing a comparable cost of equity, which does not currently exist in a liquid listed form.</w:t>
            </w:r>
          </w:p>
        </w:tc>
      </w:tr>
    </w:tbl>
    <w:p>
      <w:pPr>
        <w:spacing w:after="40"/>
      </w:pPr>
    </w:p>
    <w:p>
      <w:pPr>
        <w:spacing w:after="200" w:before="0"/>
      </w:pPr>
      <w:r>
        <w:rPr>
          <w:b w:val="0"/>
          <w:i/>
          <w:color w:val="6E7B77"/>
          <w:sz w:val="17"/>
        </w:rPr>
        <w:t>Table B3 — twelve judgements, each with the evidence that would overturn it. Stating the falsifier in advance is what separates a judgement from an assertion.</w:t>
      </w:r>
    </w:p>
    <w:p>
      <w:pPr>
        <w:spacing w:after="120" w:before="280"/>
      </w:pPr>
      <w:r>
        <w:rPr>
          <w:b/>
          <w:i w:val="0"/>
          <w:color w:val="1C3A36"/>
          <w:sz w:val="30"/>
        </w:rPr>
        <w:t>4. Negative results — what was looked for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What was sought</w:t>
            </w:r>
          </w:p>
        </w:tc>
        <w:tc>
          <w:tcPr>
            <w:tcW w:type="dxa" w:w="3744"/>
            <w:shd w:val="clear" w:color="auto" w:fill="EAF0EE"/>
          </w:tcPr>
          <w:p>
            <w:pPr>
              <w:spacing w:after="20"/>
            </w:pPr>
            <w:r>
              <w:rPr>
                <w:b/>
                <w:color w:val="1C3A36"/>
                <w:sz w:val="15"/>
              </w:rPr>
              <w:t>Where it was sought</w:t>
            </w:r>
          </w:p>
        </w:tc>
        <w:tc>
          <w:tcPr>
            <w:tcW w:type="dxa" w:w="3600"/>
            <w:shd w:val="clear" w:color="auto" w:fill="EAF0EE"/>
          </w:tcPr>
          <w:p>
            <w:pPr>
              <w:spacing w:after="20"/>
            </w:pPr>
            <w:r>
              <w:rPr>
                <w:b/>
                <w:color w:val="1C3A36"/>
                <w:sz w:val="15"/>
              </w:rPr>
              <w:t>Consequence</w:t>
            </w:r>
          </w:p>
        </w:tc>
      </w:tr>
      <w:tr>
        <w:tc>
          <w:tcPr>
            <w:tcW w:type="dxa" w:w="2160"/>
          </w:tcPr>
          <w:p>
            <w:pPr>
              <w:spacing w:after="20"/>
            </w:pPr>
            <w:r>
              <w:rPr>
                <w:color w:val="1C3A36"/>
                <w:sz w:val="15"/>
              </w:rPr>
              <w:t>[CLOSED] The FY2026 first-quarter interim financial statements</w:t>
            </w:r>
          </w:p>
        </w:tc>
        <w:tc>
          <w:tcPr>
            <w:tcW w:type="dxa" w:w="3744"/>
          </w:tcPr>
          <w:p>
            <w:pPr>
              <w:spacing w:after="20"/>
              <w:jc w:val="right"/>
            </w:pPr>
            <w:r>
              <w:rPr>
                <w:color w:val="1C3A36"/>
                <w:sz w:val="15"/>
              </w:rPr>
              <w:t>The company's own website (annual reports only, no interims published there); the exchange disclosure portal (every request, scripted and browser-rendered, answered with a bot-defence challenge page rather than content); the regulator's disclosure sub-domain (refused at the network egress layer)</w:t>
            </w:r>
          </w:p>
        </w:tc>
        <w:tc>
          <w:tcPr>
            <w:tcW w:type="dxa" w:w="3600"/>
          </w:tcPr>
          <w:p>
            <w:pPr>
              <w:spacing w:after="20"/>
              <w:jc w:val="right"/>
            </w:pPr>
            <w:r>
              <w:rPr>
                <w:color w:val="1C3A36"/>
                <w:sz w:val="15"/>
              </w:rPr>
              <w:t>CLOSED. The filing was supplied directly and is in this edition as primary document P12. Recorded here because the search history matters: the secondary reporting logged at the time as an unverified cross-check turned out to be accurate to the pound.</w:t>
            </w:r>
          </w:p>
        </w:tc>
      </w:tr>
      <w:tr>
        <w:tc>
          <w:tcPr>
            <w:tcW w:type="dxa" w:w="2160"/>
          </w:tcPr>
          <w:p>
            <w:pPr>
              <w:spacing w:after="20"/>
            </w:pPr>
            <w:r>
              <w:rPr>
                <w:color w:val="1C3A36"/>
                <w:sz w:val="15"/>
              </w:rPr>
              <w:t>Volume, price or utilisation guidance for the biologicals plant</w:t>
            </w:r>
          </w:p>
        </w:tc>
        <w:tc>
          <w:tcPr>
            <w:tcW w:type="dxa" w:w="3744"/>
          </w:tcPr>
          <w:p>
            <w:pPr>
              <w:spacing w:after="20"/>
              <w:jc w:val="right"/>
            </w:pPr>
            <w:r>
              <w:rPr>
                <w:color w:val="1C3A36"/>
                <w:sz w:val="15"/>
              </w:rPr>
              <w:t>All four annual reports, the investor presentation, and every 2026 press release on the company's own site</w:t>
            </w:r>
          </w:p>
        </w:tc>
        <w:tc>
          <w:tcPr>
            <w:tcW w:type="dxa" w:w="3600"/>
          </w:tcPr>
          <w:p>
            <w:pPr>
              <w:spacing w:after="20"/>
              <w:jc w:val="right"/>
            </w:pPr>
            <w:r>
              <w:rPr>
                <w:color w:val="1C3A36"/>
                <w:sz w:val="15"/>
              </w:rPr>
              <w:t>The plant is charged but not credited, and the required revenue is solved for and published as the crux. This is the single largest limitation of the study and it is deliberate.</w:t>
            </w:r>
          </w:p>
        </w:tc>
      </w:tr>
      <w:tr>
        <w:tc>
          <w:tcPr>
            <w:tcW w:type="dxa" w:w="2160"/>
          </w:tcPr>
          <w:p>
            <w:pPr>
              <w:spacing w:after="20"/>
            </w:pPr>
            <w:r>
              <w:rPr>
                <w:color w:val="1C3A36"/>
                <w:sz w:val="15"/>
              </w:rPr>
              <w:t>A counterparty-level or ageing-bucket breakdown of the credit-loss allowance</w:t>
            </w:r>
          </w:p>
        </w:tc>
        <w:tc>
          <w:tcPr>
            <w:tcW w:type="dxa" w:w="3744"/>
          </w:tcPr>
          <w:p>
            <w:pPr>
              <w:spacing w:after="20"/>
              <w:jc w:val="right"/>
            </w:pPr>
            <w:r>
              <w:rPr>
                <w:color w:val="1C3A36"/>
                <w:sz w:val="15"/>
              </w:rPr>
              <w:t>Notes 10, 20, 31 and 36 of the FY2025 consolidated statements and their FY2024 and FY2023 equivalents</w:t>
            </w:r>
          </w:p>
        </w:tc>
        <w:tc>
          <w:tcPr>
            <w:tcW w:type="dxa" w:w="3600"/>
          </w:tcPr>
          <w:p>
            <w:pPr>
              <w:spacing w:after="20"/>
              <w:jc w:val="right"/>
            </w:pPr>
            <w:r>
              <w:rPr>
                <w:color w:val="1C3A36"/>
                <w:sz w:val="15"/>
              </w:rPr>
              <w:t>The charge is disclosed in total and by type but never by counterparty or ageing, so no bottom-up build is possible. It is carried as a percentage of revenue and, because it cannot be built up, it is the judgement that is published both ways.</w:t>
            </w:r>
          </w:p>
        </w:tc>
      </w:tr>
      <w:tr>
        <w:tc>
          <w:tcPr>
            <w:tcW w:type="dxa" w:w="2160"/>
          </w:tcPr>
          <w:p>
            <w:pPr>
              <w:spacing w:after="20"/>
            </w:pPr>
            <w:r>
              <w:rPr>
                <w:color w:val="1C3A36"/>
                <w:sz w:val="15"/>
              </w:rPr>
              <w:t>Separate accounts for either equity-accounted associate</w:t>
            </w:r>
          </w:p>
        </w:tc>
        <w:tc>
          <w:tcPr>
            <w:tcW w:type="dxa" w:w="3744"/>
          </w:tcPr>
          <w:p>
            <w:pPr>
              <w:spacing w:after="20"/>
              <w:jc w:val="right"/>
            </w:pPr>
            <w:r>
              <w:rPr>
                <w:color w:val="1C3A36"/>
                <w:sz w:val="15"/>
              </w:rPr>
              <w:t>The investments notes (8/2 and 8/3) of the FY2023, FY2024 and FY2025 filings, and the company website</w:t>
            </w:r>
          </w:p>
        </w:tc>
        <w:tc>
          <w:tcPr>
            <w:tcW w:type="dxa" w:w="3600"/>
          </w:tcPr>
          <w:p>
            <w:pPr>
              <w:spacing w:after="20"/>
              <w:jc w:val="right"/>
            </w:pPr>
            <w:r>
              <w:rPr>
                <w:color w:val="1C3A36"/>
                <w:sz w:val="15"/>
              </w:rPr>
              <w:t>Only the carrying value, the ownership percentage and the share of result are disclosed, so the associate stream is normalised rather than forecast.</w:t>
            </w:r>
          </w:p>
        </w:tc>
      </w:tr>
      <w:tr>
        <w:tc>
          <w:tcPr>
            <w:tcW w:type="dxa" w:w="2160"/>
          </w:tcPr>
          <w:p>
            <w:pPr>
              <w:spacing w:after="20"/>
            </w:pPr>
            <w:r>
              <w:rPr>
                <w:color w:val="1C3A36"/>
                <w:sz w:val="15"/>
              </w:rPr>
              <w:t>A live read of the ten-year Egyptian government bond yield</w:t>
            </w:r>
          </w:p>
        </w:tc>
        <w:tc>
          <w:tcPr>
            <w:tcW w:type="dxa" w:w="3744"/>
          </w:tcPr>
          <w:p>
            <w:pPr>
              <w:spacing w:after="20"/>
              <w:jc w:val="right"/>
            </w:pPr>
            <w:r>
              <w:rPr>
                <w:color w:val="1C3A36"/>
                <w:sz w:val="15"/>
              </w:rPr>
              <w:t>The central bank's own fixed-coupon treasury bond auction page</w:t>
            </w:r>
          </w:p>
        </w:tc>
        <w:tc>
          <w:tcPr>
            <w:tcW w:type="dxa" w:w="3600"/>
          </w:tcPr>
          <w:p>
            <w:pPr>
              <w:spacing w:after="20"/>
              <w:jc w:val="right"/>
            </w:pPr>
            <w:r>
              <w:rPr>
                <w:color w:val="1C3A36"/>
                <w:sz w:val="15"/>
              </w:rPr>
              <w:t>The request was rejected by that site's web application firewall. The discount rate carries a dated house reference print of 21 July 2026 and the rate is sensitised across a wide range.</w:t>
            </w:r>
          </w:p>
        </w:tc>
      </w:tr>
    </w:tbl>
    <w:p>
      <w:pPr>
        <w:spacing w:after="40"/>
      </w:pPr>
    </w:p>
    <w:p>
      <w:pPr>
        <w:spacing w:after="200" w:before="0"/>
      </w:pPr>
      <w:r>
        <w:rPr>
          <w:b w:val="0"/>
          <w:i/>
          <w:color w:val="6E7B77"/>
          <w:sz w:val="17"/>
        </w:rPr>
        <w:t>Table B4 — five things that were looked for and not found. A study that reports only what it found is not reporting its own reliability.</w:t>
      </w:r>
    </w:p>
    <w:p>
      <w:pPr>
        <w:spacing w:after="120" w:before="280"/>
      </w:pPr>
      <w:r>
        <w:rPr>
          <w:b/>
          <w:i w:val="0"/>
          <w:color w:val="1C3A36"/>
          <w:sz w:val="30"/>
        </w:rPr>
        <w:t>5. Secondary sources, and where they differ from the filings</w:t>
      </w:r>
    </w:p>
    <w:p>
      <w:pPr>
        <w:spacing w:after="120" w:before="0"/>
      </w:pPr>
      <w:r>
        <w:rPr>
          <w:b w:val="0"/>
          <w:i w:val="0"/>
          <w:color w:val="1C3A36"/>
          <w:sz w:val="21"/>
        </w:rPr>
        <w:t>Nothing in this section is used to build any figure in the study. It is recorded so a reader who checks the study against a data service and finds a difference knows the difference was noticed.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600"/>
        <w:gridCol w:w="3384"/>
      </w:tblGrid>
      <w:tr>
        <w:tc>
          <w:tcPr>
            <w:tcW w:type="dxa" w:w="2520"/>
            <w:shd w:val="clear" w:color="auto" w:fill="EAF0EE"/>
          </w:tcPr>
          <w:p>
            <w:pPr>
              <w:spacing w:after="20"/>
            </w:pPr>
            <w:r>
              <w:rPr>
                <w:b/>
                <w:color w:val="1C3A36"/>
                <w:sz w:val="15"/>
              </w:rPr>
              <w:t>Item</w:t>
            </w:r>
          </w:p>
        </w:tc>
        <w:tc>
          <w:tcPr>
            <w:tcW w:type="dxa" w:w="3600"/>
            <w:shd w:val="clear" w:color="auto" w:fill="EAF0EE"/>
          </w:tcPr>
          <w:p>
            <w:pPr>
              <w:spacing w:after="20"/>
            </w:pPr>
            <w:r>
              <w:rPr>
                <w:b/>
                <w:color w:val="1C3A36"/>
                <w:sz w:val="15"/>
              </w:rPr>
              <w:t>What the secondary source says</w:t>
            </w:r>
          </w:p>
        </w:tc>
        <w:tc>
          <w:tcPr>
            <w:tcW w:type="dxa" w:w="3384"/>
            <w:shd w:val="clear" w:color="auto" w:fill="EAF0EE"/>
          </w:tcPr>
          <w:p>
            <w:pPr>
              <w:spacing w:after="20"/>
            </w:pPr>
            <w:r>
              <w:rPr>
                <w:b/>
                <w:color w:val="1C3A36"/>
                <w:sz w:val="15"/>
              </w:rPr>
              <w:t>What this study does</w:t>
            </w:r>
          </w:p>
        </w:tc>
      </w:tr>
      <w:tr>
        <w:tc>
          <w:tcPr>
            <w:tcW w:type="dxa" w:w="2520"/>
          </w:tcPr>
          <w:p>
            <w:pPr>
              <w:spacing w:after="20"/>
            </w:pPr>
            <w:r>
              <w:rPr>
                <w:color w:val="1C3A36"/>
                <w:sz w:val="15"/>
              </w:rPr>
              <w:t>FY2026 first-quarter results — NOW VERIFIED</w:t>
            </w:r>
          </w:p>
        </w:tc>
        <w:tc>
          <w:tcPr>
            <w:tcW w:type="dxa" w:w="3600"/>
          </w:tcPr>
          <w:p>
            <w:pPr>
              <w:spacing w:after="20"/>
              <w:jc w:val="right"/>
            </w:pPr>
            <w:r>
              <w:rPr>
                <w:color w:val="1C3A36"/>
                <w:sz w:val="15"/>
              </w:rPr>
              <w:t>Financial-news reporting of the company's exchange filing states consolidated net sales of about EGP 2.532 billion against EGP 2.299 billion, and attributable net profit of about EGP 284.0 million against EGP 318.6 million — a fall of roughly 11% on a rise of roughly 10% in sales</w:t>
            </w:r>
          </w:p>
        </w:tc>
        <w:tc>
          <w:tcPr>
            <w:tcW w:type="dxa" w:w="3384"/>
          </w:tcPr>
          <w:p>
            <w:pPr>
              <w:spacing w:after="20"/>
              <w:jc w:val="right"/>
            </w:pPr>
            <w:r>
              <w:rPr>
                <w:color w:val="1C3A36"/>
                <w:sz w:val="15"/>
              </w:rPr>
              <w:t>The filing has since been obtained and both figures are EXACT: net sales 2,532,833,589 against 2,299,890,497, attributable profit 283,953,868 against 318,563,839, a fall of 10.86%. The study now builds on the filing itself, not on the report of it.</w:t>
            </w:r>
          </w:p>
        </w:tc>
      </w:tr>
      <w:tr>
        <w:tc>
          <w:tcPr>
            <w:tcW w:type="dxa" w:w="2520"/>
          </w:tcPr>
          <w:p>
            <w:pPr>
              <w:spacing w:after="20"/>
            </w:pPr>
            <w:r>
              <w:rPr>
                <w:color w:val="1C3A36"/>
                <w:sz w:val="15"/>
              </w:rPr>
              <w:t>Dividend-distribution tax</w:t>
            </w:r>
          </w:p>
        </w:tc>
        <w:tc>
          <w:tcPr>
            <w:tcW w:type="dxa" w:w="3600"/>
          </w:tcPr>
          <w:p>
            <w:pPr>
              <w:spacing w:after="20"/>
              <w:jc w:val="right"/>
            </w:pPr>
            <w:r>
              <w:rPr>
                <w:color w:val="1C3A36"/>
                <w:sz w:val="15"/>
              </w:rPr>
              <w:t>The separately issued audited consolidated statements show it on its own line; the Arabic annual reports fold it into general and administrative expense in FY2023 and into the associates line in FY2024</w:t>
            </w:r>
          </w:p>
        </w:tc>
        <w:tc>
          <w:tcPr>
            <w:tcW w:type="dxa" w:w="3384"/>
          </w:tcPr>
          <w:p>
            <w:pPr>
              <w:spacing w:after="20"/>
              <w:jc w:val="right"/>
            </w:pPr>
            <w:r>
              <w:rPr>
                <w:color w:val="1C3A36"/>
                <w:sz w:val="15"/>
              </w:rPr>
              <w:t>This edition adopts the separately issued statements' presentation for all three history years. Profit before and after tax is identical either way; the only real effect is that FY2023 operating profit rises by EGP 4.1 million, 0.34%.</w:t>
            </w:r>
          </w:p>
        </w:tc>
      </w:tr>
      <w:tr>
        <w:tc>
          <w:tcPr>
            <w:tcW w:type="dxa" w:w="2520"/>
          </w:tcPr>
          <w:p>
            <w:pPr>
              <w:spacing w:after="20"/>
            </w:pPr>
            <w:r>
              <w:rPr>
                <w:color w:val="1C3A36"/>
                <w:sz w:val="15"/>
              </w:rPr>
              <w:t>FY2023 total assets</w:t>
            </w:r>
          </w:p>
        </w:tc>
        <w:tc>
          <w:tcPr>
            <w:tcW w:type="dxa" w:w="3600"/>
          </w:tcPr>
          <w:p>
            <w:pPr>
              <w:spacing w:after="20"/>
              <w:jc w:val="right"/>
            </w:pPr>
            <w:r>
              <w:rPr>
                <w:color w:val="1C3A36"/>
                <w:sz w:val="15"/>
              </w:rPr>
              <w:t>The FY2024 filing prints the FY2023 comparative four pounds below the sum of its own subtotals (9,978,782,864)</w:t>
            </w:r>
          </w:p>
        </w:tc>
        <w:tc>
          <w:tcPr>
            <w:tcW w:type="dxa" w:w="3384"/>
          </w:tcPr>
          <w:p>
            <w:pPr>
              <w:spacing w:after="20"/>
              <w:jc w:val="right"/>
            </w:pPr>
            <w:r>
              <w:rPr>
                <w:color w:val="1C3A36"/>
                <w:sz w:val="15"/>
              </w:rPr>
              <w:t>The subtotal-consistent figure is used. A four-pound difference in the filing itself.</w:t>
            </w:r>
          </w:p>
        </w:tc>
      </w:tr>
      <w:tr>
        <w:tc>
          <w:tcPr>
            <w:tcW w:type="dxa" w:w="2520"/>
          </w:tcPr>
          <w:p>
            <w:pPr>
              <w:spacing w:after="20"/>
            </w:pPr>
            <w:r>
              <w:rPr>
                <w:color w:val="1C3A36"/>
                <w:sz w:val="15"/>
              </w:rPr>
              <w:t>FY2024 tablet production volume</w:t>
            </w:r>
          </w:p>
        </w:tc>
        <w:tc>
          <w:tcPr>
            <w:tcW w:type="dxa" w:w="3600"/>
          </w:tcPr>
          <w:p>
            <w:pPr>
              <w:spacing w:after="20"/>
              <w:jc w:val="right"/>
            </w:pPr>
            <w:r>
              <w:rPr>
                <w:color w:val="1C3A36"/>
                <w:sz w:val="15"/>
              </w:rPr>
              <w:t>The company's OWN FY2024 annual report gives one figure for FY2024 tablet production; the FY2025 report restates the same year about eleven per cent lower</w:t>
            </w:r>
          </w:p>
        </w:tc>
        <w:tc>
          <w:tcPr>
            <w:tcW w:type="dxa" w:w="3384"/>
          </w:tcPr>
          <w:p>
            <w:pPr>
              <w:spacing w:after="20"/>
              <w:jc w:val="right"/>
            </w:pPr>
            <w:r>
              <w:rPr>
                <w:color w:val="1C3A36"/>
                <w:sz w:val="15"/>
              </w:rPr>
              <w:t>The later filing is used and the restatement is disclosed. It affects a capacity-utilisation statistic, not a valuation input.</w:t>
            </w:r>
          </w:p>
        </w:tc>
      </w:tr>
      <w:tr>
        <w:tc>
          <w:tcPr>
            <w:tcW w:type="dxa" w:w="2520"/>
          </w:tcPr>
          <w:p>
            <w:pPr>
              <w:spacing w:after="20"/>
            </w:pPr>
            <w:r>
              <w:rPr>
                <w:color w:val="1C3A36"/>
                <w:sz w:val="15"/>
              </w:rPr>
              <w:t>Peer valuation multiples</w:t>
            </w:r>
          </w:p>
        </w:tc>
        <w:tc>
          <w:tcPr>
            <w:tcW w:type="dxa" w:w="3600"/>
          </w:tcPr>
          <w:p>
            <w:pPr>
              <w:spacing w:after="20"/>
              <w:jc w:val="right"/>
            </w:pPr>
            <w:r>
              <w:rPr>
                <w:color w:val="1C3A36"/>
                <w:sz w:val="15"/>
              </w:rPr>
              <w:t>A public-comparables service puts a listed Saudi Arabian generics manufacturer at about 26.7 times trailing earnings and about 25.5 times enterprise value to EBITDA</w:t>
            </w:r>
          </w:p>
        </w:tc>
        <w:tc>
          <w:tcPr>
            <w:tcW w:type="dxa" w:w="3384"/>
          </w:tcPr>
          <w:p>
            <w:pPr>
              <w:spacing w:after="20"/>
              <w:jc w:val="right"/>
            </w:pPr>
            <w:r>
              <w:rPr>
                <w:color w:val="1C3A36"/>
                <w:sz w:val="15"/>
              </w:rPr>
              <w:t>Used as the third of three legs in the relative lens, explicitly labelled market data, and adjusted downward for the cost-of-equity gap those peers do not face. Never used for any EIPICO historical figure.</w:t>
            </w:r>
          </w:p>
        </w:tc>
      </w:tr>
      <w:tr>
        <w:tc>
          <w:tcPr>
            <w:tcW w:type="dxa" w:w="2520"/>
          </w:tcPr>
          <w:p>
            <w:pPr>
              <w:spacing w:after="20"/>
            </w:pPr>
            <w:r>
              <w:rPr>
                <w:color w:val="1C3A36"/>
                <w:sz w:val="15"/>
              </w:rPr>
              <w:t>Exports in US dollars</w:t>
            </w:r>
          </w:p>
        </w:tc>
        <w:tc>
          <w:tcPr>
            <w:tcW w:type="dxa" w:w="3600"/>
          </w:tcPr>
          <w:p>
            <w:pPr>
              <w:spacing w:after="20"/>
              <w:jc w:val="right"/>
            </w:pPr>
            <w:r>
              <w:rPr>
                <w:color w:val="1C3A36"/>
                <w:sz w:val="15"/>
              </w:rPr>
              <w:t>The FY2025 board report gives USD 60 million; the FY2024 report gives USD 54.7 million for FY2024 while the FY2025 report rounds the same year to USD 55 million</w:t>
            </w:r>
          </w:p>
        </w:tc>
        <w:tc>
          <w:tcPr>
            <w:tcW w:type="dxa" w:w="3384"/>
          </w:tcPr>
          <w:p>
            <w:pPr>
              <w:spacing w:after="20"/>
              <w:jc w:val="right"/>
            </w:pPr>
            <w:r>
              <w:rPr>
                <w:color w:val="1C3A36"/>
                <w:sz w:val="15"/>
              </w:rPr>
              <w:t>The FY2024 report's own 54.7 is used for FY2024 and 60.0 for FY2025, giving 9.7% hard-currency growth. The difference is rounding and is immaterial.</w:t>
            </w:r>
          </w:p>
        </w:tc>
      </w:tr>
    </w:tbl>
    <w:p>
      <w:pPr>
        <w:spacing w:after="40"/>
      </w:pPr>
    </w:p>
    <w:p>
      <w:pPr>
        <w:spacing w:after="200" w:before="0"/>
      </w:pPr>
      <w:r>
        <w:rPr>
          <w:b w:val="0"/>
          <w:i/>
          <w:color w:val="6E7B77"/>
          <w:sz w:val="17"/>
        </w:rPr>
        <w:t>Table B5 — where a secondary source says something, and what the study did about it.</w:t>
      </w:r>
    </w:p>
    <w:p>
      <w:pPr>
        <w:spacing w:after="120" w:before="280"/>
      </w:pPr>
      <w:r>
        <w:rPr>
          <w:b/>
          <w:i w:val="0"/>
          <w:color w:val="1C3A36"/>
          <w:sz w:val="30"/>
        </w:rPr>
        <w:t>6. The series and outcomes behind the checkable claims</w:t>
      </w:r>
    </w:p>
    <w:p>
      <w:pPr>
        <w:spacing w:after="120" w:before="0"/>
      </w:pPr>
      <w:r>
        <w:rPr>
          <w:b w:val="0"/>
          <w:i w:val="0"/>
          <w:color w:val="1C3A36"/>
          <w:sz w:val="21"/>
        </w:rPr>
        <w:t>Three claims in this study could not be reproduced from the documents alone, because the underlying series were not published. They are published here.</w:t>
      </w:r>
    </w:p>
    <w:p>
      <w:pPr>
        <w:spacing w:after="80" w:before="200"/>
      </w:pPr>
      <w:r>
        <w:rPr>
          <w:b/>
          <w:i w:val="0"/>
          <w:color w:val="1C3A36"/>
          <w:sz w:val="24"/>
        </w:rPr>
        <w:t>6.1 The cleaned daily price series</w:t>
      </w:r>
    </w:p>
    <w:p>
      <w:pPr>
        <w:spacing w:after="120" w:before="0"/>
      </w:pPr>
      <w:r>
        <w:rPr>
          <w:b w:val="0"/>
          <w:i w:val="0"/>
          <w:color w:val="1C3A36"/>
          <w:sz w:val="21"/>
        </w:rPr>
        <w:t>The technical read, the probability map and the calibration all run on ONE cleaned daily series: 3225 sessions from 02 Jan 2011 to 06 Aug 2026, screened for the exchange's own daily price limit so that any move beyond what one session can physically do is treated as a corporate action or a data error rather than a return. The full series is supplied as a comma-separated file alongside this document. Its last twenty sessions, which are what the twenty-day average is computed on, are printed here so that average can be recomputed by hand: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2304"/>
        <w:gridCol w:w="2160"/>
      </w:tblGrid>
      <w:tr>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r>
      <w:tr>
        <w:tc>
          <w:tcPr>
            <w:tcW w:type="dxa" w:w="2304"/>
          </w:tcPr>
          <w:p>
            <w:pPr>
              <w:spacing w:after="20"/>
            </w:pPr>
            <w:r>
              <w:rPr>
                <w:color w:val="1C3A36"/>
                <w:sz w:val="17"/>
              </w:rPr>
              <w:t>09 Jul 2026</w:t>
            </w:r>
          </w:p>
        </w:tc>
        <w:tc>
          <w:tcPr>
            <w:tcW w:type="dxa" w:w="2160"/>
          </w:tcPr>
          <w:p>
            <w:pPr>
              <w:spacing w:after="20"/>
              <w:jc w:val="right"/>
            </w:pPr>
            <w:r>
              <w:rPr>
                <w:color w:val="1C3A36"/>
                <w:sz w:val="17"/>
              </w:rPr>
              <w:t>86.09</w:t>
            </w:r>
          </w:p>
        </w:tc>
        <w:tc>
          <w:tcPr>
            <w:tcW w:type="dxa" w:w="2304"/>
          </w:tcPr>
          <w:p>
            <w:pPr>
              <w:spacing w:after="20"/>
              <w:jc w:val="right"/>
            </w:pPr>
            <w:r>
              <w:rPr>
                <w:color w:val="1C3A36"/>
                <w:sz w:val="17"/>
              </w:rPr>
              <w:t>26 Jul 2026</w:t>
            </w:r>
          </w:p>
        </w:tc>
        <w:tc>
          <w:tcPr>
            <w:tcW w:type="dxa" w:w="2160"/>
          </w:tcPr>
          <w:p>
            <w:pPr>
              <w:spacing w:after="20"/>
              <w:jc w:val="right"/>
            </w:pPr>
            <w:r>
              <w:rPr>
                <w:color w:val="1C3A36"/>
                <w:sz w:val="17"/>
              </w:rPr>
              <w:t>90.10</w:t>
            </w:r>
          </w:p>
        </w:tc>
      </w:tr>
      <w:tr>
        <w:tc>
          <w:tcPr>
            <w:tcW w:type="dxa" w:w="2304"/>
          </w:tcPr>
          <w:p>
            <w:pPr>
              <w:spacing w:after="20"/>
            </w:pPr>
            <w:r>
              <w:rPr>
                <w:color w:val="1C3A36"/>
                <w:sz w:val="17"/>
              </w:rPr>
              <w:t>12 Jul 2026</w:t>
            </w:r>
          </w:p>
        </w:tc>
        <w:tc>
          <w:tcPr>
            <w:tcW w:type="dxa" w:w="2160"/>
          </w:tcPr>
          <w:p>
            <w:pPr>
              <w:spacing w:after="20"/>
              <w:jc w:val="right"/>
            </w:pPr>
            <w:r>
              <w:rPr>
                <w:color w:val="1C3A36"/>
                <w:sz w:val="17"/>
              </w:rPr>
              <w:t>86.07</w:t>
            </w:r>
          </w:p>
        </w:tc>
        <w:tc>
          <w:tcPr>
            <w:tcW w:type="dxa" w:w="2304"/>
          </w:tcPr>
          <w:p>
            <w:pPr>
              <w:spacing w:after="20"/>
              <w:jc w:val="right"/>
            </w:pPr>
            <w:r>
              <w:rPr>
                <w:color w:val="1C3A36"/>
                <w:sz w:val="17"/>
              </w:rPr>
              <w:t>27 Jul 2026</w:t>
            </w:r>
          </w:p>
        </w:tc>
        <w:tc>
          <w:tcPr>
            <w:tcW w:type="dxa" w:w="2160"/>
          </w:tcPr>
          <w:p>
            <w:pPr>
              <w:spacing w:after="20"/>
              <w:jc w:val="right"/>
            </w:pPr>
            <w:r>
              <w:rPr>
                <w:color w:val="1C3A36"/>
                <w:sz w:val="17"/>
              </w:rPr>
              <w:t>92.80</w:t>
            </w:r>
          </w:p>
        </w:tc>
      </w:tr>
      <w:tr>
        <w:tc>
          <w:tcPr>
            <w:tcW w:type="dxa" w:w="2304"/>
          </w:tcPr>
          <w:p>
            <w:pPr>
              <w:spacing w:after="20"/>
            </w:pPr>
            <w:r>
              <w:rPr>
                <w:color w:val="1C3A36"/>
                <w:sz w:val="17"/>
              </w:rPr>
              <w:t>13 Jul 2026</w:t>
            </w:r>
          </w:p>
        </w:tc>
        <w:tc>
          <w:tcPr>
            <w:tcW w:type="dxa" w:w="2160"/>
          </w:tcPr>
          <w:p>
            <w:pPr>
              <w:spacing w:after="20"/>
              <w:jc w:val="right"/>
            </w:pPr>
            <w:r>
              <w:rPr>
                <w:color w:val="1C3A36"/>
                <w:sz w:val="17"/>
              </w:rPr>
              <w:t>85.80</w:t>
            </w:r>
          </w:p>
        </w:tc>
        <w:tc>
          <w:tcPr>
            <w:tcW w:type="dxa" w:w="2304"/>
          </w:tcPr>
          <w:p>
            <w:pPr>
              <w:spacing w:after="20"/>
              <w:jc w:val="right"/>
            </w:pPr>
            <w:r>
              <w:rPr>
                <w:color w:val="1C3A36"/>
                <w:sz w:val="17"/>
              </w:rPr>
              <w:t>28 Jul 2026</w:t>
            </w:r>
          </w:p>
        </w:tc>
        <w:tc>
          <w:tcPr>
            <w:tcW w:type="dxa" w:w="2160"/>
          </w:tcPr>
          <w:p>
            <w:pPr>
              <w:spacing w:after="20"/>
              <w:jc w:val="right"/>
            </w:pPr>
            <w:r>
              <w:rPr>
                <w:color w:val="1C3A36"/>
                <w:sz w:val="17"/>
              </w:rPr>
              <w:t>93.40</w:t>
            </w:r>
          </w:p>
        </w:tc>
      </w:tr>
      <w:tr>
        <w:tc>
          <w:tcPr>
            <w:tcW w:type="dxa" w:w="2304"/>
          </w:tcPr>
          <w:p>
            <w:pPr>
              <w:spacing w:after="20"/>
            </w:pPr>
            <w:r>
              <w:rPr>
                <w:color w:val="1C3A36"/>
                <w:sz w:val="17"/>
              </w:rPr>
              <w:t>14 Jul 2026</w:t>
            </w:r>
          </w:p>
        </w:tc>
        <w:tc>
          <w:tcPr>
            <w:tcW w:type="dxa" w:w="2160"/>
          </w:tcPr>
          <w:p>
            <w:pPr>
              <w:spacing w:after="20"/>
              <w:jc w:val="right"/>
            </w:pPr>
            <w:r>
              <w:rPr>
                <w:color w:val="1C3A36"/>
                <w:sz w:val="17"/>
              </w:rPr>
              <w:t>86.47</w:t>
            </w:r>
          </w:p>
        </w:tc>
        <w:tc>
          <w:tcPr>
            <w:tcW w:type="dxa" w:w="2304"/>
          </w:tcPr>
          <w:p>
            <w:pPr>
              <w:spacing w:after="20"/>
              <w:jc w:val="right"/>
            </w:pPr>
            <w:r>
              <w:rPr>
                <w:color w:val="1C3A36"/>
                <w:sz w:val="17"/>
              </w:rPr>
              <w:t>29 Jul 2026</w:t>
            </w:r>
          </w:p>
        </w:tc>
        <w:tc>
          <w:tcPr>
            <w:tcW w:type="dxa" w:w="2160"/>
          </w:tcPr>
          <w:p>
            <w:pPr>
              <w:spacing w:after="20"/>
              <w:jc w:val="right"/>
            </w:pPr>
            <w:r>
              <w:rPr>
                <w:color w:val="1C3A36"/>
                <w:sz w:val="17"/>
              </w:rPr>
              <w:t>96.50</w:t>
            </w:r>
          </w:p>
        </w:tc>
      </w:tr>
      <w:tr>
        <w:tc>
          <w:tcPr>
            <w:tcW w:type="dxa" w:w="2304"/>
          </w:tcPr>
          <w:p>
            <w:pPr>
              <w:spacing w:after="20"/>
            </w:pPr>
            <w:r>
              <w:rPr>
                <w:color w:val="1C3A36"/>
                <w:sz w:val="17"/>
              </w:rPr>
              <w:t>15 Jul 2026</w:t>
            </w:r>
          </w:p>
        </w:tc>
        <w:tc>
          <w:tcPr>
            <w:tcW w:type="dxa" w:w="2160"/>
          </w:tcPr>
          <w:p>
            <w:pPr>
              <w:spacing w:after="20"/>
              <w:jc w:val="right"/>
            </w:pPr>
            <w:r>
              <w:rPr>
                <w:color w:val="1C3A36"/>
                <w:sz w:val="17"/>
              </w:rPr>
              <w:t>88.31</w:t>
            </w:r>
          </w:p>
        </w:tc>
        <w:tc>
          <w:tcPr>
            <w:tcW w:type="dxa" w:w="2304"/>
          </w:tcPr>
          <w:p>
            <w:pPr>
              <w:spacing w:after="20"/>
              <w:jc w:val="right"/>
            </w:pPr>
            <w:r>
              <w:rPr>
                <w:color w:val="1C3A36"/>
                <w:sz w:val="17"/>
              </w:rPr>
              <w:t>30 Jul 2026</w:t>
            </w:r>
          </w:p>
        </w:tc>
        <w:tc>
          <w:tcPr>
            <w:tcW w:type="dxa" w:w="2160"/>
          </w:tcPr>
          <w:p>
            <w:pPr>
              <w:spacing w:after="20"/>
              <w:jc w:val="right"/>
            </w:pPr>
            <w:r>
              <w:rPr>
                <w:color w:val="1C3A36"/>
                <w:sz w:val="17"/>
              </w:rPr>
              <w:t>104.00</w:t>
            </w:r>
          </w:p>
        </w:tc>
      </w:tr>
      <w:tr>
        <w:tc>
          <w:tcPr>
            <w:tcW w:type="dxa" w:w="2304"/>
          </w:tcPr>
          <w:p>
            <w:pPr>
              <w:spacing w:after="20"/>
            </w:pPr>
            <w:r>
              <w:rPr>
                <w:color w:val="1C3A36"/>
                <w:sz w:val="17"/>
              </w:rPr>
              <w:t>16 Jul 2026</w:t>
            </w:r>
          </w:p>
        </w:tc>
        <w:tc>
          <w:tcPr>
            <w:tcW w:type="dxa" w:w="2160"/>
          </w:tcPr>
          <w:p>
            <w:pPr>
              <w:spacing w:after="20"/>
              <w:jc w:val="right"/>
            </w:pPr>
            <w:r>
              <w:rPr>
                <w:color w:val="1C3A36"/>
                <w:sz w:val="17"/>
              </w:rPr>
              <w:t>88.97</w:t>
            </w:r>
          </w:p>
        </w:tc>
        <w:tc>
          <w:tcPr>
            <w:tcW w:type="dxa" w:w="2304"/>
          </w:tcPr>
          <w:p>
            <w:pPr>
              <w:spacing w:after="20"/>
              <w:jc w:val="right"/>
            </w:pPr>
            <w:r>
              <w:rPr>
                <w:color w:val="1C3A36"/>
                <w:sz w:val="17"/>
              </w:rPr>
              <w:t>02 Aug 2026</w:t>
            </w:r>
          </w:p>
        </w:tc>
        <w:tc>
          <w:tcPr>
            <w:tcW w:type="dxa" w:w="2160"/>
          </w:tcPr>
          <w:p>
            <w:pPr>
              <w:spacing w:after="20"/>
              <w:jc w:val="right"/>
            </w:pPr>
            <w:r>
              <w:rPr>
                <w:color w:val="1C3A36"/>
                <w:sz w:val="17"/>
              </w:rPr>
              <w:t>124.80</w:t>
            </w:r>
          </w:p>
        </w:tc>
      </w:tr>
      <w:tr>
        <w:tc>
          <w:tcPr>
            <w:tcW w:type="dxa" w:w="2304"/>
          </w:tcPr>
          <w:p>
            <w:pPr>
              <w:spacing w:after="20"/>
            </w:pPr>
            <w:r>
              <w:rPr>
                <w:color w:val="1C3A36"/>
                <w:sz w:val="17"/>
              </w:rPr>
              <w:t>19 Jul 2026</w:t>
            </w:r>
          </w:p>
        </w:tc>
        <w:tc>
          <w:tcPr>
            <w:tcW w:type="dxa" w:w="2160"/>
          </w:tcPr>
          <w:p>
            <w:pPr>
              <w:spacing w:after="20"/>
              <w:jc w:val="right"/>
            </w:pPr>
            <w:r>
              <w:rPr>
                <w:color w:val="1C3A36"/>
                <w:sz w:val="17"/>
              </w:rPr>
              <w:t>90.88</w:t>
            </w:r>
          </w:p>
        </w:tc>
        <w:tc>
          <w:tcPr>
            <w:tcW w:type="dxa" w:w="2304"/>
          </w:tcPr>
          <w:p>
            <w:pPr>
              <w:spacing w:after="20"/>
              <w:jc w:val="right"/>
            </w:pPr>
            <w:r>
              <w:rPr>
                <w:color w:val="1C3A36"/>
                <w:sz w:val="17"/>
              </w:rPr>
              <w:t>03 Aug 2026</w:t>
            </w:r>
          </w:p>
        </w:tc>
        <w:tc>
          <w:tcPr>
            <w:tcW w:type="dxa" w:w="2160"/>
          </w:tcPr>
          <w:p>
            <w:pPr>
              <w:spacing w:after="20"/>
              <w:jc w:val="right"/>
            </w:pPr>
            <w:r>
              <w:rPr>
                <w:color w:val="1C3A36"/>
                <w:sz w:val="17"/>
              </w:rPr>
              <w:t>149.76</w:t>
            </w:r>
          </w:p>
        </w:tc>
      </w:tr>
      <w:tr>
        <w:tc>
          <w:tcPr>
            <w:tcW w:type="dxa" w:w="2304"/>
          </w:tcPr>
          <w:p>
            <w:pPr>
              <w:spacing w:after="20"/>
            </w:pPr>
            <w:r>
              <w:rPr>
                <w:color w:val="1C3A36"/>
                <w:sz w:val="17"/>
              </w:rPr>
              <w:t>20 Jul 2026</w:t>
            </w:r>
          </w:p>
        </w:tc>
        <w:tc>
          <w:tcPr>
            <w:tcW w:type="dxa" w:w="2160"/>
          </w:tcPr>
          <w:p>
            <w:pPr>
              <w:spacing w:after="20"/>
              <w:jc w:val="right"/>
            </w:pPr>
            <w:r>
              <w:rPr>
                <w:color w:val="1C3A36"/>
                <w:sz w:val="17"/>
              </w:rPr>
              <w:t>91.05</w:t>
            </w:r>
          </w:p>
        </w:tc>
        <w:tc>
          <w:tcPr>
            <w:tcW w:type="dxa" w:w="2304"/>
          </w:tcPr>
          <w:p>
            <w:pPr>
              <w:spacing w:after="20"/>
              <w:jc w:val="right"/>
            </w:pPr>
            <w:r>
              <w:rPr>
                <w:color w:val="1C3A36"/>
                <w:sz w:val="17"/>
              </w:rPr>
              <w:t>04 Aug 2026</w:t>
            </w:r>
          </w:p>
        </w:tc>
        <w:tc>
          <w:tcPr>
            <w:tcW w:type="dxa" w:w="2160"/>
          </w:tcPr>
          <w:p>
            <w:pPr>
              <w:spacing w:after="20"/>
              <w:jc w:val="right"/>
            </w:pPr>
            <w:r>
              <w:rPr>
                <w:color w:val="1C3A36"/>
                <w:sz w:val="17"/>
              </w:rPr>
              <w:t>134.30</w:t>
            </w:r>
          </w:p>
        </w:tc>
      </w:tr>
      <w:tr>
        <w:tc>
          <w:tcPr>
            <w:tcW w:type="dxa" w:w="2304"/>
          </w:tcPr>
          <w:p>
            <w:pPr>
              <w:spacing w:after="20"/>
            </w:pPr>
            <w:r>
              <w:rPr>
                <w:color w:val="1C3A36"/>
                <w:sz w:val="17"/>
              </w:rPr>
              <w:t>21 Jul 2026</w:t>
            </w:r>
          </w:p>
        </w:tc>
        <w:tc>
          <w:tcPr>
            <w:tcW w:type="dxa" w:w="2160"/>
          </w:tcPr>
          <w:p>
            <w:pPr>
              <w:spacing w:after="20"/>
              <w:jc w:val="right"/>
            </w:pPr>
            <w:r>
              <w:rPr>
                <w:color w:val="1C3A36"/>
                <w:sz w:val="17"/>
              </w:rPr>
              <w:t>90.70</w:t>
            </w:r>
          </w:p>
        </w:tc>
        <w:tc>
          <w:tcPr>
            <w:tcW w:type="dxa" w:w="2304"/>
          </w:tcPr>
          <w:p>
            <w:pPr>
              <w:spacing w:after="20"/>
              <w:jc w:val="right"/>
            </w:pPr>
            <w:r>
              <w:rPr>
                <w:color w:val="1C3A36"/>
                <w:sz w:val="17"/>
              </w:rPr>
              <w:t>05 Aug 2026</w:t>
            </w:r>
          </w:p>
        </w:tc>
        <w:tc>
          <w:tcPr>
            <w:tcW w:type="dxa" w:w="2160"/>
          </w:tcPr>
          <w:p>
            <w:pPr>
              <w:spacing w:after="20"/>
              <w:jc w:val="right"/>
            </w:pPr>
            <w:r>
              <w:rPr>
                <w:color w:val="1C3A36"/>
                <w:sz w:val="17"/>
              </w:rPr>
              <w:t>130.00</w:t>
            </w:r>
          </w:p>
        </w:tc>
      </w:tr>
      <w:tr>
        <w:tc>
          <w:tcPr>
            <w:tcW w:type="dxa" w:w="2304"/>
          </w:tcPr>
          <w:p>
            <w:pPr>
              <w:spacing w:after="20"/>
            </w:pPr>
            <w:r>
              <w:rPr>
                <w:color w:val="1C3A36"/>
                <w:sz w:val="17"/>
              </w:rPr>
              <w:t>22 Jul 2026</w:t>
            </w:r>
          </w:p>
        </w:tc>
        <w:tc>
          <w:tcPr>
            <w:tcW w:type="dxa" w:w="2160"/>
          </w:tcPr>
          <w:p>
            <w:pPr>
              <w:spacing w:after="20"/>
              <w:jc w:val="right"/>
            </w:pPr>
            <w:r>
              <w:rPr>
                <w:color w:val="1C3A36"/>
                <w:sz w:val="17"/>
              </w:rPr>
              <w:t>91.50</w:t>
            </w:r>
          </w:p>
        </w:tc>
        <w:tc>
          <w:tcPr>
            <w:tcW w:type="dxa" w:w="2304"/>
          </w:tcPr>
          <w:p>
            <w:pPr>
              <w:spacing w:after="20"/>
              <w:jc w:val="right"/>
            </w:pPr>
            <w:r>
              <w:rPr>
                <w:color w:val="1C3A36"/>
                <w:sz w:val="17"/>
              </w:rPr>
              <w:t>06 Aug 2026</w:t>
            </w:r>
          </w:p>
        </w:tc>
        <w:tc>
          <w:tcPr>
            <w:tcW w:type="dxa" w:w="2160"/>
          </w:tcPr>
          <w:p>
            <w:pPr>
              <w:spacing w:after="20"/>
              <w:jc w:val="right"/>
            </w:pPr>
            <w:r>
              <w:rPr>
                <w:color w:val="1C3A36"/>
                <w:sz w:val="17"/>
              </w:rPr>
              <w:t>130.05</w:t>
            </w:r>
          </w:p>
        </w:tc>
      </w:tr>
    </w:tbl>
    <w:p>
      <w:pPr>
        <w:spacing w:after="40"/>
      </w:pPr>
    </w:p>
    <w:p>
      <w:pPr>
        <w:spacing w:after="200" w:before="0"/>
      </w:pPr>
      <w:r>
        <w:rPr>
          <w:b w:val="0"/>
          <w:i/>
          <w:color w:val="6E7B77"/>
          <w:sz w:val="17"/>
        </w:rPr>
        <w:t>Table B6 — the twenty sessions behind the twenty-day moving average of EGP 101.58. The exchange calendar is respected: non-trading days are absent rather than carried forward.</w:t>
      </w:r>
    </w:p>
    <w:p>
      <w:pPr>
        <w:spacing w:after="80" w:before="200"/>
      </w:pPr>
      <w:r>
        <w:rPr>
          <w:b/>
          <w:i w:val="0"/>
          <w:color w:val="1C3A36"/>
          <w:sz w:val="24"/>
        </w:rPr>
        <w:t>6.2 The index the beta was regressed against</w:t>
      </w:r>
    </w:p>
    <w:p>
      <w:pPr>
        <w:spacing w:after="120" w:before="0"/>
      </w:pPr>
      <w:r>
        <w:rPr>
          <w:b w:val="0"/>
          <w:i w:val="0"/>
          <w:color w:val="1C3A36"/>
          <w:sz w:val="21"/>
        </w:rPr>
        <w:t>The beta of 0.629 is a weekly regression of this company's own returns against an equal-weighted composite of 36 Egyptian listed names, over 5 years and 257 weekly observations, with an R-squared of 0.235 and a standard error of 0.071. The composite is equal-weighted across the following constituents, and both the constituent list and the weekly return series are supplied alongside this document so the coefficient can be re-estimated rather than taken on trust:</w:t>
      </w:r>
    </w:p>
    <w:p>
      <w:pPr>
        <w:spacing w:after="120" w:before="0"/>
      </w:pPr>
      <w:r>
        <w:rPr>
          <w:b w:val="0"/>
          <w:i w:val="0"/>
          <w:color w:val="1C3A36"/>
          <w:sz w:val="21"/>
        </w:rPr>
        <w:t>ABUK, ADIB, AMOC, ARCC, BTFH, CCAP, CLHO, COMI, DSCW, EFID, EFIH, EGAL, ELEC, EMFD, ETEL, FWRY, GBCO, HELI, HRHO, ISPH, JUFO, KABO, LCSW, OCDI, OIH, ORAS, ORHD, ORWE, PHAR, PHDC, PRDC, RAYA, RMDA, SCEM, SWDY, TMGH.</w:t>
      </w:r>
    </w:p>
    <w:p>
      <w:pPr>
        <w:spacing w:after="120" w:before="0"/>
      </w:pPr>
      <w:r>
        <w:rPr>
          <w:b w:val="0"/>
          <w:i w:val="0"/>
          <w:color w:val="1C3A36"/>
          <w:sz w:val="21"/>
        </w:rPr>
        <w:t>THE SUBJECT IS IN ITS OWN INDEX, and publishing the list makes that visible, so it is priced here rather than left for a reader to notice. An equal-weighted composite of 36 names gives this company a weight of about 2.8% in the very index it is being regressed against, which biases the coefficient toward one. That is how a real local index behaves and it is the construction used, but the regression was also re-run with the subject removed from the composite: the coefficient falls from 0.6295 to 0.5652, with an R-squared of 0.192 and a standard error of 0.0726. Carried through the whole model, the ex-subject coefficient would RAISE the two fundamental centres to EGP 65.04 and EGP 72.86 from EGP 33.00 and EGP 49.68. The study carries the in-index coefficient because it is the more conservative of the two and because it is what a local-index construction actually produces; the alternative and its price are stated here so the choice is visible rather than silent.</w:t>
      </w:r>
    </w:p>
    <w:p>
      <w:pPr>
        <w:spacing w:after="120" w:before="0"/>
      </w:pPr>
      <w:r>
        <w:rPr>
          <w:b w:val="0"/>
          <w:i w:val="0"/>
          <w:color w:val="1C3A36"/>
          <w:sz w:val="21"/>
        </w:rPr>
        <w:t>Two statistics a reader can check without the series at all. The standard error implied by the reported coefficient, R-squared and sample size is 0.07112, against the 0.07112 reported — they agree, so the three statistics are mutually consistent rather than separately asserted. And the standard error is well below the coefficient, which is the usability test this study applies before a regression beta is used at all.</w:t>
      </w:r>
    </w:p>
    <w:p>
      <w:pPr>
        <w:spacing w:after="80" w:before="200"/>
      </w:pPr>
      <w:r>
        <w:rPr>
          <w:b/>
          <w:i w:val="0"/>
          <w:color w:val="1C3A36"/>
          <w:sz w:val="24"/>
        </w:rPr>
        <w:t>6.3 The window outcomes behind the coverage statistics</w:t>
      </w:r>
    </w:p>
    <w:p>
      <w:pPr>
        <w:spacing w:after="120" w:before="0"/>
      </w:pPr>
      <w:r>
        <w:rPr>
          <w:b w:val="0"/>
          <w:i w:val="0"/>
          <w:color w:val="1C3A36"/>
          <w:sz w:val="21"/>
        </w:rPr>
        <w:t>The coverage figures quoted in the study are counts over a finite number of test windows, and a count is only meaningful if the windows are shown. Each window struck a distribution at its origin and was scored against the close on its own check date; the probability each realised outcome sat at within its own forecast distribution is the number that has to be uniformly spread if the bands are honestly sized.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008"/>
        <w:gridCol w:w="1440"/>
        <w:gridCol w:w="1440"/>
        <w:gridCol w:w="1440"/>
        <w:gridCol w:w="1944"/>
      </w:tblGrid>
      <w:tr>
        <w:tc>
          <w:tcPr>
            <w:tcW w:type="dxa" w:w="2448"/>
            <w:shd w:val="clear" w:color="auto" w:fill="EAF0EE"/>
          </w:tcPr>
          <w:p>
            <w:pPr>
              <w:spacing w:after="20"/>
            </w:pPr>
            <w:r>
              <w:rPr>
                <w:b/>
                <w:color w:val="1C3A36"/>
                <w:sz w:val="16"/>
              </w:rPr>
              <w:t>Window set</w:t>
            </w:r>
          </w:p>
        </w:tc>
        <w:tc>
          <w:tcPr>
            <w:tcW w:type="dxa" w:w="1008"/>
            <w:shd w:val="clear" w:color="auto" w:fill="EAF0EE"/>
          </w:tcPr>
          <w:p>
            <w:pPr>
              <w:spacing w:after="20"/>
            </w:pPr>
            <w:r>
              <w:rPr>
                <w:b/>
                <w:color w:val="1C3A36"/>
                <w:sz w:val="16"/>
              </w:rPr>
              <w:t>Windows</w:t>
            </w:r>
          </w:p>
        </w:tc>
        <w:tc>
          <w:tcPr>
            <w:tcW w:type="dxa" w:w="1440"/>
            <w:shd w:val="clear" w:color="auto" w:fill="EAF0EE"/>
          </w:tcPr>
          <w:p>
            <w:pPr>
              <w:spacing w:after="20"/>
            </w:pPr>
            <w:r>
              <w:rPr>
                <w:b/>
                <w:color w:val="1C3A36"/>
                <w:sz w:val="16"/>
              </w:rPr>
              <w:t>Inside the 50% band</w:t>
            </w:r>
          </w:p>
        </w:tc>
        <w:tc>
          <w:tcPr>
            <w:tcW w:type="dxa" w:w="1440"/>
            <w:shd w:val="clear" w:color="auto" w:fill="EAF0EE"/>
          </w:tcPr>
          <w:p>
            <w:pPr>
              <w:spacing w:after="20"/>
            </w:pPr>
            <w:r>
              <w:rPr>
                <w:b/>
                <w:color w:val="1C3A36"/>
                <w:sz w:val="16"/>
              </w:rPr>
              <w:t>Inside the 80% band</w:t>
            </w:r>
          </w:p>
        </w:tc>
        <w:tc>
          <w:tcPr>
            <w:tcW w:type="dxa" w:w="1440"/>
            <w:shd w:val="clear" w:color="auto" w:fill="EAF0EE"/>
          </w:tcPr>
          <w:p>
            <w:pPr>
              <w:spacing w:after="20"/>
            </w:pPr>
            <w:r>
              <w:rPr>
                <w:b/>
                <w:color w:val="1C3A36"/>
                <w:sz w:val="16"/>
              </w:rPr>
              <w:t>Inside the 90% band</w:t>
            </w:r>
          </w:p>
        </w:tc>
        <w:tc>
          <w:tcPr>
            <w:tcW w:type="dxa" w:w="1944"/>
            <w:shd w:val="clear" w:color="auto" w:fill="EAF0EE"/>
          </w:tcPr>
          <w:p>
            <w:pPr>
              <w:spacing w:after="20"/>
            </w:pPr>
            <w:r>
              <w:rPr>
                <w:b/>
                <w:color w:val="1C3A36"/>
                <w:sz w:val="16"/>
              </w:rPr>
              <w:t>Uniformity (chi-square p, KS p)</w:t>
            </w:r>
          </w:p>
        </w:tc>
      </w:tr>
      <w:tr>
        <w:tc>
          <w:tcPr>
            <w:tcW w:type="dxa" w:w="2448"/>
          </w:tcPr>
          <w:p>
            <w:pPr>
              <w:spacing w:after="20"/>
            </w:pPr>
            <w:r>
              <w:rPr>
                <w:color w:val="1C3A36"/>
                <w:sz w:val="16"/>
              </w:rPr>
              <w:t>Last five years</w:t>
            </w:r>
          </w:p>
        </w:tc>
        <w:tc>
          <w:tcPr>
            <w:tcW w:type="dxa" w:w="1008"/>
          </w:tcPr>
          <w:p>
            <w:pPr>
              <w:spacing w:after="20"/>
              <w:jc w:val="right"/>
            </w:pPr>
            <w:r>
              <w:rPr>
                <w:color w:val="1C3A36"/>
                <w:sz w:val="16"/>
              </w:rPr>
              <w:t>19</w:t>
            </w:r>
          </w:p>
        </w:tc>
        <w:tc>
          <w:tcPr>
            <w:tcW w:type="dxa" w:w="1440"/>
          </w:tcPr>
          <w:p>
            <w:pPr>
              <w:spacing w:after="20"/>
              <w:jc w:val="right"/>
            </w:pPr>
            <w:r>
              <w:rPr>
                <w:color w:val="1C3A36"/>
                <w:sz w:val="16"/>
              </w:rPr>
              <w:t>47%</w:t>
            </w:r>
          </w:p>
        </w:tc>
        <w:tc>
          <w:tcPr>
            <w:tcW w:type="dxa" w:w="1440"/>
          </w:tcPr>
          <w:p>
            <w:pPr>
              <w:spacing w:after="20"/>
              <w:jc w:val="right"/>
            </w:pPr>
            <w:r>
              <w:rPr>
                <w:color w:val="1C3A36"/>
                <w:sz w:val="16"/>
              </w:rPr>
              <w:t>89%</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0.447, 0.676</w:t>
            </w:r>
          </w:p>
        </w:tc>
      </w:tr>
      <w:tr>
        <w:tc>
          <w:tcPr>
            <w:tcW w:type="dxa" w:w="2448"/>
          </w:tcPr>
          <w:p>
            <w:pPr>
              <w:spacing w:after="20"/>
            </w:pPr>
            <w:r>
              <w:rPr>
                <w:color w:val="1C3A36"/>
                <w:sz w:val="16"/>
              </w:rPr>
              <w:t>Full history</w:t>
            </w:r>
          </w:p>
        </w:tc>
        <w:tc>
          <w:tcPr>
            <w:tcW w:type="dxa" w:w="1008"/>
          </w:tcPr>
          <w:p>
            <w:pPr>
              <w:spacing w:after="20"/>
              <w:jc w:val="right"/>
            </w:pPr>
            <w:r>
              <w:rPr>
                <w:color w:val="1C3A36"/>
                <w:sz w:val="16"/>
              </w:rPr>
              <w:t>56</w:t>
            </w:r>
          </w:p>
        </w:tc>
        <w:tc>
          <w:tcPr>
            <w:tcW w:type="dxa" w:w="1440"/>
          </w:tcPr>
          <w:p>
            <w:pPr>
              <w:spacing w:after="20"/>
              <w:jc w:val="right"/>
            </w:pPr>
            <w:r>
              <w:rPr>
                <w:color w:val="1C3A36"/>
                <w:sz w:val="16"/>
              </w:rPr>
              <w:t>52%</w:t>
            </w:r>
          </w:p>
        </w:tc>
        <w:tc>
          <w:tcPr>
            <w:tcW w:type="dxa" w:w="1440"/>
          </w:tcPr>
          <w:p>
            <w:pPr>
              <w:spacing w:after="20"/>
              <w:jc w:val="right"/>
            </w:pPr>
            <w:r>
              <w:rPr>
                <w:color w:val="1C3A36"/>
                <w:sz w:val="16"/>
              </w:rPr>
              <w:t>93%</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0.166, 0.478</w:t>
            </w:r>
          </w:p>
        </w:tc>
      </w:tr>
      <w:tr>
        <w:tc>
          <w:tcPr>
            <w:tcW w:type="dxa" w:w="2448"/>
          </w:tcPr>
          <w:p>
            <w:pPr>
              <w:spacing w:after="20"/>
            </w:pPr>
            <w:r>
              <w:rPr>
                <w:color w:val="1C3A36"/>
                <w:sz w:val="16"/>
              </w:rPr>
              <w:t>Post-break — the set the live bands match</w:t>
            </w:r>
          </w:p>
        </w:tc>
        <w:tc>
          <w:tcPr>
            <w:tcW w:type="dxa" w:w="1008"/>
          </w:tcPr>
          <w:p>
            <w:pPr>
              <w:spacing w:after="20"/>
              <w:jc w:val="right"/>
            </w:pPr>
            <w:r>
              <w:rPr>
                <w:color w:val="1C3A36"/>
                <w:sz w:val="16"/>
              </w:rPr>
              <w:t>16</w:t>
            </w:r>
          </w:p>
        </w:tc>
        <w:tc>
          <w:tcPr>
            <w:tcW w:type="dxa" w:w="1440"/>
          </w:tcPr>
          <w:p>
            <w:pPr>
              <w:spacing w:after="20"/>
              <w:jc w:val="right"/>
            </w:pPr>
            <w:r>
              <w:rPr>
                <w:color w:val="1C3A36"/>
                <w:sz w:val="16"/>
              </w:rPr>
              <w:t>50%</w:t>
            </w:r>
          </w:p>
        </w:tc>
        <w:tc>
          <w:tcPr>
            <w:tcW w:type="dxa" w:w="1440"/>
          </w:tcPr>
          <w:p>
            <w:pPr>
              <w:spacing w:after="20"/>
              <w:jc w:val="right"/>
            </w:pPr>
            <w:r>
              <w:rPr>
                <w:color w:val="1C3A36"/>
                <w:sz w:val="16"/>
              </w:rPr>
              <w:t>94%</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0.331, 0.144</w:t>
            </w:r>
          </w:p>
        </w:tc>
      </w:tr>
    </w:tbl>
    <w:p>
      <w:pPr>
        <w:spacing w:after="40"/>
      </w:pPr>
    </w:p>
    <w:p>
      <w:pPr>
        <w:spacing w:after="200" w:before="0"/>
      </w:pPr>
      <w:r>
        <w:rPr>
          <w:b w:val="0"/>
          <w:i/>
          <w:color w:val="6E7B77"/>
          <w:sz w:val="17"/>
        </w:rPr>
        <w:t>Table B7 — all THREE window sets, not a selection from them. The distribution of realised outcomes within each set is printed below it as a ten-bin histogram so a reader can run the uniformity test independently.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763"/>
        <w:gridCol w:w="763"/>
        <w:gridCol w:w="763"/>
        <w:gridCol w:w="763"/>
        <w:gridCol w:w="763"/>
        <w:gridCol w:w="763"/>
        <w:gridCol w:w="763"/>
        <w:gridCol w:w="763"/>
        <w:gridCol w:w="763"/>
        <w:gridCol w:w="763"/>
      </w:tblGrid>
      <w:tr>
        <w:tc>
          <w:tcPr>
            <w:tcW w:type="dxa" w:w="1944"/>
            <w:shd w:val="clear" w:color="auto" w:fill="EAF0EE"/>
          </w:tcPr>
          <w:p>
            <w:pPr>
              <w:spacing w:after="20"/>
            </w:pPr>
            <w:r>
              <w:rPr>
                <w:b/>
                <w:color w:val="1C3A36"/>
                <w:sz w:val="15"/>
              </w:rPr>
              <w:t>Window set</w:t>
            </w:r>
          </w:p>
        </w:tc>
        <w:tc>
          <w:tcPr>
            <w:tcW w:type="dxa" w:w="763"/>
            <w:shd w:val="clear" w:color="auto" w:fill="EAF0EE"/>
          </w:tcPr>
          <w:p>
            <w:pPr>
              <w:spacing w:after="20"/>
            </w:pPr>
            <w:r>
              <w:rPr>
                <w:b/>
                <w:color w:val="1C3A36"/>
                <w:sz w:val="15"/>
              </w:rPr>
              <w:t>0-10%</w:t>
            </w:r>
          </w:p>
        </w:tc>
        <w:tc>
          <w:tcPr>
            <w:tcW w:type="dxa" w:w="763"/>
            <w:shd w:val="clear" w:color="auto" w:fill="EAF0EE"/>
          </w:tcPr>
          <w:p>
            <w:pPr>
              <w:spacing w:after="20"/>
            </w:pPr>
            <w:r>
              <w:rPr>
                <w:b/>
                <w:color w:val="1C3A36"/>
                <w:sz w:val="15"/>
              </w:rPr>
              <w:t>10-20%</w:t>
            </w:r>
          </w:p>
        </w:tc>
        <w:tc>
          <w:tcPr>
            <w:tcW w:type="dxa" w:w="763"/>
            <w:shd w:val="clear" w:color="auto" w:fill="EAF0EE"/>
          </w:tcPr>
          <w:p>
            <w:pPr>
              <w:spacing w:after="20"/>
            </w:pPr>
            <w:r>
              <w:rPr>
                <w:b/>
                <w:color w:val="1C3A36"/>
                <w:sz w:val="15"/>
              </w:rPr>
              <w:t>20-30%</w:t>
            </w:r>
          </w:p>
        </w:tc>
        <w:tc>
          <w:tcPr>
            <w:tcW w:type="dxa" w:w="763"/>
            <w:shd w:val="clear" w:color="auto" w:fill="EAF0EE"/>
          </w:tcPr>
          <w:p>
            <w:pPr>
              <w:spacing w:after="20"/>
            </w:pPr>
            <w:r>
              <w:rPr>
                <w:b/>
                <w:color w:val="1C3A36"/>
                <w:sz w:val="15"/>
              </w:rPr>
              <w:t>30-40%</w:t>
            </w:r>
          </w:p>
        </w:tc>
        <w:tc>
          <w:tcPr>
            <w:tcW w:type="dxa" w:w="763"/>
            <w:shd w:val="clear" w:color="auto" w:fill="EAF0EE"/>
          </w:tcPr>
          <w:p>
            <w:pPr>
              <w:spacing w:after="20"/>
            </w:pPr>
            <w:r>
              <w:rPr>
                <w:b/>
                <w:color w:val="1C3A36"/>
                <w:sz w:val="15"/>
              </w:rPr>
              <w:t>40-50%</w:t>
            </w:r>
          </w:p>
        </w:tc>
        <w:tc>
          <w:tcPr>
            <w:tcW w:type="dxa" w:w="763"/>
            <w:shd w:val="clear" w:color="auto" w:fill="EAF0EE"/>
          </w:tcPr>
          <w:p>
            <w:pPr>
              <w:spacing w:after="20"/>
            </w:pPr>
            <w:r>
              <w:rPr>
                <w:b/>
                <w:color w:val="1C3A36"/>
                <w:sz w:val="15"/>
              </w:rPr>
              <w:t>50-60%</w:t>
            </w:r>
          </w:p>
        </w:tc>
        <w:tc>
          <w:tcPr>
            <w:tcW w:type="dxa" w:w="763"/>
            <w:shd w:val="clear" w:color="auto" w:fill="EAF0EE"/>
          </w:tcPr>
          <w:p>
            <w:pPr>
              <w:spacing w:after="20"/>
            </w:pPr>
            <w:r>
              <w:rPr>
                <w:b/>
                <w:color w:val="1C3A36"/>
                <w:sz w:val="15"/>
              </w:rPr>
              <w:t>60-70%</w:t>
            </w:r>
          </w:p>
        </w:tc>
        <w:tc>
          <w:tcPr>
            <w:tcW w:type="dxa" w:w="763"/>
            <w:shd w:val="clear" w:color="auto" w:fill="EAF0EE"/>
          </w:tcPr>
          <w:p>
            <w:pPr>
              <w:spacing w:after="20"/>
            </w:pPr>
            <w:r>
              <w:rPr>
                <w:b/>
                <w:color w:val="1C3A36"/>
                <w:sz w:val="15"/>
              </w:rPr>
              <w:t>70-80%</w:t>
            </w:r>
          </w:p>
        </w:tc>
        <w:tc>
          <w:tcPr>
            <w:tcW w:type="dxa" w:w="763"/>
            <w:shd w:val="clear" w:color="auto" w:fill="EAF0EE"/>
          </w:tcPr>
          <w:p>
            <w:pPr>
              <w:spacing w:after="20"/>
            </w:pPr>
            <w:r>
              <w:rPr>
                <w:b/>
                <w:color w:val="1C3A36"/>
                <w:sz w:val="15"/>
              </w:rPr>
              <w:t>80-90%</w:t>
            </w:r>
          </w:p>
        </w:tc>
        <w:tc>
          <w:tcPr>
            <w:tcW w:type="dxa" w:w="763"/>
            <w:shd w:val="clear" w:color="auto" w:fill="EAF0EE"/>
          </w:tcPr>
          <w:p>
            <w:pPr>
              <w:spacing w:after="20"/>
            </w:pPr>
            <w:r>
              <w:rPr>
                <w:b/>
                <w:color w:val="1C3A36"/>
                <w:sz w:val="15"/>
              </w:rPr>
              <w:t>90-100%</w:t>
            </w:r>
          </w:p>
        </w:tc>
      </w:tr>
      <w:tr>
        <w:tc>
          <w:tcPr>
            <w:tcW w:type="dxa" w:w="1944"/>
          </w:tcPr>
          <w:p>
            <w:pPr>
              <w:spacing w:after="20"/>
            </w:pPr>
            <w:r>
              <w:rPr>
                <w:color w:val="1C3A36"/>
                <w:sz w:val="15"/>
              </w:rPr>
              <w:t>Last five years</w:t>
            </w:r>
          </w:p>
        </w:tc>
        <w:tc>
          <w:tcPr>
            <w:tcW w:type="dxa" w:w="763"/>
          </w:tcPr>
          <w:p>
            <w:pPr>
              <w:spacing w:after="20"/>
              <w:jc w:val="right"/>
            </w:pPr>
            <w:r>
              <w:rPr>
                <w:color w:val="1C3A36"/>
                <w:sz w:val="15"/>
              </w:rPr>
              <w:t>2</w:t>
            </w:r>
          </w:p>
        </w:tc>
        <w:tc>
          <w:tcPr>
            <w:tcW w:type="dxa" w:w="763"/>
          </w:tcPr>
          <w:p>
            <w:pPr>
              <w:spacing w:after="20"/>
              <w:jc w:val="right"/>
            </w:pPr>
            <w:r>
              <w:rPr>
                <w:color w:val="1C3A36"/>
                <w:sz w:val="15"/>
              </w:rPr>
              <w:t>0</w:t>
            </w:r>
          </w:p>
        </w:tc>
        <w:tc>
          <w:tcPr>
            <w:tcW w:type="dxa" w:w="763"/>
          </w:tcPr>
          <w:p>
            <w:pPr>
              <w:spacing w:after="20"/>
              <w:jc w:val="right"/>
            </w:pPr>
            <w:r>
              <w:rPr>
                <w:color w:val="1C3A36"/>
                <w:sz w:val="15"/>
              </w:rPr>
              <w:t>3</w:t>
            </w:r>
          </w:p>
        </w:tc>
        <w:tc>
          <w:tcPr>
            <w:tcW w:type="dxa" w:w="763"/>
          </w:tcPr>
          <w:p>
            <w:pPr>
              <w:spacing w:after="20"/>
              <w:jc w:val="right"/>
            </w:pPr>
            <w:r>
              <w:rPr>
                <w:color w:val="1C3A36"/>
                <w:sz w:val="15"/>
              </w:rPr>
              <w:t>2</w:t>
            </w:r>
          </w:p>
        </w:tc>
        <w:tc>
          <w:tcPr>
            <w:tcW w:type="dxa" w:w="763"/>
          </w:tcPr>
          <w:p>
            <w:pPr>
              <w:spacing w:after="20"/>
              <w:jc w:val="right"/>
            </w:pPr>
            <w:r>
              <w:rPr>
                <w:color w:val="1C3A36"/>
                <w:sz w:val="15"/>
              </w:rPr>
              <w:t>0</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0</w:t>
            </w:r>
          </w:p>
        </w:tc>
      </w:tr>
      <w:tr>
        <w:tc>
          <w:tcPr>
            <w:tcW w:type="dxa" w:w="1944"/>
          </w:tcPr>
          <w:p>
            <w:pPr>
              <w:spacing w:after="20"/>
            </w:pPr>
            <w:r>
              <w:rPr>
                <w:color w:val="1C3A36"/>
                <w:sz w:val="15"/>
              </w:rPr>
              <w:t>Full history</w:t>
            </w:r>
          </w:p>
        </w:tc>
        <w:tc>
          <w:tcPr>
            <w:tcW w:type="dxa" w:w="763"/>
          </w:tcPr>
          <w:p>
            <w:pPr>
              <w:spacing w:after="20"/>
              <w:jc w:val="right"/>
            </w:pPr>
            <w:r>
              <w:rPr>
                <w:color w:val="1C3A36"/>
                <w:sz w:val="15"/>
              </w:rPr>
              <w:t>3</w:t>
            </w:r>
          </w:p>
        </w:tc>
        <w:tc>
          <w:tcPr>
            <w:tcW w:type="dxa" w:w="763"/>
          </w:tcPr>
          <w:p>
            <w:pPr>
              <w:spacing w:after="20"/>
              <w:jc w:val="right"/>
            </w:pPr>
            <w:r>
              <w:rPr>
                <w:color w:val="1C3A36"/>
                <w:sz w:val="15"/>
              </w:rPr>
              <w:t>5</w:t>
            </w:r>
          </w:p>
        </w:tc>
        <w:tc>
          <w:tcPr>
            <w:tcW w:type="dxa" w:w="763"/>
          </w:tcPr>
          <w:p>
            <w:pPr>
              <w:spacing w:after="20"/>
              <w:jc w:val="right"/>
            </w:pPr>
            <w:r>
              <w:rPr>
                <w:color w:val="1C3A36"/>
                <w:sz w:val="15"/>
              </w:rPr>
              <w:t>6</w:t>
            </w:r>
          </w:p>
        </w:tc>
        <w:tc>
          <w:tcPr>
            <w:tcW w:type="dxa" w:w="763"/>
          </w:tcPr>
          <w:p>
            <w:pPr>
              <w:spacing w:after="20"/>
              <w:jc w:val="right"/>
            </w:pPr>
            <w:r>
              <w:rPr>
                <w:color w:val="1C3A36"/>
                <w:sz w:val="15"/>
              </w:rPr>
              <w:t>5</w:t>
            </w:r>
          </w:p>
        </w:tc>
        <w:tc>
          <w:tcPr>
            <w:tcW w:type="dxa" w:w="763"/>
          </w:tcPr>
          <w:p>
            <w:pPr>
              <w:spacing w:after="20"/>
              <w:jc w:val="right"/>
            </w:pPr>
            <w:r>
              <w:rPr>
                <w:color w:val="1C3A36"/>
                <w:sz w:val="15"/>
              </w:rPr>
              <w:t>10</w:t>
            </w:r>
          </w:p>
        </w:tc>
        <w:tc>
          <w:tcPr>
            <w:tcW w:type="dxa" w:w="763"/>
          </w:tcPr>
          <w:p>
            <w:pPr>
              <w:spacing w:after="20"/>
              <w:jc w:val="right"/>
            </w:pPr>
            <w:r>
              <w:rPr>
                <w:color w:val="1C3A36"/>
                <w:sz w:val="15"/>
              </w:rPr>
              <w:t>5</w:t>
            </w:r>
          </w:p>
        </w:tc>
        <w:tc>
          <w:tcPr>
            <w:tcW w:type="dxa" w:w="763"/>
          </w:tcPr>
          <w:p>
            <w:pPr>
              <w:spacing w:after="20"/>
              <w:jc w:val="right"/>
            </w:pPr>
            <w:r>
              <w:rPr>
                <w:color w:val="1C3A36"/>
                <w:sz w:val="15"/>
              </w:rPr>
              <w:t>7</w:t>
            </w:r>
          </w:p>
        </w:tc>
        <w:tc>
          <w:tcPr>
            <w:tcW w:type="dxa" w:w="763"/>
          </w:tcPr>
          <w:p>
            <w:pPr>
              <w:spacing w:after="20"/>
              <w:jc w:val="right"/>
            </w:pPr>
            <w:r>
              <w:rPr>
                <w:color w:val="1C3A36"/>
                <w:sz w:val="15"/>
              </w:rPr>
              <w:t>4</w:t>
            </w:r>
          </w:p>
        </w:tc>
        <w:tc>
          <w:tcPr>
            <w:tcW w:type="dxa" w:w="763"/>
          </w:tcPr>
          <w:p>
            <w:pPr>
              <w:spacing w:after="20"/>
              <w:jc w:val="right"/>
            </w:pPr>
            <w:r>
              <w:rPr>
                <w:color w:val="1C3A36"/>
                <w:sz w:val="15"/>
              </w:rPr>
              <w:t>10</w:t>
            </w:r>
          </w:p>
        </w:tc>
        <w:tc>
          <w:tcPr>
            <w:tcW w:type="dxa" w:w="763"/>
          </w:tcPr>
          <w:p>
            <w:pPr>
              <w:spacing w:after="20"/>
              <w:jc w:val="right"/>
            </w:pPr>
            <w:r>
              <w:rPr>
                <w:color w:val="1C3A36"/>
                <w:sz w:val="15"/>
              </w:rPr>
              <w:t>1</w:t>
            </w:r>
          </w:p>
        </w:tc>
      </w:tr>
      <w:tr>
        <w:tc>
          <w:tcPr>
            <w:tcW w:type="dxa" w:w="1944"/>
          </w:tcPr>
          <w:p>
            <w:pPr>
              <w:spacing w:after="20"/>
            </w:pPr>
            <w:r>
              <w:rPr>
                <w:color w:val="1C3A36"/>
                <w:sz w:val="15"/>
              </w:rPr>
              <w:t>Post-break</w:t>
            </w:r>
          </w:p>
        </w:tc>
        <w:tc>
          <w:tcPr>
            <w:tcW w:type="dxa" w:w="763"/>
          </w:tcPr>
          <w:p>
            <w:pPr>
              <w:spacing w:after="20"/>
              <w:jc w:val="right"/>
            </w:pPr>
            <w:r>
              <w:rPr>
                <w:color w:val="1C3A36"/>
                <w:sz w:val="15"/>
              </w:rPr>
              <w:t>1</w:t>
            </w:r>
          </w:p>
        </w:tc>
        <w:tc>
          <w:tcPr>
            <w:tcW w:type="dxa" w:w="763"/>
          </w:tcPr>
          <w:p>
            <w:pPr>
              <w:spacing w:after="20"/>
              <w:jc w:val="right"/>
            </w:pPr>
            <w:r>
              <w:rPr>
                <w:color w:val="1C3A36"/>
                <w:sz w:val="15"/>
              </w:rPr>
              <w:t>0</w:t>
            </w:r>
          </w:p>
        </w:tc>
        <w:tc>
          <w:tcPr>
            <w:tcW w:type="dxa" w:w="763"/>
          </w:tcPr>
          <w:p>
            <w:pPr>
              <w:spacing w:after="20"/>
              <w:jc w:val="right"/>
            </w:pPr>
            <w:r>
              <w:rPr>
                <w:color w:val="1C3A36"/>
                <w:sz w:val="15"/>
              </w:rPr>
              <w:t>2</w:t>
            </w:r>
          </w:p>
        </w:tc>
        <w:tc>
          <w:tcPr>
            <w:tcW w:type="dxa" w:w="763"/>
          </w:tcPr>
          <w:p>
            <w:pPr>
              <w:spacing w:after="20"/>
              <w:jc w:val="right"/>
            </w:pPr>
            <w:r>
              <w:rPr>
                <w:color w:val="1C3A36"/>
                <w:sz w:val="15"/>
              </w:rPr>
              <w:t>1</w:t>
            </w:r>
          </w:p>
        </w:tc>
        <w:tc>
          <w:tcPr>
            <w:tcW w:type="dxa" w:w="763"/>
          </w:tcPr>
          <w:p>
            <w:pPr>
              <w:spacing w:after="20"/>
              <w:jc w:val="right"/>
            </w:pPr>
            <w:r>
              <w:rPr>
                <w:color w:val="1C3A36"/>
                <w:sz w:val="15"/>
              </w:rPr>
              <w:t>0</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3</w:t>
            </w:r>
          </w:p>
        </w:tc>
        <w:tc>
          <w:tcPr>
            <w:tcW w:type="dxa" w:w="763"/>
          </w:tcPr>
          <w:p>
            <w:pPr>
              <w:spacing w:after="20"/>
              <w:jc w:val="right"/>
            </w:pPr>
            <w:r>
              <w:rPr>
                <w:color w:val="1C3A36"/>
                <w:sz w:val="15"/>
              </w:rPr>
              <w:t>0</w:t>
            </w:r>
          </w:p>
        </w:tc>
      </w:tr>
    </w:tbl>
    <w:p>
      <w:pPr>
        <w:spacing w:after="40"/>
      </w:pPr>
    </w:p>
    <w:p>
      <w:pPr>
        <w:spacing w:after="200" w:before="0"/>
      </w:pPr>
      <w:r>
        <w:rPr>
          <w:b w:val="0"/>
          <w:i/>
          <w:color w:val="6E7B77"/>
          <w:sz w:val="17"/>
        </w:rPr>
        <w:t>Table B8 — where each window's realised outcome fell inside its own forecast distribution, in ten equal bins. A well-sized band spreads these evenly.</w:t>
      </w:r>
    </w:p>
    <w:p>
      <w:pPr>
        <w:spacing w:after="120" w:before="280"/>
      </w:pPr>
      <w:r>
        <w:rPr>
          <w:b/>
          <w:i w:val="0"/>
          <w:color w:val="1C3A36"/>
          <w:sz w:val="30"/>
        </w:rPr>
        <w:t>7. How to check this study</w:t>
      </w:r>
    </w:p>
    <w:p>
      <w:pPr>
        <w:spacing w:after="120" w:before="0"/>
      </w:pPr>
      <w:r>
        <w:rPr>
          <w:b w:val="0"/>
          <w:i w:val="0"/>
          <w:color w:val="1C3A36"/>
          <w:sz w:val="21"/>
        </w:rPr>
        <w:t>The valuation model is a live spreadsheet. Open the Assumptions sheet, change any driver, and the cost of capital, the discount-rate glide, the discount factors, the cash-flow waterfall, the terminal block, the three statements, the bridge and every ratio all move. Three classes of cell are pasted and the READ FIRST sheet names them: audited and disclosed history, the output of the unit build, and the whole-model re-run grids — the probability map and the sensitivity tables, which do NOT redraw when a driver changes.</w:t>
      </w:r>
    </w:p>
    <w:p>
      <w:pPr>
        <w:spacing w:after="120" w:before="0"/>
      </w:pPr>
      <w:r>
        <w:rPr>
          <w:b w:val="0"/>
          <w:i w:val="0"/>
          <w:color w:val="1C3A36"/>
          <w:sz w:val="21"/>
        </w:rPr>
        <w:t>The claim that the workbook calculates was tested on the delivered file rather than asserted. Every formula cell was independently recalculated and reconciled to the model that wrote it, and each input was perturbed in place to confirm the answer moves in the direction the mechanism implies. The evidence is reported in the study's quality-control 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