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9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Supplied price series</w:t>
            </w:r>
          </w:p>
        </w:tc>
        <w:tc>
          <w:tcPr>
            <w:tcW w:type="dxa" w:w="1368"/>
          </w:tcPr>
          <w:p>
            <w:pPr>
              <w:spacing w:after="20"/>
            </w:pPr>
            <w:r>
              <w:rPr>
                <w:color w:val="1C3A36"/>
                <w:sz w:val="16"/>
              </w:rPr>
              <w:t>to 5 August 2026</w:t>
            </w:r>
          </w:p>
        </w:tc>
        <w:tc>
          <w:tcPr>
            <w:tcW w:type="dxa" w:w="4680"/>
          </w:tcPr>
          <w:p>
            <w:pPr>
              <w:spacing w:after="20"/>
            </w:pPr>
            <w:r>
              <w:rPr>
                <w:color w:val="1C3A36"/>
                <w:sz w:val="16"/>
              </w:rPr>
              <w:t>The anchor price, the volatility estimate, the moving-average structure, the beta regression and the price distributions</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159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2026-05-13</w:t>
            </w:r>
          </w:p>
        </w:tc>
        <w:tc>
          <w:tcPr>
            <w:tcW w:type="dxa" w:w="5933"/>
          </w:tcPr>
          <w:p>
            <w:pPr>
              <w:spacing w:after="20"/>
            </w:pPr>
            <w:r>
              <w:rPr>
                <w:color w:val="1C3A36"/>
                <w:sz w:val="15"/>
              </w:rPr>
              <w:t>Issued and paid-up capital note (29), audited FY2025 consolidated financial statements and the Q1-2026 condensed interim statements: 2,140,777,876 shares of EGP 1 par value, unchanged across both filings</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of 25.9%</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[R-BRIDGE-01]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 [R-ENF-03]</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bl>
    <w:p>
      <w:pPr>
        <w:spacing w:after="40"/>
      </w:pPr>
    </w:p>
    <w:p>
      <w:pPr>
        <w:spacing w:after="60" w:before="160"/>
      </w:pPr>
      <w:r>
        <w:rPr>
          <w:b/>
          <w:i w:val="0"/>
          <w:color w:val="1C3A36"/>
          <w:sz w:val="22"/>
        </w:rPr>
        <w:t>Country layer — 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path</w:t>
            </w:r>
          </w:p>
        </w:tc>
        <w:tc>
          <w:tcPr>
            <w:tcW w:type="dxa" w:w="1368"/>
          </w:tcPr>
          <w:p>
            <w:pPr>
              <w:spacing w:after="20"/>
            </w:pPr>
            <w:r>
              <w:rPr>
                <w:color w:val="1C3A36"/>
                <w:sz w:val="15"/>
              </w:rPr>
              <w:t>51, 54, 57.5, 61, 64.5</w:t>
            </w:r>
          </w:p>
        </w:tc>
        <w:tc>
          <w:tcPr>
            <w:tcW w:type="dxa" w:w="1123"/>
          </w:tcPr>
          <w:p>
            <w:pPr>
              <w:spacing w:after="20"/>
            </w:pPr>
            <w:r>
              <w:rPr>
                <w:color w:val="1C3A36"/>
                <w:sz w:val="15"/>
              </w:rPr>
              <w:t>2026-08-05</w:t>
            </w:r>
          </w:p>
        </w:tc>
        <w:tc>
          <w:tcPr>
            <w:tcW w:type="dxa" w:w="5933"/>
          </w:tcPr>
          <w:p>
            <w:pPr>
              <w:spacing w:after="20"/>
            </w:pPr>
            <w:r>
              <w:rPr>
                <w:color w:val="1C3A36"/>
                <w:sz w:val="15"/>
              </w:rPr>
              <w:t>USD/EGP average-rate path, about 6%/yr of depreciation from the FY2025 average of 49.5. Used as a genuine driver of the Cables segment's copper-linked growth and of the currency-of-discounting alternative — not a translation convenience. DELIBERATELY BELOW covered-interest parity, which on the roughly 22% pound rate against a ~4-5% dollar rate implies materially faster depreciation; the base case assumes disinflation closes most of that gap. The parity case is carried as an explicit sensitivity</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2026-08-05</w:t>
            </w:r>
          </w:p>
        </w:tc>
        <w:tc>
          <w:tcPr>
            <w:tcW w:type="dxa" w:w="5933"/>
          </w:tcPr>
          <w:p>
            <w:pPr>
              <w:spacing w:after="20"/>
            </w:pPr>
            <w:r>
              <w:rPr>
                <w:color w:val="1C3A36"/>
                <w:sz w:val="15"/>
              </w:rPr>
              <w:t>Real (ex-copper, ex-FX) volume/market-share growth for the Cables segment — modest and flat, since the company does not disclose tonnage and the model should not manufacture a volume story it cannot evidence. Cables segment revenue growth = (1+copper growth)(1+FX growth)(1+this) - 1</w:t>
            </w:r>
          </w:p>
        </w:tc>
      </w:tr>
      <w:tr>
        <w:tc>
          <w:tcPr>
            <w:tcW w:type="dxa" w:w="1656"/>
          </w:tcPr>
          <w:p>
            <w:pPr>
              <w:spacing w:after="20"/>
            </w:pPr>
            <w:r>
              <w:rPr>
                <w:color w:val="1C3A36"/>
                <w:sz w:val="15"/>
              </w:rPr>
              <w:t>construct growth</w:t>
            </w:r>
          </w:p>
        </w:tc>
        <w:tc>
          <w:tcPr>
            <w:tcW w:type="dxa" w:w="1368"/>
          </w:tcPr>
          <w:p>
            <w:pPr>
              <w:spacing w:after="20"/>
            </w:pPr>
            <w:r>
              <w:rPr>
                <w:color w:val="1C3A36"/>
                <w:sz w:val="15"/>
              </w:rPr>
              <w:t>0.18, 0.14, 0.11, 0.09, 0.08</w:t>
            </w:r>
          </w:p>
        </w:tc>
        <w:tc>
          <w:tcPr>
            <w:tcW w:type="dxa" w:w="1123"/>
          </w:tcPr>
          <w:p>
            <w:pPr>
              <w:spacing w:after="20"/>
            </w:pPr>
            <w:r>
              <w:rPr>
                <w:color w:val="1C3A36"/>
                <w:sz w:val="15"/>
              </w:rPr>
              <w:t>2026-08-05</w:t>
            </w:r>
          </w:p>
        </w:tc>
        <w:tc>
          <w:tcPr>
            <w:tcW w:type="dxa" w:w="5933"/>
          </w:tcPr>
          <w:p>
            <w:pPr>
              <w:spacing w:after="20"/>
            </w:pPr>
            <w:r>
              <w:rPr>
                <w:color w:val="1C3A36"/>
                <w:sz w:val="15"/>
              </w:rPr>
              <w:t>Constructions segment revenue growth, tapering from the FY2025 disclosed rate of +28.3% (FY2024: +32.6%) toward a more sustainable long-run pace. No order book or backlog figure is disclosed in any of the AUDITED filings or the Q1-2026 interim -- but the ISSUER discloses one, in its own quarterly earnings releases, and this driver said for two editions that no such figure existed anywhere. The engineering and construction backlog runs EGP 196bn (Dec-24), 261, 276, 293 (Dec-25), 307 and 346bn at 30 June 2026, read off the Q2-2026 release; wires and cables 43.5bn and meters 8.8bn are disclosed beside it. The taper below is NOT built as a burn rate on that backlog and is not changed by it -- priced across its whole defensible range the taper is worth 0.17% of this study's gap to the market, because at a 9% segment margin against 20% working capital incremental Constructions revenue is very nearly free cash flow neutral. It is corrected because the sentence was false, not because the number moves [R-GAP-04]. So — unlike the previous build — this is NOT a burn-rate-on-a-backlog construction; it is a direct taper on the segment's own revenue history</w:t>
            </w:r>
          </w:p>
        </w:tc>
      </w:tr>
      <w:tr>
        <w:tc>
          <w:tcPr>
            <w:tcW w:type="dxa" w:w="1656"/>
          </w:tcPr>
          <w:p>
            <w:pPr>
              <w:spacing w:after="20"/>
            </w:pPr>
            <w:r>
              <w:rPr>
                <w:color w:val="1C3A36"/>
                <w:sz w:val="15"/>
              </w:rPr>
              <w:t>elecprod growth</w:t>
            </w:r>
          </w:p>
        </w:tc>
        <w:tc>
          <w:tcPr>
            <w:tcW w:type="dxa" w:w="1368"/>
          </w:tcPr>
          <w:p>
            <w:pPr>
              <w:spacing w:after="20"/>
            </w:pPr>
            <w:r>
              <w:rPr>
                <w:color w:val="1C3A36"/>
                <w:sz w:val="15"/>
              </w:rPr>
              <w:t>0.2, 0.16, 0.13, 0.11, 0.1</w:t>
            </w:r>
          </w:p>
        </w:tc>
        <w:tc>
          <w:tcPr>
            <w:tcW w:type="dxa" w:w="1123"/>
          </w:tcPr>
          <w:p>
            <w:pPr>
              <w:spacing w:after="20"/>
            </w:pPr>
            <w:r>
              <w:rPr>
                <w:color w:val="1C3A36"/>
                <w:sz w:val="15"/>
              </w:rPr>
              <w:t>2026-08-05</w:t>
            </w:r>
          </w:p>
        </w:tc>
        <w:tc>
          <w:tcPr>
            <w:tcW w:type="dxa" w:w="5933"/>
          </w:tcPr>
          <w:p>
            <w:pPr>
              <w:spacing w:after="20"/>
            </w:pPr>
            <w:r>
              <w:rPr>
                <w:color w:val="1C3A36"/>
                <w:sz w:val="15"/>
              </w:rPr>
              <w:t>Electrical products and digital solutions segment revenue growth, tapering from the FY2025 disclosed rate of +43.7% (FY2024: +46.6%) off a smaller revenue base</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Retained input, no longer consumed by the segment build (kept for downstream compatibility)</w:t>
            </w:r>
          </w:p>
        </w:tc>
      </w:tr>
      <w:tr>
        <w:tc>
          <w:tcPr>
            <w:tcW w:type="dxa" w:w="1656"/>
          </w:tcPr>
          <w:p>
            <w:pPr>
              <w:spacing w:after="20"/>
            </w:pPr>
            <w:r>
              <w:rPr>
                <w:color w:val="1C3A36"/>
                <w:sz w:val="15"/>
              </w:rPr>
              <w:t>nwc pct</w:t>
            </w:r>
          </w:p>
        </w:tc>
        <w:tc>
          <w:tcPr>
            <w:tcW w:type="dxa" w:w="1368"/>
          </w:tcPr>
          <w:p>
            <w:pPr>
              <w:spacing w:after="20"/>
            </w:pPr>
            <w:r>
              <w:rPr>
                <w:color w:val="1C3A36"/>
                <w:sz w:val="15"/>
              </w:rPr>
              <w:t>0.199</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held at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0.0125</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0.125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+ 5.50% = 12.50%.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w:t>
            </w:r>
          </w:p>
        </w:tc>
        <w:tc>
          <w:tcPr>
            <w:tcW w:type="dxa" w:w="1123"/>
          </w:tcPr>
          <w:p>
            <w:pPr>
              <w:spacing w:after="20"/>
            </w:pPr>
            <w:r>
              <w:rPr>
                <w:color w:val="1C3A36"/>
                <w:sz w:val="15"/>
              </w:rPr>
              <w:t>2026-09-04</w:t>
            </w:r>
          </w:p>
        </w:tc>
        <w:tc>
          <w:tcPr>
            <w:tcW w:type="dxa" w:w="5933"/>
          </w:tcPr>
          <w:p>
            <w:pPr>
              <w:spacing w:after="20"/>
            </w:pPr>
            <w:r>
              <w:rPr>
                <w:color w:val="1C3A36"/>
                <w:sz w:val="15"/>
              </w:rPr>
              <w:t>STATED real terminal growth: zero. A mature diversified industrial holding its real scale in perpetuity; real growth costs incremental capital and none is assumed. The nominal rate is DERIVED from this and the house path's terminal inflation, never quoted beside it</w:t>
            </w:r>
          </w:p>
        </w:tc>
      </w:tr>
      <w:tr>
        <w:tc>
          <w:tcPr>
            <w:tcW w:type="dxa" w:w="1656"/>
          </w:tcPr>
          <w:p>
            <w:pPr>
              <w:spacing w:after="20"/>
            </w:pPr>
            <w:r>
              <w:rPr>
                <w:color w:val="1C3A36"/>
                <w:sz w:val="15"/>
              </w:rPr>
              <w:t>g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Terminal NOMINAL growth, DERIVED rather than chosen: (1 + 0.0 real growth) x (1 + 7.0% long-run Egyptian inflation) - 1 = 7.0%. The house macroeconomic path is the only source of an inflation rate in this study. The first edition's 5.0% was struck against an assumed 5% inflation and was therefore a real decline of 1.87% a year in perpetuity</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5 August 2026;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The company reports only segment revenue (Note 5-3) and segment profit (Note 16) — no volumes, prices or backlog</w:t>
            </w:r>
          </w:p>
        </w:tc>
        <w:tc>
          <w:tcPr>
            <w:tcW w:type="dxa" w:w="4464"/>
          </w:tcPr>
          <w:p>
            <w:pPr>
              <w:spacing w:after="20"/>
            </w:pPr>
            <w:r>
              <w:rPr>
                <w:color w:val="1C3A36"/>
                <w:sz w:val="15"/>
              </w:rPr>
              <w:t>The forecast is built as a taper on each segment's own recent revenue CAGR and, for Cables, a copper-price and FX-translation driver, rather than a reconstructed unit model</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5 August 2026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