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Where the calibration stands</w:t>
      </w:r>
    </w:p>
    <w:p>
      <w:pPr>
        <w:spacing w:after="200"/>
      </w:pPr>
      <w:r>
        <w:rPr>
          <w:b/>
          <w:i w:val="0"/>
          <w:color w:val="1A1D21"/>
          <w:sz w:val="22"/>
        </w:rPr>
        <w:t>2 calibrated  ·  1 attempted and blocked  ·  87 still to go, of 90 names in the book.</w:t>
      </w:r>
    </w:p>
    <w:p>
      <w:pPr>
        <w:pStyle w:val="Heading2"/>
      </w:pPr>
      <w:r>
        <w:t>Stocks that have been calibrated</w:t>
      </w:r>
    </w:p>
    <w:p>
      <w:pPr>
        <w:spacing w:after="120"/>
      </w:pPr>
      <w:r>
        <w:rPr>
          <w:b w:val="0"/>
          <w:i/>
          <w:color w:val="5B6570"/>
          <w:sz w:val="18"/>
        </w:rPr>
        <w:t>Generated from the fair-value store, never typed — the same figures the fair-value register renders, so the two cannot disagree.</w:t>
      </w:r>
    </w:p>
    <w:tbl>
      <w:tblPr>
        <w:tblStyle w:val="TableGrid"/>
        <w:tblW w:type="auto" w:w="0"/>
        <w:jc w:val="center"/>
        <w:tblLayout w:type="fixed"/>
        <w:tblLook w:firstColumn="1" w:firstRow="1" w:lastColumn="0" w:lastRow="0" w:noHBand="0" w:noVBand="1" w:val="04A0"/>
        <w:tblLayout w:type="fixed"/>
      </w:tblPr>
      <w:tblGrid>
        <w:gridCol w:w="1134"/>
        <w:gridCol w:w="1247"/>
        <w:gridCol w:w="3062"/>
        <w:gridCol w:w="1644"/>
        <w:gridCol w:w="1644"/>
        <w:gridCol w:w="1021"/>
      </w:tblGrid>
      <w:tr>
        <w:tc>
          <w:tcPr>
            <w:tcW w:type="dxa" w:w="1134"/>
          </w:tcPr>
          <w:p>
            <w:r/>
            <w:r>
              <w:rPr>
                <w:b/>
                <w:color w:val="5B6570"/>
                <w:sz w:val="18"/>
              </w:rPr>
              <w:t>Stock</w:t>
            </w:r>
          </w:p>
        </w:tc>
        <w:tc>
          <w:tcPr>
            <w:tcW w:type="dxa" w:w="1247"/>
          </w:tcPr>
          <w:p>
            <w:r/>
            <w:r>
              <w:rPr>
                <w:b/>
                <w:color w:val="5B6570"/>
                <w:sz w:val="18"/>
              </w:rPr>
              <w:t>Market</w:t>
            </w:r>
          </w:p>
        </w:tc>
        <w:tc>
          <w:tcPr>
            <w:tcW w:type="dxa" w:w="3061"/>
          </w:tcPr>
          <w:p>
            <w:r/>
            <w:r>
              <w:rPr>
                <w:b/>
                <w:color w:val="5B6570"/>
                <w:sz w:val="18"/>
              </w:rPr>
              <w:t>Class</w:t>
            </w:r>
          </w:p>
        </w:tc>
        <w:tc>
          <w:tcPr>
            <w:tcW w:type="dxa" w:w="1644"/>
          </w:tcPr>
          <w:p>
            <w:r/>
            <w:r>
              <w:rPr>
                <w:b/>
                <w:color w:val="5B6570"/>
                <w:sz w:val="18"/>
              </w:rPr>
              <w:t>Fair price before</w:t>
            </w:r>
          </w:p>
        </w:tc>
        <w:tc>
          <w:tcPr>
            <w:tcW w:type="dxa" w:w="1644"/>
          </w:tcPr>
          <w:p>
            <w:r/>
            <w:r>
              <w:rPr>
                <w:b/>
                <w:color w:val="5B6570"/>
                <w:sz w:val="18"/>
              </w:rPr>
              <w:t>Fair price after</w:t>
            </w:r>
          </w:p>
        </w:tc>
        <w:tc>
          <w:tcPr>
            <w:tcW w:type="dxa" w:w="1020"/>
          </w:tcPr>
          <w:p>
            <w:r/>
            <w:r>
              <w:rPr>
                <w:b/>
                <w:color w:val="5B6570"/>
                <w:sz w:val="18"/>
              </w:rPr>
              <w:t>Move</w:t>
            </w:r>
          </w:p>
        </w:tc>
      </w:tr>
      <w:tr>
        <w:tc>
          <w:tcPr>
            <w:tcW w:type="dxa" w:w="1134"/>
          </w:tcPr>
          <w:p>
            <w:r/>
            <w:r>
              <w:rPr>
                <w:color w:val="1A1D21"/>
                <w:sz w:val="18"/>
              </w:rPr>
              <w:t>PHDC</w:t>
            </w:r>
          </w:p>
        </w:tc>
        <w:tc>
          <w:tcPr>
            <w:tcW w:type="dxa" w:w="1247"/>
          </w:tcPr>
          <w:p>
            <w:r/>
            <w:r>
              <w:rPr>
                <w:color w:val="1A1D21"/>
                <w:sz w:val="18"/>
              </w:rPr>
              <w:t>EG / EGX</w:t>
            </w:r>
          </w:p>
        </w:tc>
        <w:tc>
          <w:tcPr>
            <w:tcW w:type="dxa" w:w="3061"/>
          </w:tcPr>
          <w:p>
            <w:r/>
            <w:r>
              <w:rPr>
                <w:color w:val="1A1D21"/>
                <w:sz w:val="18"/>
              </w:rPr>
              <w:t>real-estate developer, off-plan, percentage-of-completion</w:t>
            </w:r>
          </w:p>
        </w:tc>
        <w:tc>
          <w:tcPr>
            <w:tcW w:type="dxa" w:w="1644"/>
          </w:tcPr>
          <w:p>
            <w:r/>
            <w:r>
              <w:rPr>
                <w:color w:val="1A1D21"/>
                <w:sz w:val="18"/>
              </w:rPr>
              <w:t>EGP 7.62 – 24.92  (central 15.89)</w:t>
            </w:r>
          </w:p>
        </w:tc>
        <w:tc>
          <w:tcPr>
            <w:tcW w:type="dxa" w:w="1644"/>
          </w:tcPr>
          <w:p>
            <w:r/>
            <w:r>
              <w:rPr>
                <w:color w:val="1A1D21"/>
                <w:sz w:val="18"/>
              </w:rPr>
              <w:t>EGP 4.6 – 23.33  (central 10.94)</w:t>
            </w:r>
          </w:p>
        </w:tc>
        <w:tc>
          <w:tcPr>
            <w:tcW w:type="dxa" w:w="1020"/>
          </w:tcPr>
          <w:p>
            <w:r/>
            <w:r>
              <w:rPr>
                <w:color w:val="1A1D21"/>
                <w:sz w:val="18"/>
              </w:rPr>
              <w:t>-31.2%</w:t>
            </w:r>
          </w:p>
        </w:tc>
      </w:tr>
      <w:tr>
        <w:tc>
          <w:tcPr>
            <w:tcW w:type="dxa" w:w="1134"/>
          </w:tcPr>
          <w:p>
            <w:r/>
            <w:r>
              <w:rPr>
                <w:color w:val="1A1D21"/>
                <w:sz w:val="18"/>
              </w:rPr>
              <w:t>TMGH</w:t>
            </w:r>
          </w:p>
        </w:tc>
        <w:tc>
          <w:tcPr>
            <w:tcW w:type="dxa" w:w="1247"/>
          </w:tcPr>
          <w:p>
            <w:r/>
            <w:r>
              <w:rPr>
                <w:color w:val="1A1D21"/>
                <w:sz w:val="18"/>
              </w:rPr>
              <w:t>EG / EGX</w:t>
            </w:r>
          </w:p>
        </w:tc>
        <w:tc>
          <w:tcPr>
            <w:tcW w:type="dxa" w:w="3061"/>
          </w:tcPr>
          <w:p>
            <w:r/>
            <w:r>
              <w:rPr>
                <w:color w:val="1A1D21"/>
                <w:sz w:val="18"/>
              </w:rPr>
              <w:t>real-estate developer, off-plan, point-in-time on handover</w:t>
            </w:r>
          </w:p>
        </w:tc>
        <w:tc>
          <w:tcPr>
            <w:tcW w:type="dxa" w:w="1644"/>
          </w:tcPr>
          <w:p>
            <w:r/>
            <w:r>
              <w:rPr>
                <w:color w:val="1A1D21"/>
                <w:sz w:val="18"/>
              </w:rPr>
              <w:t>EGP 83.6 – 189.6  (central 147.12)</w:t>
            </w:r>
          </w:p>
        </w:tc>
        <w:tc>
          <w:tcPr>
            <w:tcW w:type="dxa" w:w="1644"/>
          </w:tcPr>
          <w:p>
            <w:r/>
            <w:r>
              <w:rPr>
                <w:color w:val="1A1D21"/>
                <w:sz w:val="18"/>
              </w:rPr>
              <w:t>EGP 51.4 – 82.83  (central 68.73)</w:t>
            </w:r>
          </w:p>
        </w:tc>
        <w:tc>
          <w:tcPr>
            <w:tcW w:type="dxa" w:w="1020"/>
          </w:tcPr>
          <w:p>
            <w:r/>
            <w:r>
              <w:rPr>
                <w:color w:val="1A1D21"/>
                <w:sz w:val="18"/>
              </w:rPr>
              <w:t>-53.3%</w:t>
            </w:r>
          </w:p>
        </w:tc>
      </w:tr>
    </w:tbl>
    <w:p/>
    <w:p>
      <w:pPr>
        <w:spacing w:after="120"/>
      </w:pPr>
      <w:r>
        <w:rPr>
          <w:b w:val="0"/>
          <w:i w:val="0"/>
          <w:color w:val="5B6570"/>
          <w:sz w:val="18"/>
        </w:rPr>
        <w:t>PHDC — before-calibration price recovered from assets/data.js history: unchanged across all 281 commits touching that file between 11-Jun-2026 and 01-Sep-2026. The original record declared it unrecoverable on the evidence of a SHALLOW clone holding 23 commits; unshallowing the repository resolved it. An empty result was read as a clean one..</w:t>
      </w:r>
    </w:p>
    <w:p>
      <w:pPr>
        <w:spacing w:after="120"/>
      </w:pPr>
      <w:r>
        <w:rPr>
          <w:b w:val="0"/>
          <w:i w:val="0"/>
          <w:color w:val="5B6570"/>
          <w:sz w:val="18"/>
        </w:rPr>
        <w:t>The fair price is the central case. Where a study publishes several cases and no single point, this column carries the median of them so the before-and-after can be compared at all; the study's own range is the thing to quote, never this cell.</w:t>
      </w:r>
    </w:p>
    <w:p>
      <w:pPr>
        <w:pStyle w:val="Heading2"/>
      </w:pPr>
      <w:r>
        <w:t>Stocks we tried to calibrate and could not</w:t>
      </w:r>
    </w:p>
    <w:p>
      <w:pPr>
        <w:spacing w:after="120"/>
      </w:pPr>
      <w:r>
        <w:rPr>
          <w:b w:val="0"/>
          <w:i/>
          <w:color w:val="5B6570"/>
          <w:sz w:val="18"/>
        </w:rPr>
        <w:t>A run that stopped is evidence too. Leaving these out would make the list above read as though nothing else was attempted.</w:t>
      </w:r>
    </w:p>
    <w:p>
      <w:pPr>
        <w:spacing w:after="60"/>
      </w:pPr>
      <w:r>
        <w:rPr>
          <w:b/>
          <w:i w:val="0"/>
          <w:color w:val="1A1D21"/>
          <w:sz w:val="22"/>
        </w:rPr>
        <w:t>EMFD — Emaar Misr for Development Company (S.A.E.)</w:t>
      </w:r>
    </w:p>
    <w:p>
      <w:pPr>
        <w:spacing w:after="80"/>
      </w:pPr>
      <w:r>
        <w:rPr>
          <w:b/>
          <w:i w:val="0"/>
          <w:color w:val="B03A2E"/>
          <w:sz w:val="20"/>
        </w:rPr>
        <w:t>Blocked at [R-FCAL-01] section 1 — source integrity. the three most recent fiscal years cannot be obtained from the company's own audited statements or its own investor-relations documents.</w:t>
      </w:r>
    </w:p>
    <w:p>
      <w:pPr>
        <w:spacing w:after="120"/>
      </w:pPr>
      <w:r>
        <w:rPr>
          <w:b w:val="0"/>
          <w:i w:val="0"/>
          <w:color w:val="1A1D21"/>
          <w:sz w:val="20"/>
        </w:rPr>
        <w:t>The company's investor-relations archive publishes financial statements from FY2013 to H1-2021 and then stops. Everything from FY2021 onward — the three most recent fiscal years and every quarter of the current one — is absent from it. The exchange holds the later filings and answers automated requests with an anti-bot page. The company's own embedded IR platform declares its data service on port 8080, which this environment's egress does not carry; the same host answers normally on the standard port, so the restriction is ours and not the company's. Aggregator figures for the missing years are readily available and were deliberately not used, because a data vendor may not be the source of a company's own reported historicals — a training record built on them would measure our method against somebody else's transcription.</w:t>
      </w:r>
    </w:p>
    <w:p>
      <w:pPr>
        <w:spacing w:after="40"/>
      </w:pPr>
      <w:r>
        <w:rPr>
          <w:b/>
          <w:i w:val="0"/>
          <w:color w:val="1A1D21"/>
          <w:sz w:val="19"/>
        </w:rPr>
        <w:t>What would unblock it:</w:t>
      </w:r>
    </w:p>
    <w:p>
      <w:pPr>
        <w:spacing w:after="40"/>
        <w:ind w:left="283"/>
      </w:pPr>
      <w:r>
        <w:rPr>
          <w:b w:val="0"/>
          <w:i w:val="0"/>
          <w:color w:val="1A1D21"/>
          <w:sz w:val="19"/>
        </w:rPr>
        <w:t>•  Audited annual financial statements for FY2023, FY2024 and FY2025</w:t>
      </w:r>
    </w:p>
    <w:p>
      <w:pPr>
        <w:spacing w:after="40"/>
        <w:ind w:left="283"/>
      </w:pPr>
      <w:r>
        <w:rPr>
          <w:b w:val="0"/>
          <w:i w:val="0"/>
          <w:color w:val="1A1D21"/>
          <w:sz w:val="19"/>
        </w:rPr>
        <w:t>•  Every disclosed quarter of FY2026 (reviewed interim statements)</w:t>
      </w:r>
    </w:p>
    <w:p>
      <w:pPr>
        <w:spacing w:after="40"/>
        <w:ind w:left="283"/>
      </w:pPr>
      <w:r>
        <w:rPr>
          <w:b w:val="0"/>
          <w:i w:val="0"/>
          <w:color w:val="1A1D21"/>
          <w:sz w:val="19"/>
        </w:rPr>
        <w:t>•  Results releases or investor presentations for those same periods — the statements carry no unit counts</w:t>
      </w:r>
    </w:p>
    <w:p>
      <w:pPr>
        <w:spacing w:after="120"/>
      </w:pPr>
      <w:r>
        <w:rPr>
          <w:b w:val="0"/>
          <w:i w:val="0"/>
          <w:color w:val="5B6570"/>
          <w:sz w:val="19"/>
        </w:rPr>
        <w:t>And what would still be missing.  Even with those documents the middle of the window stays hollow: delivered-unit counts exist for FY2015-FY2017 and for FY2018, FY2019 and FY2020 they appear nowhere on the company's register, so the three drivers that carry this class are unscoreable across those years and interpolating a count is not permitted.</w:t>
      </w:r>
    </w:p>
    <w:p>
      <w:pPr>
        <w:spacing w:after="120"/>
      </w:pPr>
      <w:r>
        <w:rPr>
          <w:b w:val="0"/>
          <w:i w:val="0"/>
          <w:color w:val="5B6570"/>
          <w:sz w:val="19"/>
        </w:rPr>
        <w:t>What was learned anyway.  The panel that could be built was built and footed — profit or loss FY2012-FY2020, balance sheet FY2016-FY2020 — and eleven lessons came out of it. They are recorded as found while building, not as walk-forward findings, because no forecast was ever scored.  (L-034, L-035, L-036, L-037, L-038, L-039, L-040, L-041, L-042, L-115, L-116)</w:t>
      </w:r>
    </w:p>
    <w:p>
      <w:pPr>
        <w:spacing w:after="120"/>
      </w:pPr>
      <w:r>
        <w:rPr>
          <w:b w:val="0"/>
          <w:i w:val="0"/>
          <w:color w:val="5B6570"/>
          <w:sz w:val="19"/>
        </w:rPr>
        <w:t>What could not be recorded.  Company-specific findings could not be filed at single-company scope, because such a lesson must name a real study directory and engine/emfd_study/ does not exist. They are held in this directory and in the Fundamental Driver Ledger until it does.</w:t>
      </w:r>
    </w:p>
    <w:p>
      <w:pPr>
        <w:pStyle w:val="Heading2"/>
      </w:pPr>
      <w:r>
        <w:t>Stocks still to be calibrated</w:t>
      </w:r>
    </w:p>
    <w:p>
      <w:pPr>
        <w:spacing w:after="120"/>
      </w:pPr>
      <w:r>
        <w:rPr>
          <w:b w:val="0"/>
          <w:i/>
          <w:color w:val="5B6570"/>
          <w:sz w:val="18"/>
        </w:rPr>
        <w:t>Resolved from the campaign queue at the moment this document was built, in the order the campaign runs them — never written down and kept by hand. A name leaves this list the moment its run exists.</w:t>
      </w:r>
    </w:p>
    <w:tbl>
      <w:tblPr>
        <w:tblStyle w:val="TableGrid"/>
        <w:tblW w:type="auto" w:w="0"/>
        <w:jc w:val="center"/>
        <w:tblLayout w:type="fixed"/>
        <w:tblLook w:firstColumn="1" w:firstRow="1" w:lastColumn="0" w:lastRow="0" w:noHBand="0" w:noVBand="1" w:val="04A0"/>
        <w:tblLayout w:type="fixed"/>
      </w:tblPr>
      <w:tblGrid>
        <w:gridCol w:w="2041"/>
        <w:gridCol w:w="794"/>
        <w:gridCol w:w="6917"/>
      </w:tblGrid>
      <w:tr>
        <w:tc>
          <w:tcPr>
            <w:tcW w:type="dxa" w:w="2041"/>
          </w:tcPr>
          <w:p>
            <w:r/>
            <w:r>
              <w:rPr>
                <w:b/>
                <w:color w:val="5B6570"/>
                <w:sz w:val="18"/>
              </w:rPr>
              <w:t>Market</w:t>
            </w:r>
          </w:p>
        </w:tc>
        <w:tc>
          <w:tcPr>
            <w:tcW w:type="dxa" w:w="794"/>
          </w:tcPr>
          <w:p>
            <w:r/>
            <w:r>
              <w:rPr>
                <w:b/>
                <w:color w:val="5B6570"/>
                <w:sz w:val="18"/>
              </w:rPr>
              <w:t>To go</w:t>
            </w:r>
          </w:p>
        </w:tc>
        <w:tc>
          <w:tcPr>
            <w:tcW w:type="dxa" w:w="6917"/>
          </w:tcPr>
          <w:p>
            <w:r/>
            <w:r>
              <w:rPr>
                <w:b/>
                <w:color w:val="5B6570"/>
                <w:sz w:val="18"/>
              </w:rPr>
              <w:t>Names, in queue order</w:t>
            </w:r>
          </w:p>
        </w:tc>
      </w:tr>
      <w:tr>
        <w:tc>
          <w:tcPr>
            <w:tcW w:type="dxa" w:w="2041"/>
          </w:tcPr>
          <w:p>
            <w:r/>
            <w:r>
              <w:rPr>
                <w:color w:val="1A1D21"/>
                <w:sz w:val="18"/>
              </w:rPr>
              <w:t>Egypt / EGX</w:t>
            </w:r>
          </w:p>
        </w:tc>
        <w:tc>
          <w:tcPr>
            <w:tcW w:type="dxa" w:w="794"/>
          </w:tcPr>
          <w:p>
            <w:r/>
            <w:r>
              <w:rPr>
                <w:color w:val="1A1D21"/>
                <w:sz w:val="18"/>
              </w:rPr>
              <w:t>34</w:t>
            </w:r>
          </w:p>
        </w:tc>
        <w:tc>
          <w:tcPr>
            <w:tcW w:type="dxa" w:w="6917"/>
          </w:tcPr>
          <w:p>
            <w:r/>
            <w:r>
              <w:rPr>
                <w:color w:val="1A1D21"/>
                <w:sz w:val="18"/>
              </w:rPr>
              <w:t>AMOC, ARCC, EGCH, ELEC, GBCO, PHAR, SCEM, SWDY, ABUK, ADIB, BTFH, CCAP, CLHO, COMI, DSCW, EFID, EFIH, EGAL, ETEL, FWRY, HELI, HRHO, ISPH, JUFO, KABO, LCSW, OCDI, OIH, ORAS, ORHD, ORWE, PRDC, RAYA, RMDA</w:t>
            </w:r>
          </w:p>
        </w:tc>
      </w:tr>
      <w:tr>
        <w:tc>
          <w:tcPr>
            <w:tcW w:type="dxa" w:w="2041"/>
          </w:tcPr>
          <w:p>
            <w:r/>
            <w:r>
              <w:rPr>
                <w:color w:val="1A1D21"/>
                <w:sz w:val="18"/>
              </w:rPr>
              <w:t>UAE / ADX + DFM</w:t>
            </w:r>
          </w:p>
        </w:tc>
        <w:tc>
          <w:tcPr>
            <w:tcW w:type="dxa" w:w="794"/>
          </w:tcPr>
          <w:p>
            <w:r/>
            <w:r>
              <w:rPr>
                <w:color w:val="1A1D21"/>
                <w:sz w:val="18"/>
              </w:rPr>
              <w:t>28</w:t>
            </w:r>
          </w:p>
        </w:tc>
        <w:tc>
          <w:tcPr>
            <w:tcW w:type="dxa" w:w="6917"/>
          </w:tcPr>
          <w:p>
            <w:r/>
            <w:r>
              <w:rPr>
                <w:color w:val="1A1D21"/>
                <w:sz w:val="18"/>
              </w:rPr>
              <w:t>ADNOCDIST, ADNOCDRILL, ADNOCLS, AIRARABIA, AMR, BOROUGE, DU, EMPOWER, FERTIGLB, MODON, 2POINTZERO, ADCB, ADIBUAE, ADNOCGAS, AGTHIA, ALDAR, ALPHADHABI, BURJEEL, DEWA, DIB, EAND, EMAAR, EMAARDEV, ENBD, FAB, IHC, LULU, SALIK</w:t>
            </w:r>
          </w:p>
        </w:tc>
      </w:tr>
      <w:tr>
        <w:tc>
          <w:tcPr>
            <w:tcW w:type="dxa" w:w="2041"/>
          </w:tcPr>
          <w:p>
            <w:r/>
            <w:r>
              <w:rPr>
                <w:color w:val="1A1D21"/>
                <w:sz w:val="18"/>
              </w:rPr>
              <w:t>Saudi Arabia / Tadawul</w:t>
            </w:r>
          </w:p>
        </w:tc>
        <w:tc>
          <w:tcPr>
            <w:tcW w:type="dxa" w:w="794"/>
          </w:tcPr>
          <w:p>
            <w:r/>
            <w:r>
              <w:rPr>
                <w:color w:val="1A1D21"/>
                <w:sz w:val="18"/>
              </w:rPr>
              <w:t>13</w:t>
            </w:r>
          </w:p>
        </w:tc>
        <w:tc>
          <w:tcPr>
            <w:tcW w:type="dxa" w:w="6917"/>
          </w:tcPr>
          <w:p>
            <w:r/>
            <w:r>
              <w:rPr>
                <w:color w:val="1A1D21"/>
                <w:sz w:val="18"/>
              </w:rPr>
              <w:t>RIYADHCABLE, SAVOLA, STC, ACWA, ALINMA, ALRAJHI, ARAMCO, ELM, EXTRA, MAADEN, RIBL, SABIC, SNB</w:t>
            </w:r>
          </w:p>
        </w:tc>
      </w:tr>
      <w:tr>
        <w:tc>
          <w:tcPr>
            <w:tcW w:type="dxa" w:w="2041"/>
          </w:tcPr>
          <w:p>
            <w:r/>
            <w:r>
              <w:rPr>
                <w:color w:val="1A1D21"/>
                <w:sz w:val="18"/>
              </w:rPr>
              <w:t>Qatar / QSE</w:t>
            </w:r>
          </w:p>
        </w:tc>
        <w:tc>
          <w:tcPr>
            <w:tcW w:type="dxa" w:w="794"/>
          </w:tcPr>
          <w:p>
            <w:r/>
            <w:r>
              <w:rPr>
                <w:color w:val="1A1D21"/>
                <w:sz w:val="18"/>
              </w:rPr>
              <w:t>3</w:t>
            </w:r>
          </w:p>
        </w:tc>
        <w:tc>
          <w:tcPr>
            <w:tcW w:type="dxa" w:w="6917"/>
          </w:tcPr>
          <w:p>
            <w:r/>
            <w:r>
              <w:rPr>
                <w:color w:val="1A1D21"/>
                <w:sz w:val="18"/>
              </w:rPr>
              <w:t>IQCD, QGTS, QNB</w:t>
            </w:r>
          </w:p>
        </w:tc>
      </w:tr>
      <w:tr>
        <w:tc>
          <w:tcPr>
            <w:tcW w:type="dxa" w:w="2041"/>
          </w:tcPr>
          <w:p>
            <w:r/>
            <w:r>
              <w:rPr>
                <w:color w:val="1A1D21"/>
                <w:sz w:val="18"/>
              </w:rPr>
              <w:t>India / NSE</w:t>
            </w:r>
          </w:p>
        </w:tc>
        <w:tc>
          <w:tcPr>
            <w:tcW w:type="dxa" w:w="794"/>
          </w:tcPr>
          <w:p>
            <w:r/>
            <w:r>
              <w:rPr>
                <w:color w:val="1A1D21"/>
                <w:sz w:val="18"/>
              </w:rPr>
              <w:t>3</w:t>
            </w:r>
          </w:p>
        </w:tc>
        <w:tc>
          <w:tcPr>
            <w:tcW w:type="dxa" w:w="6917"/>
          </w:tcPr>
          <w:p>
            <w:r/>
            <w:r>
              <w:rPr>
                <w:color w:val="1A1D21"/>
                <w:sz w:val="18"/>
              </w:rPr>
              <w:t>INFY, RELIANCE, TMPV</w:t>
            </w:r>
          </w:p>
        </w:tc>
      </w:tr>
      <w:tr>
        <w:tc>
          <w:tcPr>
            <w:tcW w:type="dxa" w:w="2041"/>
          </w:tcPr>
          <w:p>
            <w:r/>
            <w:r>
              <w:rPr>
                <w:color w:val="1A1D21"/>
                <w:sz w:val="18"/>
              </w:rPr>
              <w:t>Korea / KRX</w:t>
            </w:r>
          </w:p>
        </w:tc>
        <w:tc>
          <w:tcPr>
            <w:tcW w:type="dxa" w:w="794"/>
          </w:tcPr>
          <w:p>
            <w:r/>
            <w:r>
              <w:rPr>
                <w:color w:val="1A1D21"/>
                <w:sz w:val="18"/>
              </w:rPr>
              <w:t>3</w:t>
            </w:r>
          </w:p>
        </w:tc>
        <w:tc>
          <w:tcPr>
            <w:tcW w:type="dxa" w:w="6917"/>
          </w:tcPr>
          <w:p>
            <w:r/>
            <w:r>
              <w:rPr>
                <w:color w:val="1A1D21"/>
                <w:sz w:val="18"/>
              </w:rPr>
              <w:t>KAKAO, LGES, SAMSUNG</w:t>
            </w:r>
          </w:p>
        </w:tc>
      </w:tr>
      <w:tr>
        <w:tc>
          <w:tcPr>
            <w:tcW w:type="dxa" w:w="2041"/>
          </w:tcPr>
          <w:p>
            <w:r/>
            <w:r>
              <w:rPr>
                <w:color w:val="1A1D21"/>
                <w:sz w:val="18"/>
              </w:rPr>
              <w:t>United States / NASDAQ</w:t>
            </w:r>
          </w:p>
        </w:tc>
        <w:tc>
          <w:tcPr>
            <w:tcW w:type="dxa" w:w="794"/>
          </w:tcPr>
          <w:p>
            <w:r/>
            <w:r>
              <w:rPr>
                <w:color w:val="1A1D21"/>
                <w:sz w:val="18"/>
              </w:rPr>
              <w:t>3</w:t>
            </w:r>
          </w:p>
        </w:tc>
        <w:tc>
          <w:tcPr>
            <w:tcW w:type="dxa" w:w="6917"/>
          </w:tcPr>
          <w:p>
            <w:r/>
            <w:r>
              <w:rPr>
                <w:color w:val="1A1D21"/>
                <w:sz w:val="18"/>
              </w:rPr>
              <w:t>AAPL, NVDA, TSLA</w:t>
            </w:r>
          </w:p>
        </w:tc>
      </w:tr>
    </w:tbl>
    <w:p/>
    <w:p>
      <w:pPr>
        <w:spacing w:after="120"/>
      </w:pPr>
      <w:r>
        <w:rPr>
          <w:b w:val="0"/>
          <w:i w:val="0"/>
          <w:color w:val="5B6570"/>
          <w:sz w:val="18"/>
        </w:rPr>
        <w:t>3 names excluded from the campaign by construction (GOLD, SILVER, PLATINUM): no issuer, no financial statements and no drivers, so there is no forecasting method to test.</w:t>
      </w:r>
    </w:p>
    <w:p>
      <w:pPr>
        <w:spacing w:after="120"/>
      </w:pPr>
      <w:r>
        <w:rPr>
          <w:b w:val="0"/>
          <w:i w:val="0"/>
          <w:color w:val="5B6570"/>
          <w:sz w:val="18"/>
        </w:rPr>
        <w:t>The campaign stops after the first market to review whether the method generalises before the next begins, so this list is an order rather than a schedule.</w:t>
      </w:r>
    </w:p>
    <w:p>
      <w:r>
        <w:br w:type="page"/>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53</w:t>
            </w:r>
          </w:p>
        </w:tc>
      </w:tr>
      <w:tr>
        <w:tc>
          <w:tcPr>
            <w:tcW w:type="dxa" w:w="6236"/>
          </w:tcPr>
          <w:p>
            <w:r/>
            <w:r>
              <w:rPr>
                <w:color w:val="1A1D21"/>
                <w:sz w:val="18"/>
              </w:rPr>
              <w:t>Bind on a class of company (CLASS)</w:t>
            </w:r>
          </w:p>
        </w:tc>
        <w:tc>
          <w:tcPr>
            <w:tcW w:type="dxa" w:w="2721"/>
          </w:tcPr>
          <w:p>
            <w:r/>
            <w:r>
              <w:rPr>
                <w:color w:val="1A1D21"/>
                <w:sz w:val="18"/>
              </w:rPr>
              <w:t>19</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77</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21</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37</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2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(24):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L-119 — A developer's land is the asset, and a cash-flow model credits most of it at nothing.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checklist that counts sections never asks whether the method was right.</w:t>
      </w:r>
    </w:p>
    <w:p>
      <w:pPr>
        <w:keepNext/>
        <w:spacing w:after="100"/>
      </w:pPr>
      <w:r>
        <w:rPr>
          <w:b/>
          <w:color w:val="1D6FA3"/>
          <w:sz w:val="16"/>
        </w:rPr>
        <w:t>EVERY STUDY</w:t>
      </w:r>
      <w:r>
        <w:rPr>
          <w:color w:val="5B6570"/>
          <w:sz w:val="16"/>
        </w:rPr>
        <w:t xml:space="preserve">   applies to every study   ·   learned from a found while building, TMGH study, 1 September 2026</w:t>
      </w:r>
    </w:p>
    <w:p>
      <w:pPr>
        <w:spacing w:after="100"/>
      </w:pPr>
      <w:r>
        <w:rPr>
          <w:b w:val="0"/>
          <w:i w:val="0"/>
          <w:color w:val="1A1D21"/>
          <w:sz w:val="21"/>
        </w:rPr>
        <w:t>Verifying that a report has all its parts tells you nothing about whether the company was valued the way that kind of company should be valued. Those are different questions, and the second one is the one that decides the answer.</w:t>
      </w:r>
    </w:p>
    <w:p>
      <w:pPr>
        <w:spacing w:after="60"/>
        <w:ind w:left="283"/>
      </w:pPr>
      <w:r>
        <w:rPr>
          <w:b w:val="0"/>
          <w:i w:val="0"/>
          <w:color w:val="5B6570"/>
          <w:sz w:val="19"/>
        </w:rPr>
        <w:t>How we know.  A real-estate developer shipped with no asset-based lens and the word land nowhere in it. Six gates passed it: source integrity, the model-report checklist, the beta attestation, 154 recalculations, the table audit and the external-reader scrub.</w:t>
      </w:r>
    </w:p>
    <w:p>
      <w:pPr>
        <w:spacing w:after="160"/>
        <w:ind w:left="283"/>
      </w:pPr>
      <w:r>
        <w:rPr>
          <w:b w:val="0"/>
          <w:i w:val="0"/>
          <w:color w:val="5B6570"/>
          <w:sz w:val="19"/>
        </w:rPr>
        <w:t>What would overturn it.  A study that fails a structural checklist while carrying the right method for its class, which would mean the two checks overlap more than this claims.</w:t>
      </w:r>
    </w:p>
    <w:p>
      <w:pPr>
        <w:keepNext/>
        <w:spacing w:before="240" w:after="60"/>
      </w:pPr>
      <w:r>
        <w:rPr>
          <w:b/>
          <w:color w:val="1A1D21"/>
          <w:sz w:val="22"/>
        </w:rPr>
        <w:t>L-049  One model run at several settings is one opinion, not several.</w:t>
      </w:r>
    </w:p>
    <w:p>
      <w:pPr>
        <w:keepNext/>
        <w:spacing w:after="100"/>
      </w:pPr>
      <w:r>
        <w:rPr>
          <w:b/>
          <w:color w:val="1D6FA3"/>
          <w:sz w:val="16"/>
        </w:rPr>
        <w:t>EVERY STUDY</w:t>
      </w:r>
      <w:r>
        <w:rPr>
          <w:color w:val="5B6570"/>
          <w:sz w:val="16"/>
        </w:rPr>
        <w:t xml:space="preserve">   applies to every study   ·   learned from a found while building, TMGH study, 1 September 2026</w:t>
      </w:r>
    </w:p>
    <w:p>
      <w:pPr>
        <w:spacing w:after="100"/>
      </w:pPr>
      <w:r>
        <w:rPr>
          <w:b w:val="0"/>
          <w:i w:val="0"/>
          <w:color w:val="1A1D21"/>
          <w:sz w:val="21"/>
        </w:rPr>
        <w:t>Publishing a range built from the same model with different inputs looks like several views and is not. The cases will cluster, because they share every assumption that matters, and the spread will understate how uncertain the answer really is.</w:t>
      </w:r>
    </w:p>
    <w:p>
      <w:pPr>
        <w:spacing w:after="60"/>
        <w:ind w:left="283"/>
      </w:pPr>
      <w:r>
        <w:rPr>
          <w:b w:val="0"/>
          <w:i w:val="0"/>
          <w:color w:val="5B6570"/>
          <w:sz w:val="19"/>
        </w:rPr>
        <w:t>How we know.  Four published cases were two cost-of-capital bases crossed with two readings of one discounted cash flow. Adding a genuinely different lens moved the answer by more than all four cases spanned.</w:t>
      </w:r>
    </w:p>
    <w:p>
      <w:pPr>
        <w:spacing w:after="160"/>
        <w:ind w:left="283"/>
      </w:pPr>
      <w:r>
        <w:rPr>
          <w:b w:val="0"/>
          <w:i w:val="0"/>
          <w:color w:val="5B6570"/>
          <w:sz w:val="19"/>
        </w:rPr>
        <w:t>What would overturn it.  A set of cases from one model whose spread is as wide as the spread between genuinely different methods on the same company.</w:t>
      </w:r>
    </w:p>
    <w:p>
      <w:pPr>
        <w:keepNext/>
        <w:spacing w:before="240" w:after="60"/>
      </w:pPr>
      <w:r>
        <w:rPr>
          <w:b/>
          <w:color w:val="1A1D21"/>
          <w:sz w:val="22"/>
        </w:rPr>
        <w:t>L-050  Where the disclosure cannot support a lens, publish a bound and say so.</w:t>
      </w:r>
    </w:p>
    <w:p>
      <w:pPr>
        <w:keepNext/>
        <w:spacing w:after="100"/>
      </w:pPr>
      <w:r>
        <w:rPr>
          <w:b/>
          <w:color w:val="1D6FA3"/>
          <w:sz w:val="16"/>
        </w:rPr>
        <w:t>EVERY STUDY</w:t>
      </w:r>
      <w:r>
        <w:rPr>
          <w:color w:val="5B6570"/>
          <w:sz w:val="16"/>
        </w:rPr>
        <w:t xml:space="preserve">   applies to every study   ·   learned from a found while building, TMGH study, 1 September 2026</w:t>
      </w:r>
    </w:p>
    <w:p>
      <w:pPr>
        <w:spacing w:after="100"/>
      </w:pPr>
      <w:r>
        <w:rPr>
          <w:b w:val="0"/>
          <w:i w:val="0"/>
          <w:color w:val="1A1D21"/>
          <w:sz w:val="21"/>
        </w:rPr>
        <w:t>When a company discloses an asset's size but not its value, the honest output is an explicit bound plus what the market price implies — not a figure built on a link between the two that nobody published.</w:t>
      </w:r>
    </w:p>
    <w:p>
      <w:pPr>
        <w:spacing w:after="60"/>
        <w:ind w:left="283"/>
      </w:pPr>
      <w:r>
        <w:rPr>
          <w:b w:val="0"/>
          <w:i w:val="0"/>
          <w:color w:val="5B6570"/>
          <w:sz w:val="19"/>
        </w:rPr>
        <w:t>How we know.  Sizing the overlap between landbank and projection used order book divided by landbank as revenue per square metre. The book is units already sold on land already committed; the bank is what remains. The two do not divide into each other.</w:t>
      </w:r>
    </w:p>
    <w:p>
      <w:pPr>
        <w:spacing w:after="160"/>
        <w:ind w:left="283"/>
      </w:pPr>
      <w:r>
        <w:rPr>
          <w:b w:val="0"/>
          <w:i w:val="0"/>
          <w:color w:val="5B6570"/>
          <w:sz w:val="19"/>
        </w:rPr>
        <w:t>What would overturn it.  A disclosure that does link an asset's area to its value directly, where a computed figure would beat a bound.</w:t>
      </w:r>
    </w:p>
    <w:p>
      <w:pPr>
        <w:keepNext/>
        <w:spacing w:before="240" w:after="60"/>
      </w:pPr>
      <w:r>
        <w:rPr>
          <w:b/>
          <w:color w:val="1A1D21"/>
          <w:sz w:val="22"/>
        </w:rPr>
        <w:t>L-051  Where a rule says "ask yourself", nobody asks.</w:t>
      </w:r>
    </w:p>
    <w:p>
      <w:pPr>
        <w:keepNext/>
        <w:spacing w:after="100"/>
      </w:pPr>
      <w:r>
        <w:rPr>
          <w:b/>
          <w:color w:val="1D6FA3"/>
          <w:sz w:val="16"/>
        </w:rPr>
        <w:t>EVERY STUDY</w:t>
      </w:r>
      <w:r>
        <w:rPr>
          <w:color w:val="5B6570"/>
          <w:sz w:val="16"/>
        </w:rPr>
        <w:t xml:space="preserve">   applies to every study   ·   learned from a found while building, TMGH study, 1 September 2026</w:t>
      </w:r>
    </w:p>
    <w:p>
      <w:pPr>
        <w:spacing w:after="100"/>
      </w:pPr>
      <w:r>
        <w:rPr>
          <w:b w:val="0"/>
          <w:i w:val="0"/>
          <w:color w:val="1A1D21"/>
          <w:sz w:val="21"/>
        </w:rPr>
        <w:t>A rule written as a habit of mind only works if someone remembers it at the moment it applies, which is exactly when they are busiest. The same rule written as a list that something else reads works every time. When you find a rule of this shape was not followed, do not restate it more firmly — give it a register and a check.</w:t>
      </w:r>
    </w:p>
    <w:p>
      <w:pPr>
        <w:spacing w:after="60"/>
        <w:ind w:left="283"/>
      </w:pPr>
      <w:r>
        <w:rPr>
          <w:b w:val="0"/>
          <w:i w:val="0"/>
          <w:color w:val="5B6570"/>
          <w:sz w:val="19"/>
        </w:rPr>
        <w:t>How we know.  The instruction to ask what the filings disclose that the model does not use had been standing since 7 August 2026 and had never once been executed. Four separate rules of this shape were found unexecuted in a single session.</w:t>
      </w:r>
    </w:p>
    <w:p>
      <w:pPr>
        <w:spacing w:after="160"/>
        <w:ind w:left="283"/>
      </w:pPr>
      <w:r>
        <w:rPr>
          <w:b w:val="0"/>
          <w:i w:val="0"/>
          <w:color w:val="5B6570"/>
          <w:sz w:val="19"/>
        </w:rPr>
        <w:t>What would overturn it.  A rule phrased as self-examination that is reliably followed over many studies without anything outside it checking.</w:t>
      </w:r>
    </w:p>
    <w:p>
      <w:pPr>
        <w:keepNext/>
        <w:spacing w:before="240" w:after="60"/>
      </w:pPr>
      <w:r>
        <w:rPr>
          <w:b/>
          <w:color w:val="1A1D21"/>
          <w:sz w:val="22"/>
        </w:rPr>
        <w:t>L-052  A funded expansion the company is already building is a fact, not a growth rate.</w:t>
      </w:r>
    </w:p>
    <w:p>
      <w:pPr>
        <w:keepNext/>
        <w:spacing w:after="100"/>
      </w:pPr>
      <w:r>
        <w:rPr>
          <w:b/>
          <w:color w:val="1D6FA3"/>
          <w:sz w:val="16"/>
        </w:rPr>
        <w:t>EVERY STUDY</w:t>
      </w:r>
      <w:r>
        <w:rPr>
          <w:color w:val="5B6570"/>
          <w:sz w:val="16"/>
        </w:rPr>
        <w:t xml:space="preserve">   applies to every study   ·   learned from a found while building, TMGH study, 1 September 2026</w:t>
      </w:r>
    </w:p>
    <w:p>
      <w:pPr>
        <w:spacing w:after="100"/>
      </w:pPr>
      <w:r>
        <w:rPr>
          <w:b w:val="0"/>
          <w:i w:val="0"/>
          <w:color w:val="1A1D21"/>
          <w:sz w:val="21"/>
        </w:rPr>
        <w:t>When a company tells you it is adding capacity — rooms, lines, capacity of any kind — with a size and a date, model the capacity. Folding it into a growth percentage means a project already paid for and under construction earns nothing.</w:t>
      </w:r>
    </w:p>
    <w:p>
      <w:pPr>
        <w:spacing w:after="60"/>
        <w:ind w:left="283"/>
      </w:pPr>
      <w:r>
        <w:rPr>
          <w:b w:val="0"/>
          <w:i w:val="0"/>
          <w:color w:val="5B6570"/>
          <w:sz w:val="19"/>
        </w:rPr>
        <w:t>How we know.  Hotel keys disclosed as c.3,500 operating and c.1,500 under construction, reaching c.5,000 by 2028 — a 43% expansion. The model grew hospitality at inflation only, so none of it appeared. Modelling the keys moved value by about EGP 6 a share.</w:t>
      </w:r>
    </w:p>
    <w:p>
      <w:pPr>
        <w:spacing w:after="160"/>
        <w:ind w:left="283"/>
      </w:pPr>
      <w:r>
        <w:rPr>
          <w:b w:val="0"/>
          <w:i w:val="0"/>
          <w:color w:val="5B6570"/>
          <w:sz w:val="19"/>
        </w:rPr>
        <w:t>What would overturn it.  A disclosed expansion whose value is fully captured by the growth rate it was folded into, which would mean the two are equivalent.</w:t>
      </w:r>
    </w:p>
    <w:p>
      <w:pPr>
        <w:keepNext/>
        <w:spacing w:before="240" w:after="60"/>
      </w:pPr>
      <w:r>
        <w:rPr>
          <w:b/>
          <w:color w:val="1A1D21"/>
          <w:sz w:val="22"/>
        </w:rPr>
        <w:t>L-053  The biggest thing you missed is usually on a page you already read.</w:t>
      </w:r>
    </w:p>
    <w:p>
      <w:pPr>
        <w:keepNext/>
        <w:spacing w:after="100"/>
      </w:pPr>
      <w:r>
        <w:rPr>
          <w:b/>
          <w:color w:val="1D6FA3"/>
          <w:sz w:val="16"/>
        </w:rPr>
        <w:t>EVERY STUDY</w:t>
      </w:r>
      <w:r>
        <w:rPr>
          <w:color w:val="5B6570"/>
          <w:sz w:val="16"/>
        </w:rPr>
        <w:t xml:space="preserve">   applies to every study   ·   learned from a found while building, TMGH study, 1 September 2026</w:t>
      </w:r>
    </w:p>
    <w:p>
      <w:pPr>
        <w:spacing w:after="100"/>
      </w:pPr>
      <w:r>
        <w:rPr>
          <w:b w:val="0"/>
          <w:i w:val="0"/>
          <w:color w:val="1A1D21"/>
          <w:sz w:val="21"/>
        </w:rPr>
        <w:t>Omissions do not hide in documents you failed to obtain. They hide in the summary page of the document you cited, because reading for the number you came for is not the same as reading what is there.</w:t>
      </w:r>
    </w:p>
    <w:p>
      <w:pPr>
        <w:spacing w:after="60"/>
        <w:ind w:left="283"/>
      </w:pPr>
      <w:r>
        <w:rPr>
          <w:b w:val="0"/>
          <w:i w:val="0"/>
          <w:color w:val="5B6570"/>
          <w:sz w:val="19"/>
        </w:rPr>
        <w:t>How we know.  A landbank of 20mn sqm and a hotel-key expansion, together most of the gap to the market price, both printed on one page of one release the study had already downloaded, read and cited.</w:t>
      </w:r>
    </w:p>
    <w:p>
      <w:pPr>
        <w:spacing w:after="160"/>
        <w:ind w:left="283"/>
      </w:pPr>
      <w:r>
        <w:rPr>
          <w:b w:val="0"/>
          <w:i w:val="0"/>
          <w:color w:val="5B6570"/>
          <w:sz w:val="19"/>
        </w:rPr>
        <w:t>What would overturn it.  An omission of comparable size traced to a document that was never obtained rather than one already in hand.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keepNext/>
        <w:spacing w:before="240" w:after="60"/>
      </w:pPr>
      <w:r>
        <w:rPr>
          <w:b/>
          <w:color w:val="1A1D21"/>
          <w:sz w:val="22"/>
        </w:rPr>
        <w:t>L-119  A developer's land is the asset, and a cash-flow model credits most of it at nothing.</w:t>
      </w:r>
    </w:p>
    <w:p>
      <w:pPr>
        <w:keepNext/>
        <w:spacing w:after="100"/>
      </w:pPr>
      <w:r>
        <w:rPr>
          <w:b/>
          <w:color w:val="7E4A94"/>
          <w:sz w:val="16"/>
        </w:rPr>
        <w:t>A CLASS OF COMPANY</w:t>
      </w:r>
      <w:r>
        <w:rPr>
          <w:color w:val="5B6570"/>
          <w:sz w:val="16"/>
        </w:rPr>
        <w:t xml:space="preserve">   applies to every real-estate developer, off-plan, point-in-time on handover   ·   learned from a found while building, TMGH study, 1 September 2026</w:t>
      </w:r>
      <w:r>
        <w:rPr>
          <w:b/>
          <w:color w:val="B03A2E"/>
          <w:sz w:val="16"/>
        </w:rPr>
        <w:t xml:space="preserve">   ·   STATUS: PROVISIONAL</w:t>
      </w:r>
    </w:p>
    <w:p>
      <w:pPr>
        <w:spacing w:after="100"/>
      </w:pPr>
      <w:r>
        <w:rPr>
          <w:b w:val="0"/>
          <w:i w:val="0"/>
          <w:color w:val="1A1D21"/>
          <w:sz w:val="21"/>
        </w:rPr>
        <w:t>A projection only earns money from land it builds on inside its window. A developer holding decades of land gets almost all of it valued at zero, and the gap to the market price will be roughly the land that was left out.</w:t>
      </w:r>
    </w:p>
    <w:p>
      <w:pPr>
        <w:spacing w:after="60"/>
        <w:ind w:left="283"/>
      </w:pPr>
      <w:r>
        <w:rPr>
          <w:b w:val="0"/>
          <w:i w:val="0"/>
          <w:color w:val="5B6570"/>
          <w:sz w:val="19"/>
        </w:rPr>
        <w:t>How we know.  20mn sqm held against a projection that builds a fraction of it. The market's premium over the cash-flow value implies EGP 10,863-24,388 per square metre, inside the range serviced land trades at.</w:t>
      </w:r>
    </w:p>
    <w:p>
      <w:pPr>
        <w:spacing w:after="160"/>
        <w:ind w:left="283"/>
      </w:pPr>
      <w:r>
        <w:rPr>
          <w:b w:val="0"/>
          <w:i w:val="0"/>
          <w:color w:val="5B6570"/>
          <w:sz w:val="19"/>
        </w:rPr>
        <w:t>What would overturn it.  A developer whose landbank is short enough that the projection window consumes it, where the two lenses would then agree.</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